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6A646" w14:textId="77777777" w:rsidR="002530E2" w:rsidRDefault="002530E2">
      <w:pPr>
        <w:pBdr>
          <w:top w:val="nil"/>
          <w:left w:val="nil"/>
          <w:bottom w:val="nil"/>
          <w:right w:val="nil"/>
          <w:between w:val="nil"/>
        </w:pBdr>
        <w:rPr>
          <w:color w:val="000000"/>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9168486"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BE5AB1D" w14:textId="77777777" w:rsidR="002530E2" w:rsidRDefault="002530E2">
            <w:pPr>
              <w:widowControl w:val="0"/>
              <w:spacing w:after="200" w:line="240" w:lineRule="auto"/>
              <w:jc w:val="center"/>
              <w:rPr>
                <w:color w:val="0E101A"/>
                <w:sz w:val="28"/>
                <w:szCs w:val="28"/>
              </w:rPr>
            </w:pPr>
            <w:r>
              <w:rPr>
                <w:color w:val="0E101A"/>
                <w:sz w:val="28"/>
                <w:szCs w:val="28"/>
              </w:rPr>
              <w:t xml:space="preserve">CHAPTER 1: INTRODUCTION </w:t>
            </w:r>
          </w:p>
          <w:p w14:paraId="24E24FA7" w14:textId="77777777" w:rsidR="002530E2" w:rsidRDefault="002530E2">
            <w:pPr>
              <w:widowControl w:val="0"/>
              <w:spacing w:after="200" w:line="240" w:lineRule="auto"/>
              <w:jc w:val="center"/>
              <w:rPr>
                <w:color w:val="0E101A"/>
                <w:sz w:val="28"/>
                <w:szCs w:val="28"/>
              </w:rPr>
            </w:pPr>
            <w:r>
              <w:rPr>
                <w:color w:val="0E101A"/>
                <w:sz w:val="28"/>
                <w:szCs w:val="28"/>
              </w:rPr>
              <w:t>(</w:t>
            </w:r>
            <w:r>
              <w:rPr>
                <w:i/>
                <w:color w:val="0E101A"/>
                <w:sz w:val="28"/>
                <w:szCs w:val="28"/>
              </w:rPr>
              <w:t>Part—1)</w:t>
            </w:r>
          </w:p>
        </w:tc>
      </w:tr>
    </w:tbl>
    <w:p w14:paraId="0FE6CDC4" w14:textId="77777777" w:rsidR="002530E2" w:rsidRDefault="002530E2">
      <w:pPr>
        <w:pBdr>
          <w:top w:val="nil"/>
          <w:left w:val="nil"/>
          <w:bottom w:val="nil"/>
          <w:right w:val="nil"/>
          <w:between w:val="nil"/>
        </w:pBdr>
        <w:spacing w:after="0"/>
        <w:jc w:val="center"/>
        <w:rPr>
          <w:color w:val="000000"/>
        </w:rPr>
      </w:pPr>
    </w:p>
    <w:p w14:paraId="24709DD0" w14:textId="77777777" w:rsidR="002530E2" w:rsidRDefault="002530E2">
      <w:pPr>
        <w:pBdr>
          <w:top w:val="nil"/>
          <w:left w:val="nil"/>
          <w:bottom w:val="nil"/>
          <w:right w:val="nil"/>
          <w:between w:val="nil"/>
        </w:pBdr>
        <w:spacing w:before="160" w:line="240" w:lineRule="auto"/>
        <w:jc w:val="center"/>
        <w:rPr>
          <w:color w:val="000000"/>
        </w:rPr>
      </w:pPr>
      <w:r>
        <w:t>“</w:t>
      </w:r>
      <w:r>
        <w:rPr>
          <w:rFonts w:ascii="Book Antiqua" w:eastAsia="Book Antiqua" w:hAnsi="Book Antiqua" w:cs="Book Antiqua"/>
          <w:color w:val="000000"/>
        </w:rPr>
        <w:t xml:space="preserve">The only person who never makes a mistake is the </w:t>
      </w:r>
    </w:p>
    <w:p w14:paraId="0F630497" w14:textId="77777777" w:rsidR="002530E2" w:rsidRDefault="002530E2">
      <w:pPr>
        <w:pBdr>
          <w:top w:val="nil"/>
          <w:left w:val="nil"/>
          <w:bottom w:val="nil"/>
          <w:right w:val="nil"/>
          <w:between w:val="nil"/>
        </w:pBdr>
        <w:spacing w:before="160" w:line="240" w:lineRule="auto"/>
        <w:jc w:val="center"/>
        <w:rPr>
          <w:color w:val="000000"/>
        </w:rPr>
      </w:pPr>
      <w:r>
        <w:rPr>
          <w:rFonts w:ascii="Book Antiqua" w:eastAsia="Book Antiqua" w:hAnsi="Book Antiqua" w:cs="Book Antiqua"/>
          <w:color w:val="000000"/>
        </w:rPr>
        <w:t>person who never does anything.“</w:t>
      </w:r>
    </w:p>
    <w:p w14:paraId="64B3C808" w14:textId="77777777" w:rsidR="002530E2" w:rsidRDefault="002530E2">
      <w:pPr>
        <w:pBdr>
          <w:top w:val="nil"/>
          <w:left w:val="nil"/>
          <w:bottom w:val="nil"/>
          <w:right w:val="nil"/>
          <w:between w:val="nil"/>
        </w:pBdr>
        <w:spacing w:before="200" w:after="0" w:line="240" w:lineRule="auto"/>
        <w:jc w:val="center"/>
        <w:rPr>
          <w:sz w:val="2"/>
          <w:szCs w:val="2"/>
        </w:rPr>
      </w:pPr>
    </w:p>
    <w:p w14:paraId="600DB711" w14:textId="77777777" w:rsidR="002530E2" w:rsidRDefault="002530E2">
      <w:pPr>
        <w:pBdr>
          <w:top w:val="nil"/>
          <w:left w:val="nil"/>
          <w:bottom w:val="nil"/>
          <w:right w:val="nil"/>
          <w:between w:val="nil"/>
        </w:pBdr>
        <w:spacing w:after="0" w:line="360" w:lineRule="auto"/>
        <w:jc w:val="center"/>
        <w:rPr>
          <w:color w:val="000000"/>
        </w:rPr>
      </w:pPr>
      <w:r>
        <w:rPr>
          <w:rFonts w:ascii="Book Antiqua" w:eastAsia="Book Antiqua" w:hAnsi="Book Antiqua" w:cs="Book Antiqua"/>
          <w:i/>
          <w:color w:val="000000"/>
          <w:sz w:val="18"/>
          <w:szCs w:val="18"/>
        </w:rPr>
        <w:t>— Theodore Roosevelt (Morris, 1979)</w:t>
      </w:r>
    </w:p>
    <w:p w14:paraId="0934F10E" w14:textId="77777777" w:rsidR="002530E2" w:rsidRDefault="002530E2">
      <w:pPr>
        <w:pBdr>
          <w:top w:val="nil"/>
          <w:left w:val="nil"/>
          <w:bottom w:val="nil"/>
          <w:right w:val="nil"/>
          <w:between w:val="nil"/>
        </w:pBdr>
        <w:spacing w:after="0" w:line="240" w:lineRule="auto"/>
        <w:jc w:val="center"/>
        <w:rPr>
          <w:i/>
          <w:color w:val="000000"/>
          <w:sz w:val="18"/>
          <w:szCs w:val="18"/>
        </w:rPr>
      </w:pPr>
    </w:p>
    <w:p w14:paraId="4F104C73" w14:textId="77777777" w:rsidR="002530E2" w:rsidRDefault="002530E2">
      <w:pPr>
        <w:pStyle w:val="Heading4"/>
        <w:spacing w:before="0"/>
        <w:rPr>
          <w:color w:val="FFFFFF"/>
        </w:rPr>
      </w:pPr>
      <w:bookmarkStart w:id="0" w:name="_heading=h.gjdgxs" w:colFirst="0" w:colLast="0"/>
      <w:bookmarkEnd w:id="0"/>
      <w:r>
        <w:rPr>
          <w:color w:val="FFFFFF"/>
        </w:rPr>
        <w:t>TABLE OF CONTENT</w:t>
      </w:r>
    </w:p>
    <w:p w14:paraId="3F51B19E"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8"/>
          <w:szCs w:val="28"/>
        </w:rPr>
        <w:t xml:space="preserve">TABLE OF CONTENT FOR </w:t>
      </w:r>
      <w:r>
        <w:rPr>
          <w:sz w:val="28"/>
          <w:szCs w:val="28"/>
        </w:rPr>
        <w:t xml:space="preserve">CHAPTER 1 </w:t>
      </w:r>
      <w:r>
        <w:rPr>
          <w:i/>
          <w:sz w:val="28"/>
          <w:szCs w:val="28"/>
        </w:rPr>
        <w:t>(Part 1)</w:t>
      </w:r>
    </w:p>
    <w:sdt>
      <w:sdtPr>
        <w:id w:val="-657081439"/>
        <w:docPartObj>
          <w:docPartGallery w:val="Table of Contents"/>
          <w:docPartUnique/>
        </w:docPartObj>
      </w:sdtPr>
      <w:sdtContent>
        <w:p w14:paraId="3C17CC12"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30j0zll">
            <w:r>
              <w:rPr>
                <w:rFonts w:ascii="Book Antiqua" w:eastAsia="Book Antiqua" w:hAnsi="Book Antiqua" w:cs="Book Antiqua"/>
                <w:color w:val="1155CC"/>
              </w:rPr>
              <w:t>CHAPTER INTRO</w:t>
            </w:r>
            <w:r>
              <w:rPr>
                <w:rFonts w:ascii="Book Antiqua" w:eastAsia="Book Antiqua" w:hAnsi="Book Antiqua" w:cs="Book Antiqua"/>
                <w:color w:val="1155CC"/>
              </w:rPr>
              <w:tab/>
              <w:t>16</w:t>
            </w:r>
          </w:hyperlink>
        </w:p>
        <w:p w14:paraId="77FCA7ED"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fob9te">
            <w:r>
              <w:rPr>
                <w:rFonts w:ascii="Book Antiqua" w:eastAsia="Book Antiqua" w:hAnsi="Book Antiqua" w:cs="Book Antiqua"/>
                <w:color w:val="1155CC"/>
              </w:rPr>
              <w:t>1.0 — INTRODUCTION</w:t>
            </w:r>
            <w:r>
              <w:rPr>
                <w:rFonts w:ascii="Book Antiqua" w:eastAsia="Book Antiqua" w:hAnsi="Book Antiqua" w:cs="Book Antiqua"/>
                <w:color w:val="1155CC"/>
              </w:rPr>
              <w:tab/>
              <w:t>19</w:t>
            </w:r>
          </w:hyperlink>
        </w:p>
        <w:p w14:paraId="32C323B0"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s8eyo1">
            <w:r>
              <w:rPr>
                <w:rFonts w:ascii="Book Antiqua" w:eastAsia="Book Antiqua" w:hAnsi="Book Antiqua" w:cs="Book Antiqua"/>
                <w:color w:val="1155CC"/>
              </w:rPr>
              <w:t>1.1 — BACKGROUND OF STUDY</w:t>
            </w:r>
            <w:r>
              <w:rPr>
                <w:rFonts w:ascii="Book Antiqua" w:eastAsia="Book Antiqua" w:hAnsi="Book Antiqua" w:cs="Book Antiqua"/>
                <w:color w:val="1155CC"/>
              </w:rPr>
              <w:tab/>
              <w:t>27</w:t>
            </w:r>
          </w:hyperlink>
        </w:p>
        <w:p w14:paraId="033CE2B2"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dy6vkm">
            <w:r>
              <w:rPr>
                <w:rFonts w:ascii="Book Antiqua" w:eastAsia="Book Antiqua" w:hAnsi="Book Antiqua" w:cs="Book Antiqua"/>
                <w:color w:val="1155CC"/>
              </w:rPr>
              <w:t>1.2 — RESEARCH MOTIVATION</w:t>
            </w:r>
            <w:r>
              <w:rPr>
                <w:rFonts w:ascii="Book Antiqua" w:eastAsia="Book Antiqua" w:hAnsi="Book Antiqua" w:cs="Book Antiqua"/>
                <w:color w:val="1155CC"/>
              </w:rPr>
              <w:tab/>
              <w:t>29</w:t>
            </w:r>
          </w:hyperlink>
        </w:p>
        <w:p w14:paraId="51D16C47"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znysh7">
            <w:r>
              <w:rPr>
                <w:rFonts w:ascii="Book Antiqua" w:eastAsia="Book Antiqua" w:hAnsi="Book Antiqua" w:cs="Book Antiqua"/>
                <w:color w:val="1155CC"/>
              </w:rPr>
              <w:t>1.3 — TOPIC OF STUDY</w:t>
            </w:r>
            <w:r>
              <w:rPr>
                <w:rFonts w:ascii="Book Antiqua" w:eastAsia="Book Antiqua" w:hAnsi="Book Antiqua" w:cs="Book Antiqua"/>
                <w:color w:val="1155CC"/>
              </w:rPr>
              <w:tab/>
              <w:t>31</w:t>
            </w:r>
          </w:hyperlink>
        </w:p>
        <w:p w14:paraId="6A33C0AD"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et92p0">
            <w:r>
              <w:rPr>
                <w:rFonts w:ascii="Book Antiqua" w:eastAsia="Book Antiqua" w:hAnsi="Book Antiqua" w:cs="Book Antiqua"/>
                <w:color w:val="1155CC"/>
              </w:rPr>
              <w:t>1.4 — TOPIC RELEVANCE</w:t>
            </w:r>
            <w:r>
              <w:rPr>
                <w:rFonts w:ascii="Book Antiqua" w:eastAsia="Book Antiqua" w:hAnsi="Book Antiqua" w:cs="Book Antiqua"/>
                <w:color w:val="1155CC"/>
              </w:rPr>
              <w:tab/>
              <w:t>32</w:t>
            </w:r>
          </w:hyperlink>
        </w:p>
        <w:p w14:paraId="5E73985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tyjcwt">
            <w:r>
              <w:rPr>
                <w:rFonts w:ascii="Book Antiqua" w:eastAsia="Book Antiqua" w:hAnsi="Book Antiqua" w:cs="Book Antiqua"/>
                <w:color w:val="1155CC"/>
              </w:rPr>
              <w:t>1.5 — RESEARCH DOMAIN</w:t>
            </w:r>
            <w:r>
              <w:rPr>
                <w:rFonts w:ascii="Book Antiqua" w:eastAsia="Book Antiqua" w:hAnsi="Book Antiqua" w:cs="Book Antiqua"/>
                <w:color w:val="1155CC"/>
              </w:rPr>
              <w:tab/>
              <w:t>33</w:t>
            </w:r>
          </w:hyperlink>
        </w:p>
        <w:p w14:paraId="13A94117"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rdcrjn">
            <w:r>
              <w:rPr>
                <w:rFonts w:ascii="Book Antiqua" w:eastAsia="Book Antiqua" w:hAnsi="Book Antiqua" w:cs="Book Antiqua"/>
                <w:color w:val="1155CC"/>
              </w:rPr>
              <w:t>1.6 — RESEARCH PROBLEM</w:t>
            </w:r>
            <w:r>
              <w:rPr>
                <w:rFonts w:ascii="Book Antiqua" w:eastAsia="Book Antiqua" w:hAnsi="Book Antiqua" w:cs="Book Antiqua"/>
                <w:color w:val="1155CC"/>
              </w:rPr>
              <w:tab/>
              <w:t>35</w:t>
            </w:r>
          </w:hyperlink>
        </w:p>
        <w:p w14:paraId="5F32DB42"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6in1rg">
            <w:r>
              <w:rPr>
                <w:rFonts w:ascii="Book Antiqua" w:eastAsia="Book Antiqua" w:hAnsi="Book Antiqua" w:cs="Book Antiqua"/>
                <w:color w:val="1155CC"/>
              </w:rPr>
              <w:t>1.7 — RESEARCH GAP</w:t>
            </w:r>
            <w:r>
              <w:rPr>
                <w:rFonts w:ascii="Book Antiqua" w:eastAsia="Book Antiqua" w:hAnsi="Book Antiqua" w:cs="Book Antiqua"/>
                <w:color w:val="1155CC"/>
              </w:rPr>
              <w:tab/>
              <w:t>39</w:t>
            </w:r>
          </w:hyperlink>
        </w:p>
        <w:p w14:paraId="3D124CE4"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lnxbz9">
            <w:r>
              <w:rPr>
                <w:rFonts w:ascii="Book Antiqua" w:eastAsia="Book Antiqua" w:hAnsi="Book Antiqua" w:cs="Book Antiqua"/>
                <w:color w:val="1155CC"/>
              </w:rPr>
              <w:t>1.8 — SIGNIFICANCE OF THE STUDY</w:t>
            </w:r>
            <w:r>
              <w:rPr>
                <w:rFonts w:ascii="Book Antiqua" w:eastAsia="Book Antiqua" w:hAnsi="Book Antiqua" w:cs="Book Antiqua"/>
                <w:color w:val="1155CC"/>
              </w:rPr>
              <w:tab/>
              <w:t>41</w:t>
            </w:r>
          </w:hyperlink>
          <w:r>
            <w:fldChar w:fldCharType="end"/>
          </w:r>
        </w:p>
      </w:sdtContent>
    </w:sdt>
    <w:p w14:paraId="021C9F79" w14:textId="77777777" w:rsidR="002530E2" w:rsidRDefault="002530E2">
      <w:pPr>
        <w:pBdr>
          <w:top w:val="nil"/>
          <w:left w:val="nil"/>
          <w:bottom w:val="nil"/>
          <w:right w:val="nil"/>
          <w:between w:val="nil"/>
        </w:pBdr>
        <w:rPr>
          <w:color w:val="000000"/>
        </w:rPr>
      </w:pPr>
      <w:r>
        <w:br w:type="page"/>
      </w:r>
    </w:p>
    <w:p w14:paraId="1F1E93DD" w14:textId="77777777" w:rsidR="002530E2" w:rsidRDefault="002530E2"/>
    <w:p w14:paraId="731B53E2" w14:textId="77777777" w:rsidR="002530E2" w:rsidRDefault="002530E2"/>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6A9D49C5"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A6E0AB2" w14:textId="77777777" w:rsidR="002530E2" w:rsidRDefault="002530E2">
            <w:pPr>
              <w:pStyle w:val="Heading1"/>
              <w:widowControl w:val="0"/>
              <w:spacing w:before="0" w:after="0" w:line="240" w:lineRule="auto"/>
              <w:jc w:val="center"/>
            </w:pPr>
            <w:bookmarkStart w:id="1" w:name="_heading=h.30j0zll" w:colFirst="0" w:colLast="0"/>
            <w:bookmarkEnd w:id="1"/>
            <w:r>
              <w:t>CHAPTER INTRO</w:t>
            </w:r>
          </w:p>
        </w:tc>
      </w:tr>
    </w:tbl>
    <w:p w14:paraId="2F23F531" w14:textId="77777777" w:rsidR="002530E2" w:rsidRDefault="002530E2">
      <w:pPr>
        <w:pBdr>
          <w:top w:val="nil"/>
          <w:left w:val="nil"/>
          <w:bottom w:val="nil"/>
          <w:right w:val="nil"/>
          <w:between w:val="nil"/>
        </w:pBdr>
        <w:spacing w:after="0"/>
        <w:jc w:val="center"/>
        <w:rPr>
          <w:color w:val="000000"/>
        </w:rPr>
      </w:pPr>
    </w:p>
    <w:p w14:paraId="11821E7D" w14:textId="77777777" w:rsidR="002530E2" w:rsidRDefault="002530E2">
      <w:pPr>
        <w:pBdr>
          <w:top w:val="nil"/>
          <w:left w:val="nil"/>
          <w:bottom w:val="nil"/>
          <w:right w:val="nil"/>
          <w:between w:val="nil"/>
        </w:pBdr>
        <w:spacing w:before="200" w:after="0"/>
        <w:jc w:val="center"/>
        <w:rPr>
          <w:color w:val="000000"/>
        </w:rPr>
      </w:pPr>
      <w:r>
        <w:rPr>
          <w:rFonts w:ascii="Book Antiqua" w:eastAsia="Book Antiqua" w:hAnsi="Book Antiqua" w:cs="Book Antiqua"/>
          <w:color w:val="000000"/>
        </w:rPr>
        <w:t>“Murphy’s Law: If something can go wrong, it will.“</w:t>
      </w:r>
    </w:p>
    <w:p w14:paraId="47D8520A" w14:textId="77777777" w:rsidR="002530E2" w:rsidRDefault="002530E2">
      <w:pPr>
        <w:pBdr>
          <w:top w:val="nil"/>
          <w:left w:val="nil"/>
          <w:bottom w:val="nil"/>
          <w:right w:val="nil"/>
          <w:between w:val="nil"/>
        </w:pBdr>
        <w:spacing w:after="0" w:line="240" w:lineRule="auto"/>
        <w:jc w:val="center"/>
        <w:rPr>
          <w:color w:val="000000"/>
        </w:rPr>
      </w:pPr>
      <w:r>
        <w:rPr>
          <w:rFonts w:ascii="Book Antiqua" w:eastAsia="Book Antiqua" w:hAnsi="Book Antiqua" w:cs="Book Antiqua"/>
          <w:i/>
          <w:color w:val="000000"/>
          <w:sz w:val="18"/>
          <w:szCs w:val="18"/>
        </w:rPr>
        <w:t>— Bloch (1977), Murphy (1982), Schuessler (2003), Fesenko (2021) &amp; Jeep Wrangler Forum (2007)</w:t>
      </w:r>
    </w:p>
    <w:p w14:paraId="50D01F0D" w14:textId="77777777" w:rsidR="002530E2" w:rsidRDefault="002530E2">
      <w:pPr>
        <w:pBdr>
          <w:top w:val="nil"/>
          <w:left w:val="nil"/>
          <w:bottom w:val="nil"/>
          <w:right w:val="nil"/>
          <w:between w:val="nil"/>
        </w:pBdr>
        <w:rPr>
          <w:color w:val="1C4587"/>
        </w:rPr>
      </w:pPr>
    </w:p>
    <w:p w14:paraId="5B441242" w14:textId="77777777" w:rsidR="002530E2" w:rsidRDefault="002530E2">
      <w:pPr>
        <w:pBdr>
          <w:top w:val="nil"/>
          <w:left w:val="nil"/>
          <w:bottom w:val="nil"/>
          <w:right w:val="nil"/>
          <w:between w:val="nil"/>
        </w:pBdr>
        <w:rPr>
          <w:color w:val="1C4587"/>
        </w:rPr>
      </w:pPr>
    </w:p>
    <w:p w14:paraId="5D7D5454" w14:textId="77777777" w:rsidR="002530E2" w:rsidRDefault="002530E2">
      <w:r>
        <w:t>This chapter introduces the research study “Cultural Landmines in Muslim-Majority and Minority Markets: Exposing Cross-Cultural Blunders and Their Explosive Consequences“ and introduces the study, setting the stage for the subsequent five chapters.</w:t>
      </w:r>
    </w:p>
    <w:p w14:paraId="2C18F900" w14:textId="77777777" w:rsidR="002530E2" w:rsidRDefault="002530E2">
      <w:r>
        <w:t>A short review of each of the eighteen sections of this chapter follows below:</w:t>
      </w:r>
    </w:p>
    <w:p w14:paraId="551550B6" w14:textId="77777777" w:rsidR="002530E2" w:rsidRDefault="002530E2">
      <w:r>
        <w:t>Introduction</w:t>
      </w:r>
    </w:p>
    <w:p w14:paraId="2DC63C8C" w14:textId="77777777" w:rsidR="002530E2" w:rsidRDefault="002530E2">
      <w:r>
        <w:t>The author introduces the study in this section, aiming to enhance the research landscape. He emphasises the importance of this study, setting the stage for subsequent chapters.</w:t>
      </w:r>
    </w:p>
    <w:p w14:paraId="290D85F3" w14:textId="77777777" w:rsidR="002530E2" w:rsidRDefault="002530E2">
      <w:r>
        <w:t>Background of the Study</w:t>
      </w:r>
    </w:p>
    <w:p w14:paraId="06D892DF" w14:textId="77777777" w:rsidR="002530E2" w:rsidRDefault="002530E2">
      <w:r>
        <w:t>Providing an understanding of the study’s context, the author discusses the economic significance of Muslim markets. He also discusses MNC challenges and the importance of effective cross-cultural communication strategies to engage with Muslim consumers. This section sheds light on his research motivations.</w:t>
      </w:r>
    </w:p>
    <w:p w14:paraId="3D873573" w14:textId="77777777" w:rsidR="002530E2" w:rsidRDefault="002530E2">
      <w:r>
        <w:t>Research Motivation</w:t>
      </w:r>
    </w:p>
    <w:p w14:paraId="071A5EB6" w14:textId="77777777" w:rsidR="002530E2" w:rsidRDefault="002530E2">
      <w:r>
        <w:t>This section explores the motivation for conducting the research. Here, the author shares his inspiration and reasons for his interest in the subject matter.</w:t>
      </w:r>
    </w:p>
    <w:p w14:paraId="19B02F1B" w14:textId="77777777" w:rsidR="002530E2" w:rsidRDefault="002530E2">
      <w:r>
        <w:t>Topic of Study</w:t>
      </w:r>
    </w:p>
    <w:p w14:paraId="170BE11F" w14:textId="77777777" w:rsidR="002530E2" w:rsidRDefault="002530E2">
      <w:r>
        <w:t>The author identifies and highlights the specific research topic, presenting the subject matter the study aims to explore and analyse. This section clearly and concisely communicates his research focus.</w:t>
      </w:r>
    </w:p>
    <w:p w14:paraId="3DC83296" w14:textId="77777777" w:rsidR="002530E2" w:rsidRDefault="002530E2">
      <w:r>
        <w:t>Topic Relevance</w:t>
      </w:r>
    </w:p>
    <w:p w14:paraId="4449738B" w14:textId="77777777" w:rsidR="002530E2" w:rsidRDefault="002530E2">
      <w:r>
        <w:t>Unveiling the significance of the research area, the author explains why the chosen topic is relevant and important. This section highlights the broader implications and potential impact of the study.</w:t>
      </w:r>
    </w:p>
    <w:p w14:paraId="50E2672C" w14:textId="77777777" w:rsidR="002530E2" w:rsidRDefault="002530E2">
      <w:r>
        <w:t>Research Domain</w:t>
      </w:r>
    </w:p>
    <w:p w14:paraId="189CEE5C" w14:textId="77777777" w:rsidR="002530E2" w:rsidRDefault="002530E2">
      <w:r>
        <w:t>This section delves into the research domain, providing an in-depth examination of the field of study. The author defines the research area’s boundaries and scope.</w:t>
      </w:r>
    </w:p>
    <w:p w14:paraId="5770FE10" w14:textId="77777777" w:rsidR="002530E2" w:rsidRDefault="002530E2">
      <w:r>
        <w:t>Research Problem</w:t>
      </w:r>
    </w:p>
    <w:p w14:paraId="24CF7FF5" w14:textId="77777777" w:rsidR="002530E2" w:rsidRDefault="002530E2">
      <w:r>
        <w:lastRenderedPageBreak/>
        <w:t>The author presents the problem statement in this section, which outlines the main research question.</w:t>
      </w:r>
    </w:p>
    <w:p w14:paraId="476CB32B" w14:textId="77777777" w:rsidR="002530E2" w:rsidRDefault="002530E2">
      <w:r>
        <w:t>Research Gap</w:t>
      </w:r>
    </w:p>
    <w:p w14:paraId="3022584E" w14:textId="77777777" w:rsidR="002530E2" w:rsidRDefault="002530E2">
      <w:r>
        <w:t>This section aims to fill the knowledge gap by identifying limitations or gaps in the current research. The author emphasises the need for further investigation to address these gaps.</w:t>
      </w:r>
    </w:p>
    <w:p w14:paraId="30A28074" w14:textId="77777777" w:rsidR="002530E2" w:rsidRDefault="002530E2">
      <w:r>
        <w:t>Significance of Study</w:t>
      </w:r>
    </w:p>
    <w:p w14:paraId="6526ACFE" w14:textId="77777777" w:rsidR="002530E2" w:rsidRDefault="002530E2">
      <w:r>
        <w:t>The section above highlights the relevance and importance of the research. The author provides compelling arguments and justifications for why this research is crucial and necessary. This study aims to answer specific questions and guide further investigation, underscoring its significance.</w:t>
      </w:r>
    </w:p>
    <w:p w14:paraId="17C777B9" w14:textId="77777777" w:rsidR="002530E2" w:rsidRDefault="002530E2">
      <w:r>
        <w:t>Research Questions</w:t>
      </w:r>
    </w:p>
    <w:p w14:paraId="5A48B9D0" w14:textId="77777777" w:rsidR="002530E2" w:rsidRDefault="002530E2">
      <w:r>
        <w:t>In this section, the author presents the specific questions the study aims to answer. These questions guided the investigation.</w:t>
      </w:r>
    </w:p>
    <w:p w14:paraId="330D56F3" w14:textId="77777777" w:rsidR="002530E2" w:rsidRDefault="002530E2">
      <w:r>
        <w:t>Research Aims</w:t>
      </w:r>
    </w:p>
    <w:p w14:paraId="21CD81D2" w14:textId="77777777" w:rsidR="002530E2" w:rsidRDefault="002530E2">
      <w:r>
        <w:t>This section outlines the research aims, providing a clear direction for the study. The author describes his research’s intended achievements and outcomes.</w:t>
      </w:r>
    </w:p>
    <w:p w14:paraId="63FA0B16" w14:textId="77777777" w:rsidR="002530E2" w:rsidRDefault="002530E2">
      <w:r>
        <w:t>Research Objectives</w:t>
      </w:r>
    </w:p>
    <w:p w14:paraId="0A8834DF" w14:textId="77777777" w:rsidR="002530E2" w:rsidRDefault="002530E2">
      <w:r>
        <w:t>By defining the research objectives, this section establishes the specific steps and goals of the study. The author outlines the intended outcomes and deliverables in a structured manner.</w:t>
      </w:r>
    </w:p>
    <w:p w14:paraId="2660F560" w14:textId="77777777" w:rsidR="002530E2" w:rsidRDefault="002530E2">
      <w:r>
        <w:t>Research Scopes &amp; Focus</w:t>
      </w:r>
    </w:p>
    <w:p w14:paraId="70B23DB6" w14:textId="77777777" w:rsidR="002530E2" w:rsidRDefault="002530E2">
      <w:r>
        <w:t>This section establishes the study's boundaries and focus. The author examined some aspects but not others.</w:t>
      </w:r>
    </w:p>
    <w:p w14:paraId="00F66728" w14:textId="77777777" w:rsidR="002530E2" w:rsidRDefault="002530E2">
      <w:r>
        <w:t>Brief Literature Review Overview</w:t>
      </w:r>
    </w:p>
    <w:p w14:paraId="07E01CB6" w14:textId="77777777" w:rsidR="002530E2" w:rsidRDefault="002530E2">
      <w:r>
        <w:t>This section provides a concise overview of the literature review, presenting a glimpse into the research landscape. The author summarises the existing literature, highlighting key findings and themes.</w:t>
      </w:r>
    </w:p>
    <w:p w14:paraId="3BBA27EB" w14:textId="77777777" w:rsidR="002530E2" w:rsidRDefault="002530E2">
      <w:r>
        <w:t>Brief Methodology Overview</w:t>
      </w:r>
    </w:p>
    <w:p w14:paraId="6F9A3161" w14:textId="77777777" w:rsidR="002530E2" w:rsidRDefault="002530E2">
      <w:r>
        <w:t>The methodology section offers a concise overview of the research methodology employed in the study. The author describes how he collected and analysed the data, providing insight into his chosen research approach.</w:t>
      </w:r>
    </w:p>
    <w:p w14:paraId="09655805" w14:textId="77777777" w:rsidR="002530E2" w:rsidRDefault="002530E2">
      <w:r>
        <w:t>Study Limitations</w:t>
      </w:r>
    </w:p>
    <w:p w14:paraId="0FEE5C03" w14:textId="77777777" w:rsidR="002530E2" w:rsidRDefault="002530E2">
      <w:r>
        <w:t>Considering the study’s limitations, it is important to recognise the boundaries and constraints that may have impacted the outcomes. The author discusses potential shortcomings and constraints that could have affected the study’s results.</w:t>
      </w:r>
    </w:p>
    <w:p w14:paraId="464C884D" w14:textId="77777777" w:rsidR="002530E2" w:rsidRDefault="002530E2">
      <w:r>
        <w:t>Study Delimitations</w:t>
      </w:r>
    </w:p>
    <w:p w14:paraId="0115C812" w14:textId="77777777" w:rsidR="002530E2" w:rsidRDefault="002530E2">
      <w:r>
        <w:lastRenderedPageBreak/>
        <w:t>The author has explicitly defined the study's parameters through deliberate boundaries and limitations. He also clarifies which aspects were deliberately excluded from the research investigation to provide a more focused and comprehensive analysis.</w:t>
      </w:r>
    </w:p>
    <w:p w14:paraId="3BA902B4" w14:textId="77777777" w:rsidR="002530E2" w:rsidRDefault="002530E2">
      <w:r>
        <w:t>Thesis Chapter Outline</w:t>
      </w:r>
    </w:p>
    <w:p w14:paraId="5DD974A7" w14:textId="77777777" w:rsidR="002530E2" w:rsidRDefault="002530E2">
      <w:r>
        <w:t>This section summarises the research work’s organisation and structure by providing an overview of the thesis chapters. The author presents a clear outline of the six chapters in his thesis, highlighting the sequence and content covered in each chapter.</w:t>
      </w:r>
    </w:p>
    <w:p w14:paraId="7A5D17FC" w14:textId="77777777" w:rsidR="002530E2" w:rsidRDefault="002530E2">
      <w:pPr>
        <w:pBdr>
          <w:top w:val="nil"/>
          <w:left w:val="nil"/>
          <w:bottom w:val="nil"/>
          <w:right w:val="nil"/>
          <w:between w:val="nil"/>
        </w:pBdr>
        <w:spacing w:after="200"/>
      </w:pPr>
    </w:p>
    <w:p w14:paraId="606E1F46" w14:textId="77777777" w:rsidR="002530E2" w:rsidRDefault="002530E2">
      <w:pPr>
        <w:pBdr>
          <w:top w:val="nil"/>
          <w:left w:val="nil"/>
          <w:bottom w:val="nil"/>
          <w:right w:val="nil"/>
          <w:between w:val="nil"/>
        </w:pBdr>
        <w:spacing w:after="200"/>
        <w:jc w:val="center"/>
        <w:rPr>
          <w:color w:val="000000"/>
        </w:rPr>
      </w:pPr>
      <w:r>
        <w:rPr>
          <w:rFonts w:ascii="Book Antiqua" w:eastAsia="Book Antiqua" w:hAnsi="Book Antiqua" w:cs="Book Antiqua"/>
          <w:color w:val="000000"/>
        </w:rPr>
        <w:t>“Global spend by Muslim consumers is projected to reach US$2.4 trillion by 2024 — US$1.38 trillion of which is forecast to be spent on the halal food industry.“</w:t>
      </w:r>
    </w:p>
    <w:p w14:paraId="7BB29CAA" w14:textId="77777777" w:rsidR="002530E2" w:rsidRDefault="002530E2">
      <w:pPr>
        <w:pBdr>
          <w:top w:val="nil"/>
          <w:left w:val="nil"/>
          <w:bottom w:val="nil"/>
          <w:right w:val="nil"/>
          <w:between w:val="nil"/>
        </w:pBdr>
        <w:spacing w:after="0" w:line="240" w:lineRule="auto"/>
        <w:jc w:val="center"/>
        <w:rPr>
          <w:i/>
          <w:color w:val="000000"/>
          <w:sz w:val="18"/>
          <w:szCs w:val="18"/>
        </w:rPr>
      </w:pPr>
      <w:r>
        <w:rPr>
          <w:rFonts w:ascii="Book Antiqua" w:eastAsia="Book Antiqua" w:hAnsi="Book Antiqua" w:cs="Book Antiqua"/>
          <w:i/>
          <w:color w:val="000000"/>
          <w:sz w:val="18"/>
          <w:szCs w:val="18"/>
        </w:rPr>
        <w:t>— Herminingsih (2023), Kerry.com</w:t>
      </w:r>
    </w:p>
    <w:p w14:paraId="0E31169A" w14:textId="77777777" w:rsidR="002530E2" w:rsidRDefault="002530E2">
      <w:pPr>
        <w:pBdr>
          <w:top w:val="nil"/>
          <w:left w:val="nil"/>
          <w:bottom w:val="nil"/>
          <w:right w:val="nil"/>
          <w:between w:val="nil"/>
        </w:pBdr>
        <w:spacing w:after="0" w:line="240" w:lineRule="auto"/>
        <w:jc w:val="center"/>
        <w:rPr>
          <w:i/>
          <w:color w:val="000000"/>
          <w:sz w:val="18"/>
          <w:szCs w:val="18"/>
        </w:rPr>
      </w:pPr>
    </w:p>
    <w:p w14:paraId="0C3CDAB4" w14:textId="77777777" w:rsidR="002530E2" w:rsidRDefault="002530E2">
      <w:pPr>
        <w:pBdr>
          <w:top w:val="nil"/>
          <w:left w:val="nil"/>
          <w:bottom w:val="nil"/>
          <w:right w:val="nil"/>
          <w:between w:val="nil"/>
        </w:pBdr>
        <w:spacing w:after="0" w:line="240" w:lineRule="auto"/>
        <w:jc w:val="center"/>
        <w:rPr>
          <w:i/>
          <w:color w:val="000000"/>
          <w:sz w:val="18"/>
          <w:szCs w:val="18"/>
        </w:rPr>
      </w:pPr>
    </w:p>
    <w:p w14:paraId="159EED2E" w14:textId="77777777" w:rsidR="002530E2" w:rsidRDefault="002530E2">
      <w:pPr>
        <w:pStyle w:val="Heading1"/>
      </w:pPr>
      <w:bookmarkStart w:id="2" w:name="_heading=h.1fob9te" w:colFirst="0" w:colLast="0"/>
      <w:bookmarkEnd w:id="2"/>
      <w:r>
        <w:t xml:space="preserve">1.0 — INTRODUCTION  </w:t>
      </w:r>
    </w:p>
    <w:p w14:paraId="0CFDC39F" w14:textId="77777777" w:rsidR="002530E2" w:rsidRDefault="002530E2">
      <w:r>
        <w:t>In today’s rapidly evolving global business landscape, MNCs have recognised the economic significance of engaging with Muslim-majority and minority markets. These markets offer tremendous potential for MNCs to develop customised products and services that cater to the preferences and needs of Muslim consumers (Yilmaz, 2016). However, historical evidence has revealed that ineffective cross-cultural communication and a lack of understanding of Muslim culture have resulted in cross-cultural blunders with severe consequences for MNCs (Yilmaz, 2016).</w:t>
      </w:r>
    </w:p>
    <w:p w14:paraId="7E46704B" w14:textId="77777777" w:rsidR="002530E2" w:rsidRDefault="002530E2">
      <w:r>
        <w:t xml:space="preserve">Cross-cultural blunders are mistakes in cross-cultural communication that can lead to misunderstandings, offence, or even damage relationships (Leung et al., 2008). They can occur in any situation where people from different cultures interact, but they are widespread in business settings, where there is often much pressure to succeed (Brannen, 2004). </w:t>
      </w:r>
    </w:p>
    <w:p w14:paraId="6F4EDCA9" w14:textId="77777777" w:rsidR="002530E2" w:rsidRDefault="002530E2">
      <w:r>
        <w:t>Some common examples of cross-cultural blunders include using offensive or taboo language, making assumptions about cultural values and customs, failing to adapt communication styles, and neglecting research on other cultures (Thomas &amp; Inkson, 2009). Further instances of cross-cultural blunders MNCs make in Muslim markets include:</w:t>
      </w:r>
    </w:p>
    <w:p w14:paraId="3F74437E" w14:textId="77777777" w:rsidR="002530E2" w:rsidRDefault="002530E2" w:rsidP="002530E2">
      <w:pPr>
        <w:numPr>
          <w:ilvl w:val="0"/>
          <w:numId w:val="1"/>
        </w:numPr>
        <w:spacing w:before="240" w:after="240" w:line="432" w:lineRule="auto"/>
        <w:jc w:val="both"/>
      </w:pPr>
      <w:r>
        <w:t xml:space="preserve">In 2010, L’Oréal, a multinational cosmetic company, launched a skincare product in a Muslim-majority country without considering the halal certification requirements. The product contained ingredients that were not permissible according to Islamic dietary laws. This oversight sparked criticism from Muslim consumers, who felt that their religious beliefs were not respected and that the company disregarded their cultural Sensitivities. The incident highlighted the significance of understanding and adhering to halal requirements when </w:t>
      </w:r>
      <w:r>
        <w:lastRenderedPageBreak/>
        <w:t>entering Muslim markets to avoid offending consumers and damaging brand reputations (L’Oréal et al. Magazine, Global Cosmetics News, &amp; Saudi Food and Drug Authority, 2010).</w:t>
      </w:r>
    </w:p>
    <w:p w14:paraId="6A4E1B9A" w14:textId="77777777" w:rsidR="002530E2" w:rsidRDefault="002530E2" w:rsidP="002530E2">
      <w:pPr>
        <w:numPr>
          <w:ilvl w:val="0"/>
          <w:numId w:val="1"/>
        </w:numPr>
        <w:spacing w:before="240" w:after="240" w:line="432" w:lineRule="auto"/>
        <w:jc w:val="both"/>
      </w:pPr>
      <w:r>
        <w:t>As reported by BBC News (2012), in 2011, a controversial rumour spread in Muslim-majority countries that Starbucks’ logo featured a hidden “Satanic“ symbol. The rumour alleged that the mermaid figure in the Starbucks logo was associated with a symbol connected to Satanic worship. Social media quickly spread this misleading and inaccurate information, prompting strong criticism from Muslim communities worldwide. Boycotts and protests against Starbucks ensued as Muslims expressed concern and perceived offence regarding the alleged association with Satanic symbolism. Starbucks clarified that its logo represented a mermaid and had no connection to religious or occult symbolism. However, this case illustrated the potential consequences of misinformation and cultural sensitivities essential for MNCs operating within Muslim markets.</w:t>
      </w:r>
    </w:p>
    <w:p w14:paraId="5185D330" w14:textId="77777777" w:rsidR="002530E2" w:rsidRDefault="002530E2" w:rsidP="002530E2">
      <w:pPr>
        <w:numPr>
          <w:ilvl w:val="0"/>
          <w:numId w:val="1"/>
        </w:numPr>
        <w:spacing w:before="240" w:after="240" w:line="432" w:lineRule="auto"/>
        <w:jc w:val="both"/>
      </w:pPr>
      <w:r>
        <w:t>According to The Telegraph (2012), Nokia, a multinational technology company, released a smartphone application in 2012 that included a feature that used a culturally significant Islamic prayer call as an alarm sound without proper context or respect. The event triggered a backlash and calls for a boycott from Muslims who felt their religious practices were trivialised.</w:t>
      </w:r>
    </w:p>
    <w:p w14:paraId="1603B607" w14:textId="77777777" w:rsidR="002530E2" w:rsidRDefault="002530E2" w:rsidP="002530E2">
      <w:pPr>
        <w:numPr>
          <w:ilvl w:val="0"/>
          <w:numId w:val="1"/>
        </w:numPr>
        <w:spacing w:before="240" w:after="240" w:line="432" w:lineRule="auto"/>
        <w:jc w:val="both"/>
      </w:pPr>
      <w:r>
        <w:t>Quartz (2018) and The Guardian (2022) report that H&amp;M (2013), a multinational clothing retailer, released a collection that featured clothing items adorned with verses from the Quran, the holy book of Islam. Muslim consumers viewed this as a blatant disregard for the sacredness of the Quran and a form of cultural appropriation. Muslim groups were outraged, and protesters called on them to boycott, considering it deeply disrespectful of their religion and practices. This incident emphasised the need for MNCs to exercise caution and cultural sensitivity when incorporating religious texts or symbols into their products.</w:t>
      </w:r>
    </w:p>
    <w:p w14:paraId="276AD900" w14:textId="77777777" w:rsidR="002530E2" w:rsidRDefault="002530E2" w:rsidP="002530E2">
      <w:pPr>
        <w:numPr>
          <w:ilvl w:val="0"/>
          <w:numId w:val="1"/>
        </w:numPr>
        <w:spacing w:before="240" w:after="240" w:line="432" w:lineRule="auto"/>
        <w:jc w:val="both"/>
      </w:pPr>
      <w:r>
        <w:t xml:space="preserve">According to BBC News (2014), Coca-Cola, a multinational beverage company, introduced a new product with packaging that displayed images considered offensive to Muslims in a </w:t>
      </w:r>
      <w:r>
        <w:lastRenderedPageBreak/>
        <w:t>Muslim-majority country. After perceiving their religious beliefs were disregarded, Muslims took to the streets and social media to urge a boycott of this particular brand.</w:t>
      </w:r>
    </w:p>
    <w:p w14:paraId="4913A027" w14:textId="77777777" w:rsidR="002530E2" w:rsidRDefault="002530E2" w:rsidP="002530E2">
      <w:pPr>
        <w:numPr>
          <w:ilvl w:val="0"/>
          <w:numId w:val="1"/>
        </w:numPr>
        <w:spacing w:before="240" w:after="240" w:line="432" w:lineRule="auto"/>
        <w:jc w:val="both"/>
      </w:pPr>
      <w:r>
        <w:t>Forbes (2015) reports that 2015 Nestle faced a major cross-cultural blunder in India related to its famous Maggi noodles. The controversy began when local food safety authorities reported excessive levels of lead and monosodium glutamate (MSG) in Maggi noodles, raising concerns about the safety and quality of the product. This news quickly spread nationwide, leading to a widespread negative reaction from Indian consumers, including Muslims. Nestle faced widespread backlash as its brand reputation suffered and Maggi sales in India drastically dropped. This incident underscored the significance of MNCs being sensitive to cultural sensitivities and adhering to local and regional regulations.</w:t>
      </w:r>
    </w:p>
    <w:p w14:paraId="10F3D921" w14:textId="77777777" w:rsidR="002530E2" w:rsidRDefault="002530E2" w:rsidP="002530E2">
      <w:pPr>
        <w:numPr>
          <w:ilvl w:val="0"/>
          <w:numId w:val="1"/>
        </w:numPr>
        <w:spacing w:before="240" w:after="240" w:line="432" w:lineRule="auto"/>
        <w:jc w:val="both"/>
      </w:pPr>
      <w:r>
        <w:t>According to The New York Times (2017), Zara, a multinational fashion brand, released a collection in 2016 featuring clothing items with designs that disrespectfully incorporated sacred Islamic symbols. The act caused frustration and demonstrations among Muslims, who believed it violated their religious beliefs.</w:t>
      </w:r>
    </w:p>
    <w:p w14:paraId="75DD7C1C" w14:textId="77777777" w:rsidR="002530E2" w:rsidRDefault="002530E2" w:rsidP="002530E2">
      <w:pPr>
        <w:numPr>
          <w:ilvl w:val="0"/>
          <w:numId w:val="1"/>
        </w:numPr>
        <w:spacing w:before="240" w:after="240" w:line="432" w:lineRule="auto"/>
        <w:jc w:val="both"/>
      </w:pPr>
      <w:r>
        <w:t>According to a report by Campaign Middle East in 2017, KFC, a global food chain, released an ad campaign in a country with a majority Muslim population that showed people eating their food during Ramadan, a sacred month. The campaign failed to acknowledge the importance of fasting and the spiritual significance of Ramadan for Muslims. This oversight was perceived as insensitive, trivialising deeply religious practices. The company experienced a loss of trust from customers, especially Muslims, who felt that their beliefs and practices were being used for the company's profit, resulting in negative feedback. This case illustrates the significance of understanding and respecting religious customs when marketing campaigns target Muslim consumers.</w:t>
      </w:r>
    </w:p>
    <w:p w14:paraId="4CEF360F" w14:textId="77777777" w:rsidR="002530E2" w:rsidRDefault="002530E2" w:rsidP="002530E2">
      <w:pPr>
        <w:numPr>
          <w:ilvl w:val="0"/>
          <w:numId w:val="1"/>
        </w:numPr>
        <w:spacing w:before="240" w:after="240" w:line="432" w:lineRule="auto"/>
        <w:jc w:val="both"/>
      </w:pPr>
      <w:r>
        <w:t xml:space="preserve">According to The Independent’s 2018 report, KFC ran an ad campaign in a country with a predominantly Muslim population that showed people eating their product in a way that went </w:t>
      </w:r>
      <w:r>
        <w:lastRenderedPageBreak/>
        <w:t>against Islamic dietary laws and was considered disrespectful. The events led to widespread outrage and boycotts by Muslims who felt disrespected over their religious beliefs.</w:t>
      </w:r>
    </w:p>
    <w:p w14:paraId="0FF9A8E8" w14:textId="77777777" w:rsidR="002530E2" w:rsidRDefault="002530E2" w:rsidP="002530E2">
      <w:pPr>
        <w:numPr>
          <w:ilvl w:val="0"/>
          <w:numId w:val="1"/>
        </w:numPr>
        <w:spacing w:before="240" w:after="240" w:line="432" w:lineRule="auto"/>
        <w:jc w:val="both"/>
      </w:pPr>
      <w:r>
        <w:t>The Saudi Gazette (2019) reports that in 2019, Swissotel Al Maqam Makkah, a multinational hotel chain, faced a cross-cultural blunder when it failed to provide appropriate accommodation facilities for Muslim guests during Ramadan. Despite being in a Muslim-majority country, the hotel did not offer designated prayer rooms or halal food options, essential for Muslims observing their religious practices during this holy month. This oversight led to dissatisfaction among Muslim guests, who expected the hotel to cater to their religious needs. The incident resulted in negative reviews, a damaged reputation, and a loss of potential business opportunities. It underscored the significance of anticipating and meeting the cultural and religious requirements of guests from different backgrounds.</w:t>
      </w:r>
    </w:p>
    <w:p w14:paraId="77D17C62" w14:textId="77777777" w:rsidR="002530E2" w:rsidRDefault="002530E2" w:rsidP="002530E2">
      <w:pPr>
        <w:numPr>
          <w:ilvl w:val="0"/>
          <w:numId w:val="1"/>
        </w:numPr>
        <w:spacing w:before="240" w:after="240" w:line="432" w:lineRule="auto"/>
        <w:jc w:val="both"/>
      </w:pPr>
      <w:r>
        <w:t>According to Al Jazeera English (2020), in 2020, Samsung, a multinational electronics company, launched a marketing campaign in a Muslim-majority country that included an advertisement depicting individuals using their electronic devices in a mosque, considered sacred by Muslims. The advertisement was perceived as disrespectful and offensive, violating the mosque’s sanctity and showcasing a lack of understanding and cultural sensitivity. Muslims expressed their outrage through social media, leading to widespread condemnation and a call for a boycott of the company’s products. This incident highlighted the need for MNCs to exercise caution and respect when incorporating religious places or practices into their advertising campaigns.</w:t>
      </w:r>
    </w:p>
    <w:p w14:paraId="3A9DACF8" w14:textId="77777777" w:rsidR="002530E2" w:rsidRDefault="002530E2">
      <w:pPr>
        <w:spacing w:after="0"/>
      </w:pPr>
      <w:r>
        <w:t>These examples highlight the cultural insensitivity and lack of understanding displayed by MNCs, which resulted in negative reactions from Muslim populations. Such blunders can lead to boycotts, damage to brand reputation, loss of customer trust, and strained relationships with Muslim communities. They underscore the importance of cultural awareness and sensitivity when engaging with diverse religious and cultural groups to avoid such negative consequences.</w:t>
      </w:r>
    </w:p>
    <w:p w14:paraId="4E017930" w14:textId="77777777" w:rsidR="002530E2" w:rsidRDefault="002530E2">
      <w:pPr>
        <w:spacing w:after="0"/>
        <w:rPr>
          <w:sz w:val="2"/>
          <w:szCs w:val="2"/>
        </w:rPr>
      </w:pPr>
    </w:p>
    <w:p w14:paraId="29931123" w14:textId="77777777" w:rsidR="002530E2" w:rsidRDefault="002530E2">
      <w:pPr>
        <w:spacing w:after="0"/>
        <w:rPr>
          <w:sz w:val="2"/>
          <w:szCs w:val="2"/>
        </w:rPr>
      </w:pPr>
    </w:p>
    <w:p w14:paraId="0A05385F" w14:textId="77777777" w:rsidR="002530E2" w:rsidRDefault="002530E2">
      <w:pPr>
        <w:pBdr>
          <w:top w:val="nil"/>
          <w:left w:val="nil"/>
          <w:bottom w:val="nil"/>
          <w:right w:val="nil"/>
          <w:between w:val="nil"/>
        </w:pBdr>
        <w:spacing w:after="0"/>
        <w:jc w:val="center"/>
        <w:rPr>
          <w:color w:val="000000"/>
        </w:rPr>
      </w:pPr>
      <w:r>
        <w:rPr>
          <w:rFonts w:ascii="Book Antiqua" w:eastAsia="Book Antiqua" w:hAnsi="Book Antiqua" w:cs="Book Antiqua"/>
          <w:color w:val="000000"/>
        </w:rPr>
        <w:t>“Accidents will happen. But only if you are careless.“</w:t>
      </w:r>
    </w:p>
    <w:p w14:paraId="05504106" w14:textId="77777777" w:rsidR="002530E2" w:rsidRDefault="002530E2">
      <w:pPr>
        <w:pBdr>
          <w:top w:val="nil"/>
          <w:left w:val="nil"/>
          <w:bottom w:val="nil"/>
          <w:right w:val="nil"/>
          <w:between w:val="nil"/>
        </w:pBdr>
        <w:spacing w:before="60" w:after="0"/>
        <w:jc w:val="center"/>
        <w:rPr>
          <w:i/>
          <w:color w:val="000000"/>
          <w:sz w:val="18"/>
          <w:szCs w:val="18"/>
        </w:rPr>
      </w:pPr>
      <w:r>
        <w:rPr>
          <w:rFonts w:ascii="Book Antiqua" w:eastAsia="Book Antiqua" w:hAnsi="Book Antiqua" w:cs="Book Antiqua"/>
          <w:i/>
          <w:color w:val="000000"/>
          <w:sz w:val="18"/>
          <w:szCs w:val="18"/>
        </w:rPr>
        <w:t>— George Carlin, 1937-2008 (Carlin, 1997).</w:t>
      </w:r>
    </w:p>
    <w:p w14:paraId="72DB329B" w14:textId="77777777" w:rsidR="002530E2" w:rsidRDefault="002530E2">
      <w:pPr>
        <w:pBdr>
          <w:top w:val="nil"/>
          <w:left w:val="nil"/>
          <w:bottom w:val="nil"/>
          <w:right w:val="nil"/>
          <w:between w:val="nil"/>
        </w:pBdr>
        <w:spacing w:after="0"/>
        <w:jc w:val="center"/>
        <w:rPr>
          <w:i/>
          <w:sz w:val="2"/>
          <w:szCs w:val="2"/>
        </w:rPr>
      </w:pPr>
    </w:p>
    <w:p w14:paraId="5E3163AF" w14:textId="77777777" w:rsidR="002530E2" w:rsidRDefault="002530E2">
      <w:pPr>
        <w:pBdr>
          <w:top w:val="nil"/>
          <w:left w:val="nil"/>
          <w:bottom w:val="nil"/>
          <w:right w:val="nil"/>
          <w:between w:val="nil"/>
        </w:pBdr>
        <w:spacing w:before="60" w:after="0"/>
        <w:jc w:val="center"/>
        <w:rPr>
          <w:i/>
          <w:sz w:val="2"/>
          <w:szCs w:val="2"/>
        </w:rPr>
      </w:pPr>
    </w:p>
    <w:p w14:paraId="27CA28B0" w14:textId="77777777" w:rsidR="002530E2" w:rsidRDefault="002530E2">
      <w:pPr>
        <w:pBdr>
          <w:top w:val="nil"/>
          <w:left w:val="nil"/>
          <w:bottom w:val="nil"/>
          <w:right w:val="nil"/>
          <w:between w:val="nil"/>
        </w:pBdr>
        <w:spacing w:before="60" w:after="0"/>
        <w:jc w:val="center"/>
        <w:rPr>
          <w:i/>
          <w:sz w:val="2"/>
          <w:szCs w:val="2"/>
        </w:rPr>
      </w:pPr>
    </w:p>
    <w:p w14:paraId="1187A1EF" w14:textId="77777777" w:rsidR="002530E2" w:rsidRDefault="002530E2">
      <w:pPr>
        <w:keepNext/>
        <w:spacing w:after="0"/>
        <w:rPr>
          <w:color w:val="1C4587"/>
        </w:rPr>
      </w:pPr>
      <w:r>
        <w:t xml:space="preserve">Kountz (2021) argues that the consequences of cross-cultural blunders can be dire, as evidenced by the reactions of Muslim consumers. If not appropriately addressed, such mistakes can lead to public </w:t>
      </w:r>
      <w:r>
        <w:lastRenderedPageBreak/>
        <w:t>protests, violent attacks on workers, property vandalism, product boycotts, and bans. These reactions often arise from misrepresentations and a perception of disrespect among Muslim consumers. It is crucial to navigate cultural differences and communicate effectively to avoid severe financial losses and damage to the reputation of MNCs (Kountz, 2021).</w:t>
      </w:r>
    </w:p>
    <w:p w14:paraId="1B5C17EE" w14:textId="77777777" w:rsidR="002530E2" w:rsidRDefault="002530E2">
      <w:pPr>
        <w:keepNext/>
        <w:spacing w:after="0"/>
        <w:rPr>
          <w:color w:val="1C4587"/>
        </w:rPr>
      </w:pPr>
    </w:p>
    <w:p w14:paraId="370ED197" w14:textId="77777777" w:rsidR="002530E2" w:rsidRDefault="002530E2">
      <w:pPr>
        <w:keepNext/>
        <w:spacing w:after="0"/>
        <w:rPr>
          <w:color w:val="1C4587"/>
        </w:rPr>
      </w:pPr>
      <w:r>
        <w:t>Geert Hofstede, a well-known scholar, once said that cultural differences can be a hindrance and often lead to conflict rather than cooperation. He even went as far as to call them a nuisance or, in some cases, a disaster. (Hofstede, 1991). This sentiment underscores the importance of understanding and navigating cultural differences when engaging with Muslim-majority and minority markets to avoid missteps and foster successful business relationships.</w:t>
      </w:r>
    </w:p>
    <w:p w14:paraId="4E8B5650" w14:textId="77777777" w:rsidR="002530E2" w:rsidRDefault="002530E2">
      <w:pPr>
        <w:keepNext/>
        <w:spacing w:after="0"/>
        <w:rPr>
          <w:color w:val="1C4587"/>
        </w:rPr>
      </w:pPr>
    </w:p>
    <w:p w14:paraId="527B0757" w14:textId="77777777" w:rsidR="002530E2" w:rsidRDefault="002530E2">
      <w:pPr>
        <w:keepNext/>
        <w:spacing w:after="0"/>
        <w:rPr>
          <w:color w:val="1C4587"/>
        </w:rPr>
      </w:pPr>
      <w:r>
        <w:t>This study aimed to investigate the cross-cultural blunders by MNCs in Muslim-majority and minority countries and their consequences on business relationships, reputation, and financial performance. By critically analysing previous studies and incident reports, this research sought to identify the most common blunders, examine their impact, and effectively explore strategies for MNCs to engage with Muslim consumers (Yilmaz, 2016).</w:t>
      </w:r>
    </w:p>
    <w:p w14:paraId="54D56AFF" w14:textId="77777777" w:rsidR="002530E2" w:rsidRDefault="002530E2">
      <w:pPr>
        <w:keepNext/>
        <w:spacing w:after="0"/>
        <w:rPr>
          <w:color w:val="1C4587"/>
        </w:rPr>
      </w:pPr>
    </w:p>
    <w:p w14:paraId="1A76A30A" w14:textId="77777777" w:rsidR="002530E2" w:rsidRDefault="002530E2">
      <w:pPr>
        <w:keepNext/>
        <w:spacing w:after="0"/>
        <w:rPr>
          <w:color w:val="1C4587"/>
        </w:rPr>
      </w:pPr>
      <w:r>
        <w:t xml:space="preserve">This study utilised qualitative approaches in order to collect a comprehensive dataset. Qualitative methods, such as literature reviews and analysis of incident reports, provided a deep understanding of specific blunders and their consequences. </w:t>
      </w:r>
    </w:p>
    <w:p w14:paraId="54596769" w14:textId="77777777" w:rsidR="002530E2" w:rsidRDefault="002530E2">
      <w:pPr>
        <w:keepNext/>
        <w:spacing w:after="0"/>
        <w:rPr>
          <w:color w:val="1C4587"/>
        </w:rPr>
      </w:pPr>
    </w:p>
    <w:p w14:paraId="04E10A81" w14:textId="77777777" w:rsidR="002530E2" w:rsidRDefault="002530E2">
      <w:pPr>
        <w:keepNext/>
        <w:spacing w:after="0"/>
        <w:rPr>
          <w:color w:val="1C4587"/>
        </w:rPr>
      </w:pPr>
      <w:r>
        <w:t>The findings of this study reveal several common cross-cultural blunders by MNCs in Muslim-majority and minority countries. These blunders encompass insensitivity in marketing campaigns and product misalignments with Islamic principles, resulting in damaged business relationships, a negative brand reputation, and financial losses (Rahman et al., 2019). Such consequences highlight the significance of cultural sensitivity and understanding Islamic values when developing appropriate strategies for engaging with Muslim consumers.</w:t>
      </w:r>
    </w:p>
    <w:p w14:paraId="485CA4CB" w14:textId="77777777" w:rsidR="002530E2" w:rsidRDefault="002530E2">
      <w:pPr>
        <w:keepNext/>
        <w:spacing w:after="0"/>
        <w:rPr>
          <w:color w:val="1C4587"/>
        </w:rPr>
      </w:pPr>
    </w:p>
    <w:p w14:paraId="252AE6D9" w14:textId="77777777" w:rsidR="002530E2" w:rsidRDefault="002530E2">
      <w:pPr>
        <w:keepNext/>
        <w:spacing w:after="0"/>
        <w:rPr>
          <w:color w:val="1C4587"/>
        </w:rPr>
      </w:pPr>
      <w:r>
        <w:t>In addressing these challenges and avoiding cross-cultural blunders, this study recommends that MNCs adopt a culturally intelligent approach. This approach necessitates awareness of cultural differences, knowledge of Islamic values, and the ability to adapt and adjust behaviours accordingly (El-Bassiouny et al., 2018). Providing cultural intelligence training to marketing, product development, and customer service employees equips MNCs with the necessary knowledge and skills to engage with Muslim consumers appropriately (El-Bassiouny et al., 2018).</w:t>
      </w:r>
    </w:p>
    <w:p w14:paraId="79E6EA45" w14:textId="77777777" w:rsidR="002530E2" w:rsidRDefault="002530E2">
      <w:pPr>
        <w:keepNext/>
        <w:spacing w:after="0"/>
        <w:rPr>
          <w:color w:val="1C4587"/>
        </w:rPr>
      </w:pPr>
    </w:p>
    <w:p w14:paraId="2AB6584C" w14:textId="77777777" w:rsidR="002530E2" w:rsidRDefault="002530E2">
      <w:pPr>
        <w:keepNext/>
        <w:spacing w:after="0"/>
        <w:rPr>
          <w:color w:val="1C4587"/>
        </w:rPr>
      </w:pPr>
      <w:r>
        <w:t>Furthermore, this study emphasises the significance of building strong relationships with local partners and stakeholders in Muslim-majority and minority countries. Collaborating with local businesses and organisations provides MNCs with valuable insights into cultural nuances and consumer preferences, enabling them to tailor their strategies and offerings accordingly (Kaynak et al., 2011).</w:t>
      </w:r>
    </w:p>
    <w:p w14:paraId="30661F92" w14:textId="77777777" w:rsidR="002530E2" w:rsidRDefault="002530E2">
      <w:pPr>
        <w:keepNext/>
        <w:spacing w:after="0"/>
        <w:rPr>
          <w:color w:val="1C4587"/>
        </w:rPr>
      </w:pPr>
    </w:p>
    <w:p w14:paraId="58D5F436" w14:textId="77777777" w:rsidR="002530E2" w:rsidRDefault="002530E2">
      <w:pPr>
        <w:keepNext/>
        <w:spacing w:after="0"/>
        <w:rPr>
          <w:color w:val="1C4587"/>
        </w:rPr>
      </w:pPr>
      <w:r>
        <w:t xml:space="preserve">Considering everything, this study has comprehensively analysed the cross-cultural blunders by MNCs in Muslim-majority and minority countries and examined their profound impact on various </w:t>
      </w:r>
      <w:r>
        <w:lastRenderedPageBreak/>
        <w:t>aspects of business operations. The consequences of these blunders extend to damaging business relationships, tarnishing reputations, and negatively affecting financial performance.</w:t>
      </w:r>
    </w:p>
    <w:p w14:paraId="2306A318" w14:textId="77777777" w:rsidR="002530E2" w:rsidRDefault="002530E2">
      <w:pPr>
        <w:keepNext/>
        <w:spacing w:after="0"/>
        <w:rPr>
          <w:color w:val="1C4587"/>
        </w:rPr>
      </w:pPr>
    </w:p>
    <w:p w14:paraId="50ABA3A3" w14:textId="77777777" w:rsidR="002530E2" w:rsidRDefault="002530E2">
      <w:pPr>
        <w:keepNext/>
        <w:spacing w:after="0"/>
        <w:rPr>
          <w:color w:val="1C4587"/>
        </w:rPr>
      </w:pPr>
      <w:r>
        <w:t>By critically analysing previous studies and incident reports, this research has identified common cross-cultural blunders MNCs commit in engaging with Muslim consumers by critically analysing previous studies and incident reports. These blunders encompass insensitivity in marketing campaigns, product misalignments with Islamic principles, cultural appropriation, and disregard for religious sensitivities. As evidenced by previous examples, such blunders have caused widespread outrage, boycotts, protests, and calls to withdraw products and services.</w:t>
      </w:r>
    </w:p>
    <w:p w14:paraId="63B18ED6" w14:textId="77777777" w:rsidR="002530E2" w:rsidRDefault="002530E2">
      <w:pPr>
        <w:keepNext/>
        <w:spacing w:after="0"/>
        <w:rPr>
          <w:color w:val="1C4587"/>
        </w:rPr>
      </w:pPr>
    </w:p>
    <w:p w14:paraId="2DC193CA" w14:textId="77777777" w:rsidR="002530E2" w:rsidRDefault="002530E2">
      <w:pPr>
        <w:keepNext/>
        <w:spacing w:after="0"/>
        <w:rPr>
          <w:color w:val="1C4587"/>
        </w:rPr>
      </w:pPr>
      <w:r>
        <w:t>The repercussions of these blunders are extensive. MNCs face strained business relationships with Muslim communities, eroded customer trust, and a damaged brand reputation. The negative impact on financial performance is evident through sales decline, loss of market share, and potential legal repercussions. As these consequences can have lasting ramifications, MNCs must actively attempt to address and remedy their missteps as soon as they occur.</w:t>
      </w:r>
    </w:p>
    <w:p w14:paraId="764F835F" w14:textId="77777777" w:rsidR="002530E2" w:rsidRDefault="002530E2">
      <w:pPr>
        <w:keepNext/>
        <w:spacing w:after="0"/>
        <w:rPr>
          <w:color w:val="1C4587"/>
        </w:rPr>
      </w:pPr>
    </w:p>
    <w:p w14:paraId="636FCF4B" w14:textId="77777777" w:rsidR="002530E2" w:rsidRDefault="002530E2">
      <w:pPr>
        <w:keepNext/>
        <w:spacing w:after="0"/>
        <w:rPr>
          <w:color w:val="1C4587"/>
        </w:rPr>
      </w:pPr>
      <w:r>
        <w:t>In mitigating cross-cultural blunders and their detrimental effects, this study emphasises the importance of cultural sensitivity and understanding Islamic values when engaging with Muslim consumers. Adopting a culturally intelligent approach becomes essential, requiring MNCs to foster awareness of cultural differences, local customs and religious practices and the ability to adapt and adjust behaviours accordingly. Providing cultural intelligence training to marketing, product development, and customer service employees equips MNCs with the knowledge and skills to navigate diverse cultural landscapes effectively.</w:t>
      </w:r>
    </w:p>
    <w:p w14:paraId="53704CC8" w14:textId="77777777" w:rsidR="002530E2" w:rsidRDefault="002530E2">
      <w:pPr>
        <w:keepNext/>
        <w:spacing w:after="0"/>
        <w:rPr>
          <w:color w:val="1C4587"/>
        </w:rPr>
      </w:pPr>
    </w:p>
    <w:p w14:paraId="163E7B03" w14:textId="77777777" w:rsidR="002530E2" w:rsidRDefault="002530E2">
      <w:pPr>
        <w:keepNext/>
        <w:spacing w:after="0"/>
        <w:rPr>
          <w:color w:val="1C4587"/>
        </w:rPr>
      </w:pPr>
      <w:r>
        <w:t>Establishing relationships with local partners and stakeholders in Muslim majority and minority countries is an indispensable strategy. Collaboration with local businesses and organisations enables MNCs to gain valuable insights into cultural nuances, consumer preferences, and market dynamics. MNCs can tailor their strategies and offerings to align with Muslim consumers' cultural values and expectations by involving local perspectives and engaging in respectful dialogue.</w:t>
      </w:r>
    </w:p>
    <w:p w14:paraId="7601DA35" w14:textId="77777777" w:rsidR="002530E2" w:rsidRDefault="002530E2">
      <w:pPr>
        <w:keepNext/>
        <w:spacing w:after="0"/>
        <w:rPr>
          <w:color w:val="1C4587"/>
        </w:rPr>
      </w:pPr>
    </w:p>
    <w:p w14:paraId="401D2554" w14:textId="77777777" w:rsidR="002530E2" w:rsidRDefault="002530E2">
      <w:pPr>
        <w:keepNext/>
        <w:spacing w:after="0"/>
        <w:rPr>
          <w:color w:val="1C4587"/>
        </w:rPr>
      </w:pPr>
      <w:r>
        <w:t>This research contributes to the existing body of knowledge on cross-cultural marketing communication by shedding light on MNCs' challenges and consequences in engaging with Muslim-majority and minority markets. The findings underscore the significance of cultural awareness, sensitivity, and adaptability for successful business interactions in diverse cultural contexts. This study's recommendations offer practical wisdom to multinational corporations (MNCs) operating in Muslim-majority or minority countries, helping to minimise cross-cultural errors while creating beneficial business results.</w:t>
      </w:r>
    </w:p>
    <w:p w14:paraId="392DEDF1" w14:textId="77777777" w:rsidR="002530E2" w:rsidRDefault="002530E2">
      <w:pPr>
        <w:keepNext/>
        <w:spacing w:after="0"/>
        <w:rPr>
          <w:color w:val="1C4587"/>
        </w:rPr>
      </w:pPr>
    </w:p>
    <w:p w14:paraId="320E1C01" w14:textId="77777777" w:rsidR="002530E2" w:rsidRDefault="002530E2">
      <w:pPr>
        <w:keepNext/>
        <w:spacing w:after="0"/>
        <w:rPr>
          <w:color w:val="1C4587"/>
        </w:rPr>
      </w:pPr>
      <w:r>
        <w:t>Ultimately, by embracing cultural sensitivity and understanding, MNCs can enhance their business performance, build stronger relationships with Muslim consumers, and contribute to developing sustainable and mutually beneficial partnerships in these markets.</w:t>
      </w:r>
    </w:p>
    <w:p w14:paraId="625529F4" w14:textId="77777777" w:rsidR="002530E2" w:rsidRDefault="002530E2">
      <w:pPr>
        <w:keepNext/>
        <w:spacing w:after="0"/>
        <w:rPr>
          <w:color w:val="1C4587"/>
        </w:rPr>
      </w:pPr>
    </w:p>
    <w:p w14:paraId="78375C70" w14:textId="77777777" w:rsidR="002530E2" w:rsidRDefault="002530E2">
      <w:pPr>
        <w:pBdr>
          <w:top w:val="nil"/>
          <w:left w:val="nil"/>
          <w:bottom w:val="nil"/>
          <w:right w:val="nil"/>
          <w:between w:val="nil"/>
        </w:pBdr>
        <w:spacing w:after="0" w:line="360" w:lineRule="auto"/>
        <w:jc w:val="center"/>
        <w:rPr>
          <w:color w:val="000000"/>
        </w:rPr>
      </w:pPr>
      <w:r>
        <w:t>“</w:t>
      </w:r>
      <w:r>
        <w:rPr>
          <w:rFonts w:ascii="Book Antiqua" w:eastAsia="Book Antiqua" w:hAnsi="Book Antiqua" w:cs="Book Antiqua"/>
          <w:color w:val="000000"/>
        </w:rPr>
        <w:t>Every accident is preventable. It is just a matter of finding out how.</w:t>
      </w:r>
      <w:r>
        <w:t>“</w:t>
      </w:r>
    </w:p>
    <w:p w14:paraId="7EE23CFB" w14:textId="77777777" w:rsidR="002530E2" w:rsidRDefault="002530E2">
      <w:pPr>
        <w:pBdr>
          <w:top w:val="nil"/>
          <w:left w:val="nil"/>
          <w:bottom w:val="nil"/>
          <w:right w:val="nil"/>
          <w:between w:val="nil"/>
        </w:pBdr>
        <w:spacing w:before="100" w:after="260"/>
        <w:jc w:val="center"/>
        <w:rPr>
          <w:color w:val="000000"/>
        </w:rPr>
      </w:pPr>
      <w:r>
        <w:rPr>
          <w:rFonts w:ascii="Book Antiqua" w:eastAsia="Book Antiqua" w:hAnsi="Book Antiqua" w:cs="Book Antiqua"/>
          <w:i/>
          <w:color w:val="000000"/>
          <w:sz w:val="18"/>
          <w:szCs w:val="18"/>
        </w:rPr>
        <w:t>— Heinrich (1931)</w:t>
      </w:r>
    </w:p>
    <w:p w14:paraId="484A529C" w14:textId="77777777" w:rsidR="002530E2" w:rsidRDefault="002530E2">
      <w:pPr>
        <w:pBdr>
          <w:top w:val="nil"/>
          <w:left w:val="nil"/>
          <w:bottom w:val="nil"/>
          <w:right w:val="nil"/>
          <w:between w:val="nil"/>
        </w:pBdr>
        <w:spacing w:after="0" w:line="276" w:lineRule="auto"/>
        <w:jc w:val="center"/>
        <w:rPr>
          <w:color w:val="000000"/>
        </w:rPr>
      </w:pPr>
    </w:p>
    <w:p w14:paraId="664FF406" w14:textId="77777777" w:rsidR="002530E2" w:rsidRDefault="002530E2">
      <w:pPr>
        <w:pStyle w:val="Heading1"/>
      </w:pPr>
      <w:bookmarkStart w:id="3" w:name="_heading=h.2s8eyo1" w:colFirst="0" w:colLast="0"/>
      <w:bookmarkEnd w:id="3"/>
      <w:r>
        <w:lastRenderedPageBreak/>
        <w:t>1.1 — BACKGROUND OF STUDY</w:t>
      </w:r>
    </w:p>
    <w:p w14:paraId="245183B7" w14:textId="77777777" w:rsidR="002530E2" w:rsidRDefault="002530E2">
      <w:r>
        <w:t>In the past decade, the globalised world has experienced a remarkable increase in the economic significance of Muslim-majority and minority markets (Rahman, 2015). These markets have emerged as crucial players in the global economy, presenting vast opportunities for MNCs to tap into Muslim consumers’ purchasing power and diverse preferences (Hussain, 2016). This growing recognition of the potential of Muslim markets has emerged from the realisation that the Muslim consumer segment represents a substantial and influential demographic with unique cultural and religious considerations.</w:t>
      </w:r>
    </w:p>
    <w:p w14:paraId="6636CEC8" w14:textId="77777777" w:rsidR="002530E2" w:rsidRDefault="002530E2">
      <w:r>
        <w:t>However, MNCs have encountered significant challenges when operating in these markets, often stemming from inadequate cross-cultural communication and a limited understanding of Muslim culture (El-Bassiouny et al., 2018). These challenges have resulted in cross-cultural mishaps with severe repercussions for multinational companies (MNCs). When MNCs fail to grasp the cultural nuances and sensitivities of Muslim-majority and minority countries, it can lead to damaged brand reputations, financial losses, and strained consumer relationships (Alserhan, 2012). Such blunders impact the financial performance of MNCs and erode consumer trust and loyalty, hindering their ability to establish a strong foothold in these markets.</w:t>
      </w:r>
    </w:p>
    <w:p w14:paraId="5FA7BD8C" w14:textId="77777777" w:rsidR="002530E2" w:rsidRDefault="002530E2">
      <w:r>
        <w:t>Recognising the importance of effective cross-cultural communication, scholars have emphasised its critical role for MNCs operating in diverse markets, including Muslim-majority and minority countries (Ali &amp; Selamat, 2018). Successful cross-cultural communication is essential for MNCs to establish trust, build strong relationships, and gain insights into Muslim consumers’ cultural values and preferences (Kaynak et al., 2011). Scholars emphasise the significance of understanding Muslim culture, which entails understanding its religious, sociopolitical, and historical roots (Rahman et al., 2019). Understanding Muslim consumers allows MNCs to address difficulties, offerings, and knowledge gaps relevant to Muslim consumers’ unique cultural environment, thus improving the appeal and relevance of products offered.</w:t>
      </w:r>
    </w:p>
    <w:p w14:paraId="411F9D78" w14:textId="77777777" w:rsidR="002530E2" w:rsidRDefault="002530E2">
      <w:r>
        <w:t>In addressing the challenges associated with cross-cultural blunders, MNCs have been encouraged to prioritise effective cross-cultural communication strategies (Yilmaz, 2016). These strategies include investing in cultural intelligence training for their employees, enabling them to navigate diverse cultural contexts with sensitivity and understanding (Lee et al., 2015). By equipping their workforce with the necessary cultural knowledge and competencies, MNCs can enhance their ability to engage meaningfully with Muslim consumers and avoid cultural missteps. Furthermore, MNCs are advised to actively engage with local communities, employ local talent, and establish partnerships with local businesses to gain deeper insights into the preferences and needs of Muslim consumers (Alam et al., 2020). Such collaborative efforts foster mutual understanding, respect, and credibility, enabling MNCs to develop products and services that effectively cater to the specific requirements of Muslim consumers.</w:t>
      </w:r>
    </w:p>
    <w:p w14:paraId="74E8D6DD" w14:textId="77777777" w:rsidR="002530E2" w:rsidRDefault="002530E2">
      <w:pPr>
        <w:rPr>
          <w:color w:val="1C4587"/>
        </w:rPr>
      </w:pPr>
      <w:r>
        <w:t xml:space="preserve">The economic importance of Muslim-majority and minority markets has experienced significant growth in recent years. However, operating successfully in these markets requires MNCs to address cross-cultural communication challenges and comprehend Muslim consumers’ cultural dynamics. By prioritising effective cross-cultural communication strategies, investing in cultural intelligence training, and actively engaging with local communities, MNCs can navigate the complexities of these markets and establish robust and enduring relationships with Muslim consumers. The insights gained </w:t>
      </w:r>
      <w:r>
        <w:lastRenderedPageBreak/>
        <w:t>from understanding Muslim culture and preferences drive business growth and contribute to fostering cultural understanding, diversity, and inclusivity in the global marketplace. Therefore, MNCs must embrace these considerations to unlock the full potential of Muslim markets and create a mutually beneficial environment for businesses and consumers.</w:t>
      </w:r>
    </w:p>
    <w:p w14:paraId="2387C70F" w14:textId="77777777" w:rsidR="002530E2" w:rsidRDefault="002530E2">
      <w:pPr>
        <w:pStyle w:val="Heading1"/>
      </w:pPr>
      <w:bookmarkStart w:id="4" w:name="_heading=h.3dy6vkm" w:colFirst="0" w:colLast="0"/>
      <w:bookmarkEnd w:id="4"/>
      <w:r>
        <w:t>1.2 — RESEARCH MOTIVATION</w:t>
      </w:r>
    </w:p>
    <w:p w14:paraId="2AEC5E25" w14:textId="77777777" w:rsidR="002530E2" w:rsidRDefault="002530E2">
      <w:r>
        <w:t>The motivation for this study stemmed from the economic importance of Muslim-majority and minority markets and the increasing presence of multinational corporations (MNCs) in these regions. Muslims comprise 26% of the global population, estimated to be around 1.9 billion individuals (The Muslim 500 Index, 2022). Additionally, CNBC reports projected significant growth in demand for halal products in industries such as cosmetics, personal care, health, and pharmaceuticals (Wentworth, 2018). These figures highlight the substantial market potential within Muslim-majority and minority markets.</w:t>
      </w:r>
    </w:p>
    <w:p w14:paraId="48E48729" w14:textId="77777777" w:rsidR="002530E2" w:rsidRDefault="002530E2">
      <w:r>
        <w:t>Recognising the economic importance and growth potential of Muslim-majority and minority markets, the author emphasised the need for MNCs to understand the implications of cross-cultural blunders and develop effective strategies for engagement with Muslim consumers. The study aimed to enhance our understanding of the cultural dynamics and challenges that MNCs face in these regions, providing insights and recommendations to support successful market navigation, promote cultural sensitivity, and foster mutually beneficial relationships.</w:t>
      </w:r>
    </w:p>
    <w:p w14:paraId="022201F2" w14:textId="77777777" w:rsidR="002530E2" w:rsidRDefault="002530E2">
      <w:r>
        <w:t>The potential of the Muslim consumer market, estimated to be worth USD 2 trillion annually between 2008 and 2030 (Kearney, 2007), underscores the significance of effective engagement strategies. Marketing to Muslim consumers requires a thorough understanding of their values and preferences (Roberts, 2010). Their loyalty, influence, and untapped market potential make them a desirable target for mainstream brands (Young, 2008).</w:t>
      </w:r>
    </w:p>
    <w:p w14:paraId="6DB1506B" w14:textId="77777777" w:rsidR="002530E2" w:rsidRDefault="002530E2">
      <w:r>
        <w:t>According to a study by Lipka and Hackett in 2017, as referenced on pewresearch.org in 2017, and information provided by Wikipedia contributors in 2022, it is estimated that the Muslim population will grow by 70%, from 1.8 billion in 2015 to around 3 billion by 2060. Global populations will rise by 32% in the next few decades. With Muslim population numbers expanding quickly, understanding and engaging with these consumers becomes essential. According to projections, Islam will become the world's largest religion by 2025, surpassing Christianity in terms of membership; Young (2008) points out that this is because it is recognised as the fastest-growing religion globally.</w:t>
      </w:r>
    </w:p>
    <w:p w14:paraId="4666F8DB" w14:textId="77777777" w:rsidR="002530E2" w:rsidRDefault="002530E2">
      <w:r>
        <w:t>Overall, the author’s profound understanding of Islamic values, extensive experience in cross-cultural communication and business, and motivation to enhance the success of MNCs in Muslim-majority and minority countries formed the foundation for this study. With Muslim markets’ significant economic impact and growth potential, this research addressed MNCs’ challenges and opportunities. It provides valuable insights and recommendations to support their engagement and success in these markets.</w:t>
      </w:r>
    </w:p>
    <w:p w14:paraId="7765CE2F" w14:textId="77777777" w:rsidR="002530E2" w:rsidRDefault="002530E2">
      <w:r>
        <w:t xml:space="preserve">The potential of the Muslim consumer market, estimated to be worth USD 2 trillion annually between 2008 and 2030, underscores the significance of effective engagement strategies. In their report, The Future of Islamic Finance, A.T. Kearney (2007) estimated that the global market for </w:t>
      </w:r>
      <w:r>
        <w:lastRenderedPageBreak/>
        <w:t>Sharia-compliant products and services would be worth USD 2 trillion annually between 2008 and 2030. As said, it is a significant market, and it is growing rapidly (Originals, 2012).</w:t>
      </w:r>
    </w:p>
    <w:p w14:paraId="17A3DF1B" w14:textId="77777777" w:rsidR="002530E2" w:rsidRDefault="002530E2">
      <w:r>
        <w:t>The Muslim consumer market is experiencing growth for various reasons, such as the rising population of Muslims globally, the growing awareness of Islamic finance among non-Muslims, and the number of banks and financial institutions providing Shariah-compliant products and services. The need for Muslim countries and communities to establish their brands in the global market is also a significant factor. In order to succeed in the global economy, countries and communities should focus on creating brands that are attractive to Muslim consumers worldwide. In order to reach this market, businesses need to have successful plans to interact with it. These strategies should be tailored to Muslim consumers’ specific needs and preferences while also being sensitive to their cultural and religious sensitivities. By implementing effective engagement strategies, businesses can reach out to Muslim consumers, build relationships with them, and ultimately benefit from increased sales and profits and a better understanding of the Muslim consumer market.</w:t>
      </w:r>
    </w:p>
    <w:p w14:paraId="04B2D65E" w14:textId="77777777" w:rsidR="002530E2" w:rsidRDefault="002530E2">
      <w:pPr>
        <w:spacing w:after="0"/>
        <w:rPr>
          <w:color w:val="1C4587"/>
        </w:rPr>
      </w:pPr>
    </w:p>
    <w:p w14:paraId="5BD69988" w14:textId="77777777" w:rsidR="002530E2" w:rsidRDefault="002530E2">
      <w:pPr>
        <w:spacing w:after="0"/>
      </w:pPr>
    </w:p>
    <w:p w14:paraId="52CCD7E3" w14:textId="77777777" w:rsidR="002530E2" w:rsidRDefault="002530E2">
      <w:pPr>
        <w:pStyle w:val="Heading1"/>
        <w:spacing w:before="0"/>
      </w:pPr>
      <w:bookmarkStart w:id="5" w:name="_heading=h.3znysh7" w:colFirst="0" w:colLast="0"/>
      <w:bookmarkEnd w:id="5"/>
      <w:r>
        <w:t>1.3 — TOPIC OF STUDY</w:t>
      </w:r>
    </w:p>
    <w:p w14:paraId="1783055F" w14:textId="77777777" w:rsidR="002530E2" w:rsidRDefault="002530E2">
      <w:r>
        <w:t>The negative effects of cross-cultural mistakes made by multinational corporations (MNCs) in countries with Muslim-majority and minority populations are the focus of this thesis. These errors particularly affect Muslim consumers, and the MNCs suffer consequences. Multinational corporations (MNCs) should implement proactive prevention strategies to avoid errors. These strategies will help MNCs prevent mistakes from happening.</w:t>
      </w:r>
    </w:p>
    <w:p w14:paraId="1871C230" w14:textId="77777777" w:rsidR="002530E2" w:rsidRDefault="002530E2">
      <w:r>
        <w:t xml:space="preserve">The topic of study, as understood from the phrase, “Cross-cultural blunders by MNCs in host countries with Muslim populations, their consequences for Muslim consumers, impact on MNCs and ramifications, and proactive prevention strategies for MNCs,“ is: </w:t>
      </w:r>
    </w:p>
    <w:p w14:paraId="5F337983" w14:textId="77777777" w:rsidR="002530E2" w:rsidRDefault="002530E2">
      <w:pPr>
        <w:rPr>
          <w:i/>
        </w:rPr>
      </w:pPr>
      <w:r>
        <w:rPr>
          <w:i/>
        </w:rPr>
        <w:t>“the impact of cross-cultural blunders by multinational corporations (MNCs) in host countries with Muslim populations.“</w:t>
      </w:r>
    </w:p>
    <w:p w14:paraId="54C97AC5" w14:textId="77777777" w:rsidR="002530E2" w:rsidRDefault="002530E2">
      <w:r>
        <w:t xml:space="preserve">The phrase mentions the consequences for Muslim consumers, the impact on MNCs, and proactive prevention strategies. The study explored the impact of cross-cultural blunders on Muslim consumers and multinational corporations (MNCs). It also examined strategies that MNCs can use to avoid these mistakes in the future. </w:t>
      </w:r>
    </w:p>
    <w:p w14:paraId="5077ABC9" w14:textId="77777777" w:rsidR="002530E2" w:rsidRDefault="002530E2">
      <w:r>
        <w:t>Multinational corporations (MNCs) can prevent cross-cultural blunders and safeguard their interests in foreign markets by being aware of the consequences of such mistakes.</w:t>
      </w:r>
    </w:p>
    <w:p w14:paraId="1A061E28" w14:textId="77777777" w:rsidR="002530E2" w:rsidRDefault="002530E2">
      <w:pPr>
        <w:pStyle w:val="Heading1"/>
      </w:pPr>
      <w:bookmarkStart w:id="6" w:name="_heading=h.2et92p0" w:colFirst="0" w:colLast="0"/>
      <w:bookmarkEnd w:id="6"/>
      <w:r>
        <w:t>1.4 — TOPIC RELEVANCE</w:t>
      </w:r>
    </w:p>
    <w:p w14:paraId="77BF99BA" w14:textId="77777777" w:rsidR="002530E2" w:rsidRDefault="002530E2">
      <w:r>
        <w:t>The topic of cross-cultural blunders committed by MNCs in Muslim markets is highly relevant and significant in today’s globalised business landscape. This section highlights the relevance of the research topic and its implications for various stakeholders.</w:t>
      </w:r>
    </w:p>
    <w:p w14:paraId="0C79736D" w14:textId="77777777" w:rsidR="002530E2" w:rsidRDefault="002530E2">
      <w:r>
        <w:t xml:space="preserve">Academic Relevance: </w:t>
      </w:r>
    </w:p>
    <w:p w14:paraId="2A4DE402" w14:textId="77777777" w:rsidR="002530E2" w:rsidRDefault="002530E2">
      <w:r>
        <w:lastRenderedPageBreak/>
        <w:t>The study contributes to academic knowledge by bridging multiple disciplines, including international marketing, Islamic marketing, cross-cultural management, and international business. It advances theoretical understanding by examining the complexities and consequences of cross-cultural blunders by MNCs operating in Muslim-majority countries. The study addresses the need for more information to fill gaps in current research. It offers a valuable understanding of MNCs' obstacles and possibilities in culturally diverse markets.</w:t>
      </w:r>
    </w:p>
    <w:p w14:paraId="0930D82D" w14:textId="77777777" w:rsidR="002530E2" w:rsidRDefault="002530E2">
      <w:r>
        <w:t xml:space="preserve">Practical Relevance for MNCs: </w:t>
      </w:r>
    </w:p>
    <w:p w14:paraId="31E1F9B6" w14:textId="77777777" w:rsidR="002530E2" w:rsidRDefault="002530E2">
      <w:r>
        <w:t>The findings have practical implications for MNCs seeking to expand their operations in Muslim markets. By identifying the factors contributing to cross-cultural blunders, the study offers valuable insights to help MNCs develop culturally sensitive marketing strategies, enhance cross-cultural competencies, and avoid costly mistakes. Research findings guide multinationals in building solid relationships with Muslim consumers while effectively managing cultural complexities.</w:t>
      </w:r>
    </w:p>
    <w:p w14:paraId="453579E8" w14:textId="77777777" w:rsidR="002530E2" w:rsidRDefault="002530E2">
      <w:r>
        <w:t xml:space="preserve">Cultural Sensitivity and Social Impact: </w:t>
      </w:r>
    </w:p>
    <w:p w14:paraId="2F929B5D" w14:textId="77777777" w:rsidR="002530E2" w:rsidRDefault="002530E2">
      <w:r>
        <w:t>The topic is relevant from a cultural sensitivity perspective. It emphasises the importance of understanding and respecting cultural values, beliefs, and practices when engaging with Muslim consumers. By exploring the consequences of cross-cultural errors, this research helps create cultural awareness, respect, and inclusivity within business practices. The study also has broader social implications by fostering intercultural understanding and reducing the possibility of cultural misunderstandings and conflicts.</w:t>
      </w:r>
    </w:p>
    <w:p w14:paraId="265F0FB6" w14:textId="77777777" w:rsidR="002530E2" w:rsidRDefault="002530E2">
      <w:r>
        <w:t xml:space="preserve">Economic Significance: </w:t>
      </w:r>
    </w:p>
    <w:p w14:paraId="27EA7330" w14:textId="77777777" w:rsidR="002530E2" w:rsidRDefault="002530E2">
      <w:r>
        <w:t>Muslim-majority countries represent a significant portion of the global market. Understanding these markets’ unique cultural dynamics and consumer behaviours is crucial for MNCs aiming to tap into their economic potential. By addressing cross-cultural blunders, the research helps MNCs unlock opportunities, mitigate risks, and enhance their competitiveness in Muslim markets.</w:t>
      </w:r>
    </w:p>
    <w:p w14:paraId="6851C982" w14:textId="77777777" w:rsidR="002530E2" w:rsidRDefault="002530E2">
      <w:r>
        <w:t xml:space="preserve">Ethical Considerations: </w:t>
      </w:r>
    </w:p>
    <w:p w14:paraId="24AC6E99" w14:textId="77777777" w:rsidR="002530E2" w:rsidRDefault="002530E2">
      <w:r>
        <w:t>The research discusses ethical considerations in international business. By examining the negative consequences of cross-cultural blunders, the study emphasises the importance of ethical conduct, responsible marketing practices, and cultural sensitivity in global business operations. The findings can guide MNCs in adopting ethical frameworks and practices that respect cultural diversity and promote social responsibility.</w:t>
      </w:r>
    </w:p>
    <w:p w14:paraId="061BAC6B" w14:textId="77777777" w:rsidR="002530E2" w:rsidRDefault="002530E2">
      <w:r>
        <w:t>The topic of cross-cultural blunders by MNCs operating in Muslim markets holds significant relevance and implications across various domains, including academia, MNC practices, cultural sensitivity, social impact, economic considerations, and ethical conduct. By exploring this topic, the research contributes to knowledge development, provides practical insights, and encourages intercultural understanding and responsible business behaviour in diverse global markets. It underscores the importance of recognising and respecting cultural differences, promoting effective communication, and upholding ethical principles in cross-cultural interactions. Addressing cross-cultural slipups by MNCs operating in Muslim markets aligns with our aim to foster inclusive and sustainable business practices in an interdependent world.</w:t>
      </w:r>
    </w:p>
    <w:p w14:paraId="6EB22743" w14:textId="77777777" w:rsidR="002530E2" w:rsidRDefault="002530E2">
      <w:pPr>
        <w:pStyle w:val="Heading1"/>
      </w:pPr>
      <w:bookmarkStart w:id="7" w:name="_heading=h.tyjcwt" w:colFirst="0" w:colLast="0"/>
      <w:bookmarkEnd w:id="7"/>
      <w:r>
        <w:lastRenderedPageBreak/>
        <w:t>1.5 — RESEARCH DOMAIN</w:t>
      </w:r>
    </w:p>
    <w:p w14:paraId="43991D7E" w14:textId="77777777" w:rsidR="002530E2" w:rsidRDefault="002530E2">
      <w:r>
        <w:t>This study’s research domain encompasses several key areas: international marketing, Islamic marketing, Islamic branding, international branding, cross-cultural management, and international business. Each of these fields contributes significantly to the understanding and implications of cross-cultural blunders committed by MNCs in markets with Muslim populations (Czinkota et al., 2019; Keller, 2013).</w:t>
      </w:r>
    </w:p>
    <w:p w14:paraId="640D30D4" w14:textId="77777777" w:rsidR="002530E2" w:rsidRDefault="002530E2">
      <w:r>
        <w:t>Within the field of international marketing, this study contributes by examining the application of marketing principles and strategies in a global context, considering cultural, economic, and political differences. By examining cross-cultural mistakes made by MNCs, this research offers valuable insight into the challenges associated with marketing to Muslim consumers in different markets. These findings offer marketers insight into designing effective marketing strategies that reflect cultural sensitivity, consumer preferences, and market dynamics.</w:t>
      </w:r>
    </w:p>
    <w:p w14:paraId="69172ED9" w14:textId="77777777" w:rsidR="002530E2" w:rsidRDefault="002530E2">
      <w:r>
        <w:t>This research provides valuable knowledge about the challenges related to cross-cultural management in multinational corporations operating in Muslim markets, particularly in managing cultural differences and cross-cultural interactions. By analysing the consequences and implications of cross-cultural blunders, the study provides insights into the importance of cultural competence, intercultural communication, and adapting business practices to suit the host country’s context. The findings contribute to existing cross-cultural management knowledge by emphasising the need for sensitivity and awareness of cultural nuances in international business operations.</w:t>
      </w:r>
    </w:p>
    <w:p w14:paraId="396D2202" w14:textId="77777777" w:rsidR="002530E2" w:rsidRDefault="002530E2">
      <w:r>
        <w:t>This study delves into the consequences of cross-cultural blunders on brand image and reputation management in Islamic branding. It examines how MNCs’ actions and communication strategies can enhance or undermine their brand perception among Muslim consumers. The research provides an in-depth analysis, emphasising the importance of aligning brand values with Islamic principles, employing culturally appropriate marketing communication, and avoiding unintentional offences that could potentially result in reputational harm (Keller, 2013; Usman et al., 2018). This study contributes to the existing body of knowledge by investigating the impact of cross-cultural blunders on Islamic branding. It adds nuance to understanding how MNCs can effectively manage their brands in diverse cultural contexts, particularly within Muslim markets. The findings underscore the significance of cultural sensitivity and awareness when developing branding strategies targeted at Muslim consumers, emphasising the need to align brand values with Islamic principles to establish authenticity and foster stronger connections with the target audience (Alserhan, 2011; Usman et al., 2018).</w:t>
      </w:r>
    </w:p>
    <w:p w14:paraId="2ABE8523" w14:textId="77777777" w:rsidR="002530E2" w:rsidRDefault="002530E2">
      <w:r>
        <w:t>Additionally, the study also links to the domain of international branding. Branding plays a crucial role in shaping the perception of MNCs among consumers in different cultural contexts, involving creating and managing a consistent image and reputation that resonate with the target audience (Keller, 2013). Understanding the impact of cross-cultural blunders on branding efforts and reputation management is essential in the context of this research.</w:t>
      </w:r>
    </w:p>
    <w:p w14:paraId="6A066475" w14:textId="77777777" w:rsidR="002530E2" w:rsidRDefault="002530E2">
      <w:r>
        <w:t xml:space="preserve">By examining the intersection of international marketing, cross-cultural management, Islamic branding, and international branding, this study offers a holistic perspective on the implications of cross-cultural blunders for MNCs operating in Muslim markets. The research findings provide practical implications for marketers and brand managers in developing culturally sensitive marketing </w:t>
      </w:r>
      <w:r>
        <w:lastRenderedPageBreak/>
        <w:t>strategies, enhancing cross-cultural competencies, and fostering positive relationships with Muslim consumers. This study adds to the academic literature in these fields by increasing knowledge and understanding of cross-cultural interactions in global markets with Muslim populations, their challenges and opportunities.</w:t>
      </w:r>
    </w:p>
    <w:p w14:paraId="1248C70E" w14:textId="77777777" w:rsidR="002530E2" w:rsidRDefault="002530E2">
      <w:pPr>
        <w:pStyle w:val="Heading1"/>
      </w:pPr>
      <w:bookmarkStart w:id="8" w:name="_heading=h.3rdcrjn" w:colFirst="0" w:colLast="0"/>
      <w:bookmarkEnd w:id="8"/>
      <w:r>
        <w:t>1.6 — RESEARCH PROBLEM</w:t>
      </w:r>
    </w:p>
    <w:p w14:paraId="0D0922CE" w14:textId="77777777" w:rsidR="002530E2" w:rsidRDefault="002530E2">
      <w:r>
        <w:t>According to McCombes (2020), a research problem is a specific issue, difficulty, contradiction, or knowledge gap. Northcentral University (2020) refers to a research problem as a "specific," "evidence-based," "real-life issue" encountered by certain people or organisations that have significant negative implications for the involved parties, and "the consequences are adverse implications experienced by a group of people or organisations as a result of the problem."</w:t>
      </w:r>
    </w:p>
    <w:p w14:paraId="3288ED96" w14:textId="77777777" w:rsidR="002530E2" w:rsidRDefault="002530E2">
      <w:r>
        <w:t>The research problem addressed in this study revolved around the significant prevalence of cross-cultural blunders by MNCs in Muslim-majority and minority countries. There were various reasons for these mistakes, including a lack of understanding of Muslim culture, insensitivity to cultural differences, and poor communication methods. The consequences of these blunders could be severe, impacting not only MNCs’ business relationships, reputations, and financial performance but also the experiences and perceptions of Muslim consumers.</w:t>
      </w:r>
    </w:p>
    <w:p w14:paraId="4A0F6889" w14:textId="77777777" w:rsidR="002530E2" w:rsidRDefault="002530E2">
      <w:r>
        <w:t xml:space="preserve">The research problem statement that emerged at the onset of this study is as follows: </w:t>
      </w:r>
    </w:p>
    <w:p w14:paraId="4C2A2FD4" w14:textId="77777777" w:rsidR="002530E2" w:rsidRDefault="002530E2">
      <w:r>
        <w:t>The research problem addressed in this study was to explore and investigate the cross-cultural blunders by MNCs in Muslim-majority and minority countries, along with their consequences for Muslim consumers and the MNCs themselves regarding business relationships, reputation, and financial performance. This study sought to illuminate the adverse consequences of MNCs’ cultural insensitivity, lack of understanding, and ineffective communication strategies on Muslim consumers, such as feelings of disrespect, alienation, and exclusion. Additionally, the study sought to examine the broader ramifications for MNCs operating in these contexts. By addressing and understanding these consequences, the study aimed to provide valuable insights into the challenges faced by MNCs and underscore the significance of cultural sensitivity and effective engagement strategies when interacting with Muslim consumers.</w:t>
      </w:r>
    </w:p>
    <w:p w14:paraId="0979AC9D" w14:textId="77777777" w:rsidR="002530E2" w:rsidRDefault="002530E2">
      <w:r>
        <w:t>The study’s findings revealed that the consequences of cross-cultural blunders on Muslim consumers were significant and had wide-ranging effects. MNCs’ failure to recognise or respect Muslim cultural values led to feelings of alienation among their Muslim consumer base, leading them to feel neglected, disrespected, and alienated from participating companies. Muslims hold their cultural and religious beliefs in high regard, and any disregard or undermining of these values created a disconnect between the MNC and Muslim consumers. As a result, these blunders had a negative impact on the perception of the brand or company among Muslim consumers, leading to a loss of trust and a reluctance to engage with the MNC’s products or services. Due to this, multinational companies experienced a decline in sales and market shares among Muslim communities.</w:t>
      </w:r>
    </w:p>
    <w:p w14:paraId="1BDFB949" w14:textId="77777777" w:rsidR="002530E2" w:rsidRDefault="002530E2">
      <w:r>
        <w:t xml:space="preserve">Furthermore, cross-cultural blunders perpetuated stereotypes and reinforced negative perceptions about Muslims, contributing to cultural misunderstandings and discrimination. These errors often perpetuated existing biases and perceptions held by individuals or societies, further compounding Muslim consumers’ difficulties in global markets. The consequences of such blunders extended </w:t>
      </w:r>
      <w:r>
        <w:lastRenderedPageBreak/>
        <w:t>beyond individual interactions, affecting social cohesion and intercultural relations in Muslim-majority and minority countries. By perpetuating stereotypes and engendering negative perceptions, these blunders hindered the development of inclusive and diverse societies, hindering efforts towards mutual respect and understanding.</w:t>
      </w:r>
    </w:p>
    <w:p w14:paraId="70D3EC79" w14:textId="77777777" w:rsidR="002530E2" w:rsidRDefault="002530E2">
      <w:r>
        <w:t>This study likewise sought to limit their negative repercussions for MNCs and Muslim consumers by investigating and rectifying cross-cultural blunders. It sought to shed light on the underlying causes of these blunders, such as a lack of cultural understanding, inadequate cultural intelligence training, and ineffective communication strategies. Through a comprehensive analysis of case studies and incident reports, the study aimed to identify common patterns and critical issues contributing to these blunders, providing valuable insights for MNCs and the wider business community.</w:t>
      </w:r>
    </w:p>
    <w:p w14:paraId="0D23DEB0" w14:textId="77777777" w:rsidR="002530E2" w:rsidRDefault="002530E2">
      <w:r>
        <w:t>Additionally, this study explored the implications of such mistakes on multinational corporations’ (MNCs) business relations, reputation, and financial performance. By examining real-life examples and analysing the documented consequences of cross-cultural blunders, the study aimed to provide a holistic understanding of the potential risks and challenges faced by MNCs operating in Muslim-majority and minority markets. It also highlighted the long-term ramifications of these mistakes, such as lower customer loyalty, brand damage, and financial losses.</w:t>
      </w:r>
    </w:p>
    <w:p w14:paraId="3422BBD0" w14:textId="77777777" w:rsidR="002530E2" w:rsidRDefault="002530E2">
      <w:r>
        <w:t>In addition, the research aimed to provide practical recommendations and strategies for MNCs to effectively engage with Muslim consumers and mitigate the risks of cross-cultural blunders. It emphasised the importance of cultural sensitivity, awareness of Islamic values, and adopting culturally intelligent approaches in various aspects of MNCs’ operations, including marketing, product development, and customer service. The study recognised the need for tailored strategies that resonate with Muslim consumers, considering their unique cultural preferences, religious practices, and social norms.</w:t>
      </w:r>
    </w:p>
    <w:p w14:paraId="338BE50B" w14:textId="77777777" w:rsidR="002530E2" w:rsidRDefault="002530E2">
      <w:r>
        <w:t>By addressing the research problem, this study aimed to contribute to the existing body of knowledge by providing valuable insights and recommendations for MNCs operating in Muslim-majority and minority countries. This research’s findings aim to establish a basis for improving intercultural awareness, building positive relationships among multicultural populations, and ultimately increasing MNC performance across diverse markets. By promoting cultural sensitivity and effective engagement, the study aimed to facilitate the development of mutually beneficial interactions between MNCs and Muslim consumers, ultimately leading to improved experiences, increased trust, and enhanced business outcomes.</w:t>
      </w:r>
    </w:p>
    <w:p w14:paraId="18DE9F9B" w14:textId="77777777" w:rsidR="002530E2" w:rsidRDefault="002530E2">
      <w:r>
        <w:t>The research problem of investigating cross-cultural blunders by MNCs in Muslim-majority and minority countries was significant, relevant, and essential in international business. The scholarly arguments highlighted the need to address these blunders to improve cultural sensitivity, enhance business relationships, protect brand reputation, optimise financial performance, and foster intercultural understanding. By examining these aspects, the study aimed to contribute to the existing body of</w:t>
      </w:r>
    </w:p>
    <w:p w14:paraId="2F9DB129" w14:textId="77777777" w:rsidR="002530E2" w:rsidRDefault="002530E2">
      <w:r>
        <w:t>knowledge and offer practical recommendations for MNCs operating in these markets, creating a pathway towards more inclusive and successful business endeavours.</w:t>
      </w:r>
    </w:p>
    <w:p w14:paraId="4FA2400B" w14:textId="77777777" w:rsidR="002530E2" w:rsidRDefault="002530E2">
      <w:r>
        <w:t xml:space="preserve">Elsevier Author Services (2022) defines a problem statement as “an explanation in research that describes the issue that needs study.“ They add that a problem statement is an opportunity for the </w:t>
      </w:r>
      <w:r>
        <w:lastRenderedPageBreak/>
        <w:t xml:space="preserve">researcher to describe why he or she is interested in researching and how his or her research will address the problem. It should be a compelling, concise statement of the situation. </w:t>
      </w:r>
    </w:p>
    <w:p w14:paraId="1E7FD125" w14:textId="77777777" w:rsidR="002530E2" w:rsidRDefault="002530E2">
      <w:r>
        <w:t>The research problem statement for this study, in the form of questions, is as follows:</w:t>
      </w:r>
    </w:p>
    <w:p w14:paraId="2887488B" w14:textId="77777777" w:rsidR="002530E2" w:rsidRDefault="002530E2">
      <w:pPr>
        <w:rPr>
          <w:i/>
        </w:rPr>
      </w:pPr>
      <w:r>
        <w:rPr>
          <w:i/>
        </w:rPr>
        <w:t>“What are the most prevalent cross-cultural blunders by MNCs operating in Muslim-majority and minority countries, based on incidents reported between 2010 and 2020? What are the consequences of these blunders for Muslim consumers and MNCs, and how can MNCs avoid making them?“</w:t>
      </w:r>
    </w:p>
    <w:p w14:paraId="68F6B6A3" w14:textId="77777777" w:rsidR="002530E2" w:rsidRDefault="002530E2">
      <w:r>
        <w:t>This study presented the problem through questioning, a common academic writing and research method. Scholarly authors and researchers regularly advocate using questions as problem statements for various reasons.</w:t>
      </w:r>
    </w:p>
    <w:p w14:paraId="5BC9899E" w14:textId="77777777" w:rsidR="002530E2" w:rsidRDefault="002530E2">
      <w:r>
        <w:t>Firstly, Creswell (2014) emphasises that research questions help to provide focus and clarity to a study. Presenting the problem as a question allows for a concise and specific articulation of the research problem, enabling researchers to identify the areas they aim to investigate. The research is guaranteed to be precise and effective by staying focused and eliminating uncertainties.</w:t>
      </w:r>
    </w:p>
    <w:p w14:paraId="5DB15CA5" w14:textId="77777777" w:rsidR="002530E2" w:rsidRDefault="002530E2">
      <w:r>
        <w:t>Secondly, Guba and Lincoln (1994) argue that formulating the problem as a question helps stimulate critical thinking and inquiry. Asking questions leads researchers to investigate the subject matter more thoroughly, considering various viewpoints and potential outcomes. This approach encourages a more thorough problem analysis, fostering a rigorous and scholarly investigation.</w:t>
      </w:r>
    </w:p>
    <w:p w14:paraId="783C1582" w14:textId="77777777" w:rsidR="002530E2" w:rsidRDefault="002530E2">
      <w:r>
        <w:t>Additionally, using questions in the problem statement helps guide the research process. According to Leedy and Ormrod (2019), research questions serve as a roadmap for the study, providing a clear direction and structure. They assist researchers in developing appropriate research designs, selecting suitable data collection methods, and organising the analysis and interpretation of the findings.</w:t>
      </w:r>
    </w:p>
    <w:p w14:paraId="341207D3" w14:textId="77777777" w:rsidR="002530E2" w:rsidRDefault="002530E2">
      <w:r>
        <w:t>Furthermore, Bryman (2016) argues that research questions facilitate communication and understanding. Presenting the problem as a question makes it simpler for readers and researchers to understand the main focus of the study. Presenting the problem as a question makes it simpler for readers and researchers to understand the main focus of the study. The questions provide a concise summary of the research problem, enabling others to comprehend the purpose and significance of the research quickly.</w:t>
      </w:r>
    </w:p>
    <w:p w14:paraId="32C2FD33" w14:textId="77777777" w:rsidR="002530E2" w:rsidRDefault="002530E2">
      <w:r>
        <w:t>Formulating the problem statement in the form of questions offers several advantages. It provides focus and clarity, stimulates critical thinking and inquiry, guides research, and enhances communication and understanding. Many scholars, including Creswell (2014), Guba and Lincoln (1994), Leedy and Ormrod (2019), and Bryman (2016), endorse the use of questions in problem statements and emphasise their effectiveness in research studies.</w:t>
      </w:r>
    </w:p>
    <w:p w14:paraId="7D78554E" w14:textId="77777777" w:rsidR="002530E2" w:rsidRDefault="002530E2">
      <w:pPr>
        <w:pStyle w:val="Heading1"/>
      </w:pPr>
      <w:bookmarkStart w:id="9" w:name="_heading=h.26in1rg" w:colFirst="0" w:colLast="0"/>
      <w:bookmarkEnd w:id="9"/>
      <w:r>
        <w:t>1.7 — RESEARCH GAP</w:t>
      </w:r>
    </w:p>
    <w:p w14:paraId="0C6D91FE" w14:textId="77777777" w:rsidR="002530E2" w:rsidRDefault="002530E2">
      <w:r>
        <w:t>Despite previous studies on cross-cultural blunders, there is still a considerable research gap in understanding the specific blunders by MNCs in Muslim-majority and minority countries and their consequences (Smith et al., 2020). This research endeavour seeks to address this gap by conducting a comprehensive analysis that thoroughly explores these blunders' nature, causes, and effects.</w:t>
      </w:r>
    </w:p>
    <w:p w14:paraId="62866C1A" w14:textId="77777777" w:rsidR="002530E2" w:rsidRDefault="002530E2">
      <w:r>
        <w:lastRenderedPageBreak/>
        <w:t>The consequences of cross-cultural blunders can have wide-ranging implications for MNCs, impacting their relationships with local consumers and overall market performance (Moriarty et al., 2011). Therefore, bridging this research gap and acquiring a comprehensive understanding of the dynamics involved is essential.</w:t>
      </w:r>
    </w:p>
    <w:p w14:paraId="59EE0F70" w14:textId="77777777" w:rsidR="002530E2" w:rsidRDefault="002530E2">
      <w:r>
        <w:t>In order to address this lack of research, this study thoroughly examines and analyses the cultural missteps made by multinational corporations in countries with Muslim-majority and minority populations. The analysis conducted is detailed and comprehensive. It draws upon diverse qualitative data sources, such as real-world incidents, case studies, reports, and media coverage, to shed light on the specific blunders that have occurred in these contextual settings (Corbin &amp; Strauss, 2008; Creswell, 2013).</w:t>
      </w:r>
    </w:p>
    <w:p w14:paraId="1CD32E68" w14:textId="77777777" w:rsidR="002530E2" w:rsidRDefault="002530E2">
      <w:r>
        <w:t>The focus on Muslim-majority and minority countries is critical due to these regions’ distinct cultural dynamics and sensitivities (Ali &amp; Al-Kazemi, 2016). MNCs face unique challenges when navigating cultural differences, religious practices, and social norms while conducting business in these countries. By examining blunders in these contexts, the study aims to provide targeted insights and recommendations to assist MNCs in avoiding similar mistakes and improving their interactions with Muslim consumers.</w:t>
      </w:r>
    </w:p>
    <w:p w14:paraId="6CA802C7" w14:textId="77777777" w:rsidR="002530E2" w:rsidRDefault="002530E2">
      <w:r>
        <w:t>The analysis focuses on cross-cultural mishaps, from communication breakdowns and cultural norm misinterpretations to insensitive marketing campaigns and poor localisation (Morrison 2006 and Hofstede 2011). By exploring the root causes of these blunders, the study strives to Identify recurring patterns, underlying factors, and potential strategies to prevent their occurrence.</w:t>
      </w:r>
    </w:p>
    <w:p w14:paraId="047F7293" w14:textId="77777777" w:rsidR="002530E2" w:rsidRDefault="002530E2">
      <w:r>
        <w:t>Furthermore, the study evaluates the consequences of these blunders on MNCs’ brand image, reputation, consumer trust, and financial performance. Understanding the ramifications of cross-cultural blunders is crucial for MNCs to develop effective strategies for cross-cultural adaptation and enhance their overall business performance in diverse cultural settings (Rugman et al., 2014).</w:t>
      </w:r>
    </w:p>
    <w:p w14:paraId="285B22A2" w14:textId="77777777" w:rsidR="002530E2" w:rsidRDefault="002530E2">
      <w:r>
        <w:t>By conducting a comprehensive analysis of cross-cultural blunders in Muslim-majority and minority countries, this study contributes to the existing body of knowledge on cross-cultural management. It provides practical insights for MNCs operating in these contexts, informing their decision-making processes, cultural adaptation strategies, and marketing approaches, ultimately leading to improved cross-cultural competence and successful market penetration (Luthans &amp; Doh, 2018).</w:t>
      </w:r>
    </w:p>
    <w:p w14:paraId="4B4C614A" w14:textId="77777777" w:rsidR="002530E2" w:rsidRDefault="002530E2">
      <w:r>
        <w:t>This study highlights a notable research gap concerning the specific cross-cultural blunders MNCs commit in Muslim-majority and minority countries and the consequences. By conducting a comprehensive analysis that delves into these blunders, their underlying causes, and their impact, this research contributes to bridging the existing knowledge void. By honing in on these countries’ distinctive cultural dynamics and challenges, the study offers valuable insights and recommendations to bolster cross-cultural competence and enhance the overall performance of MNCs operating within these contexts. As a result, this research serves as a crucial resource for MNCs aiming to cultivate effective cross-cultural practices, foster successful engagements, and avoid pitfalls in their operations in Muslim-majority and minority countries.</w:t>
      </w:r>
    </w:p>
    <w:p w14:paraId="4C3D35D0" w14:textId="77777777" w:rsidR="002530E2" w:rsidRDefault="002530E2">
      <w:pPr>
        <w:pStyle w:val="Heading1"/>
      </w:pPr>
      <w:bookmarkStart w:id="10" w:name="_heading=h.lnxbz9" w:colFirst="0" w:colLast="0"/>
      <w:bookmarkEnd w:id="10"/>
      <w:r>
        <w:lastRenderedPageBreak/>
        <w:t xml:space="preserve">1.8 — SIGNIFICANCE OF THE STUDY </w:t>
      </w:r>
    </w:p>
    <w:p w14:paraId="634655E9" w14:textId="77777777" w:rsidR="002530E2" w:rsidRDefault="002530E2">
      <w:r>
        <w:t>This study holds significant importance for several reasons. Firstly, it recognises the economic significance of Muslim-majority and minority markets and the potential risks of cross-cultural blunders. MNCs can establish trust, build positive relationships, and cater to their unique needs and preferences by understanding and effectively engaging with Muslim consumers.</w:t>
      </w:r>
    </w:p>
    <w:p w14:paraId="1C5AB452" w14:textId="77777777" w:rsidR="002530E2" w:rsidRDefault="002530E2">
      <w:r>
        <w:t>The study contributes to various fields, including cross-cultural communication, cross-cultural management, international marketing, Islamic branding, international branding, and international business. Within cross-cultural communication, this research illuminates some of the challenges and dynamics involved with communication between MNCs and Muslim consumers. It identifies effective communication strategies that foster understanding and minimise the potential for cross-cultural blunders, facilitating smoother and more successful interactions.</w:t>
      </w:r>
    </w:p>
    <w:p w14:paraId="5EC47E1C" w14:textId="77777777" w:rsidR="002530E2" w:rsidRDefault="002530E2">
      <w:r>
        <w:t>For cross-cultural management, this research provides insights into the cultural nuances and sensitivities that MNCs must consider when operating in Muslim-majority and minority countries. It offers recommendations for effectively managing cultural diversity within multinational teams, enhancing intercultural competence, and improving collaboration and productivity.</w:t>
      </w:r>
    </w:p>
    <w:p w14:paraId="3326ED96" w14:textId="77777777" w:rsidR="002530E2" w:rsidRDefault="002530E2">
      <w:r>
        <w:t>This study enriches our understanding of Muslim consumers' preferences, values, and expectations in international marketing and Islamic branding. The findings guide MNCs in developing culturally relevant and appealing marketing strategies, enabling them to tap into the vast potential of Muslim-majority and minority markets.</w:t>
      </w:r>
    </w:p>
    <w:p w14:paraId="77755F2B" w14:textId="77777777" w:rsidR="002530E2" w:rsidRDefault="002530E2">
      <w:r>
        <w:t>Regarding international branding, the study contributes to understanding how MNCs can build and maintain a positive brand image in Muslim-majority and minority countries. It emphasises the significance of cultural sensitivity, authenticity, and alignment with Islamic values when engaging in branding efforts to establish strong brands with Muslim consumers that resonate positively.</w:t>
      </w:r>
    </w:p>
    <w:p w14:paraId="6CD0DFFE" w14:textId="77777777" w:rsidR="002530E2" w:rsidRDefault="002530E2">
      <w:r>
        <w:t>Lastly, this research provides practical recommendations for MNCs on navigating the complexities of cross-cultural interactions with Muslim consumers in international business. It highlights the importance of cultural intelligence, market research, and adaptation in achieving success in these markets, empowering MNCs to make informed decisions and effectively engage with Muslim consumers.</w:t>
      </w:r>
    </w:p>
    <w:p w14:paraId="242DF85B" w14:textId="77777777" w:rsidR="002530E2" w:rsidRDefault="002530E2">
      <w:r>
        <w:t>By deepening knowledge and understanding in these relevant fields, this study seeks to assist multinational corporations (MNCs) in devising successful strategies for engaging Muslim consumers and forging mutually beneficial relationships. The outcomes of this research contribute to the academic literature and provide practical guidance for MNCs operating in Muslim-majority and minority countries, facilitating their sustainable growth and success in these culturally diverse markets.</w:t>
      </w:r>
    </w:p>
    <w:p w14:paraId="129D6FE3" w14:textId="77777777" w:rsidR="002530E2" w:rsidRDefault="002530E2">
      <w:r>
        <w:t xml:space="preserve">The significance of this study rests upon its potential to advance cross-cultural understanding, enhance business practices, and foster positive engagements between MNCs and Muslim consumers. By recognising and addressing the challenges associated with cross-cultural blunders, MNCs can forge stronger connections, prevent the dissemination of offensive content, and cultivate mutually beneficial outcomes in Muslim-majority and minority markets. This research serves as a valuable resource for MNCs seeking to navigate the complexities of cultural diversity, avoid potential </w:t>
      </w:r>
      <w:r>
        <w:lastRenderedPageBreak/>
        <w:t>pitfalls, and promote respectful and inclusive interactions. By embracing these insights, MNCs can improve their business performance and contribute to promoting cultural understanding and harmony in the global marketplace.</w:t>
      </w:r>
    </w:p>
    <w:p w14:paraId="3CDA0D1D" w14:textId="77777777" w:rsidR="002530E2" w:rsidRDefault="002530E2">
      <w:pPr>
        <w:pBdr>
          <w:top w:val="nil"/>
          <w:left w:val="nil"/>
          <w:bottom w:val="nil"/>
          <w:right w:val="nil"/>
          <w:between w:val="nil"/>
        </w:pBdr>
        <w:spacing w:after="0" w:line="240" w:lineRule="auto"/>
        <w:rPr>
          <w:color w:val="1C4587"/>
        </w:rPr>
      </w:pPr>
    </w:p>
    <w:p w14:paraId="1435ED7A"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37969A3A"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3E40FEC" w14:textId="77777777" w:rsidR="002530E2" w:rsidRDefault="002530E2">
            <w:pPr>
              <w:widowControl w:val="0"/>
              <w:spacing w:after="200" w:line="240" w:lineRule="auto"/>
              <w:jc w:val="center"/>
              <w:rPr>
                <w:color w:val="0E101A"/>
                <w:sz w:val="28"/>
                <w:szCs w:val="28"/>
              </w:rPr>
            </w:pPr>
            <w:r>
              <w:rPr>
                <w:color w:val="0E101A"/>
                <w:sz w:val="28"/>
                <w:szCs w:val="28"/>
              </w:rPr>
              <w:t xml:space="preserve">CHAPTER 1: INTRODUCTION </w:t>
            </w:r>
          </w:p>
          <w:p w14:paraId="0F43D031" w14:textId="77777777" w:rsidR="002530E2" w:rsidRDefault="002530E2">
            <w:pPr>
              <w:widowControl w:val="0"/>
              <w:spacing w:after="200" w:line="240" w:lineRule="auto"/>
              <w:jc w:val="center"/>
              <w:rPr>
                <w:color w:val="0E101A"/>
                <w:sz w:val="28"/>
                <w:szCs w:val="28"/>
              </w:rPr>
            </w:pPr>
            <w:r>
              <w:rPr>
                <w:color w:val="0E101A"/>
                <w:sz w:val="28"/>
                <w:szCs w:val="28"/>
              </w:rPr>
              <w:t>(</w:t>
            </w:r>
            <w:r>
              <w:rPr>
                <w:i/>
                <w:color w:val="0E101A"/>
                <w:sz w:val="28"/>
                <w:szCs w:val="28"/>
              </w:rPr>
              <w:t>Part—2)</w:t>
            </w:r>
          </w:p>
        </w:tc>
      </w:tr>
    </w:tbl>
    <w:p w14:paraId="27A78647" w14:textId="77777777" w:rsidR="002530E2" w:rsidRDefault="002530E2">
      <w:pPr>
        <w:spacing w:after="0"/>
        <w:jc w:val="center"/>
      </w:pPr>
    </w:p>
    <w:p w14:paraId="60D71826" w14:textId="77777777" w:rsidR="002530E2" w:rsidRDefault="002530E2">
      <w:pPr>
        <w:spacing w:after="0" w:line="240" w:lineRule="auto"/>
        <w:jc w:val="center"/>
      </w:pPr>
    </w:p>
    <w:p w14:paraId="36C65926" w14:textId="77777777" w:rsidR="002530E2" w:rsidRDefault="002530E2">
      <w:pPr>
        <w:pStyle w:val="Heading4"/>
        <w:spacing w:before="0"/>
      </w:pPr>
      <w:bookmarkStart w:id="11" w:name="_heading=h.s91o74kj73bs" w:colFirst="0" w:colLast="0"/>
      <w:bookmarkEnd w:id="11"/>
    </w:p>
    <w:p w14:paraId="7256DD7E" w14:textId="77777777" w:rsidR="002530E2" w:rsidRDefault="002530E2">
      <w:pPr>
        <w:pStyle w:val="Heading4"/>
        <w:spacing w:before="0"/>
      </w:pPr>
      <w:bookmarkStart w:id="12" w:name="_heading=h.ez6wz38yzhmz" w:colFirst="0" w:colLast="0"/>
      <w:bookmarkEnd w:id="12"/>
      <w:r>
        <w:rPr>
          <w:color w:val="FFFFFF"/>
        </w:rPr>
        <w:t>TABLE OF CONTENT</w:t>
      </w:r>
    </w:p>
    <w:p w14:paraId="097C310C" w14:textId="77777777" w:rsidR="002530E2" w:rsidRDefault="002530E2">
      <w:pPr>
        <w:rPr>
          <w:i/>
        </w:rPr>
      </w:pPr>
      <w:r>
        <w:rPr>
          <w:sz w:val="28"/>
          <w:szCs w:val="28"/>
        </w:rPr>
        <w:t xml:space="preserve">TABLE OF CONTENT FOR CHAPTER 1 </w:t>
      </w:r>
      <w:r>
        <w:rPr>
          <w:i/>
          <w:sz w:val="28"/>
          <w:szCs w:val="28"/>
        </w:rPr>
        <w:t>(Part 2)</w:t>
      </w:r>
    </w:p>
    <w:sdt>
      <w:sdtPr>
        <w:id w:val="924461902"/>
        <w:docPartObj>
          <w:docPartGallery w:val="Table of Contents"/>
          <w:docPartUnique/>
        </w:docPartObj>
      </w:sdtPr>
      <w:sdtContent>
        <w:p w14:paraId="7C726003"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gjdgxs">
            <w:r>
              <w:rPr>
                <w:rFonts w:ascii="Book Antiqua" w:eastAsia="Book Antiqua" w:hAnsi="Book Antiqua" w:cs="Book Antiqua"/>
                <w:color w:val="1155CC"/>
              </w:rPr>
              <w:t>1.9 — RESEARCH QUESTIONS</w:t>
            </w:r>
            <w:r>
              <w:rPr>
                <w:rFonts w:ascii="Book Antiqua" w:eastAsia="Book Antiqua" w:hAnsi="Book Antiqua" w:cs="Book Antiqua"/>
                <w:color w:val="1155CC"/>
              </w:rPr>
              <w:tab/>
              <w:t>45</w:t>
            </w:r>
          </w:hyperlink>
        </w:p>
        <w:p w14:paraId="4ADA5E4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0j0zll">
            <w:r>
              <w:rPr>
                <w:rFonts w:ascii="Book Antiqua" w:eastAsia="Book Antiqua" w:hAnsi="Book Antiqua" w:cs="Book Antiqua"/>
                <w:color w:val="1155CC"/>
              </w:rPr>
              <w:t>1.10 — RESEARCH AIMS</w:t>
            </w:r>
            <w:r>
              <w:rPr>
                <w:rFonts w:ascii="Book Antiqua" w:eastAsia="Book Antiqua" w:hAnsi="Book Antiqua" w:cs="Book Antiqua"/>
                <w:color w:val="1155CC"/>
              </w:rPr>
              <w:tab/>
              <w:t>47</w:t>
            </w:r>
          </w:hyperlink>
        </w:p>
        <w:p w14:paraId="3660C30F"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fob9te">
            <w:r>
              <w:rPr>
                <w:rFonts w:ascii="Book Antiqua" w:eastAsia="Book Antiqua" w:hAnsi="Book Antiqua" w:cs="Book Antiqua"/>
                <w:color w:val="1155CC"/>
              </w:rPr>
              <w:t>1.11 — RESEARCH OBJECTIVES</w:t>
            </w:r>
            <w:r>
              <w:rPr>
                <w:rFonts w:ascii="Book Antiqua" w:eastAsia="Book Antiqua" w:hAnsi="Book Antiqua" w:cs="Book Antiqua"/>
                <w:color w:val="1155CC"/>
              </w:rPr>
              <w:tab/>
              <w:t>50</w:t>
            </w:r>
          </w:hyperlink>
        </w:p>
        <w:p w14:paraId="3927DF6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znysh7">
            <w:r>
              <w:rPr>
                <w:rFonts w:ascii="Book Antiqua" w:eastAsia="Book Antiqua" w:hAnsi="Book Antiqua" w:cs="Book Antiqua"/>
                <w:color w:val="1155CC"/>
              </w:rPr>
              <w:t>1.12 — RESEARCH SCOPES &amp; FOCUS</w:t>
            </w:r>
            <w:r>
              <w:rPr>
                <w:rFonts w:ascii="Book Antiqua" w:eastAsia="Book Antiqua" w:hAnsi="Book Antiqua" w:cs="Book Antiqua"/>
                <w:color w:val="1155CC"/>
              </w:rPr>
              <w:tab/>
              <w:t>52</w:t>
            </w:r>
          </w:hyperlink>
        </w:p>
        <w:p w14:paraId="49B355A7"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h5m09dfycfk">
            <w:r>
              <w:rPr>
                <w:rFonts w:ascii="Book Antiqua" w:eastAsia="Book Antiqua" w:hAnsi="Book Antiqua" w:cs="Book Antiqua"/>
                <w:color w:val="1155CC"/>
              </w:rPr>
              <w:t>1.13 — BRIEF LITERATURE REVIEW OVERVIEW</w:t>
            </w:r>
            <w:r>
              <w:rPr>
                <w:rFonts w:ascii="Book Antiqua" w:eastAsia="Book Antiqua" w:hAnsi="Book Antiqua" w:cs="Book Antiqua"/>
                <w:color w:val="1155CC"/>
              </w:rPr>
              <w:tab/>
              <w:t>57</w:t>
            </w:r>
          </w:hyperlink>
        </w:p>
        <w:p w14:paraId="7FE9C793"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dy6vkm">
            <w:r>
              <w:rPr>
                <w:rFonts w:ascii="Book Antiqua" w:eastAsia="Book Antiqua" w:hAnsi="Book Antiqua" w:cs="Book Antiqua"/>
                <w:color w:val="1155CC"/>
              </w:rPr>
              <w:t>1.14 — BRIEF METHODOLOGY OVERVIEW</w:t>
            </w:r>
            <w:r>
              <w:rPr>
                <w:rFonts w:ascii="Book Antiqua" w:eastAsia="Book Antiqua" w:hAnsi="Book Antiqua" w:cs="Book Antiqua"/>
                <w:color w:val="1155CC"/>
              </w:rPr>
              <w:tab/>
              <w:t>57</w:t>
            </w:r>
          </w:hyperlink>
        </w:p>
        <w:p w14:paraId="469A3F6C"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s8eyo1">
            <w:r>
              <w:rPr>
                <w:rFonts w:ascii="Book Antiqua" w:eastAsia="Book Antiqua" w:hAnsi="Book Antiqua" w:cs="Book Antiqua"/>
                <w:color w:val="1155CC"/>
              </w:rPr>
              <w:t>1.15 — STUDY LIMITATIONS</w:t>
            </w:r>
            <w:r>
              <w:rPr>
                <w:rFonts w:ascii="Book Antiqua" w:eastAsia="Book Antiqua" w:hAnsi="Book Antiqua" w:cs="Book Antiqua"/>
                <w:color w:val="1155CC"/>
              </w:rPr>
              <w:tab/>
              <w:t>60</w:t>
            </w:r>
          </w:hyperlink>
        </w:p>
        <w:p w14:paraId="267FF72A"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7dp8vu">
            <w:r>
              <w:rPr>
                <w:rFonts w:ascii="Book Antiqua" w:eastAsia="Book Antiqua" w:hAnsi="Book Antiqua" w:cs="Book Antiqua"/>
                <w:color w:val="1155CC"/>
              </w:rPr>
              <w:t>1.16 — STUDY DELIMITATIONS</w:t>
            </w:r>
            <w:r>
              <w:rPr>
                <w:rFonts w:ascii="Book Antiqua" w:eastAsia="Book Antiqua" w:hAnsi="Book Antiqua" w:cs="Book Antiqua"/>
                <w:color w:val="1155CC"/>
              </w:rPr>
              <w:tab/>
              <w:t>62</w:t>
            </w:r>
          </w:hyperlink>
        </w:p>
        <w:p w14:paraId="1639D370"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rdcrjn">
            <w:r>
              <w:rPr>
                <w:rFonts w:ascii="Book Antiqua" w:eastAsia="Book Antiqua" w:hAnsi="Book Antiqua" w:cs="Book Antiqua"/>
                <w:color w:val="1155CC"/>
              </w:rPr>
              <w:t>1.17 — THESIS CHAPTER OUTLINE</w:t>
            </w:r>
            <w:r>
              <w:rPr>
                <w:rFonts w:ascii="Book Antiqua" w:eastAsia="Book Antiqua" w:hAnsi="Book Antiqua" w:cs="Book Antiqua"/>
                <w:color w:val="1155CC"/>
              </w:rPr>
              <w:tab/>
              <w:t>64</w:t>
            </w:r>
          </w:hyperlink>
        </w:p>
        <w:p w14:paraId="4371269C"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lnxbz9">
            <w:r>
              <w:rPr>
                <w:rFonts w:ascii="Book Antiqua" w:eastAsia="Book Antiqua" w:hAnsi="Book Antiqua" w:cs="Book Antiqua"/>
                <w:color w:val="1155CC"/>
              </w:rPr>
              <w:t>CHAPTER SUMMARY</w:t>
            </w:r>
            <w:r>
              <w:rPr>
                <w:rFonts w:ascii="Book Antiqua" w:eastAsia="Book Antiqua" w:hAnsi="Book Antiqua" w:cs="Book Antiqua"/>
                <w:color w:val="1155CC"/>
              </w:rPr>
              <w:tab/>
              <w:t>70</w:t>
            </w:r>
          </w:hyperlink>
          <w:r>
            <w:fldChar w:fldCharType="end"/>
          </w:r>
        </w:p>
      </w:sdtContent>
    </w:sdt>
    <w:p w14:paraId="66E30DFB" w14:textId="77777777" w:rsidR="002530E2" w:rsidRDefault="002530E2">
      <w:pPr>
        <w:rPr>
          <w:sz w:val="28"/>
          <w:szCs w:val="28"/>
        </w:rPr>
      </w:pPr>
    </w:p>
    <w:p w14:paraId="2F9C31D2" w14:textId="77777777" w:rsidR="002530E2" w:rsidRDefault="002530E2">
      <w:pPr>
        <w:pStyle w:val="Heading1"/>
      </w:pPr>
      <w:bookmarkStart w:id="13" w:name="_heading=h.ge957vvkm3ib" w:colFirst="0" w:colLast="0"/>
      <w:bookmarkEnd w:id="13"/>
      <w:r>
        <w:br w:type="page"/>
      </w:r>
    </w:p>
    <w:p w14:paraId="163024C0" w14:textId="77777777" w:rsidR="002530E2" w:rsidRDefault="002530E2">
      <w:pPr>
        <w:pStyle w:val="Heading1"/>
      </w:pPr>
      <w:r>
        <w:lastRenderedPageBreak/>
        <w:t>1.9 — RESEARCH QUESTIONS</w:t>
      </w:r>
    </w:p>
    <w:p w14:paraId="4FFE9CF6" w14:textId="77777777" w:rsidR="002530E2" w:rsidRDefault="002530E2">
      <w:r>
        <w:t>Bouchrika (2022) refers to the term “research question“ as a question a study or research project aims to answer by addressing either an issue or a problem addressed in the study’s conclusion through analysis and interpretation of data. Typically, a research question outlines the population, variables, and problem the study addresses, as well as the purpose of the study. While reviewing the literature and developing a research framework, the research question may be modified and refined based on the research findings.</w:t>
      </w:r>
    </w:p>
    <w:p w14:paraId="75D86095" w14:textId="77777777" w:rsidR="002530E2" w:rsidRDefault="002530E2">
      <w:r>
        <w:t xml:space="preserve">According to the University of Southern California (2009), a question or a questionnaire can help discover background information and outline the history and characteristics of a clearly stated research problem concerning the existing literature. </w:t>
      </w:r>
    </w:p>
    <w:p w14:paraId="08FE1E75" w14:textId="77777777" w:rsidR="002530E2" w:rsidRDefault="002530E2">
      <w:r>
        <w:t xml:space="preserve">All researchers and studies begin with a research question (Bouchrika, 2022). To explore further and to learn more about the background information, history, various elements, and features of the research problem, this study constructed its initial topic of investigation in the form of an initial inquiry question, which emerged as: </w:t>
      </w:r>
    </w:p>
    <w:p w14:paraId="17E31864" w14:textId="77777777" w:rsidR="002530E2" w:rsidRDefault="002530E2">
      <w:pPr>
        <w:ind w:left="720"/>
        <w:rPr>
          <w:i/>
        </w:rPr>
      </w:pPr>
      <w:r>
        <w:rPr>
          <w:i/>
        </w:rPr>
        <w:t>“What were the most prevalent cross-cultural blunders from MNCs in Muslim-majority and minority countries between 2010 and 2020 that upset Muslims, and what were the consequences for Muslim consumers? Additionally, how did these blunders impact the MNCs operating in these host countries, and what proactive strategies can MNCs adopt to prevent such blunders and effectively engage with Muslim consumers, considering lessons learned from recent incidents?“</w:t>
      </w:r>
    </w:p>
    <w:p w14:paraId="7E2B7C68" w14:textId="77777777" w:rsidR="002530E2" w:rsidRDefault="002530E2">
      <w:r>
        <w:t>In order to guide the investigation and fulfil the research aims and objectives, the study developed main research questions (MRQs) based on the background, research problem, research gap, and significance of the study.</w:t>
      </w:r>
    </w:p>
    <w:p w14:paraId="655097F1" w14:textId="77777777" w:rsidR="002530E2" w:rsidRDefault="002530E2" w:rsidP="002530E2">
      <w:pPr>
        <w:numPr>
          <w:ilvl w:val="0"/>
          <w:numId w:val="7"/>
        </w:numPr>
        <w:spacing w:before="240" w:after="240" w:line="432" w:lineRule="auto"/>
        <w:jc w:val="both"/>
      </w:pPr>
      <w:r>
        <w:t>MRQ 1: What were the most prevalent cross-cultural blunder types perpetrated by MNCs in Muslim-majority and minority countries between 2010 and 2020 that upset Muslims?</w:t>
      </w:r>
    </w:p>
    <w:p w14:paraId="5FE1E39F" w14:textId="77777777" w:rsidR="002530E2" w:rsidRDefault="002530E2" w:rsidP="002530E2">
      <w:pPr>
        <w:numPr>
          <w:ilvl w:val="0"/>
          <w:numId w:val="7"/>
        </w:numPr>
        <w:spacing w:before="240" w:after="240" w:line="432" w:lineRule="auto"/>
        <w:jc w:val="both"/>
      </w:pPr>
      <w:r>
        <w:t>MRQ 2: What were the consequences experienced by Muslim consumers as a result of these cross-cultural blunders?</w:t>
      </w:r>
    </w:p>
    <w:p w14:paraId="77E63A40" w14:textId="77777777" w:rsidR="002530E2" w:rsidRDefault="002530E2" w:rsidP="002530E2">
      <w:pPr>
        <w:numPr>
          <w:ilvl w:val="0"/>
          <w:numId w:val="7"/>
        </w:numPr>
        <w:spacing w:before="240" w:after="240" w:line="432" w:lineRule="auto"/>
        <w:jc w:val="both"/>
      </w:pPr>
      <w:r>
        <w:t>MRQ 3: In what ways have these cross-cultural blunders impacted the MNCs operating in these host countries?</w:t>
      </w:r>
    </w:p>
    <w:p w14:paraId="5655B43E" w14:textId="77777777" w:rsidR="002530E2" w:rsidRDefault="002530E2" w:rsidP="002530E2">
      <w:pPr>
        <w:numPr>
          <w:ilvl w:val="0"/>
          <w:numId w:val="7"/>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30F08644" w14:textId="77777777" w:rsidR="002530E2" w:rsidRDefault="002530E2">
      <w:r>
        <w:lastRenderedPageBreak/>
        <w:t>These leading research questions served as the cornerstone of the study, providing a framework for investigation and analysis. Through systematically exploring these research questions, the study aimed to shed light on the prevalent cross-cultural blunders by MNCs in interactions with Muslim consumers, their consequences, and their impact on the business landscape. Additionally, this research sought to offer MNCs practical strategies that will assist them in successfully managing cross-cultural interactions and creating positive relations with Muslim consumers. By addressing these research questions, the study aimed to contribute to existing knowledge in cross-cultural management, international marketing, and international business while offering insights and recommendations for MNCs operating in Muslim-majority and minority countries.</w:t>
      </w:r>
    </w:p>
    <w:p w14:paraId="165BAD15" w14:textId="77777777" w:rsidR="002530E2" w:rsidRDefault="002530E2">
      <w:r>
        <w:t>By addressing these research questions, this study’s primary objectives were to comprehensively examine the prevalent cross-cultural blunders in Muslim-majority and minority countries, evaluate their consequences for Muslim consumers and MNCs, and propose proactive strategies for preventing such blunders and facilitating effective engagement. The findings of this research endeavour provided valuable insights and practical recommendations to assist MNCs in their interactions with Muslim consumers, ultimately fostering intercultural understanding and nurturing positive relationships between MNCs and the markets of Muslim-majority and minority regions.</w:t>
      </w:r>
    </w:p>
    <w:p w14:paraId="560BB1F4" w14:textId="77777777" w:rsidR="002530E2" w:rsidRDefault="002530E2">
      <w:r>
        <w:t>The study aimed to delve into the intricacies of cross-cultural interactions between MNCs and Muslim consumers, specifically focusing on the blunders that arose due to cultural differences and the subsequent impact on all stakeholders involved. By exploring these research questions, the study aimed to uncover the most prevalent blunders, shed light on their consequences and understand how they affected MNCs' business relationships, reputations, and financial performance.</w:t>
      </w:r>
    </w:p>
    <w:p w14:paraId="19B6C7BE" w14:textId="77777777" w:rsidR="002530E2" w:rsidRDefault="002530E2">
      <w:r>
        <w:t>Through a rigorous examination of relevant literature, incident reports, and empirical data, the study aimed to comprehensively understand the challenges MNCs face in their interactions with Muslim consumers. By identifying the underlying cultural, social, and communication factors contributing to these blunders, the study aimed to offer insights into the complex dynamics at play.</w:t>
      </w:r>
    </w:p>
    <w:p w14:paraId="14197F4B" w14:textId="77777777" w:rsidR="002530E2" w:rsidRDefault="002530E2">
      <w:r>
        <w:t>Furthermore, the study sought to propose proactive strategies that MNCs could adopt to prevent cross-cultural blunders and effectively engage with Muslim consumers in Muslim-majority and minority countries. By considering the lessons learned from recent incidents, the study aimed to provide practical recommendations to guide MNCs in navigating the complexities of cross-cultural interactions and building positive relationships with Muslim consumers.</w:t>
      </w:r>
    </w:p>
    <w:p w14:paraId="31352DB9" w14:textId="77777777" w:rsidR="002530E2" w:rsidRDefault="002530E2">
      <w:r>
        <w:t>Overall, the primary objectives of this study were to generate knowledge, inform practice, and contribute to the fields of cross-cultural management, international marketing, and international business. By addressing the research questions and fulfilling these objectives, the study aimed to enhance understanding, facilitate meaningful engagement, and promote intercultural harmony between MNCs and the diverse markets of Muslim-majority and minority countries.</w:t>
      </w:r>
    </w:p>
    <w:p w14:paraId="6027E500" w14:textId="77777777" w:rsidR="002530E2" w:rsidRDefault="002530E2">
      <w:pPr>
        <w:pStyle w:val="Heading1"/>
      </w:pPr>
      <w:r>
        <w:t>1.10 — RESEARCH AIMS</w:t>
      </w:r>
    </w:p>
    <w:p w14:paraId="7589262F" w14:textId="77777777" w:rsidR="002530E2" w:rsidRDefault="002530E2">
      <w:r>
        <w:t xml:space="preserve">The research aim is a summary of the purpose of the research. As explained by Saunders et al. (2018), this aim should include the central objective and key research questions to guide the study. Furthermore, adhering to the "SMART" framework for setting goals is recommended, as advised by Coventry University and Future Learn (2020). </w:t>
      </w:r>
    </w:p>
    <w:p w14:paraId="298ADC93" w14:textId="77777777" w:rsidR="002530E2" w:rsidRDefault="002530E2">
      <w:r>
        <w:lastRenderedPageBreak/>
        <w:t>The study aimed to articulate the following research aims, which served as the guiding principles and objectives of the research endeavour: These research aims provided a clear direction for the subsequent thesis chapters and shaped the overall trajectory of the study. The research established a framework for systematically investigating and analysing the topic by defining its goals and intentions. By addressing these aims, this study sought to provide a comprehensive understanding of the cross-cultural blunders of MNCs in Muslim-majority and minority countries, their consequences for Muslims, and their impact on MNCs. Additionally, this study sought to develop effective solutions and approaches to avoid or mitigate such missteps.</w:t>
      </w:r>
    </w:p>
    <w:p w14:paraId="4F3CC4D9" w14:textId="77777777" w:rsidR="002530E2" w:rsidRDefault="002530E2">
      <w:r>
        <w:t>The research aims of this study were to:</w:t>
      </w:r>
    </w:p>
    <w:p w14:paraId="6958A3AD" w14:textId="77777777" w:rsidR="002530E2" w:rsidRDefault="002530E2" w:rsidP="002530E2">
      <w:pPr>
        <w:numPr>
          <w:ilvl w:val="0"/>
          <w:numId w:val="8"/>
        </w:numPr>
        <w:spacing w:before="240" w:after="240" w:line="432" w:lineRule="auto"/>
        <w:jc w:val="both"/>
      </w:pPr>
      <w:r>
        <w:t>Investigate and identify the most prevalent cross-cultural blunders by MNCs operating in Muslim-majority and minority countries based on recent incidents reported between 2010 and 2020.</w:t>
      </w:r>
    </w:p>
    <w:p w14:paraId="088C24CE" w14:textId="77777777" w:rsidR="002530E2" w:rsidRDefault="002530E2" w:rsidP="002530E2">
      <w:pPr>
        <w:numPr>
          <w:ilvl w:val="0"/>
          <w:numId w:val="8"/>
        </w:numPr>
        <w:spacing w:before="240" w:after="240" w:line="432" w:lineRule="auto"/>
        <w:jc w:val="both"/>
      </w:pPr>
      <w:r>
        <w:t>Examine Muslim consumers’ consequences due to these cross-cultural blunders, considering their psychological, behavioural, and attitudinal responses.</w:t>
      </w:r>
    </w:p>
    <w:p w14:paraId="036C971B" w14:textId="77777777" w:rsidR="002530E2" w:rsidRDefault="002530E2" w:rsidP="002530E2">
      <w:pPr>
        <w:numPr>
          <w:ilvl w:val="0"/>
          <w:numId w:val="8"/>
        </w:numPr>
        <w:spacing w:before="240" w:after="240" w:line="432" w:lineRule="auto"/>
        <w:jc w:val="both"/>
      </w:pPr>
      <w:r>
        <w:t>Explore the impact of these cross-cultural blunders on MNCs’ business relationships, reputations, and financial performance in Muslim-majority and minority countries, considering factors such as customer trust, brand image, market share, and financial indicators.</w:t>
      </w:r>
    </w:p>
    <w:p w14:paraId="77ED96FC" w14:textId="77777777" w:rsidR="002530E2" w:rsidRDefault="002530E2" w:rsidP="002530E2">
      <w:pPr>
        <w:numPr>
          <w:ilvl w:val="0"/>
          <w:numId w:val="8"/>
        </w:numPr>
        <w:spacing w:before="240" w:after="240" w:line="432" w:lineRule="auto"/>
        <w:jc w:val="both"/>
      </w:pPr>
      <w:r>
        <w:t>Analyse and propose proactive strategies that MNCs can adopt to prevent cross-cultural blunders and effectively engage with Muslim consumers in Muslim-majority and minority countries, integrating lessons learned from recent incidents. Provide practical recommendations for MNCs to enhance their interactions with Muslim consumers, including guidance on trust-building, understanding cultural norms, and developing effective communication strategies.</w:t>
      </w:r>
    </w:p>
    <w:p w14:paraId="70C639E1" w14:textId="77777777" w:rsidR="002530E2" w:rsidRDefault="002530E2" w:rsidP="002530E2">
      <w:pPr>
        <w:numPr>
          <w:ilvl w:val="0"/>
          <w:numId w:val="8"/>
        </w:numPr>
        <w:spacing w:before="240" w:after="240" w:line="432" w:lineRule="auto"/>
        <w:jc w:val="both"/>
      </w:pPr>
      <w:r>
        <w:t xml:space="preserve">Contribute to cross-cultural communication, management, international marketing, Islamic branding, international branding, and international business by offering recommendations that inform future research and enhance understanding of cross-cultural dynamics in Muslim-majority and minority markets. Provide valuable insights and practical recommendations to guide MNCs’ interactions with Muslim consumers, ultimately fostering intercultural </w:t>
      </w:r>
      <w:r>
        <w:lastRenderedPageBreak/>
        <w:t>understanding and positive relationships between MNCs and the Muslim majority and minority markets.</w:t>
      </w:r>
    </w:p>
    <w:p w14:paraId="7FA76226" w14:textId="77777777" w:rsidR="002530E2" w:rsidRDefault="002530E2">
      <w:r>
        <w:t>By pursuing these research aims, the study comprehensively examined the cross-cultural blunders of MNCs in Muslim-majority and minority countries, their consequences for Muslim consumers, and their impact on MNCs' business relationships and financial performance. Furthermore, the study provided practical recommendations and strategies for MNCs to navigate the complexities of cross-cultural interactions with Muslim consumers while also contributing to advancing knowledge in relevant academic disciplines.</w:t>
      </w:r>
    </w:p>
    <w:p w14:paraId="536D3DEB" w14:textId="77777777" w:rsidR="002530E2" w:rsidRDefault="002530E2">
      <w:r>
        <w:t>The research aims outlined above had significant practical and social implications, making valuable contributions to cross-cultural management, international marketing, Islamic marketing, Islamic branding, international branding, and international business. Furthermore, this study aimed to enhance current understanding by providing valuable insights for researchers, practitioners, and stakeholders interested in these areas. This study's findings and recommendations could inspire further investigations, guide decision-making processes, and provide a foundation for future studies on cross-cultural interactions between MNCs and Muslim consumers. Ultimately, the research aimed to enhance business practices, foster positive relationships and promote cultural understanding within the context of MNCs' engagement with Muslim consumers.</w:t>
      </w:r>
    </w:p>
    <w:p w14:paraId="20ED52CA" w14:textId="77777777" w:rsidR="002530E2" w:rsidRDefault="002530E2">
      <w:r>
        <w:t>Furthermore, by examining the underlying contributing factors to these blunders, this research sheds light on the cultural, social, and communication challenges MNCs face in their interactions with Muslim consumers. This understanding could inform the development of tailored marketing strategies sensitive to the Muslim community’s unique needs, values, and customs. Consequently, MNCs could strive to build stronger relationships with Muslim consumers, enhance their brand reputation, and tap into the vast potential of the Muslim consumer market.</w:t>
      </w:r>
    </w:p>
    <w:p w14:paraId="4B8DD0DF" w14:textId="77777777" w:rsidR="002530E2" w:rsidRDefault="002530E2">
      <w:r>
        <w:t>In addition, the study aimed to provide evidence of how cross-cultural blunders can affect multinational corporations’ business relationships and reputations and ultimately impact their profits. This knowledge could incentivise MNCs to allocate more resources to cultural competence training, intercultural communication, and market research specific to Muslim consumers. By mitigating the negative consequences of cross-cultural blunders, MNCs could aim to improve their market performance and sustain long-term success in Muslim markets.</w:t>
      </w:r>
    </w:p>
    <w:p w14:paraId="1A92CB6A" w14:textId="77777777" w:rsidR="002530E2" w:rsidRDefault="002530E2">
      <w:pPr>
        <w:rPr>
          <w:color w:val="1C4587"/>
        </w:rPr>
      </w:pPr>
      <w:r>
        <w:t>From a social perspective, this research aimed to foster positive relationships and enhance intercultural understanding between MNCs and Muslim consumers. The study aimed to promote cultural sensitivity, respect, and inclusivity in business interactions by providing recommendations to prevent and mitigate cross-cultural blunders. The potential impact of this could be significant in promoting societal harmony and cross-cultural collaboration and reducing cultural misunderstandings and conflicts.</w:t>
      </w:r>
    </w:p>
    <w:p w14:paraId="0C92512A" w14:textId="77777777" w:rsidR="002530E2" w:rsidRDefault="002530E2">
      <w:pPr>
        <w:pStyle w:val="Heading1"/>
      </w:pPr>
      <w:r>
        <w:t>1.11 — RESEARCH OBJECTIVES</w:t>
      </w:r>
    </w:p>
    <w:p w14:paraId="64407FD0" w14:textId="77777777" w:rsidR="002530E2" w:rsidRDefault="002530E2">
      <w:r>
        <w:t xml:space="preserve">Coventry University (2020) and FutureLearn (2020) state that research objectives outline the specific steps taken to achieve the research aims of a study. The research objectives address the questions of </w:t>
      </w:r>
      <w:r>
        <w:lastRenderedPageBreak/>
        <w:t xml:space="preserve">who, what, when, why, and how. In order to have a successful study, it is important to establish clear research objectives that stem from the overall research goals. These objectives should be specific, measurable, achievable, relevant, and have a set time frame, just like the research goals. Throughout the study, researchers may need to revise their aims to ensure they stay on track and meet the needs of the research endeavour. </w:t>
      </w:r>
    </w:p>
    <w:p w14:paraId="19743A50" w14:textId="77777777" w:rsidR="002530E2" w:rsidRDefault="002530E2">
      <w:r>
        <w:t>The study aimed to articulate the following research objectives, which served as the guiding principles and intentions of the research endeavour: These research objectives provided a clear direction for the subsequent chapters and shaped the overall trajectory of the study. By defining specific goals and intentions, the research aimed to establish a framework for systematically investigating and analysing the topic at hand. By addressing these objectives, this study sought to provide a comprehensive understanding of cross-cultural blunders by MNCs in Muslim-majority and minority countries, their impact on MNCs, and effective strategies to prevent and mitigate such blunders.</w:t>
      </w:r>
    </w:p>
    <w:p w14:paraId="1AEDCA2F" w14:textId="77777777" w:rsidR="002530E2" w:rsidRDefault="002530E2">
      <w:r>
        <w:t>The research objectives of this study were to:</w:t>
      </w:r>
    </w:p>
    <w:p w14:paraId="2F722C9D" w14:textId="77777777" w:rsidR="002530E2" w:rsidRDefault="002530E2" w:rsidP="002530E2">
      <w:pPr>
        <w:numPr>
          <w:ilvl w:val="0"/>
          <w:numId w:val="4"/>
        </w:numPr>
        <w:spacing w:before="240" w:after="240" w:line="432" w:lineRule="auto"/>
        <w:jc w:val="both"/>
      </w:pPr>
      <w:r>
        <w:t xml:space="preserve">Identify and analyse the most prevalent cross-cultural blunders by MNCs operating in Muslim-majority and minority countries based on recent incidents reported between 2010 and 2020. </w:t>
      </w:r>
    </w:p>
    <w:p w14:paraId="4A265E13" w14:textId="77777777" w:rsidR="002530E2" w:rsidRDefault="002530E2" w:rsidP="002530E2">
      <w:pPr>
        <w:numPr>
          <w:ilvl w:val="0"/>
          <w:numId w:val="4"/>
        </w:numPr>
        <w:spacing w:before="240" w:after="240" w:line="432" w:lineRule="auto"/>
        <w:jc w:val="both"/>
      </w:pPr>
      <w:r>
        <w:t xml:space="preserve">Examine the consequences experienced by Muslim consumers as a result of these cross-cultural blunders, including their psychological, behavioural, and attitudinal responses. Investigate the impact of these cross-cultural blunders on the overall business relationships, reputations, and financial performance of MNCs operating in Muslim-majority and minority countries, considering factors such as customer trust, brand image, market share, and financial indicators. </w:t>
      </w:r>
    </w:p>
    <w:p w14:paraId="3CF3CCFA" w14:textId="77777777" w:rsidR="002530E2" w:rsidRDefault="002530E2" w:rsidP="002530E2">
      <w:pPr>
        <w:numPr>
          <w:ilvl w:val="0"/>
          <w:numId w:val="4"/>
        </w:numPr>
        <w:spacing w:before="240" w:after="240" w:line="432" w:lineRule="auto"/>
        <w:jc w:val="both"/>
      </w:pPr>
      <w:r>
        <w:t>Explore proactive approaches MNCs can take to avoid cross-cultural mishaps and engage effectively with Muslim consumers in these markets, noting any lessons from recent incidents.</w:t>
      </w:r>
    </w:p>
    <w:p w14:paraId="700B76FF" w14:textId="77777777" w:rsidR="002530E2" w:rsidRDefault="002530E2" w:rsidP="002530E2">
      <w:pPr>
        <w:numPr>
          <w:ilvl w:val="0"/>
          <w:numId w:val="4"/>
        </w:numPr>
        <w:spacing w:before="240" w:after="240" w:line="432" w:lineRule="auto"/>
        <w:jc w:val="both"/>
      </w:pPr>
      <w:r>
        <w:t xml:space="preserve">Provide practical recommendations for MNCs to enhance their interactions with Muslim consumers, including guidance on building trust, understanding cultural norms, and developing effective communication strategies. </w:t>
      </w:r>
    </w:p>
    <w:p w14:paraId="02E10F39" w14:textId="77777777" w:rsidR="002530E2" w:rsidRDefault="002530E2" w:rsidP="002530E2">
      <w:pPr>
        <w:numPr>
          <w:ilvl w:val="0"/>
          <w:numId w:val="4"/>
        </w:numPr>
        <w:spacing w:before="240" w:after="240" w:line="432" w:lineRule="auto"/>
        <w:jc w:val="both"/>
      </w:pPr>
      <w:r>
        <w:t xml:space="preserve">Contribute to cross-cultural communication, management, international marketing, Islamic branding, international branding, and international business by offering recommendations </w:t>
      </w:r>
      <w:r>
        <w:lastRenderedPageBreak/>
        <w:t xml:space="preserve">that inform future research and enhance understanding of cross-cultural dynamics in Muslim-majority and minority markets. </w:t>
      </w:r>
    </w:p>
    <w:p w14:paraId="0F11B77B" w14:textId="77777777" w:rsidR="002530E2" w:rsidRDefault="002530E2">
      <w:r>
        <w:t>By pursuing these research objectives, the study aimed to gain a comprehensive understanding of cross-cultural blunders in the context of Muslim-majority and minority countries, their consequences for Muslim consumers, and their impact on MNCs’ business relationships and financial performance. Additionally, it sought practical recommendations and strategies to guide MNCs in effectively engaging with Muslim consumers, including insights on trust-building, cultural understanding, and communication strategies. The study also aimed to contribute to the existing body of knowledge in the mentioned fields by offering recommendations that could inform future research and enhance the understanding of cross-cultural dynamics in Muslim-majority and minority markets.</w:t>
      </w:r>
    </w:p>
    <w:p w14:paraId="35B89EE3" w14:textId="77777777" w:rsidR="002530E2" w:rsidRDefault="002530E2">
      <w:r>
        <w:t>The research objectives described above had practical and social significance, making valuable contributions to cross-cultural management, international marketing, Islamic marketing, Islamic branding, international branding, and international business. Furthermore, this study sought to expand knowledge by creating an invaluable resource for researchers, practitioners, and stakeholders interested in these domains. The findings and recommendations derived from this research could inspire further investigations, guide decision-making processes, and lay the groundwork for future studies on cross-cultural interactions between MNCs and Muslim consumers. Ultimately, the research objectives aimed to improve business practices, cultivate positive relationships, and foster cultural understanding within MNCs’ engagement with Muslim consumers.</w:t>
      </w:r>
    </w:p>
    <w:p w14:paraId="06B43399" w14:textId="77777777" w:rsidR="002530E2" w:rsidRDefault="002530E2">
      <w:r>
        <w:t>Moreover, by exploring the consequences of cross-cultural blunders on MNCs’ business relationships and reputations, the research objectives aimed to provide empirical evidence of the impact of such blunders on the bottom line. This knowledge could motivate MNCs to invest more resources in cultural competence training, intercultural communication, and market research specific to Muslim consumers. By mitigating the negative consequences of cross-cultural blunders, MNCs could aim to improve their market performance and sustain long-term success in Muslim markets.</w:t>
      </w:r>
    </w:p>
    <w:p w14:paraId="4A2C32D9" w14:textId="77777777" w:rsidR="002530E2" w:rsidRDefault="002530E2">
      <w:pPr>
        <w:rPr>
          <w:color w:val="1C4587"/>
        </w:rPr>
      </w:pPr>
      <w:r>
        <w:t>From a social perspective, the research objectives aimed to foster positive relationships and enhance intercultural understanding between MNCs and Muslim consumers. The study aimed to promote cultural sensitivity, respect, and inclusivity in business interactions by providing recommendations to prevent and mitigate cross-cultural blunders. Having clear research objectives that are specific, measurable, achievable, relevant, and time-bound can have a broader impact on societal harmony, cross-cultural collaboration, and the reduction of cultural misunderstandings and conflicts. It is important to consider these broader impacts when setting research objectives to ensure that the research is valuable and contributes positively to society.</w:t>
      </w:r>
    </w:p>
    <w:p w14:paraId="1CA78680" w14:textId="77777777" w:rsidR="002530E2" w:rsidRDefault="002530E2">
      <w:pPr>
        <w:pStyle w:val="Heading1"/>
      </w:pPr>
      <w:r>
        <w:t>1.12 — RESEARCH SCOPES &amp; FOCUS</w:t>
      </w:r>
    </w:p>
    <w:p w14:paraId="61DFA3E8" w14:textId="77777777" w:rsidR="002530E2" w:rsidRDefault="002530E2">
      <w:r>
        <w:t>The scope and focus of a study are crucial components that shape the overall direction and organisation of the research. Defining the research scope involves determining the boundaries and extent of the investigation, while the research focus establishes the primary area or topic of interest. These factors are crucial in guaranteeing the accuracy and reliability of the study’s findings (Creswell, 2014).</w:t>
      </w:r>
    </w:p>
    <w:p w14:paraId="5B9FD917" w14:textId="77777777" w:rsidR="002530E2" w:rsidRDefault="002530E2">
      <w:r>
        <w:lastRenderedPageBreak/>
        <w:t>The scope is essential in research. It sets forth the parameters within which studies will occur. By clearly defining the research scope, researchers can outline the specific boundaries of their investigation and identify the target population, geographic locations, period, and other relevant factors that will be considered (Maxwell, 2013). By setting clear and specific research objectives achievable within a given timeframe, researchers can ensure that this study remains focused and manageable. When conducting research, it is crucial to take a focused and comprehensive approach to achieve high-quality results. To maximise the success of this study, one must carefully define its scope to avoid including irrelevant material and avoiding scope creep. By doing so, researchers can ensure that their research effectively addresses the issues they are studying. Moreover, having a clear research focus can contribute positively to societal harmony, cross-cultural collaboration, and the reduction of cultural misunderstandings and conflicts. Therefore, it is essential to keep these broader impacts in mind when setting research objectives to ensure that this work is valuable and contributes positively to society.</w:t>
      </w:r>
    </w:p>
    <w:p w14:paraId="1E583115" w14:textId="77777777" w:rsidR="002530E2" w:rsidRDefault="002530E2">
      <w:r>
        <w:t>The research focus, on the other hand, defines the primary area of interest or the central theme that the study aims to explore. An academic framework serves as the compass that guides research towards specific objectives and questions. By establishing a clear research focus, researchers can maintain coherence and relevance throughout the study, enabling them to delve deeper into the chosen topic and generate meaningful insights (Yin, 2018).</w:t>
      </w:r>
    </w:p>
    <w:p w14:paraId="385FB16B" w14:textId="77777777" w:rsidR="002530E2" w:rsidRDefault="002530E2">
      <w:r>
        <w:t>Defining the research scope and focus is essential in research design as it ensures the study’s organisation and accuracy. By setting boundaries and identifying the primary area of interest, researchers can maintain a clear and coherent approach, leading to more accurate and valuable research outcomes.</w:t>
      </w:r>
    </w:p>
    <w:p w14:paraId="4A2637F4" w14:textId="77777777" w:rsidR="002530E2" w:rsidRDefault="002530E2">
      <w:r>
        <w:t>The scope and focus of this study were to explore and investigate the cross-cultural blunders made by MNCs in Muslim-majority and minority countries and their implications for business relationships, reputation, and financial performance. The specific variables investigated included the most prevalent blunders reported between 2010 and 2020, the consequences faced by Muslim consumers, and the impact on MNCs’ business relationships, reputations, and financial performance. This research sought to develop strategies for multinational corporations (MNCs) to avoid making similar errors and effectively engage Muslim consumers within these markets. The data collection was conducted by critically analysing existing literature and incident reports. The study had an explicit period encompassing incidents reported between 2010 and 2020. The subjects of the study were MNCs operating in Muslim-majority and minority countries, and the sample population included Muslim consumers. The research used qualitative methods, including content and thematic analysis, to collect and analyse the data.</w:t>
      </w:r>
    </w:p>
    <w:p w14:paraId="373D5C90" w14:textId="77777777" w:rsidR="002530E2" w:rsidRDefault="002530E2">
      <w:r>
        <w:t>Establishing a study scope at the beginning of this research project is important, as it provides a framework for addressing all aspects of the study. DiscoverPhDs (2020) explains that the study scope should be comprehensive and cover all relevant information while avoiding irrelevant details. By setting a clear study scope, researchers can ensure that their research remains focused and effectively addresses the issues they are investigating. Defining the study scope is crucial because it helps researchers remain focused and ensures that the project remains manageable. By setting clear research objectives achievable within a given timeframe, one can reduce the risk of scope creep and avoid including irrelevant information in the study.</w:t>
      </w:r>
    </w:p>
    <w:p w14:paraId="4814E0BF" w14:textId="77777777" w:rsidR="002530E2" w:rsidRDefault="002530E2">
      <w:r>
        <w:lastRenderedPageBreak/>
        <w:t>Additionally, having a clear research focus can positively impact society by reducing cultural misunderstandings and conflicts and promoting cross-cultural collaboration and harmony. It is important to remember these broader impacts when setting research objectives to ensure that the work is valuable and contributes positively to society. This framework answers six questions that clarify the specific variables included or excluded from the research scope, either as a limitation or delimitation.</w:t>
      </w:r>
    </w:p>
    <w:p w14:paraId="63FED075" w14:textId="77777777" w:rsidR="002530E2" w:rsidRDefault="002530E2">
      <w:pPr>
        <w:rPr>
          <w:color w:val="1C4587"/>
        </w:rPr>
      </w:pPr>
      <w:r>
        <w:t>The figure below, proposed by DiscoverPhDs (2020), is structured on the six independent investigation frameworks explained above and highlights the Why, What, Where, When, Who, and How scopes.</w:t>
      </w:r>
    </w:p>
    <w:p w14:paraId="419006E0" w14:textId="77777777" w:rsidR="002530E2" w:rsidRDefault="002530E2">
      <w:pPr>
        <w:pBdr>
          <w:top w:val="nil"/>
          <w:left w:val="nil"/>
          <w:bottom w:val="nil"/>
          <w:right w:val="nil"/>
          <w:between w:val="nil"/>
        </w:pBdr>
        <w:jc w:val="center"/>
        <w:rPr>
          <w:color w:val="1C4587"/>
        </w:rPr>
      </w:pPr>
      <w:r>
        <w:rPr>
          <w:noProof/>
          <w:color w:val="1C4587"/>
        </w:rPr>
        <w:drawing>
          <wp:inline distT="114300" distB="114300" distL="114300" distR="114300" wp14:anchorId="73CDC500" wp14:editId="380B87D6">
            <wp:extent cx="4260293" cy="339589"/>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260293" cy="339589"/>
                    </a:xfrm>
                    <a:prstGeom prst="rect">
                      <a:avLst/>
                    </a:prstGeom>
                    <a:ln/>
                  </pic:spPr>
                </pic:pic>
              </a:graphicData>
            </a:graphic>
          </wp:inline>
        </w:drawing>
      </w:r>
    </w:p>
    <w:p w14:paraId="4D648834" w14:textId="77777777" w:rsidR="002530E2" w:rsidRDefault="002530E2">
      <w:pPr>
        <w:pStyle w:val="Heading4"/>
        <w:spacing w:after="200"/>
        <w:rPr>
          <w:color w:val="000000"/>
        </w:rPr>
      </w:pPr>
      <w:r>
        <w:rPr>
          <w:color w:val="000000"/>
        </w:rPr>
        <w:t>Figure 1.1: A framework to build a good scope statement,  adapted from DiscoverPhDs (2020).</w:t>
      </w:r>
    </w:p>
    <w:p w14:paraId="24CA2203"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table below further outlines some of the six critical elements of the study’s research scope and specific focus:</w:t>
      </w: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5"/>
        <w:gridCol w:w="960"/>
        <w:gridCol w:w="1935"/>
        <w:gridCol w:w="1590"/>
        <w:gridCol w:w="4080"/>
      </w:tblGrid>
      <w:tr w:rsidR="002530E2" w14:paraId="1D5EB294" w14:textId="77777777">
        <w:trPr>
          <w:trHeight w:val="400"/>
        </w:trPr>
        <w:tc>
          <w:tcPr>
            <w:tcW w:w="495" w:type="dxa"/>
            <w:vMerge w:val="restart"/>
            <w:tcBorders>
              <w:top w:val="single" w:sz="8" w:space="0" w:color="000000"/>
              <w:left w:val="single" w:sz="8" w:space="0" w:color="000000"/>
              <w:bottom w:val="single" w:sz="8" w:space="0" w:color="000000"/>
              <w:right w:val="single" w:sz="8" w:space="0" w:color="000000"/>
            </w:tcBorders>
            <w:shd w:val="clear" w:color="auto" w:fill="B7B7B7"/>
            <w:tcMar>
              <w:top w:w="100" w:type="dxa"/>
              <w:left w:w="100" w:type="dxa"/>
              <w:bottom w:w="100" w:type="dxa"/>
              <w:right w:w="100" w:type="dxa"/>
            </w:tcMar>
          </w:tcPr>
          <w:p w14:paraId="79878EE0" w14:textId="77777777" w:rsidR="002530E2" w:rsidRDefault="002530E2">
            <w:pPr>
              <w:pBdr>
                <w:top w:val="nil"/>
                <w:left w:val="nil"/>
                <w:bottom w:val="nil"/>
                <w:right w:val="nil"/>
                <w:between w:val="nil"/>
              </w:pBdr>
              <w:spacing w:after="0" w:line="276" w:lineRule="auto"/>
              <w:jc w:val="center"/>
              <w:rPr>
                <w:sz w:val="18"/>
                <w:szCs w:val="18"/>
              </w:rPr>
            </w:pPr>
            <w:r>
              <w:rPr>
                <w:rFonts w:ascii="Book Antiqua" w:eastAsia="Book Antiqua" w:hAnsi="Book Antiqua" w:cs="Book Antiqua"/>
                <w:sz w:val="18"/>
                <w:szCs w:val="18"/>
              </w:rPr>
              <w:t>1</w:t>
            </w:r>
          </w:p>
        </w:tc>
        <w:tc>
          <w:tcPr>
            <w:tcW w:w="960" w:type="dxa"/>
            <w:vMerge w:val="restart"/>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608113A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WHY</w:t>
            </w:r>
          </w:p>
        </w:tc>
        <w:tc>
          <w:tcPr>
            <w:tcW w:w="1935"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2DB8CEA"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PURPOSE / REASON FOR CONDUCTING THE STUDY </w:t>
            </w:r>
          </w:p>
        </w:tc>
        <w:tc>
          <w:tcPr>
            <w:tcW w:w="1590"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BB9BD08"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Why is the study being conducted? </w:t>
            </w:r>
          </w:p>
        </w:tc>
        <w:tc>
          <w:tcPr>
            <w:tcW w:w="40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95B572"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This research seeks to foster better intercultural understanding between MNCs and Muslim-majority and minority markets and increase intercultural tolerance, thus building positive relations.</w:t>
            </w:r>
          </w:p>
        </w:tc>
      </w:tr>
      <w:tr w:rsidR="002530E2" w14:paraId="2CD5BD46" w14:textId="77777777">
        <w:trPr>
          <w:trHeight w:val="400"/>
        </w:trPr>
        <w:tc>
          <w:tcPr>
            <w:tcW w:w="495" w:type="dxa"/>
            <w:vMerge/>
            <w:tcBorders>
              <w:top w:val="single" w:sz="8" w:space="0" w:color="000000"/>
              <w:left w:val="single" w:sz="8" w:space="0" w:color="000000"/>
              <w:bottom w:val="single" w:sz="8" w:space="0" w:color="000000"/>
              <w:right w:val="single" w:sz="8" w:space="0" w:color="000000"/>
            </w:tcBorders>
            <w:shd w:val="clear" w:color="auto" w:fill="B7B7B7"/>
            <w:tcMar>
              <w:top w:w="100" w:type="dxa"/>
              <w:left w:w="100" w:type="dxa"/>
              <w:bottom w:w="100" w:type="dxa"/>
              <w:right w:w="100" w:type="dxa"/>
            </w:tcMar>
          </w:tcPr>
          <w:p w14:paraId="54F59B46" w14:textId="77777777" w:rsidR="002530E2" w:rsidRDefault="002530E2">
            <w:pPr>
              <w:widowControl w:val="0"/>
              <w:pBdr>
                <w:top w:val="nil"/>
                <w:left w:val="nil"/>
                <w:bottom w:val="nil"/>
                <w:right w:val="nil"/>
                <w:between w:val="nil"/>
              </w:pBdr>
              <w:spacing w:after="0" w:line="276" w:lineRule="auto"/>
              <w:rPr>
                <w:sz w:val="18"/>
                <w:szCs w:val="18"/>
              </w:rPr>
            </w:pPr>
          </w:p>
        </w:tc>
        <w:tc>
          <w:tcPr>
            <w:tcW w:w="960" w:type="dxa"/>
            <w:vMerge/>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6D52BF84" w14:textId="77777777" w:rsidR="002530E2" w:rsidRDefault="002530E2">
            <w:pPr>
              <w:widowControl w:val="0"/>
              <w:pBdr>
                <w:top w:val="nil"/>
                <w:left w:val="nil"/>
                <w:bottom w:val="nil"/>
                <w:right w:val="nil"/>
                <w:between w:val="nil"/>
              </w:pBdr>
              <w:spacing w:after="0" w:line="276" w:lineRule="auto"/>
              <w:rPr>
                <w:sz w:val="18"/>
                <w:szCs w:val="18"/>
              </w:rPr>
            </w:pPr>
          </w:p>
        </w:tc>
        <w:tc>
          <w:tcPr>
            <w:tcW w:w="1935" w:type="dxa"/>
            <w:shd w:val="clear" w:color="auto" w:fill="D9D9D9"/>
            <w:tcMar>
              <w:top w:w="100" w:type="dxa"/>
              <w:left w:w="100" w:type="dxa"/>
              <w:bottom w:w="100" w:type="dxa"/>
              <w:right w:w="100" w:type="dxa"/>
            </w:tcMar>
          </w:tcPr>
          <w:p w14:paraId="1A8A2B28" w14:textId="77777777" w:rsidR="002530E2" w:rsidRDefault="002530E2">
            <w:pPr>
              <w:pBdr>
                <w:top w:val="nil"/>
                <w:left w:val="nil"/>
                <w:bottom w:val="nil"/>
                <w:right w:val="nil"/>
                <w:between w:val="nil"/>
              </w:pBdr>
              <w:spacing w:after="0" w:line="240" w:lineRule="auto"/>
              <w:rPr>
                <w:sz w:val="18"/>
                <w:szCs w:val="18"/>
              </w:rPr>
            </w:pPr>
            <w:r>
              <w:rPr>
                <w:rFonts w:ascii="Book Antiqua" w:eastAsia="Book Antiqua" w:hAnsi="Book Antiqua" w:cs="Book Antiqua"/>
                <w:sz w:val="18"/>
                <w:szCs w:val="18"/>
              </w:rPr>
              <w:t xml:space="preserve">SPECIFIC OBJECTIVES FOR CONDUCTING THE STUDY </w:t>
            </w:r>
          </w:p>
        </w:tc>
        <w:tc>
          <w:tcPr>
            <w:tcW w:w="1590" w:type="dxa"/>
            <w:shd w:val="clear" w:color="auto" w:fill="F3F3F3"/>
            <w:tcMar>
              <w:top w:w="100" w:type="dxa"/>
              <w:left w:w="100" w:type="dxa"/>
              <w:bottom w:w="100" w:type="dxa"/>
              <w:right w:w="100" w:type="dxa"/>
            </w:tcMar>
          </w:tcPr>
          <w:p w14:paraId="41A66F47"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What are the study</w:t>
            </w:r>
            <w:r>
              <w:rPr>
                <w:sz w:val="18"/>
                <w:szCs w:val="18"/>
              </w:rPr>
              <w:t>’</w:t>
            </w:r>
            <w:r>
              <w:rPr>
                <w:rFonts w:ascii="Book Antiqua" w:eastAsia="Book Antiqua" w:hAnsi="Book Antiqua" w:cs="Book Antiqua"/>
                <w:sz w:val="18"/>
                <w:szCs w:val="18"/>
              </w:rPr>
              <w:t>s specific objectives?</w:t>
            </w:r>
          </w:p>
        </w:tc>
        <w:tc>
          <w:tcPr>
            <w:tcW w:w="4080" w:type="dxa"/>
            <w:shd w:val="clear" w:color="auto" w:fill="auto"/>
            <w:tcMar>
              <w:top w:w="100" w:type="dxa"/>
              <w:left w:w="100" w:type="dxa"/>
              <w:bottom w:w="100" w:type="dxa"/>
              <w:right w:w="100" w:type="dxa"/>
            </w:tcMar>
          </w:tcPr>
          <w:p w14:paraId="2907D727"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The study aims to identify the most prevalent cross-cultural blunders, assess their consequences for Muslim consumers and MNCs, and propose strategies to prevent them and promote successful engagement.</w:t>
            </w:r>
          </w:p>
        </w:tc>
      </w:tr>
      <w:tr w:rsidR="002530E2" w14:paraId="42D6E0C9" w14:textId="77777777">
        <w:trPr>
          <w:trHeight w:val="400"/>
        </w:trPr>
        <w:tc>
          <w:tcPr>
            <w:tcW w:w="495" w:type="dxa"/>
            <w:vMerge w:val="restart"/>
            <w:shd w:val="clear" w:color="auto" w:fill="B7B7B7"/>
            <w:tcMar>
              <w:top w:w="100" w:type="dxa"/>
              <w:left w:w="100" w:type="dxa"/>
              <w:bottom w:w="100" w:type="dxa"/>
              <w:right w:w="100" w:type="dxa"/>
            </w:tcMar>
          </w:tcPr>
          <w:p w14:paraId="1ECAF28F" w14:textId="77777777" w:rsidR="002530E2" w:rsidRDefault="002530E2">
            <w:pPr>
              <w:pBdr>
                <w:top w:val="nil"/>
                <w:left w:val="nil"/>
                <w:bottom w:val="nil"/>
                <w:right w:val="nil"/>
                <w:between w:val="nil"/>
              </w:pBdr>
              <w:spacing w:after="0" w:line="276" w:lineRule="auto"/>
              <w:jc w:val="center"/>
              <w:rPr>
                <w:sz w:val="18"/>
                <w:szCs w:val="18"/>
              </w:rPr>
            </w:pPr>
            <w:r>
              <w:rPr>
                <w:rFonts w:ascii="Book Antiqua" w:eastAsia="Book Antiqua" w:hAnsi="Book Antiqua" w:cs="Book Antiqua"/>
                <w:sz w:val="18"/>
                <w:szCs w:val="18"/>
              </w:rPr>
              <w:t>2</w:t>
            </w:r>
          </w:p>
        </w:tc>
        <w:tc>
          <w:tcPr>
            <w:tcW w:w="960" w:type="dxa"/>
            <w:vMerge w:val="restart"/>
            <w:shd w:val="clear" w:color="auto" w:fill="CCCCCC"/>
            <w:tcMar>
              <w:top w:w="100" w:type="dxa"/>
              <w:left w:w="100" w:type="dxa"/>
              <w:bottom w:w="100" w:type="dxa"/>
              <w:right w:w="100" w:type="dxa"/>
            </w:tcMar>
          </w:tcPr>
          <w:p w14:paraId="6AC82067"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WHAT</w:t>
            </w:r>
          </w:p>
        </w:tc>
        <w:tc>
          <w:tcPr>
            <w:tcW w:w="1935" w:type="dxa"/>
            <w:shd w:val="clear" w:color="auto" w:fill="D9D9D9"/>
            <w:tcMar>
              <w:top w:w="100" w:type="dxa"/>
              <w:left w:w="100" w:type="dxa"/>
              <w:bottom w:w="100" w:type="dxa"/>
              <w:right w:w="100" w:type="dxa"/>
            </w:tcMar>
          </w:tcPr>
          <w:p w14:paraId="1A900210"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SUBJECT OF THE STUDY </w:t>
            </w:r>
          </w:p>
        </w:tc>
        <w:tc>
          <w:tcPr>
            <w:tcW w:w="1590" w:type="dxa"/>
            <w:shd w:val="clear" w:color="auto" w:fill="F3F3F3"/>
            <w:tcMar>
              <w:top w:w="100" w:type="dxa"/>
              <w:left w:w="100" w:type="dxa"/>
              <w:bottom w:w="100" w:type="dxa"/>
              <w:right w:w="100" w:type="dxa"/>
            </w:tcMar>
          </w:tcPr>
          <w:p w14:paraId="21ABCFFE"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What is the subject of the study? </w:t>
            </w:r>
          </w:p>
        </w:tc>
        <w:tc>
          <w:tcPr>
            <w:tcW w:w="4080" w:type="dxa"/>
            <w:shd w:val="clear" w:color="auto" w:fill="auto"/>
            <w:tcMar>
              <w:top w:w="100" w:type="dxa"/>
              <w:left w:w="100" w:type="dxa"/>
              <w:bottom w:w="100" w:type="dxa"/>
              <w:right w:w="100" w:type="dxa"/>
            </w:tcMar>
          </w:tcPr>
          <w:p w14:paraId="5757153E"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This study explores how multinational companies (MNCs) engage in cross-cultural blunders when operating in Muslim-majority and minority nations.</w:t>
            </w:r>
          </w:p>
        </w:tc>
      </w:tr>
      <w:tr w:rsidR="002530E2" w14:paraId="005F4AE5" w14:textId="77777777">
        <w:trPr>
          <w:trHeight w:val="400"/>
        </w:trPr>
        <w:tc>
          <w:tcPr>
            <w:tcW w:w="495" w:type="dxa"/>
            <w:vMerge/>
            <w:shd w:val="clear" w:color="auto" w:fill="B7B7B7"/>
            <w:tcMar>
              <w:top w:w="100" w:type="dxa"/>
              <w:left w:w="100" w:type="dxa"/>
              <w:bottom w:w="100" w:type="dxa"/>
              <w:right w:w="100" w:type="dxa"/>
            </w:tcMar>
          </w:tcPr>
          <w:p w14:paraId="487A6320" w14:textId="77777777" w:rsidR="002530E2" w:rsidRDefault="002530E2">
            <w:pPr>
              <w:widowControl w:val="0"/>
              <w:pBdr>
                <w:top w:val="nil"/>
                <w:left w:val="nil"/>
                <w:bottom w:val="nil"/>
                <w:right w:val="nil"/>
                <w:between w:val="nil"/>
              </w:pBdr>
              <w:spacing w:after="0" w:line="276" w:lineRule="auto"/>
              <w:rPr>
                <w:sz w:val="18"/>
                <w:szCs w:val="18"/>
              </w:rPr>
            </w:pPr>
          </w:p>
        </w:tc>
        <w:tc>
          <w:tcPr>
            <w:tcW w:w="960" w:type="dxa"/>
            <w:vMerge/>
            <w:shd w:val="clear" w:color="auto" w:fill="CCCCCC"/>
            <w:tcMar>
              <w:top w:w="100" w:type="dxa"/>
              <w:left w:w="100" w:type="dxa"/>
              <w:bottom w:w="100" w:type="dxa"/>
              <w:right w:w="100" w:type="dxa"/>
            </w:tcMar>
          </w:tcPr>
          <w:p w14:paraId="1A398FE1" w14:textId="77777777" w:rsidR="002530E2" w:rsidRDefault="002530E2">
            <w:pPr>
              <w:widowControl w:val="0"/>
              <w:pBdr>
                <w:top w:val="nil"/>
                <w:left w:val="nil"/>
                <w:bottom w:val="nil"/>
                <w:right w:val="nil"/>
                <w:between w:val="nil"/>
              </w:pBdr>
              <w:spacing w:after="0" w:line="276" w:lineRule="auto"/>
              <w:rPr>
                <w:sz w:val="18"/>
                <w:szCs w:val="18"/>
              </w:rPr>
            </w:pPr>
          </w:p>
        </w:tc>
        <w:tc>
          <w:tcPr>
            <w:tcW w:w="1935" w:type="dxa"/>
            <w:shd w:val="clear" w:color="auto" w:fill="D9D9D9"/>
            <w:tcMar>
              <w:top w:w="100" w:type="dxa"/>
              <w:left w:w="100" w:type="dxa"/>
              <w:bottom w:w="100" w:type="dxa"/>
              <w:right w:w="100" w:type="dxa"/>
            </w:tcMar>
          </w:tcPr>
          <w:p w14:paraId="2D5168A1" w14:textId="77777777" w:rsidR="002530E2" w:rsidRDefault="002530E2">
            <w:pPr>
              <w:pBdr>
                <w:top w:val="nil"/>
                <w:left w:val="nil"/>
                <w:bottom w:val="nil"/>
                <w:right w:val="nil"/>
                <w:between w:val="nil"/>
              </w:pBdr>
              <w:spacing w:after="0" w:line="240" w:lineRule="auto"/>
              <w:rPr>
                <w:sz w:val="18"/>
                <w:szCs w:val="18"/>
              </w:rPr>
            </w:pPr>
            <w:r>
              <w:rPr>
                <w:rFonts w:ascii="Book Antiqua" w:eastAsia="Book Antiqua" w:hAnsi="Book Antiqua" w:cs="Book Antiqua"/>
                <w:sz w:val="18"/>
                <w:szCs w:val="18"/>
              </w:rPr>
              <w:t>SPECIFIC VARIABLES INVESTIGATED</w:t>
            </w:r>
          </w:p>
        </w:tc>
        <w:tc>
          <w:tcPr>
            <w:tcW w:w="1590" w:type="dxa"/>
            <w:shd w:val="clear" w:color="auto" w:fill="F3F3F3"/>
            <w:tcMar>
              <w:top w:w="100" w:type="dxa"/>
              <w:left w:w="100" w:type="dxa"/>
              <w:bottom w:w="100" w:type="dxa"/>
              <w:right w:w="100" w:type="dxa"/>
            </w:tcMar>
          </w:tcPr>
          <w:p w14:paraId="2727C3AE"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What are the variables included under investigation?</w:t>
            </w:r>
          </w:p>
        </w:tc>
        <w:tc>
          <w:tcPr>
            <w:tcW w:w="4080" w:type="dxa"/>
            <w:shd w:val="clear" w:color="auto" w:fill="auto"/>
            <w:tcMar>
              <w:top w:w="100" w:type="dxa"/>
              <w:left w:w="100" w:type="dxa"/>
              <w:bottom w:w="100" w:type="dxa"/>
              <w:right w:w="100" w:type="dxa"/>
            </w:tcMar>
          </w:tcPr>
          <w:p w14:paraId="3B8A9FDC"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In order to investigate cross-cultural mistakes made by multinational corporations, it was essential to identify and specify the exact factors that would be analysed. Doing this can comprehensively cover the research scope while leaving out irrelevant details. Setting clear parameters for the study allowed the author to remain focused and effectively address the issues he was investigating. It is important to thoroughly examine how cross-cultural blunders made by MNCs can affect business relationships, reputation, and financial performance to conduct a comprehensive study—identifying which variables will be studied beforehand to conduct a practical </w:t>
            </w:r>
            <w:r>
              <w:rPr>
                <w:rFonts w:ascii="Book Antiqua" w:eastAsia="Book Antiqua" w:hAnsi="Book Antiqua" w:cs="Book Antiqua"/>
                <w:sz w:val="18"/>
                <w:szCs w:val="18"/>
              </w:rPr>
              <w:lastRenderedPageBreak/>
              <w:t>examination and avoid including unneeded information. Setting clear parameters for the study allowed the author to remain focused and effectively address the issues he was investigating.</w:t>
            </w:r>
          </w:p>
          <w:p w14:paraId="502396DC"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Additionally, it is crucial to investigate the strategies employed by MNCs to engage with Muslim consumers effectively. By focusing on these key variables, the study can remain manageable and avoid scope creep while providing valuable insights into this important issue. Furthermore, by addressing these cross-cultural misunderstandings, the research has the potential to promote cross-cultural collaboration and harmony, which can positively impact society as a whole.</w:t>
            </w:r>
          </w:p>
        </w:tc>
      </w:tr>
      <w:tr w:rsidR="002530E2" w14:paraId="33369F2E" w14:textId="77777777">
        <w:trPr>
          <w:trHeight w:val="400"/>
        </w:trPr>
        <w:tc>
          <w:tcPr>
            <w:tcW w:w="495" w:type="dxa"/>
            <w:vMerge w:val="restart"/>
            <w:shd w:val="clear" w:color="auto" w:fill="B7B7B7"/>
            <w:tcMar>
              <w:top w:w="100" w:type="dxa"/>
              <w:left w:w="100" w:type="dxa"/>
              <w:bottom w:w="100" w:type="dxa"/>
              <w:right w:w="100" w:type="dxa"/>
            </w:tcMar>
          </w:tcPr>
          <w:p w14:paraId="62C8E5EB" w14:textId="77777777" w:rsidR="002530E2" w:rsidRDefault="002530E2">
            <w:pPr>
              <w:pBdr>
                <w:top w:val="nil"/>
                <w:left w:val="nil"/>
                <w:bottom w:val="nil"/>
                <w:right w:val="nil"/>
                <w:between w:val="nil"/>
              </w:pBdr>
              <w:spacing w:after="0" w:line="276" w:lineRule="auto"/>
              <w:jc w:val="center"/>
              <w:rPr>
                <w:sz w:val="18"/>
                <w:szCs w:val="18"/>
              </w:rPr>
            </w:pPr>
            <w:r>
              <w:rPr>
                <w:rFonts w:ascii="Book Antiqua" w:eastAsia="Book Antiqua" w:hAnsi="Book Antiqua" w:cs="Book Antiqua"/>
                <w:sz w:val="18"/>
                <w:szCs w:val="18"/>
              </w:rPr>
              <w:lastRenderedPageBreak/>
              <w:t>3</w:t>
            </w:r>
          </w:p>
        </w:tc>
        <w:tc>
          <w:tcPr>
            <w:tcW w:w="960" w:type="dxa"/>
            <w:vMerge w:val="restart"/>
            <w:shd w:val="clear" w:color="auto" w:fill="CCCCCC"/>
            <w:tcMar>
              <w:top w:w="100" w:type="dxa"/>
              <w:left w:w="100" w:type="dxa"/>
              <w:bottom w:w="100" w:type="dxa"/>
              <w:right w:w="100" w:type="dxa"/>
            </w:tcMar>
          </w:tcPr>
          <w:p w14:paraId="50294116"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WHERE </w:t>
            </w:r>
          </w:p>
        </w:tc>
        <w:tc>
          <w:tcPr>
            <w:tcW w:w="1935" w:type="dxa"/>
            <w:shd w:val="clear" w:color="auto" w:fill="D9D9D9"/>
            <w:tcMar>
              <w:top w:w="100" w:type="dxa"/>
              <w:left w:w="100" w:type="dxa"/>
              <w:bottom w:w="100" w:type="dxa"/>
              <w:right w:w="100" w:type="dxa"/>
            </w:tcMar>
          </w:tcPr>
          <w:p w14:paraId="59B2D39D"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RESEARCH SETTING / DATA COLLECTION LOCATION  </w:t>
            </w:r>
          </w:p>
        </w:tc>
        <w:tc>
          <w:tcPr>
            <w:tcW w:w="1590" w:type="dxa"/>
            <w:shd w:val="clear" w:color="auto" w:fill="F3F3F3"/>
            <w:tcMar>
              <w:top w:w="100" w:type="dxa"/>
              <w:left w:w="100" w:type="dxa"/>
              <w:bottom w:w="100" w:type="dxa"/>
              <w:right w:w="100" w:type="dxa"/>
            </w:tcMar>
          </w:tcPr>
          <w:p w14:paraId="3C6D1A1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Where will the data be collected? </w:t>
            </w:r>
          </w:p>
        </w:tc>
        <w:tc>
          <w:tcPr>
            <w:tcW w:w="4080" w:type="dxa"/>
            <w:shd w:val="clear" w:color="auto" w:fill="auto"/>
            <w:tcMar>
              <w:top w:w="100" w:type="dxa"/>
              <w:left w:w="100" w:type="dxa"/>
              <w:bottom w:w="100" w:type="dxa"/>
              <w:right w:w="100" w:type="dxa"/>
            </w:tcMar>
          </w:tcPr>
          <w:p w14:paraId="408E6E9F"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Data for this investigation will come from various sources, such as existing literature and incident reports. </w:t>
            </w:r>
          </w:p>
        </w:tc>
      </w:tr>
      <w:tr w:rsidR="002530E2" w14:paraId="6A4FD92B" w14:textId="77777777">
        <w:trPr>
          <w:trHeight w:val="400"/>
        </w:trPr>
        <w:tc>
          <w:tcPr>
            <w:tcW w:w="495" w:type="dxa"/>
            <w:vMerge/>
            <w:shd w:val="clear" w:color="auto" w:fill="B7B7B7"/>
            <w:tcMar>
              <w:top w:w="100" w:type="dxa"/>
              <w:left w:w="100" w:type="dxa"/>
              <w:bottom w:w="100" w:type="dxa"/>
              <w:right w:w="100" w:type="dxa"/>
            </w:tcMar>
          </w:tcPr>
          <w:p w14:paraId="5185843F" w14:textId="77777777" w:rsidR="002530E2" w:rsidRDefault="002530E2">
            <w:pPr>
              <w:widowControl w:val="0"/>
              <w:pBdr>
                <w:top w:val="nil"/>
                <w:left w:val="nil"/>
                <w:bottom w:val="nil"/>
                <w:right w:val="nil"/>
                <w:between w:val="nil"/>
              </w:pBdr>
              <w:spacing w:after="0" w:line="276" w:lineRule="auto"/>
              <w:rPr>
                <w:sz w:val="18"/>
                <w:szCs w:val="18"/>
              </w:rPr>
            </w:pPr>
          </w:p>
        </w:tc>
        <w:tc>
          <w:tcPr>
            <w:tcW w:w="960" w:type="dxa"/>
            <w:vMerge/>
            <w:shd w:val="clear" w:color="auto" w:fill="CCCCCC"/>
            <w:tcMar>
              <w:top w:w="100" w:type="dxa"/>
              <w:left w:w="100" w:type="dxa"/>
              <w:bottom w:w="100" w:type="dxa"/>
              <w:right w:w="100" w:type="dxa"/>
            </w:tcMar>
          </w:tcPr>
          <w:p w14:paraId="0A2F4B3E" w14:textId="77777777" w:rsidR="002530E2" w:rsidRDefault="002530E2">
            <w:pPr>
              <w:widowControl w:val="0"/>
              <w:pBdr>
                <w:top w:val="nil"/>
                <w:left w:val="nil"/>
                <w:bottom w:val="nil"/>
                <w:right w:val="nil"/>
                <w:between w:val="nil"/>
              </w:pBdr>
              <w:spacing w:after="0" w:line="276" w:lineRule="auto"/>
              <w:rPr>
                <w:sz w:val="18"/>
                <w:szCs w:val="18"/>
              </w:rPr>
            </w:pPr>
          </w:p>
        </w:tc>
        <w:tc>
          <w:tcPr>
            <w:tcW w:w="1935" w:type="dxa"/>
            <w:shd w:val="clear" w:color="auto" w:fill="D9D9D9"/>
            <w:tcMar>
              <w:top w:w="100" w:type="dxa"/>
              <w:left w:w="100" w:type="dxa"/>
              <w:bottom w:w="100" w:type="dxa"/>
              <w:right w:w="100" w:type="dxa"/>
            </w:tcMar>
          </w:tcPr>
          <w:p w14:paraId="536641A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SPECIFIC CONSTRAINTS ON THE DATA COLLECTION PROCESS</w:t>
            </w:r>
          </w:p>
        </w:tc>
        <w:tc>
          <w:tcPr>
            <w:tcW w:w="1590" w:type="dxa"/>
            <w:shd w:val="clear" w:color="auto" w:fill="F3F3F3"/>
            <w:tcMar>
              <w:top w:w="100" w:type="dxa"/>
              <w:left w:w="100" w:type="dxa"/>
              <w:bottom w:w="100" w:type="dxa"/>
              <w:right w:w="100" w:type="dxa"/>
            </w:tcMar>
          </w:tcPr>
          <w:p w14:paraId="14F132A8"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What constraints limit data collection processes?</w:t>
            </w:r>
          </w:p>
        </w:tc>
        <w:tc>
          <w:tcPr>
            <w:tcW w:w="4080" w:type="dxa"/>
            <w:shd w:val="clear" w:color="auto" w:fill="auto"/>
            <w:tcMar>
              <w:top w:w="100" w:type="dxa"/>
              <w:left w:w="100" w:type="dxa"/>
              <w:bottom w:w="100" w:type="dxa"/>
              <w:right w:w="100" w:type="dxa"/>
            </w:tcMar>
          </w:tcPr>
          <w:p w14:paraId="04311719"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There are no specific constraints on the data collection process, as the focus is on analysing previously reported incidents.</w:t>
            </w:r>
          </w:p>
        </w:tc>
      </w:tr>
      <w:tr w:rsidR="002530E2" w14:paraId="297DA33A" w14:textId="77777777">
        <w:tc>
          <w:tcPr>
            <w:tcW w:w="495" w:type="dxa"/>
            <w:shd w:val="clear" w:color="auto" w:fill="B7B7B7"/>
            <w:tcMar>
              <w:top w:w="100" w:type="dxa"/>
              <w:left w:w="100" w:type="dxa"/>
              <w:bottom w:w="100" w:type="dxa"/>
              <w:right w:w="100" w:type="dxa"/>
            </w:tcMar>
          </w:tcPr>
          <w:p w14:paraId="144B4494" w14:textId="77777777" w:rsidR="002530E2" w:rsidRDefault="002530E2">
            <w:pPr>
              <w:pBdr>
                <w:top w:val="nil"/>
                <w:left w:val="nil"/>
                <w:bottom w:val="nil"/>
                <w:right w:val="nil"/>
                <w:between w:val="nil"/>
              </w:pBdr>
              <w:spacing w:after="0" w:line="276" w:lineRule="auto"/>
              <w:jc w:val="center"/>
              <w:rPr>
                <w:sz w:val="18"/>
                <w:szCs w:val="18"/>
              </w:rPr>
            </w:pPr>
            <w:r>
              <w:rPr>
                <w:rFonts w:ascii="Book Antiqua" w:eastAsia="Book Antiqua" w:hAnsi="Book Antiqua" w:cs="Book Antiqua"/>
                <w:sz w:val="18"/>
                <w:szCs w:val="18"/>
              </w:rPr>
              <w:t>4</w:t>
            </w:r>
          </w:p>
        </w:tc>
        <w:tc>
          <w:tcPr>
            <w:tcW w:w="960" w:type="dxa"/>
            <w:shd w:val="clear" w:color="auto" w:fill="CCCCCC"/>
            <w:tcMar>
              <w:top w:w="100" w:type="dxa"/>
              <w:left w:w="100" w:type="dxa"/>
              <w:bottom w:w="100" w:type="dxa"/>
              <w:right w:w="100" w:type="dxa"/>
            </w:tcMar>
          </w:tcPr>
          <w:p w14:paraId="2692A23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WHEN</w:t>
            </w:r>
          </w:p>
        </w:tc>
        <w:tc>
          <w:tcPr>
            <w:tcW w:w="1935" w:type="dxa"/>
            <w:shd w:val="clear" w:color="auto" w:fill="D9D9D9"/>
            <w:tcMar>
              <w:top w:w="100" w:type="dxa"/>
              <w:left w:w="100" w:type="dxa"/>
              <w:bottom w:w="100" w:type="dxa"/>
              <w:right w:w="100" w:type="dxa"/>
            </w:tcMar>
          </w:tcPr>
          <w:p w14:paraId="626586D2"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PERIOD COVERED BY THE STUDY </w:t>
            </w:r>
          </w:p>
        </w:tc>
        <w:tc>
          <w:tcPr>
            <w:tcW w:w="1590" w:type="dxa"/>
            <w:shd w:val="clear" w:color="auto" w:fill="F3F3F3"/>
            <w:tcMar>
              <w:top w:w="100" w:type="dxa"/>
              <w:left w:w="100" w:type="dxa"/>
              <w:bottom w:w="100" w:type="dxa"/>
              <w:right w:w="100" w:type="dxa"/>
            </w:tcMar>
          </w:tcPr>
          <w:p w14:paraId="6BF20FA3"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What time frame covers and collects this study’s data collection process?</w:t>
            </w:r>
          </w:p>
        </w:tc>
        <w:tc>
          <w:tcPr>
            <w:tcW w:w="4080" w:type="dxa"/>
            <w:shd w:val="clear" w:color="auto" w:fill="auto"/>
            <w:tcMar>
              <w:top w:w="100" w:type="dxa"/>
              <w:left w:w="100" w:type="dxa"/>
              <w:bottom w:w="100" w:type="dxa"/>
              <w:right w:w="100" w:type="dxa"/>
            </w:tcMar>
          </w:tcPr>
          <w:p w14:paraId="404EC8E4"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The study analysed existing literature from 1990 to 2020, and incidents reported between 2010 and 2020 to understand prevalent cross-cultural blunders by MNCs.</w:t>
            </w:r>
          </w:p>
        </w:tc>
      </w:tr>
      <w:tr w:rsidR="002530E2" w14:paraId="3A04417C" w14:textId="77777777">
        <w:trPr>
          <w:trHeight w:val="400"/>
        </w:trPr>
        <w:tc>
          <w:tcPr>
            <w:tcW w:w="495" w:type="dxa"/>
            <w:vMerge w:val="restart"/>
            <w:shd w:val="clear" w:color="auto" w:fill="B7B7B7"/>
            <w:tcMar>
              <w:top w:w="100" w:type="dxa"/>
              <w:left w:w="100" w:type="dxa"/>
              <w:bottom w:w="100" w:type="dxa"/>
              <w:right w:w="100" w:type="dxa"/>
            </w:tcMar>
          </w:tcPr>
          <w:p w14:paraId="53EBBE16" w14:textId="77777777" w:rsidR="002530E2" w:rsidRDefault="002530E2">
            <w:pPr>
              <w:pBdr>
                <w:top w:val="nil"/>
                <w:left w:val="nil"/>
                <w:bottom w:val="nil"/>
                <w:right w:val="nil"/>
                <w:between w:val="nil"/>
              </w:pBdr>
              <w:spacing w:after="0" w:line="276" w:lineRule="auto"/>
              <w:jc w:val="center"/>
              <w:rPr>
                <w:sz w:val="18"/>
                <w:szCs w:val="18"/>
              </w:rPr>
            </w:pPr>
            <w:r>
              <w:rPr>
                <w:rFonts w:ascii="Book Antiqua" w:eastAsia="Book Antiqua" w:hAnsi="Book Antiqua" w:cs="Book Antiqua"/>
                <w:sz w:val="18"/>
                <w:szCs w:val="18"/>
              </w:rPr>
              <w:t>5</w:t>
            </w:r>
          </w:p>
        </w:tc>
        <w:tc>
          <w:tcPr>
            <w:tcW w:w="960" w:type="dxa"/>
            <w:vMerge w:val="restart"/>
            <w:shd w:val="clear" w:color="auto" w:fill="CCCCCC"/>
            <w:tcMar>
              <w:top w:w="100" w:type="dxa"/>
              <w:left w:w="100" w:type="dxa"/>
              <w:bottom w:w="100" w:type="dxa"/>
              <w:right w:w="100" w:type="dxa"/>
            </w:tcMar>
          </w:tcPr>
          <w:p w14:paraId="15E83FEA"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WHO</w:t>
            </w:r>
          </w:p>
        </w:tc>
        <w:tc>
          <w:tcPr>
            <w:tcW w:w="1935" w:type="dxa"/>
            <w:shd w:val="clear" w:color="auto" w:fill="D9D9D9"/>
            <w:tcMar>
              <w:top w:w="100" w:type="dxa"/>
              <w:left w:w="100" w:type="dxa"/>
              <w:bottom w:w="100" w:type="dxa"/>
              <w:right w:w="100" w:type="dxa"/>
            </w:tcMar>
          </w:tcPr>
          <w:p w14:paraId="09E8B96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SUBJECTS OF THE STUDY </w:t>
            </w:r>
          </w:p>
        </w:tc>
        <w:tc>
          <w:tcPr>
            <w:tcW w:w="1590" w:type="dxa"/>
            <w:shd w:val="clear" w:color="auto" w:fill="F3F3F3"/>
            <w:tcMar>
              <w:top w:w="100" w:type="dxa"/>
              <w:left w:w="100" w:type="dxa"/>
              <w:bottom w:w="100" w:type="dxa"/>
              <w:right w:w="100" w:type="dxa"/>
            </w:tcMar>
          </w:tcPr>
          <w:p w14:paraId="401D12CF"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Who are the study subjects? </w:t>
            </w:r>
          </w:p>
        </w:tc>
        <w:tc>
          <w:tcPr>
            <w:tcW w:w="4080" w:type="dxa"/>
            <w:shd w:val="clear" w:color="auto" w:fill="auto"/>
            <w:tcMar>
              <w:top w:w="100" w:type="dxa"/>
              <w:left w:w="100" w:type="dxa"/>
              <w:bottom w:w="100" w:type="dxa"/>
              <w:right w:w="100" w:type="dxa"/>
            </w:tcMar>
          </w:tcPr>
          <w:p w14:paraId="3667751A"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The subjects of this study are MNCs operating in Muslim-majority and minority countries, as well as Muslim consumers affected by cross-cultural blunders. </w:t>
            </w:r>
          </w:p>
        </w:tc>
      </w:tr>
      <w:tr w:rsidR="002530E2" w14:paraId="0DB1A1D9" w14:textId="77777777">
        <w:trPr>
          <w:trHeight w:val="400"/>
        </w:trPr>
        <w:tc>
          <w:tcPr>
            <w:tcW w:w="495" w:type="dxa"/>
            <w:vMerge/>
            <w:shd w:val="clear" w:color="auto" w:fill="B7B7B7"/>
            <w:tcMar>
              <w:top w:w="100" w:type="dxa"/>
              <w:left w:w="100" w:type="dxa"/>
              <w:bottom w:w="100" w:type="dxa"/>
              <w:right w:w="100" w:type="dxa"/>
            </w:tcMar>
          </w:tcPr>
          <w:p w14:paraId="5051001F" w14:textId="77777777" w:rsidR="002530E2" w:rsidRDefault="002530E2">
            <w:pPr>
              <w:widowControl w:val="0"/>
              <w:pBdr>
                <w:top w:val="nil"/>
                <w:left w:val="nil"/>
                <w:bottom w:val="nil"/>
                <w:right w:val="nil"/>
                <w:between w:val="nil"/>
              </w:pBdr>
              <w:spacing w:after="0" w:line="276" w:lineRule="auto"/>
              <w:rPr>
                <w:sz w:val="18"/>
                <w:szCs w:val="18"/>
              </w:rPr>
            </w:pPr>
          </w:p>
        </w:tc>
        <w:tc>
          <w:tcPr>
            <w:tcW w:w="960" w:type="dxa"/>
            <w:vMerge/>
            <w:shd w:val="clear" w:color="auto" w:fill="CCCCCC"/>
            <w:tcMar>
              <w:top w:w="100" w:type="dxa"/>
              <w:left w:w="100" w:type="dxa"/>
              <w:bottom w:w="100" w:type="dxa"/>
              <w:right w:w="100" w:type="dxa"/>
            </w:tcMar>
          </w:tcPr>
          <w:p w14:paraId="4E7E8971" w14:textId="77777777" w:rsidR="002530E2" w:rsidRDefault="002530E2">
            <w:pPr>
              <w:widowControl w:val="0"/>
              <w:pBdr>
                <w:top w:val="nil"/>
                <w:left w:val="nil"/>
                <w:bottom w:val="nil"/>
                <w:right w:val="nil"/>
                <w:between w:val="nil"/>
              </w:pBdr>
              <w:spacing w:after="0" w:line="276" w:lineRule="auto"/>
              <w:rPr>
                <w:sz w:val="18"/>
                <w:szCs w:val="18"/>
              </w:rPr>
            </w:pPr>
          </w:p>
        </w:tc>
        <w:tc>
          <w:tcPr>
            <w:tcW w:w="1935" w:type="dxa"/>
            <w:shd w:val="clear" w:color="auto" w:fill="D9D9D9"/>
            <w:tcMar>
              <w:top w:w="100" w:type="dxa"/>
              <w:left w:w="100" w:type="dxa"/>
              <w:bottom w:w="100" w:type="dxa"/>
              <w:right w:w="100" w:type="dxa"/>
            </w:tcMar>
          </w:tcPr>
          <w:p w14:paraId="676B884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SPECIFIC SAMPLE POPULATION</w:t>
            </w:r>
          </w:p>
        </w:tc>
        <w:tc>
          <w:tcPr>
            <w:tcW w:w="1590" w:type="dxa"/>
            <w:shd w:val="clear" w:color="auto" w:fill="F3F3F3"/>
            <w:tcMar>
              <w:top w:w="100" w:type="dxa"/>
              <w:left w:w="100" w:type="dxa"/>
              <w:bottom w:w="100" w:type="dxa"/>
              <w:right w:w="100" w:type="dxa"/>
            </w:tcMar>
          </w:tcPr>
          <w:p w14:paraId="23579F34"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What will the sample population include?</w:t>
            </w:r>
          </w:p>
        </w:tc>
        <w:tc>
          <w:tcPr>
            <w:tcW w:w="4080" w:type="dxa"/>
            <w:shd w:val="clear" w:color="auto" w:fill="auto"/>
            <w:tcMar>
              <w:top w:w="100" w:type="dxa"/>
              <w:left w:w="100" w:type="dxa"/>
              <w:bottom w:w="100" w:type="dxa"/>
              <w:right w:w="100" w:type="dxa"/>
            </w:tcMar>
          </w:tcPr>
          <w:p w14:paraId="73834316"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The specific sample population will comprise a diverse range of MNCs and Muslim consumers in these markets.</w:t>
            </w:r>
          </w:p>
        </w:tc>
      </w:tr>
      <w:tr w:rsidR="002530E2" w14:paraId="18B51800" w14:textId="77777777">
        <w:trPr>
          <w:trHeight w:val="400"/>
        </w:trPr>
        <w:tc>
          <w:tcPr>
            <w:tcW w:w="495" w:type="dxa"/>
            <w:vMerge w:val="restart"/>
            <w:shd w:val="clear" w:color="auto" w:fill="B7B7B7"/>
            <w:tcMar>
              <w:top w:w="100" w:type="dxa"/>
              <w:left w:w="100" w:type="dxa"/>
              <w:bottom w:w="100" w:type="dxa"/>
              <w:right w:w="100" w:type="dxa"/>
            </w:tcMar>
          </w:tcPr>
          <w:p w14:paraId="729AC93C" w14:textId="77777777" w:rsidR="002530E2" w:rsidRDefault="002530E2">
            <w:pPr>
              <w:pBdr>
                <w:top w:val="nil"/>
                <w:left w:val="nil"/>
                <w:bottom w:val="nil"/>
                <w:right w:val="nil"/>
                <w:between w:val="nil"/>
              </w:pBdr>
              <w:spacing w:after="0" w:line="276" w:lineRule="auto"/>
              <w:jc w:val="center"/>
              <w:rPr>
                <w:sz w:val="18"/>
                <w:szCs w:val="18"/>
              </w:rPr>
            </w:pPr>
            <w:r>
              <w:rPr>
                <w:rFonts w:ascii="Book Antiqua" w:eastAsia="Book Antiqua" w:hAnsi="Book Antiqua" w:cs="Book Antiqua"/>
                <w:sz w:val="18"/>
                <w:szCs w:val="18"/>
              </w:rPr>
              <w:t>6</w:t>
            </w:r>
          </w:p>
        </w:tc>
        <w:tc>
          <w:tcPr>
            <w:tcW w:w="960" w:type="dxa"/>
            <w:vMerge w:val="restart"/>
            <w:shd w:val="clear" w:color="auto" w:fill="CCCCCC"/>
            <w:tcMar>
              <w:top w:w="100" w:type="dxa"/>
              <w:left w:w="100" w:type="dxa"/>
              <w:bottom w:w="100" w:type="dxa"/>
              <w:right w:w="100" w:type="dxa"/>
            </w:tcMar>
          </w:tcPr>
          <w:p w14:paraId="372706F9"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HOW</w:t>
            </w:r>
          </w:p>
        </w:tc>
        <w:tc>
          <w:tcPr>
            <w:tcW w:w="1935" w:type="dxa"/>
            <w:shd w:val="clear" w:color="auto" w:fill="D9D9D9"/>
            <w:tcMar>
              <w:top w:w="100" w:type="dxa"/>
              <w:left w:w="100" w:type="dxa"/>
              <w:bottom w:w="100" w:type="dxa"/>
              <w:right w:w="100" w:type="dxa"/>
            </w:tcMar>
          </w:tcPr>
          <w:p w14:paraId="6F4341D1"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STUDY METHODS</w:t>
            </w:r>
          </w:p>
        </w:tc>
        <w:tc>
          <w:tcPr>
            <w:tcW w:w="1590" w:type="dxa"/>
            <w:shd w:val="clear" w:color="auto" w:fill="F3F3F3"/>
            <w:tcMar>
              <w:top w:w="100" w:type="dxa"/>
              <w:left w:w="100" w:type="dxa"/>
              <w:bottom w:w="100" w:type="dxa"/>
              <w:right w:w="100" w:type="dxa"/>
            </w:tcMar>
          </w:tcPr>
          <w:p w14:paraId="0240D415"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How will the study be conducted? </w:t>
            </w:r>
          </w:p>
        </w:tc>
        <w:tc>
          <w:tcPr>
            <w:tcW w:w="4080" w:type="dxa"/>
            <w:shd w:val="clear" w:color="auto" w:fill="auto"/>
            <w:tcMar>
              <w:top w:w="100" w:type="dxa"/>
              <w:left w:w="100" w:type="dxa"/>
              <w:bottom w:w="100" w:type="dxa"/>
              <w:right w:w="100" w:type="dxa"/>
            </w:tcMar>
          </w:tcPr>
          <w:p w14:paraId="0C14E580"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This study will critically analyse existing literature and incident reports as the primary methods to collect data. </w:t>
            </w:r>
          </w:p>
        </w:tc>
      </w:tr>
      <w:tr w:rsidR="002530E2" w14:paraId="4B4D03F2" w14:textId="77777777">
        <w:trPr>
          <w:trHeight w:val="400"/>
        </w:trPr>
        <w:tc>
          <w:tcPr>
            <w:tcW w:w="495" w:type="dxa"/>
            <w:vMerge/>
            <w:shd w:val="clear" w:color="auto" w:fill="B7B7B7"/>
            <w:tcMar>
              <w:top w:w="100" w:type="dxa"/>
              <w:left w:w="100" w:type="dxa"/>
              <w:bottom w:w="100" w:type="dxa"/>
              <w:right w:w="100" w:type="dxa"/>
            </w:tcMar>
          </w:tcPr>
          <w:p w14:paraId="766680D1" w14:textId="77777777" w:rsidR="002530E2" w:rsidRDefault="002530E2">
            <w:pPr>
              <w:widowControl w:val="0"/>
              <w:pBdr>
                <w:top w:val="nil"/>
                <w:left w:val="nil"/>
                <w:bottom w:val="nil"/>
                <w:right w:val="nil"/>
                <w:between w:val="nil"/>
              </w:pBdr>
              <w:spacing w:after="0" w:line="276" w:lineRule="auto"/>
              <w:rPr>
                <w:sz w:val="18"/>
                <w:szCs w:val="18"/>
              </w:rPr>
            </w:pPr>
          </w:p>
        </w:tc>
        <w:tc>
          <w:tcPr>
            <w:tcW w:w="960" w:type="dxa"/>
            <w:vMerge/>
            <w:shd w:val="clear" w:color="auto" w:fill="CCCCCC"/>
            <w:tcMar>
              <w:top w:w="100" w:type="dxa"/>
              <w:left w:w="100" w:type="dxa"/>
              <w:bottom w:w="100" w:type="dxa"/>
              <w:right w:w="100" w:type="dxa"/>
            </w:tcMar>
          </w:tcPr>
          <w:p w14:paraId="5568D829" w14:textId="77777777" w:rsidR="002530E2" w:rsidRDefault="002530E2">
            <w:pPr>
              <w:widowControl w:val="0"/>
              <w:pBdr>
                <w:top w:val="nil"/>
                <w:left w:val="nil"/>
                <w:bottom w:val="nil"/>
                <w:right w:val="nil"/>
                <w:between w:val="nil"/>
              </w:pBdr>
              <w:spacing w:after="0" w:line="276" w:lineRule="auto"/>
              <w:rPr>
                <w:sz w:val="18"/>
                <w:szCs w:val="18"/>
              </w:rPr>
            </w:pPr>
          </w:p>
        </w:tc>
        <w:tc>
          <w:tcPr>
            <w:tcW w:w="1935" w:type="dxa"/>
            <w:shd w:val="clear" w:color="auto" w:fill="D9D9D9"/>
            <w:tcMar>
              <w:top w:w="100" w:type="dxa"/>
              <w:left w:w="100" w:type="dxa"/>
              <w:bottom w:w="100" w:type="dxa"/>
              <w:right w:w="100" w:type="dxa"/>
            </w:tcMar>
          </w:tcPr>
          <w:p w14:paraId="3239734A"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SPECIFIC STUDY METHODS</w:t>
            </w:r>
          </w:p>
        </w:tc>
        <w:tc>
          <w:tcPr>
            <w:tcW w:w="1590" w:type="dxa"/>
            <w:shd w:val="clear" w:color="auto" w:fill="F3F3F3"/>
            <w:tcMar>
              <w:top w:w="100" w:type="dxa"/>
              <w:left w:w="100" w:type="dxa"/>
              <w:bottom w:w="100" w:type="dxa"/>
              <w:right w:w="100" w:type="dxa"/>
            </w:tcMar>
          </w:tcPr>
          <w:p w14:paraId="6108A1EA"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t xml:space="preserve">What methods will be employed when collecting </w:t>
            </w:r>
            <w:r>
              <w:rPr>
                <w:rFonts w:ascii="Book Antiqua" w:eastAsia="Book Antiqua" w:hAnsi="Book Antiqua" w:cs="Book Antiqua"/>
                <w:sz w:val="18"/>
                <w:szCs w:val="18"/>
              </w:rPr>
              <w:lastRenderedPageBreak/>
              <w:t>and analysing the data?</w:t>
            </w:r>
          </w:p>
        </w:tc>
        <w:tc>
          <w:tcPr>
            <w:tcW w:w="4080" w:type="dxa"/>
            <w:shd w:val="clear" w:color="auto" w:fill="auto"/>
            <w:tcMar>
              <w:top w:w="100" w:type="dxa"/>
              <w:left w:w="100" w:type="dxa"/>
              <w:bottom w:w="100" w:type="dxa"/>
              <w:right w:w="100" w:type="dxa"/>
            </w:tcMar>
          </w:tcPr>
          <w:p w14:paraId="23388B84" w14:textId="77777777" w:rsidR="002530E2" w:rsidRDefault="002530E2">
            <w:pPr>
              <w:pBdr>
                <w:top w:val="nil"/>
                <w:left w:val="nil"/>
                <w:bottom w:val="nil"/>
                <w:right w:val="nil"/>
                <w:between w:val="nil"/>
              </w:pBdr>
              <w:spacing w:after="0" w:line="276" w:lineRule="auto"/>
              <w:rPr>
                <w:sz w:val="18"/>
                <w:szCs w:val="18"/>
              </w:rPr>
            </w:pPr>
            <w:r>
              <w:rPr>
                <w:rFonts w:ascii="Book Antiqua" w:eastAsia="Book Antiqua" w:hAnsi="Book Antiqua" w:cs="Book Antiqua"/>
                <w:sz w:val="18"/>
                <w:szCs w:val="18"/>
              </w:rPr>
              <w:lastRenderedPageBreak/>
              <w:t xml:space="preserve">A qualitative analysis will identify the common cross-cultural blunders, assess their impact, and explore strategies for effective engagement. </w:t>
            </w:r>
            <w:r>
              <w:rPr>
                <w:rFonts w:ascii="Book Antiqua" w:eastAsia="Book Antiqua" w:hAnsi="Book Antiqua" w:cs="Book Antiqua"/>
                <w:sz w:val="18"/>
                <w:szCs w:val="18"/>
              </w:rPr>
              <w:lastRenderedPageBreak/>
              <w:t>Academic environments typically utilise qualitative research methodologies to analyse data, gain valuable insights, and make appropriate recommendations.</w:t>
            </w:r>
          </w:p>
        </w:tc>
      </w:tr>
    </w:tbl>
    <w:p w14:paraId="649D2F35" w14:textId="77777777" w:rsidR="002530E2" w:rsidRDefault="002530E2">
      <w:pPr>
        <w:pStyle w:val="Heading4"/>
        <w:spacing w:after="200" w:line="276" w:lineRule="auto"/>
        <w:rPr>
          <w:color w:val="000000"/>
        </w:rPr>
      </w:pPr>
      <w:r>
        <w:rPr>
          <w:color w:val="000000"/>
        </w:rPr>
        <w:lastRenderedPageBreak/>
        <w:t>Table 1.2: This table provides the six core elements and specific areas of emphasis of this research study’s scope and focus. A self-constructed template and table by this study’s author adopting the good scope statement framework recommended by DiscoverPhDs (2020)</w:t>
      </w:r>
    </w:p>
    <w:p w14:paraId="7D28EB5A" w14:textId="77777777" w:rsidR="002530E2" w:rsidRDefault="002530E2">
      <w:pPr>
        <w:pStyle w:val="Heading1"/>
      </w:pPr>
      <w:bookmarkStart w:id="14" w:name="_heading=h.1h5m09dfycfk" w:colFirst="0" w:colLast="0"/>
      <w:bookmarkEnd w:id="14"/>
      <w:r>
        <w:t>1.13 — BRIEF LITERATURE REVIEW OVERVIEW</w:t>
      </w:r>
    </w:p>
    <w:p w14:paraId="25D9D980" w14:textId="77777777" w:rsidR="002530E2" w:rsidRDefault="002530E2">
      <w:r>
        <w:t>The literature review in Chapter 3 provides an overview of research theories, key terms, and definitions related to cross-cultural dynamics with Muslim consumers. It covers</w:t>
      </w:r>
    </w:p>
    <w:p w14:paraId="3179DC71" w14:textId="77777777" w:rsidR="002530E2" w:rsidRDefault="002530E2" w:rsidP="002530E2">
      <w:pPr>
        <w:numPr>
          <w:ilvl w:val="0"/>
          <w:numId w:val="12"/>
        </w:numPr>
        <w:spacing w:after="0" w:line="432" w:lineRule="auto"/>
        <w:jc w:val="both"/>
      </w:pPr>
      <w:r>
        <w:t>A methodical review of fundamental research theories.</w:t>
      </w:r>
    </w:p>
    <w:p w14:paraId="2B0AA5D5" w14:textId="77777777" w:rsidR="002530E2" w:rsidRDefault="002530E2" w:rsidP="002530E2">
      <w:pPr>
        <w:numPr>
          <w:ilvl w:val="0"/>
          <w:numId w:val="12"/>
        </w:numPr>
        <w:spacing w:after="0" w:line="432" w:lineRule="auto"/>
        <w:jc w:val="both"/>
      </w:pPr>
      <w:r>
        <w:t>Definition of key terms and concepts.</w:t>
      </w:r>
    </w:p>
    <w:p w14:paraId="52889A7E" w14:textId="77777777" w:rsidR="002530E2" w:rsidRDefault="002530E2" w:rsidP="002530E2">
      <w:pPr>
        <w:numPr>
          <w:ilvl w:val="0"/>
          <w:numId w:val="12"/>
        </w:numPr>
        <w:spacing w:after="0" w:line="432" w:lineRule="auto"/>
        <w:jc w:val="both"/>
      </w:pPr>
      <w:r>
        <w:t>Exploration of related concepts and historical knowledge.</w:t>
      </w:r>
    </w:p>
    <w:p w14:paraId="5D9BC3DD" w14:textId="77777777" w:rsidR="002530E2" w:rsidRDefault="002530E2" w:rsidP="002530E2">
      <w:pPr>
        <w:numPr>
          <w:ilvl w:val="0"/>
          <w:numId w:val="12"/>
        </w:numPr>
        <w:spacing w:after="0" w:line="432" w:lineRule="auto"/>
        <w:jc w:val="both"/>
      </w:pPr>
      <w:r>
        <w:t>Analysis of established theories and their relevance.</w:t>
      </w:r>
    </w:p>
    <w:p w14:paraId="3BB5EB4C" w14:textId="77777777" w:rsidR="002530E2" w:rsidRDefault="002530E2" w:rsidP="002530E2">
      <w:pPr>
        <w:numPr>
          <w:ilvl w:val="0"/>
          <w:numId w:val="12"/>
        </w:numPr>
        <w:spacing w:after="0" w:line="432" w:lineRule="auto"/>
        <w:jc w:val="both"/>
      </w:pPr>
      <w:r>
        <w:t>Review of previous studies and their findings.</w:t>
      </w:r>
    </w:p>
    <w:p w14:paraId="4D109FAB" w14:textId="77777777" w:rsidR="002530E2" w:rsidRDefault="002530E2" w:rsidP="002530E2">
      <w:pPr>
        <w:numPr>
          <w:ilvl w:val="0"/>
          <w:numId w:val="12"/>
        </w:numPr>
        <w:spacing w:after="0" w:line="432" w:lineRule="auto"/>
        <w:jc w:val="both"/>
      </w:pPr>
      <w:r>
        <w:t>Analysis of cross-cultural blunders and their impact.</w:t>
      </w:r>
    </w:p>
    <w:p w14:paraId="11CA53E4" w14:textId="77777777" w:rsidR="002530E2" w:rsidRDefault="002530E2">
      <w:r>
        <w:t>The literature analysis in this study includes examining previous studies, specific incidents or blunders, and their contributions to a deeper understanding of the complexities and pitfalls that need to be considered and addressed.</w:t>
      </w:r>
    </w:p>
    <w:p w14:paraId="1A011378" w14:textId="77777777" w:rsidR="002530E2" w:rsidRDefault="002530E2"/>
    <w:p w14:paraId="36549A91" w14:textId="77777777" w:rsidR="002530E2" w:rsidRDefault="002530E2">
      <w:pPr>
        <w:pStyle w:val="Heading1"/>
      </w:pPr>
      <w:r>
        <w:t>1.14 — BRIEF METHODOLOGY OVERVIEW</w:t>
      </w:r>
    </w:p>
    <w:p w14:paraId="66BA7A73" w14:textId="77777777" w:rsidR="002530E2" w:rsidRDefault="002530E2">
      <w:r>
        <w:t>The research method employed in this study was qualitative document analysis. This method involved carefully reviewing and analysing various documents, including academic journals, news articles, government reports, case studies, social media posts, online forums, and corporate documents. The author thoroughly examined these documents to understand the key factors contributing to cross-cultural miscommunication between multinational corporations (MNCs) and Muslims worldwide.</w:t>
      </w:r>
    </w:p>
    <w:p w14:paraId="1AF87C73" w14:textId="77777777" w:rsidR="002530E2" w:rsidRDefault="002530E2">
      <w:r>
        <w:t>The qualitative document analysis approach facilitated a comprehensive exploration of the content, themes, and patterns present within these documents, thereby providing valuable insights into the underlying causes, cultural dynamics, and consequences of the cross-cultural blunders that occurred. The author of this study thoroughly examined the documents, extracting pertinent information and conducting an in-depth analysis to understand the phenomenon under investigation better.</w:t>
      </w:r>
    </w:p>
    <w:p w14:paraId="49CB061E" w14:textId="77777777" w:rsidR="002530E2" w:rsidRDefault="002530E2">
      <w:r>
        <w:lastRenderedPageBreak/>
        <w:t>This method enabled a systematic examination of a broad range of textual sources, ensuring the robustness and reliability of the findings in this study. An extensive analysis of documents revealed key themes, trends, and commonalities, allowing a fuller comprehension of cross-cultural errors between multinational corporations (MNCs) and Muslim communities.</w:t>
      </w:r>
    </w:p>
    <w:p w14:paraId="0CB68B89" w14:textId="77777777" w:rsidR="002530E2" w:rsidRDefault="002530E2">
      <w:r>
        <w:t>By utilising qualitative document analysis, this research method provided a solid foundation for capturing and analysing rich data from various sources, ultimately enhancing the study’s credibility and enabling a nuanced exploration of the research questions.</w:t>
      </w:r>
    </w:p>
    <w:p w14:paraId="5213CA0E" w14:textId="77777777" w:rsidR="002530E2" w:rsidRDefault="002530E2">
      <w:r>
        <w:t>Overall, the qualitative document analysis approach proved instrumental in gathering and analysing data from diverse document types, yielding valuable insights into cross-cultural blunders and their implications for MNCs and Muslim communities worldwide.</w:t>
      </w:r>
    </w:p>
    <w:p w14:paraId="5C3B5945" w14:textId="77777777" w:rsidR="002530E2" w:rsidRDefault="002530E2">
      <w:r>
        <w:t>This study’s methodology, presented in Chapter 4, provides a detailed overview of the research approach, design, and procedures employed to investigate cross-cultural blunders by MNCs operating in Muslim-majority and minority countries between 2010 and 2020. This introduction sets the stage by presenting key aspects related to the following:</w:t>
      </w:r>
    </w:p>
    <w:p w14:paraId="6BDC9244" w14:textId="77777777" w:rsidR="002530E2" w:rsidRDefault="002530E2" w:rsidP="002530E2">
      <w:pPr>
        <w:numPr>
          <w:ilvl w:val="0"/>
          <w:numId w:val="11"/>
        </w:numPr>
        <w:spacing w:before="240" w:after="240" w:line="432" w:lineRule="auto"/>
        <w:jc w:val="both"/>
      </w:pPr>
      <w:r>
        <w:t>Research Nature: The study’s primarily exploratory nature aims to explore the factors contributing to cross-cultural blunders and describe their consequences in the context of MNCs operating in Muslim-majority and minority countries.</w:t>
      </w:r>
    </w:p>
    <w:p w14:paraId="07E4319E" w14:textId="77777777" w:rsidR="002530E2" w:rsidRDefault="002530E2" w:rsidP="002530E2">
      <w:pPr>
        <w:numPr>
          <w:ilvl w:val="0"/>
          <w:numId w:val="11"/>
        </w:numPr>
        <w:spacing w:before="240" w:after="240" w:line="432" w:lineRule="auto"/>
        <w:jc w:val="both"/>
      </w:pPr>
      <w:r>
        <w:t>Research Philosophy: Adopting cultural relativism as the research philosophy, recognising the diversity of cultures and their unique value systems, and facilitating an understanding within specific cultural contexts</w:t>
      </w:r>
    </w:p>
    <w:p w14:paraId="58503810" w14:textId="77777777" w:rsidR="002530E2" w:rsidRDefault="002530E2" w:rsidP="002530E2">
      <w:pPr>
        <w:numPr>
          <w:ilvl w:val="0"/>
          <w:numId w:val="11"/>
        </w:numPr>
        <w:spacing w:before="240" w:after="240" w:line="432" w:lineRule="auto"/>
        <w:jc w:val="both"/>
      </w:pPr>
      <w:r>
        <w:t>Research Design: The qualitative research design is employed to gain in-depth insights into cross-cultural blunders, contributing to developing new theories and initial insights.</w:t>
      </w:r>
    </w:p>
    <w:p w14:paraId="1883AA76" w14:textId="77777777" w:rsidR="002530E2" w:rsidRDefault="002530E2" w:rsidP="002530E2">
      <w:pPr>
        <w:numPr>
          <w:ilvl w:val="0"/>
          <w:numId w:val="11"/>
        </w:numPr>
        <w:spacing w:before="240" w:after="240" w:line="432" w:lineRule="auto"/>
        <w:jc w:val="both"/>
      </w:pPr>
      <w:r>
        <w:t>Research Approach: The inductive qualitative research approach was adopted to explore the factors contributing to cross-cultural blunders.</w:t>
      </w:r>
    </w:p>
    <w:p w14:paraId="0E2F32E2" w14:textId="77777777" w:rsidR="002530E2" w:rsidRDefault="002530E2" w:rsidP="002530E2">
      <w:pPr>
        <w:numPr>
          <w:ilvl w:val="0"/>
          <w:numId w:val="11"/>
        </w:numPr>
        <w:spacing w:before="240" w:after="240" w:line="432" w:lineRule="auto"/>
        <w:jc w:val="both"/>
      </w:pPr>
      <w:r>
        <w:t>Research Strategy: Using grounded theory as the research strategy to develop theories based on the data collected during the research process</w:t>
      </w:r>
    </w:p>
    <w:p w14:paraId="43BFBC8D" w14:textId="77777777" w:rsidR="002530E2" w:rsidRDefault="002530E2" w:rsidP="002530E2">
      <w:pPr>
        <w:numPr>
          <w:ilvl w:val="0"/>
          <w:numId w:val="11"/>
        </w:numPr>
        <w:spacing w:before="240" w:after="240" w:line="432" w:lineRule="auto"/>
        <w:jc w:val="both"/>
      </w:pPr>
      <w:r>
        <w:t>Research Methodological Choice: The selection of qualitative document analysis as the research method to analyse various documents and gather data on cross-cultural blunders</w:t>
      </w:r>
    </w:p>
    <w:p w14:paraId="2DB14CC2" w14:textId="77777777" w:rsidR="002530E2" w:rsidRDefault="002530E2" w:rsidP="002530E2">
      <w:pPr>
        <w:numPr>
          <w:ilvl w:val="0"/>
          <w:numId w:val="11"/>
        </w:numPr>
        <w:spacing w:before="240" w:after="240" w:line="432" w:lineRule="auto"/>
        <w:jc w:val="both"/>
      </w:pPr>
      <w:r>
        <w:lastRenderedPageBreak/>
        <w:t>Time Horizons: Examining cross-cultural errors by multinational corporations operating in Muslim-majority and minority nations between 2010 and 2020 was explored during this research period.</w:t>
      </w:r>
    </w:p>
    <w:p w14:paraId="05DA78A9" w14:textId="77777777" w:rsidR="002530E2" w:rsidRDefault="002530E2" w:rsidP="002530E2">
      <w:pPr>
        <w:numPr>
          <w:ilvl w:val="0"/>
          <w:numId w:val="11"/>
        </w:numPr>
        <w:spacing w:before="240" w:after="240" w:line="432" w:lineRule="auto"/>
        <w:jc w:val="both"/>
      </w:pPr>
      <w:r>
        <w:t>Data Sampling Technique: The reliance on secondary data sources to efficiently analyse a broader scope of cross-cultural blunders</w:t>
      </w:r>
    </w:p>
    <w:p w14:paraId="29539821" w14:textId="77777777" w:rsidR="002530E2" w:rsidRDefault="002530E2" w:rsidP="002530E2">
      <w:pPr>
        <w:numPr>
          <w:ilvl w:val="0"/>
          <w:numId w:val="11"/>
        </w:numPr>
        <w:spacing w:before="240" w:after="240" w:line="432" w:lineRule="auto"/>
        <w:jc w:val="both"/>
      </w:pPr>
      <w:r>
        <w:t>Type of Data Collected: The author collected information from miscellaneous documents such as academic journals, news articles, government reports, case studies, social media posts, online forums, and corporate documents.</w:t>
      </w:r>
    </w:p>
    <w:p w14:paraId="06FFEE54" w14:textId="77777777" w:rsidR="002530E2" w:rsidRDefault="002530E2" w:rsidP="002530E2">
      <w:pPr>
        <w:numPr>
          <w:ilvl w:val="0"/>
          <w:numId w:val="11"/>
        </w:numPr>
        <w:spacing w:before="240" w:after="240" w:line="432" w:lineRule="auto"/>
        <w:jc w:val="both"/>
      </w:pPr>
      <w:r>
        <w:t>Data Collection Sources: In conducting a thorough analysis, several document types were evaluated with qualitative methods to conduct in-depth reviews.</w:t>
      </w:r>
    </w:p>
    <w:p w14:paraId="2366B2CE" w14:textId="77777777" w:rsidR="002530E2" w:rsidRDefault="002530E2" w:rsidP="002530E2">
      <w:pPr>
        <w:numPr>
          <w:ilvl w:val="0"/>
          <w:numId w:val="11"/>
        </w:numPr>
        <w:spacing w:before="240" w:after="240" w:line="432" w:lineRule="auto"/>
        <w:jc w:val="both"/>
      </w:pPr>
      <w:r>
        <w:t>Data Collection Technique: The document review process systematically analyses relevant documents to identify patterns and themes related to cross-cultural blunders.</w:t>
      </w:r>
    </w:p>
    <w:p w14:paraId="35E65BB5" w14:textId="77777777" w:rsidR="002530E2" w:rsidRDefault="002530E2" w:rsidP="002530E2">
      <w:pPr>
        <w:numPr>
          <w:ilvl w:val="0"/>
          <w:numId w:val="11"/>
        </w:numPr>
        <w:spacing w:before="240" w:after="240" w:line="432" w:lineRule="auto"/>
        <w:jc w:val="both"/>
      </w:pPr>
      <w:r>
        <w:t>Type of Data Analysed: The qualitative data derived from the document analysis</w:t>
      </w:r>
    </w:p>
    <w:p w14:paraId="6159048C" w14:textId="77777777" w:rsidR="002530E2" w:rsidRDefault="002530E2" w:rsidP="002530E2">
      <w:pPr>
        <w:numPr>
          <w:ilvl w:val="0"/>
          <w:numId w:val="11"/>
        </w:numPr>
        <w:spacing w:before="240" w:after="240" w:line="432" w:lineRule="auto"/>
        <w:jc w:val="both"/>
      </w:pPr>
      <w:r>
        <w:t>The technique of Data Analysis: Thematic analysis isolates critical themes and concepts associated with cross-cultural mishaps.</w:t>
      </w:r>
    </w:p>
    <w:p w14:paraId="2F1047E0" w14:textId="77777777" w:rsidR="002530E2" w:rsidRDefault="002530E2" w:rsidP="002530E2">
      <w:pPr>
        <w:numPr>
          <w:ilvl w:val="0"/>
          <w:numId w:val="11"/>
        </w:numPr>
        <w:spacing w:before="240" w:after="240" w:line="432" w:lineRule="auto"/>
        <w:jc w:val="both"/>
      </w:pPr>
      <w:r>
        <w:t>Triangulation in Data Collection and Analysis: The incorporation of diverse data sources and methods to strengthen the research findings’ validity, reliability, and credibility</w:t>
      </w:r>
    </w:p>
    <w:p w14:paraId="1EA22E20" w14:textId="77777777" w:rsidR="002530E2" w:rsidRDefault="002530E2" w:rsidP="002530E2">
      <w:pPr>
        <w:numPr>
          <w:ilvl w:val="0"/>
          <w:numId w:val="11"/>
        </w:numPr>
        <w:spacing w:before="240" w:after="240" w:line="432" w:lineRule="auto"/>
        <w:jc w:val="both"/>
      </w:pPr>
      <w:r>
        <w:t>Validation and Reliability of Findings: The use of triangulation and involving multiple researchers to enhance the credibility of the results</w:t>
      </w:r>
    </w:p>
    <w:p w14:paraId="4ED03B9E" w14:textId="77777777" w:rsidR="002530E2" w:rsidRDefault="002530E2" w:rsidP="002530E2">
      <w:pPr>
        <w:numPr>
          <w:ilvl w:val="0"/>
          <w:numId w:val="11"/>
        </w:numPr>
        <w:spacing w:before="240" w:after="240" w:line="432" w:lineRule="auto"/>
        <w:jc w:val="both"/>
      </w:pPr>
      <w:r>
        <w:t>Credibility of Results: Sound methodology is essential for obtaining credible research findings. It is important to carefully consider the variables to be examined and establish clear parameters to ensure the study scope is comprehensive and focused. By doing so, the author effectively addressed the issues he was investigating and produced reliable research results.</w:t>
      </w:r>
    </w:p>
    <w:p w14:paraId="258C0CDE" w14:textId="77777777" w:rsidR="002530E2" w:rsidRDefault="002530E2" w:rsidP="002530E2">
      <w:pPr>
        <w:numPr>
          <w:ilvl w:val="0"/>
          <w:numId w:val="11"/>
        </w:numPr>
        <w:spacing w:before="240" w:after="240" w:line="432" w:lineRule="auto"/>
        <w:jc w:val="both"/>
      </w:pPr>
      <w:r>
        <w:lastRenderedPageBreak/>
        <w:t>Ethical Issues and Considerations: The adherence to ethical principles, including privacy, confidentiality, and the well-being of individuals</w:t>
      </w:r>
    </w:p>
    <w:p w14:paraId="08D66CC7" w14:textId="77777777" w:rsidR="002530E2" w:rsidRDefault="002530E2">
      <w:r>
        <w:t>By providing an in-depth discussion of these aspects, the methodology chapter ensures a comprehensive understanding of this study’s research approach, design, and procedures.</w:t>
      </w:r>
    </w:p>
    <w:p w14:paraId="2517D6C0" w14:textId="77777777" w:rsidR="002530E2" w:rsidRDefault="002530E2">
      <w:pPr>
        <w:pStyle w:val="Heading1"/>
        <w:spacing w:before="500"/>
      </w:pPr>
      <w:r>
        <w:t>1.15 — STUDY LIMITATIONS</w:t>
      </w:r>
    </w:p>
    <w:p w14:paraId="1E965008" w14:textId="77777777" w:rsidR="002530E2" w:rsidRDefault="002530E2">
      <w:r>
        <w:t>Study limitations refer to factors or constraints affecting the research findings' design, implementation, and generalizability. They provide an understanding of the boundaries or weaknesses of the study and help establish the reliability and validity of the research (Polit &amp; Beck, 2017). One common challenge lies in sample size and representativeness. The study's findings may only apply to the specific participants or cases included in the research, limiting their generalizability to a broader population (Creswell, 2014). Another drawback is the possibility of selection bias, which occurs when the criteria for including or excluding participants introduce a systematic error that affects the accuracy and representativeness of the results (Polit &amp; Beck, 2017).</w:t>
      </w:r>
    </w:p>
    <w:p w14:paraId="0788F2F0" w14:textId="77777777" w:rsidR="002530E2" w:rsidRDefault="002530E2">
      <w:r>
        <w:t>Additionally, limitations can arise from data collection methods or sources. For instance, reliance on self-reported measures may introduce response biases or social desirability effects, influencing the accuracy of the collected data (Maxwell, 2013). Limited access to certain data sources or incomplete information can also pose limitations, as it may restrict the comprehensiveness of the study’s findings (Yin, 2018). Moreover, time constraints can be a limiting factor. Research conducted within a specific timeframe may not capture long-term trends or changes, potentially limiting the temporal generalizability of the findings (Creswell, 2014).</w:t>
      </w:r>
    </w:p>
    <w:p w14:paraId="2BDCA539" w14:textId="77777777" w:rsidR="002530E2" w:rsidRDefault="002530E2">
      <w:r>
        <w:t>Researchers must acknowledge and discuss these limitations to provide transparency and demonstrate awareness of potential weaknesses in their study. Doing so contributes to the credibility and robustness of the research findings (Polit &amp; Beck, 2017).</w:t>
      </w:r>
    </w:p>
    <w:p w14:paraId="4ABB52D9" w14:textId="77777777" w:rsidR="002530E2" w:rsidRDefault="002530E2">
      <w:r>
        <w:t>This study contains several limitations that must be acknowledged and taken into consideration.</w:t>
      </w:r>
    </w:p>
    <w:p w14:paraId="0F663231" w14:textId="77777777" w:rsidR="002530E2" w:rsidRDefault="002530E2">
      <w:r>
        <w:t>Firstly, the research focused solely on Muslim-majority and minority countries, excluding other cultural contexts. Therefore, the findings may not directly apply to MNCs operating in different cultural settings. When examining cross-cultural mistakes, it is important to consider cultural nuances and specificities.</w:t>
      </w:r>
    </w:p>
    <w:p w14:paraId="5EA02FBB" w14:textId="77777777" w:rsidR="002530E2" w:rsidRDefault="002530E2">
      <w:r>
        <w:t>This investigation uses secondary sources such as existing literature and incident reports as its main data resources. Although we tried to use reliable sources, we may have missed some cross-cultural hiccups. It is important to keep this in mind when interpreting our findings. Unreported incidents or unique situations should be covered in the literature available today. Incorporating primary data collection methods, such as surveys or interviews, could provide a more comprehensive understanding of the topic.</w:t>
      </w:r>
    </w:p>
    <w:p w14:paraId="42540009" w14:textId="77777777" w:rsidR="002530E2" w:rsidRDefault="002530E2">
      <w:r>
        <w:t xml:space="preserve">Furthermore, this study had a strict timeline: between 2010 and 2020. As a result, it may limit its representation of recent developments or emerging trends in cross-cultural interactions. Cultural dynamics and norms can evolve rapidly, and new challenges or blunders may have arisen since the </w:t>
      </w:r>
      <w:r>
        <w:lastRenderedPageBreak/>
        <w:t>study's timeframe. Future research should consider a broader time range to capture the evolving nature of cross-cultural blunders.</w:t>
      </w:r>
    </w:p>
    <w:p w14:paraId="2B9230B6" w14:textId="77777777" w:rsidR="002530E2" w:rsidRDefault="002530E2">
      <w:r>
        <w:t>Lastly, it is important to note that this study was based on the theoretical analysis of existing literature and did not involve primary data collection. It is important to remember that there could be some interpretation bias or subjective judgements in the analysis process, even though the author made attempts to ensure the precision and dependability of data sources. Different researchers may interpret the literature differently, potentially leading to variations in the conclusions drawn.</w:t>
      </w:r>
    </w:p>
    <w:p w14:paraId="22638EFC" w14:textId="77777777" w:rsidR="002530E2" w:rsidRDefault="002530E2">
      <w:pPr>
        <w:rPr>
          <w:color w:val="1C4587"/>
        </w:rPr>
      </w:pPr>
      <w:r>
        <w:t>These shortcomings call attention to the necessity for further exploration in this area. Further studies should extend the scope to incorporate diverse cultural contexts, employ a broader time range, incorporate primary data collection methods, and engage in comparative analyses to provide a more comprehensive understanding of cross-cultural blunders in MNCs.</w:t>
      </w:r>
    </w:p>
    <w:p w14:paraId="60711D5B" w14:textId="77777777" w:rsidR="002530E2" w:rsidRDefault="002530E2">
      <w:pPr>
        <w:pStyle w:val="Heading1"/>
      </w:pPr>
      <w:bookmarkStart w:id="15" w:name="_heading=h.17dp8vu" w:colFirst="0" w:colLast="0"/>
      <w:bookmarkEnd w:id="15"/>
      <w:r>
        <w:t xml:space="preserve">1.16 — STUDY DELIMITATIONS </w:t>
      </w:r>
    </w:p>
    <w:p w14:paraId="6E8014A8" w14:textId="77777777" w:rsidR="002530E2" w:rsidRDefault="002530E2">
      <w:r>
        <w:t>Delimitations are vital in setting out the scope and focus of a study and the boundaries within which it will take place. In this study on cross-cultural blunders in Muslim markets by MNCs, several delimitations shape the research and provide context for its scope and focus (Creswell, 2014). These delimitations help clarify the research boundaries, clearly defining what will be included and excluded from the study. By setting limits to its investigation, a study can establish its parameters for focused research and future exploration (Creswell, 2014).</w:t>
      </w:r>
    </w:p>
    <w:p w14:paraId="42A560C0" w14:textId="77777777" w:rsidR="002530E2" w:rsidRDefault="002530E2">
      <w:r>
        <w:t>The research scope and focus were carefully defined to ensure a comprehensive examination of cross-cultural blunders by MNCs in Muslim-majority and minority countries. The development of delimitation criteria established boundaries and explored specific areas, providing a methodical and structured research approach.</w:t>
      </w:r>
    </w:p>
    <w:p w14:paraId="5D7D78FE" w14:textId="77777777" w:rsidR="002530E2" w:rsidRDefault="002530E2">
      <w:r>
        <w:t>The first delimitation pertained to the theoretical framework of culture. While recognising the value and significance of established cultural theories and models such as Hofstede’s Cultural Dimensions, cultural intelligence (CQ), the high-context versus low-context culture concept, and the Communication Accommodation Theory (CAT), this study deliberately excluded the development or validation of new theories or models. Instead, it drew upon existing literature from 1990 to 2020 to establish a comprehensive understanding of the cultural dynamics and challenges MNCs face in their interactions with Muslim consumers. By taking an independent approach, the study sought to explore, analyse, and interpret the data to uncover fresh insights and patterns in the context of cross-cultural blunders. This approach allowed the study to provide context-specific recommendations informed by empirical evidence and real-world experiences while examining the applicability and limitations of established theories.</w:t>
      </w:r>
    </w:p>
    <w:p w14:paraId="3197A0E9" w14:textId="77777777" w:rsidR="002530E2" w:rsidRDefault="002530E2">
      <w:r>
        <w:t xml:space="preserve">The second delimitation concerned the study’s temporal, sectoral, and geographical aspects. The research focused on cross-cultural blunders by MNCs in Muslim-majority and minority countries within the specific timeframe of 2010 to 2020. It encompassed various sectors such as finance, food and beverages, fashion, and tourism, among others, to provide a comprehensive perspective on the challenges MNCs face in different domains within the cultural context of these countries. Delimitating this analysis ensured it remained applicable to current business environments while </w:t>
      </w:r>
      <w:r>
        <w:lastRenderedPageBreak/>
        <w:t>considering changing global dynamics, cultural shifts, and market trends. While acknowledging the cultural diversity within these countries, the study did not extensively explore specific regional variations or delve into country-specific cultural nuances. By taking this approach, the study aimed to highlight commonalities and general patterns in MNCs’ interactions with Muslim consumers across Muslim-majority and minority countries.</w:t>
      </w:r>
    </w:p>
    <w:p w14:paraId="2104CF0E" w14:textId="77777777" w:rsidR="002530E2" w:rsidRDefault="002530E2">
      <w:r>
        <w:t>The third delimitation focused on company size. The study encompassed MNCs of varying scales without differentiation based on size or revenue. This approach aimed to provide a broader perspective on the challenges faced by MNCs of different sizes in their engagement with Muslim consumers, ensuring a comprehensive understanding of the cross-cultural dynamics.</w:t>
      </w:r>
    </w:p>
    <w:p w14:paraId="50881FB5" w14:textId="77777777" w:rsidR="002530E2" w:rsidRDefault="002530E2">
      <w:r>
        <w:t>The fourth delimitation centred on the focus on Muslim-majority and minority countries. The study specifically concentrated on cross-cultural blunders in these countries, delimiting its investigation into the cultural dynamics and challenges MNCs in these contexts face. By narrowing the focus to this particular cultural framework, the study aimed to provide targeted insights and recommendations for MNCs seeking to engage with Muslim consumers.</w:t>
      </w:r>
    </w:p>
    <w:p w14:paraId="11353182" w14:textId="77777777" w:rsidR="002530E2" w:rsidRDefault="002530E2">
      <w:r>
        <w:t>Lastly, the study excluded other cultural contexts and non-Muslim consumers. Given the vast diversity of cultural contexts worldwide, the research did not explore cross-cultural blunders in non-Muslim cultural contexts. By solely focusing on Muslim-majority and minority countries and the experiences of Muslim consumers, the study aimed to delve deeper into the intricacies of cross-cultural interactions and blunders specific to these regions. This delimitation allowed for a more comprehensive understanding of MNCs’ challenges in engaging with Muslim consumers and tailoring their strategies accordingly.</w:t>
      </w:r>
    </w:p>
    <w:p w14:paraId="40B8F808" w14:textId="77777777" w:rsidR="002530E2" w:rsidRDefault="002530E2">
      <w:pPr>
        <w:rPr>
          <w:color w:val="1C4587"/>
        </w:rPr>
      </w:pPr>
      <w:r>
        <w:t>By delimiting the scope of this study to specific timeframes, sectors, geographical regions, and MNCs of various sizes and focusing on Muslim-majority and minority countries and the experiences of Muslim consumers, the research aimed to provide targeted and contextually relevant insights. These delimitations facilitated a deeper exploration of the cultural dynamics and challenges encountered by MNCs, ultimately contributing to developing effective strategies and recommendations tailored to this particular context.</w:t>
      </w:r>
    </w:p>
    <w:p w14:paraId="13102067" w14:textId="77777777" w:rsidR="002530E2" w:rsidRDefault="002530E2">
      <w:pPr>
        <w:pStyle w:val="Heading1"/>
      </w:pPr>
      <w:r>
        <w:t>1.17 — THESIS CHAPTER OUTLINE</w:t>
      </w:r>
    </w:p>
    <w:p w14:paraId="6CB7CC8F" w14:textId="77777777" w:rsidR="002530E2" w:rsidRDefault="002530E2">
      <w:r>
        <w:t xml:space="preserve">CHAPTER 1: INTRODUCTION </w:t>
      </w:r>
      <w:r>
        <w:rPr>
          <w:i/>
        </w:rPr>
        <w:t>(Parts 1 &amp; 2)</w:t>
      </w:r>
    </w:p>
    <w:p w14:paraId="622F6C2E" w14:textId="77777777" w:rsidR="002530E2" w:rsidRDefault="002530E2" w:rsidP="002530E2">
      <w:pPr>
        <w:numPr>
          <w:ilvl w:val="0"/>
          <w:numId w:val="5"/>
        </w:numPr>
        <w:spacing w:before="240" w:after="240" w:line="360" w:lineRule="auto"/>
        <w:jc w:val="both"/>
      </w:pPr>
      <w:r>
        <w:t>Investigating the challenges encountered by MNCs operating in Muslim-majority or minority nations.</w:t>
      </w:r>
    </w:p>
    <w:p w14:paraId="5055FFA5" w14:textId="77777777" w:rsidR="002530E2" w:rsidRDefault="002530E2" w:rsidP="002530E2">
      <w:pPr>
        <w:numPr>
          <w:ilvl w:val="0"/>
          <w:numId w:val="5"/>
        </w:numPr>
        <w:spacing w:before="240" w:after="240" w:line="360" w:lineRule="auto"/>
        <w:jc w:val="both"/>
      </w:pPr>
      <w:r>
        <w:t>Definition of cross-cultural blunders and their common examples.</w:t>
      </w:r>
    </w:p>
    <w:p w14:paraId="0E3D3C1B" w14:textId="77777777" w:rsidR="002530E2" w:rsidRDefault="002530E2" w:rsidP="002530E2">
      <w:pPr>
        <w:numPr>
          <w:ilvl w:val="0"/>
          <w:numId w:val="5"/>
        </w:numPr>
        <w:spacing w:before="240" w:after="240" w:line="360" w:lineRule="auto"/>
        <w:jc w:val="both"/>
      </w:pPr>
      <w:r>
        <w:t>Highlighting the impact of cultural misunderstandings and sensitivities on business performance, financial loss, and reputational damage.</w:t>
      </w:r>
    </w:p>
    <w:p w14:paraId="5E377F25" w14:textId="77777777" w:rsidR="002530E2" w:rsidRDefault="002530E2" w:rsidP="002530E2">
      <w:pPr>
        <w:numPr>
          <w:ilvl w:val="0"/>
          <w:numId w:val="5"/>
        </w:numPr>
        <w:spacing w:before="240" w:after="240" w:line="360" w:lineRule="auto"/>
        <w:jc w:val="both"/>
      </w:pPr>
      <w:r>
        <w:lastRenderedPageBreak/>
        <w:t>Contributions to academic research and MNCs operating in Muslim-majority and minority countries.</w:t>
      </w:r>
    </w:p>
    <w:p w14:paraId="12159625" w14:textId="77777777" w:rsidR="002530E2" w:rsidRDefault="002530E2" w:rsidP="002530E2">
      <w:pPr>
        <w:numPr>
          <w:ilvl w:val="0"/>
          <w:numId w:val="5"/>
        </w:numPr>
        <w:spacing w:before="240" w:after="240" w:line="360" w:lineRule="auto"/>
        <w:jc w:val="both"/>
      </w:pPr>
      <w:r>
        <w:t>Outlining research topic, relevance, domain, motivations, background, problem, gap, significance, questions, aims, objectives, scopes and focus, brief research method, limitations and delimitations.</w:t>
      </w:r>
    </w:p>
    <w:p w14:paraId="612DCBE7" w14:textId="77777777" w:rsidR="002530E2" w:rsidRDefault="002530E2">
      <w:pPr>
        <w:spacing w:line="360" w:lineRule="auto"/>
        <w:ind w:left="720"/>
      </w:pPr>
      <w:r>
        <w:t>These above aspects that serve as an introduction to the research study are covered and presented in the Introduction Chapter.</w:t>
      </w:r>
    </w:p>
    <w:p w14:paraId="34F43B2E" w14:textId="77777777" w:rsidR="002530E2" w:rsidRDefault="002530E2">
      <w:r>
        <w:t xml:space="preserve">CHAPTER 2: STUDY FRAMEWORKS </w:t>
      </w:r>
    </w:p>
    <w:p w14:paraId="188F1A85" w14:textId="77777777" w:rsidR="002530E2" w:rsidRDefault="002530E2" w:rsidP="002530E2">
      <w:pPr>
        <w:numPr>
          <w:ilvl w:val="0"/>
          <w:numId w:val="14"/>
        </w:numPr>
        <w:spacing w:before="240" w:after="240" w:line="360" w:lineRule="auto"/>
        <w:jc w:val="both"/>
      </w:pPr>
      <w:r>
        <w:t xml:space="preserve">Establishing frameworks with justifications that support understanding cross-cultural blunders by MNCs and their engagement with Muslim consumers, as well as linking the topic to theories and other frameworks that guide various research decisions, steps and processes of this study. </w:t>
      </w:r>
    </w:p>
    <w:p w14:paraId="44F92CBE" w14:textId="77777777" w:rsidR="002530E2" w:rsidRDefault="002530E2">
      <w:pPr>
        <w:spacing w:line="360" w:lineRule="auto"/>
        <w:ind w:left="720"/>
      </w:pPr>
      <w:r>
        <w:t>These above aspects provide an overview of the approaches adopted in this research study and are covered and presented in the Study Framework Chapter.</w:t>
      </w:r>
    </w:p>
    <w:p w14:paraId="2636595B" w14:textId="77777777" w:rsidR="002530E2" w:rsidRDefault="002530E2">
      <w:pPr>
        <w:rPr>
          <w:i/>
        </w:rPr>
      </w:pPr>
      <w:r>
        <w:t xml:space="preserve">CHAPTER 3: LITERATURE REVIEW </w:t>
      </w:r>
      <w:r>
        <w:rPr>
          <w:i/>
        </w:rPr>
        <w:t>(Part 1, 2, 3, 4, 5 &amp; 6)</w:t>
      </w:r>
    </w:p>
    <w:p w14:paraId="0E0EB3DB" w14:textId="77777777" w:rsidR="002530E2" w:rsidRDefault="002530E2" w:rsidP="002530E2">
      <w:pPr>
        <w:numPr>
          <w:ilvl w:val="0"/>
          <w:numId w:val="9"/>
        </w:numPr>
        <w:spacing w:before="240" w:after="240" w:line="360" w:lineRule="auto"/>
        <w:jc w:val="both"/>
      </w:pPr>
      <w:r>
        <w:t xml:space="preserve">Exploring and examining fundamental theories of research methods and processes to understand the scientific methods and processes of research and implement them in conducting this study. This kind of review is known as a methodical literature review, which this study has undertaken extensively and comprehensively. </w:t>
      </w:r>
    </w:p>
    <w:p w14:paraId="65168A16" w14:textId="77777777" w:rsidR="002530E2" w:rsidRDefault="002530E2">
      <w:pPr>
        <w:spacing w:line="360" w:lineRule="auto"/>
        <w:ind w:left="720"/>
      </w:pPr>
      <w:r>
        <w:t>The above-listed items are part of the Literature Review Chapter. However, it is presented in Appendices under Appendix (CHP:3) 001 mainly due to its lengthy nature that compromises this thesis’ maximum word limit.</w:t>
      </w:r>
    </w:p>
    <w:p w14:paraId="2CBC4A4E" w14:textId="77777777" w:rsidR="002530E2" w:rsidRDefault="002530E2" w:rsidP="002530E2">
      <w:pPr>
        <w:numPr>
          <w:ilvl w:val="0"/>
          <w:numId w:val="9"/>
        </w:numPr>
        <w:spacing w:before="240" w:after="240" w:line="360" w:lineRule="auto"/>
        <w:jc w:val="both"/>
      </w:pPr>
      <w:r>
        <w:t xml:space="preserve">Describing key terms and their definitions relevant to the topic to become familiar with the terminology used in this study. </w:t>
      </w:r>
    </w:p>
    <w:p w14:paraId="4E7B63C8" w14:textId="77777777" w:rsidR="002530E2" w:rsidRDefault="002530E2">
      <w:pPr>
        <w:spacing w:line="360" w:lineRule="auto"/>
        <w:ind w:left="720"/>
      </w:pPr>
      <w:r>
        <w:t>The above-listed items are part of the Literature Review Chapter. However, it is presented in Appendices under Appendix (CHP:3) 002 again due to its lengthy nature that compromises this thesis’ maximum word limit.</w:t>
      </w:r>
    </w:p>
    <w:p w14:paraId="6EAFDA80" w14:textId="77777777" w:rsidR="002530E2" w:rsidRDefault="002530E2" w:rsidP="002530E2">
      <w:pPr>
        <w:numPr>
          <w:ilvl w:val="0"/>
          <w:numId w:val="9"/>
        </w:numPr>
        <w:spacing w:before="240" w:after="240" w:line="360" w:lineRule="auto"/>
        <w:jc w:val="both"/>
      </w:pPr>
      <w:r>
        <w:t>Describing concepts and historical knowledge relevant to the topic to be familiar with the ideas this study links.</w:t>
      </w:r>
    </w:p>
    <w:p w14:paraId="6B5E6173" w14:textId="77777777" w:rsidR="002530E2" w:rsidRDefault="002530E2">
      <w:pPr>
        <w:spacing w:line="360" w:lineRule="auto"/>
        <w:ind w:left="720"/>
      </w:pPr>
      <w:r>
        <w:lastRenderedPageBreak/>
        <w:t>The above-listed items are part of the Literature Review Chapter. However, it is presented in Appendices under Appendix (CHP:3) 003 again due to its lengthy nature that compromises this thesis’ maximum word limit.</w:t>
      </w:r>
    </w:p>
    <w:p w14:paraId="1ECD69D9" w14:textId="77777777" w:rsidR="002530E2" w:rsidRDefault="002530E2" w:rsidP="002530E2">
      <w:pPr>
        <w:numPr>
          <w:ilvl w:val="0"/>
          <w:numId w:val="9"/>
        </w:numPr>
        <w:spacing w:before="240" w:after="240" w:line="360" w:lineRule="auto"/>
        <w:jc w:val="both"/>
      </w:pPr>
      <w:r>
        <w:t>Reviewing and examining prominent theories such as Hofstede’s Cultural Dimensions, Cultural Intelligence (CQ), and High-Context versus Low-Context Culture relevant to cross-cultural blunders by MNCs operating in Muslim-majority and minority countries. The above-listed items are part of the Literature Review Chapter.</w:t>
      </w:r>
    </w:p>
    <w:p w14:paraId="4962610E" w14:textId="77777777" w:rsidR="002530E2" w:rsidRDefault="002530E2" w:rsidP="002530E2">
      <w:pPr>
        <w:numPr>
          <w:ilvl w:val="0"/>
          <w:numId w:val="9"/>
        </w:numPr>
        <w:spacing w:before="240" w:after="240" w:line="360" w:lineRule="auto"/>
        <w:jc w:val="both"/>
      </w:pPr>
      <w:r>
        <w:t>Exploration and comprehensive examination of 80 key articles from previous studies spanning between 1990 and 2020 in line with the four MRQs of this study addressing cross-cultural blunders by MNCs. A list of key articles from previous studies is listed under Appendix (CHP:3) 004a, 004b, 004c, and 004d  in line with MRQ 1, MRQ 2, MRQ 3, and MRQ 4. The exploration key articles related to previous studies as part of the Literature Review Chapter were presented and analysed in Appendices under Appendix (CHP:3) 005a, 005b, 005c, and 005d inline with MRQ 1, MRQ 2, MRQ 3, and MRQ 4. Again their presentation in Appendices, an alternative to covering them in Chapter 3 of the Literature Review, is due to its lengthy nature that compromises this thesis’ maximum word limit.</w:t>
      </w:r>
    </w:p>
    <w:p w14:paraId="5E322AE7" w14:textId="77777777" w:rsidR="002530E2" w:rsidRDefault="002530E2" w:rsidP="002530E2">
      <w:pPr>
        <w:numPr>
          <w:ilvl w:val="0"/>
          <w:numId w:val="9"/>
        </w:numPr>
        <w:spacing w:before="240" w:after="240" w:line="360" w:lineRule="auto"/>
        <w:jc w:val="both"/>
      </w:pPr>
      <w:r>
        <w:t xml:space="preserve">Exploring and examining incident reports of past cross-cultural blunders by MNCs operating in Muslim-majority and minority countries between 2010 and 2020. </w:t>
      </w:r>
    </w:p>
    <w:p w14:paraId="45A4D16F" w14:textId="77777777" w:rsidR="002530E2" w:rsidRDefault="002530E2">
      <w:pPr>
        <w:spacing w:line="360" w:lineRule="auto"/>
        <w:ind w:left="720"/>
      </w:pPr>
      <w:r>
        <w:t>The above-listed items are covered and presented in the Literature Review Chapter. Each incident report was explored and analysed using an incident report template with a questionnaire, as covered in Appendix 006 of the Appendices alternative to covering them in Chapter 3 of Literature Review, due to its lengthy nature that compromises this thesis’ maximum word limit.</w:t>
      </w:r>
    </w:p>
    <w:p w14:paraId="5F037048" w14:textId="77777777" w:rsidR="002530E2" w:rsidRDefault="002530E2" w:rsidP="002530E2">
      <w:pPr>
        <w:numPr>
          <w:ilvl w:val="0"/>
          <w:numId w:val="9"/>
        </w:numPr>
        <w:spacing w:before="240" w:after="240" w:line="360" w:lineRule="auto"/>
        <w:jc w:val="both"/>
      </w:pPr>
      <w:r>
        <w:t xml:space="preserve">Identifying common patterns and themes in cross-cultural blunders and their implications for Muslim consumers and MNCs, as well as analysing specific incidents and their impact on business relationships, reputations, and financial performance. </w:t>
      </w:r>
    </w:p>
    <w:p w14:paraId="21F755A5" w14:textId="77777777" w:rsidR="002530E2" w:rsidRDefault="002530E2">
      <w:pPr>
        <w:spacing w:line="360" w:lineRule="auto"/>
        <w:ind w:left="720"/>
      </w:pPr>
      <w:r>
        <w:t>The Literature Review Chapter presents the above mentioned elements, while the Results chapter contains the findings.</w:t>
      </w:r>
    </w:p>
    <w:p w14:paraId="289D6C77" w14:textId="77777777" w:rsidR="002530E2" w:rsidRDefault="002530E2">
      <w:r>
        <w:t>CHAPTER 4: METHODOLOGY</w:t>
      </w:r>
    </w:p>
    <w:p w14:paraId="3A56DCAF" w14:textId="77777777" w:rsidR="002530E2" w:rsidRDefault="002530E2" w:rsidP="002530E2">
      <w:pPr>
        <w:numPr>
          <w:ilvl w:val="0"/>
          <w:numId w:val="6"/>
        </w:numPr>
        <w:spacing w:before="240" w:after="240" w:line="360" w:lineRule="auto"/>
        <w:jc w:val="both"/>
      </w:pPr>
      <w:r>
        <w:lastRenderedPageBreak/>
        <w:t>Detailing the research methodology adopted for the study outlining Research Nature, Research Design, Research Philosophy, Research Approach, Research Strategy, Research Methods Choice, and Research Time Horizons.</w:t>
      </w:r>
    </w:p>
    <w:p w14:paraId="315CFC0B" w14:textId="77777777" w:rsidR="002530E2" w:rsidRDefault="002530E2" w:rsidP="002530E2">
      <w:pPr>
        <w:numPr>
          <w:ilvl w:val="0"/>
          <w:numId w:val="6"/>
        </w:numPr>
        <w:spacing w:before="240" w:after="240" w:line="360" w:lineRule="auto"/>
        <w:jc w:val="both"/>
      </w:pPr>
      <w:r>
        <w:t>Explaining the Grounded Theory approach and its application in data collection, coding, constant comparison, and theory development.</w:t>
      </w:r>
    </w:p>
    <w:p w14:paraId="573DFD00" w14:textId="77777777" w:rsidR="002530E2" w:rsidRDefault="002530E2" w:rsidP="002530E2">
      <w:pPr>
        <w:numPr>
          <w:ilvl w:val="0"/>
          <w:numId w:val="6"/>
        </w:numPr>
        <w:spacing w:before="240" w:after="240" w:line="360" w:lineRule="auto"/>
        <w:jc w:val="both"/>
      </w:pPr>
      <w:r>
        <w:t>Describing the stages of Data Collection Methods &amp; Techniques, Data Analysis Methods &amp; Techniques, and theoretical sampling.</w:t>
      </w:r>
    </w:p>
    <w:p w14:paraId="001FBC06" w14:textId="77777777" w:rsidR="002530E2" w:rsidRDefault="002530E2" w:rsidP="002530E2">
      <w:pPr>
        <w:numPr>
          <w:ilvl w:val="0"/>
          <w:numId w:val="6"/>
        </w:numPr>
        <w:spacing w:before="240" w:after="240" w:line="360" w:lineRule="auto"/>
        <w:jc w:val="both"/>
      </w:pPr>
      <w:r>
        <w:t>Ensuring rigour and reliability of the research process and Ethical Issues and Considerations were upheld.</w:t>
      </w:r>
    </w:p>
    <w:p w14:paraId="5C7CEF8B" w14:textId="77777777" w:rsidR="002530E2" w:rsidRDefault="002530E2">
      <w:pPr>
        <w:spacing w:line="360" w:lineRule="auto"/>
        <w:ind w:left="720"/>
      </w:pPr>
      <w:r>
        <w:t>These above-listed elements are in the Methodology Chapter.</w:t>
      </w:r>
    </w:p>
    <w:p w14:paraId="3FFE9EA2" w14:textId="77777777" w:rsidR="002530E2" w:rsidRDefault="002530E2">
      <w:r>
        <w:t>CHAPTER 5: DISCUSSION OF RESULTS</w:t>
      </w:r>
    </w:p>
    <w:p w14:paraId="26188DBC" w14:textId="77777777" w:rsidR="002530E2" w:rsidRDefault="002530E2" w:rsidP="002530E2">
      <w:pPr>
        <w:numPr>
          <w:ilvl w:val="0"/>
          <w:numId w:val="10"/>
        </w:numPr>
        <w:spacing w:before="240" w:after="240" w:line="360" w:lineRule="auto"/>
        <w:jc w:val="both"/>
      </w:pPr>
      <w:r>
        <w:t>This study summarises and analyses the results obtained from the data analysis, presenting the key findings. It encompasses a comprehensive examination of the identified patterns, relationships, and theoretical explanations regarding cross-cultural blunders by MNCs. The findings are intricately linked to the four main research questions and supported by existing literature, enhancing our understanding of the subject matter. Moreover, the findings strongly align with the research aims, objectives, questions, literature review, and methodology, underscoring the success of the research journey and attaining the research goals.</w:t>
      </w:r>
    </w:p>
    <w:p w14:paraId="170239D2" w14:textId="77777777" w:rsidR="002530E2" w:rsidRDefault="002530E2" w:rsidP="002530E2">
      <w:pPr>
        <w:numPr>
          <w:ilvl w:val="0"/>
          <w:numId w:val="10"/>
        </w:numPr>
        <w:spacing w:before="240" w:after="240" w:line="360" w:lineRule="auto"/>
        <w:jc w:val="both"/>
      </w:pPr>
      <w:r>
        <w:t>Providing practical recommendations for MNCs: Offering actionable suggestions for MNCs operating in Muslim-majority and minority countries to enhance their cross-cultural competence, improve relationships with Muslim consumers, and enhance their market performance.</w:t>
      </w:r>
    </w:p>
    <w:p w14:paraId="4B70DC92" w14:textId="77777777" w:rsidR="002530E2" w:rsidRDefault="002530E2" w:rsidP="002530E2">
      <w:pPr>
        <w:numPr>
          <w:ilvl w:val="0"/>
          <w:numId w:val="10"/>
        </w:numPr>
        <w:spacing w:before="240" w:after="240" w:line="360" w:lineRule="auto"/>
        <w:jc w:val="both"/>
      </w:pPr>
      <w:r>
        <w:t>Reflecting on the implications of the findings: Discuss the significance of the findings for MNCs operating in Muslim-majority and minority countries, considering the potential impact on their strategies and approaches.</w:t>
      </w:r>
    </w:p>
    <w:p w14:paraId="43CA981E" w14:textId="77777777" w:rsidR="002530E2" w:rsidRDefault="002530E2" w:rsidP="002530E2">
      <w:pPr>
        <w:numPr>
          <w:ilvl w:val="0"/>
          <w:numId w:val="10"/>
        </w:numPr>
        <w:spacing w:before="240" w:after="240" w:line="360" w:lineRule="auto"/>
        <w:jc w:val="both"/>
      </w:pPr>
      <w:r>
        <w:t>Recommendations for future research: Identifying areas for future research based on the implications of the findings, suggesting potential research directions to advance the understanding of cross-cultural blunders further.</w:t>
      </w:r>
    </w:p>
    <w:p w14:paraId="4E3A90E3" w14:textId="77777777" w:rsidR="002530E2" w:rsidRDefault="002530E2" w:rsidP="002530E2">
      <w:pPr>
        <w:numPr>
          <w:ilvl w:val="0"/>
          <w:numId w:val="10"/>
        </w:numPr>
        <w:spacing w:before="240" w:after="240" w:line="360" w:lineRule="auto"/>
        <w:jc w:val="both"/>
      </w:pPr>
      <w:r>
        <w:lastRenderedPageBreak/>
        <w:t>Addressing research gaps: Highlighting the study’s contribution to filling gaps in the existing research literature and expanding knowledge of cross-cultural blunders by MNCs.</w:t>
      </w:r>
    </w:p>
    <w:p w14:paraId="37D53413" w14:textId="77777777" w:rsidR="002530E2" w:rsidRDefault="002530E2" w:rsidP="002530E2">
      <w:pPr>
        <w:numPr>
          <w:ilvl w:val="0"/>
          <w:numId w:val="10"/>
        </w:numPr>
        <w:spacing w:before="240" w:after="240" w:line="360" w:lineRule="auto"/>
        <w:jc w:val="both"/>
      </w:pPr>
      <w:r>
        <w:t>Reflecting on limitations: Acknowledging the study’s limitations helps understand the research’s boundaries and constraints, providing insights into potential areas for improvement for future studies.</w:t>
      </w:r>
    </w:p>
    <w:p w14:paraId="093B8E0E" w14:textId="77777777" w:rsidR="002530E2" w:rsidRDefault="002530E2" w:rsidP="002530E2">
      <w:pPr>
        <w:numPr>
          <w:ilvl w:val="0"/>
          <w:numId w:val="10"/>
        </w:numPr>
        <w:spacing w:before="240" w:after="240" w:line="360" w:lineRule="auto"/>
        <w:jc w:val="both"/>
      </w:pPr>
      <w:r>
        <w:t>Reflecting on biases: Addressing biases inherent in the study, such as sample selection bias or researcher bias, enhances the credibility and reliability of the findings and ensures a comprehensive understanding of cross-cultural blunders by MNCs.</w:t>
      </w:r>
    </w:p>
    <w:p w14:paraId="4CC557B2" w14:textId="77777777" w:rsidR="002530E2" w:rsidRDefault="002530E2">
      <w:pPr>
        <w:spacing w:line="360" w:lineRule="auto"/>
        <w:ind w:left="720"/>
      </w:pPr>
      <w:r>
        <w:t>These above-listed elements are covered and presented in the Discussion Chapter.</w:t>
      </w:r>
    </w:p>
    <w:p w14:paraId="49C232BC" w14:textId="77777777" w:rsidR="002530E2" w:rsidRDefault="002530E2">
      <w:r>
        <w:t>CHAPTER 6: CONCLUSION</w:t>
      </w:r>
    </w:p>
    <w:p w14:paraId="3A2145CA" w14:textId="77777777" w:rsidR="002530E2" w:rsidRDefault="002530E2" w:rsidP="002530E2">
      <w:pPr>
        <w:numPr>
          <w:ilvl w:val="0"/>
          <w:numId w:val="2"/>
        </w:numPr>
        <w:spacing w:before="240" w:after="240" w:line="360" w:lineRule="auto"/>
        <w:jc w:val="both"/>
      </w:pPr>
      <w:r>
        <w:t xml:space="preserve">Concluding remarks and final thoughts are under the section of overall conclusions. </w:t>
      </w:r>
    </w:p>
    <w:p w14:paraId="297F3B03" w14:textId="77777777" w:rsidR="002530E2" w:rsidRDefault="002530E2" w:rsidP="002530E2">
      <w:pPr>
        <w:numPr>
          <w:ilvl w:val="0"/>
          <w:numId w:val="2"/>
        </w:numPr>
        <w:spacing w:before="240" w:after="240" w:line="360" w:lineRule="auto"/>
        <w:jc w:val="both"/>
      </w:pPr>
      <w:r>
        <w:t xml:space="preserve">Further down, the chapter concludes with an overview of originality and knowledge contribution, with additional contributions and post-thesis critical analysis. </w:t>
      </w:r>
    </w:p>
    <w:p w14:paraId="1107B9C2" w14:textId="77777777" w:rsidR="002530E2" w:rsidRDefault="002530E2">
      <w:pPr>
        <w:spacing w:line="360" w:lineRule="auto"/>
        <w:ind w:left="720"/>
      </w:pPr>
      <w:r>
        <w:t>These above-listed elements are part of the Conclusion Chapter.</w:t>
      </w:r>
    </w:p>
    <w:p w14:paraId="706E0EE1" w14:textId="77777777" w:rsidR="002530E2" w:rsidRDefault="002530E2">
      <w:pPr>
        <w:spacing w:line="360" w:lineRule="auto"/>
      </w:pPr>
      <w:r>
        <w:t>DISSEMINATION</w:t>
      </w:r>
    </w:p>
    <w:p w14:paraId="493DD1E9" w14:textId="77777777" w:rsidR="002530E2" w:rsidRDefault="002530E2">
      <w:pPr>
        <w:spacing w:line="360" w:lineRule="auto"/>
      </w:pPr>
      <w:r>
        <w:t>Compiling, preparing and documenting the following based on the thesis findings and analysis to disseminate to relevant stakeholders, including academic communities, MNCs, and policymakers, with the potential for publication in appropriate fields and industries:</w:t>
      </w:r>
    </w:p>
    <w:p w14:paraId="63AAC15E" w14:textId="77777777" w:rsidR="002530E2" w:rsidRDefault="002530E2" w:rsidP="002530E2">
      <w:pPr>
        <w:numPr>
          <w:ilvl w:val="0"/>
          <w:numId w:val="3"/>
        </w:numPr>
        <w:spacing w:before="240" w:after="240" w:line="360" w:lineRule="auto"/>
        <w:jc w:val="both"/>
      </w:pPr>
      <w:r>
        <w:t>A DOs &amp; DON'Ts Checklist on best practices for Muslims when responding to cross-cultural blunders is presented in Appendices under Appendix (CHP:6) 001. This checklist provides Muslims practical guidance on reacting respectfully and constructively to cross-cultural missteps.</w:t>
      </w:r>
    </w:p>
    <w:p w14:paraId="28C9184E" w14:textId="77777777" w:rsidR="002530E2" w:rsidRDefault="002530E2" w:rsidP="002530E2">
      <w:pPr>
        <w:numPr>
          <w:ilvl w:val="0"/>
          <w:numId w:val="3"/>
        </w:numPr>
        <w:spacing w:before="240" w:after="240" w:line="360" w:lineRule="auto"/>
        <w:jc w:val="both"/>
      </w:pPr>
      <w:r>
        <w:t>A DOs &amp; DON’Ts Checklist on best practices for MNCs on avoiding cross-cultural blunders when engaging with Muslim consumers is presented in Appendices under Appendix (CHP:6) 002. This checklist would offer MNCs practical guidance on preventing cross-cultural missteps and minimising potential damage to their reputation and relationships with Muslim consumers.</w:t>
      </w:r>
    </w:p>
    <w:p w14:paraId="45B6240E" w14:textId="77777777" w:rsidR="002530E2" w:rsidRDefault="002530E2" w:rsidP="002530E2">
      <w:pPr>
        <w:numPr>
          <w:ilvl w:val="0"/>
          <w:numId w:val="3"/>
        </w:numPr>
        <w:spacing w:before="240" w:after="240" w:line="360" w:lineRule="auto"/>
        <w:jc w:val="both"/>
      </w:pPr>
      <w:r>
        <w:lastRenderedPageBreak/>
        <w:t>A DOs &amp; DON’Ts Checklist on how MNCs should address cross-cultural mistakes after disasters have occurred as best practices is in Appendices under Appendix (CHP:6) 003. MNCs could use this checklist as practical guidance on addressing issues, disputes, and conflicts raised after cross-cultural mistakes have occurred and dealing with situations following those errors in an organised and professional way - thus avoiding future disagreements and problems.</w:t>
      </w:r>
    </w:p>
    <w:p w14:paraId="7791FE01" w14:textId="77777777" w:rsidR="002530E2" w:rsidRDefault="002530E2" w:rsidP="002530E2">
      <w:pPr>
        <w:numPr>
          <w:ilvl w:val="0"/>
          <w:numId w:val="3"/>
        </w:numPr>
        <w:spacing w:before="240" w:after="240" w:line="360" w:lineRule="auto"/>
        <w:jc w:val="both"/>
      </w:pPr>
      <w:r>
        <w:t>A final academic research article with potential future publication is in Appendices under Appendix (CHP:6) 004. This report will provide a comprehensive overview of the research findings presented in this study and discuss the implications for practitioners and policymakers.</w:t>
      </w:r>
    </w:p>
    <w:p w14:paraId="36CA7329" w14:textId="77777777" w:rsidR="002530E2" w:rsidRDefault="002530E2" w:rsidP="002530E2">
      <w:pPr>
        <w:numPr>
          <w:ilvl w:val="0"/>
          <w:numId w:val="3"/>
        </w:numPr>
        <w:spacing w:before="240" w:after="240" w:line="360" w:lineRule="auto"/>
        <w:jc w:val="both"/>
      </w:pPr>
      <w:r>
        <w:t>A final research article with potential future publication is in Appendices under Appendix (CHP:6) 005. This report will offer a more thorough examination of the research findings presented in this study and discuss their theoretical and methodological ramifications.</w:t>
      </w:r>
    </w:p>
    <w:p w14:paraId="0FB0BD0C" w14:textId="77777777" w:rsidR="002530E2" w:rsidRDefault="002530E2" w:rsidP="002530E2">
      <w:pPr>
        <w:numPr>
          <w:ilvl w:val="0"/>
          <w:numId w:val="3"/>
        </w:numPr>
        <w:spacing w:before="240" w:after="240" w:line="360" w:lineRule="auto"/>
        <w:jc w:val="both"/>
      </w:pPr>
      <w:r>
        <w:t>Conference presentation material: A conference presentation for future academic and industrial conferences is in Appendices under Appendix (CHP:6) 006. This conference presentation will offer an overview of the research findings presented in this study and discuss their implications for practitioners and policymakers.</w:t>
      </w:r>
    </w:p>
    <w:p w14:paraId="0A511DF9" w14:textId="77777777" w:rsidR="002530E2" w:rsidRDefault="002530E2" w:rsidP="002530E2">
      <w:pPr>
        <w:numPr>
          <w:ilvl w:val="0"/>
          <w:numId w:val="3"/>
        </w:numPr>
        <w:spacing w:before="240" w:after="240" w:line="360" w:lineRule="auto"/>
        <w:jc w:val="both"/>
      </w:pPr>
      <w:r>
        <w:t xml:space="preserve">A futuristic book chapter outline with potential for publication in a future book relevant to this study’s topic is in Appendices under Appendix (CHP:6) 007. This research tool can be essential in future academic studies and industrial applications. </w:t>
      </w:r>
    </w:p>
    <w:p w14:paraId="64F79E2A" w14:textId="77777777" w:rsidR="002530E2" w:rsidRDefault="002530E2">
      <w:r>
        <w:t>POST-THESIS CRITICAL REFLECTION</w:t>
      </w:r>
    </w:p>
    <w:p w14:paraId="0A7BA0C1" w14:textId="77777777" w:rsidR="002530E2" w:rsidRDefault="002530E2">
      <w:pPr>
        <w:spacing w:line="360" w:lineRule="auto"/>
      </w:pPr>
      <w:r>
        <w:t>Following a careful examination and reflection on this thesis, the author of this study developed further literature as outlined below:</w:t>
      </w:r>
    </w:p>
    <w:p w14:paraId="43D2CA61" w14:textId="77777777" w:rsidR="002530E2" w:rsidRDefault="002530E2" w:rsidP="002530E2">
      <w:pPr>
        <w:numPr>
          <w:ilvl w:val="0"/>
          <w:numId w:val="13"/>
        </w:numPr>
        <w:spacing w:before="240" w:after="240" w:line="360" w:lineRule="auto"/>
        <w:jc w:val="both"/>
      </w:pPr>
      <w:r>
        <w:t>A DOs &amp; DON’Ts Checklist (to be followed up on in completing the thesis) for external examiners marking and grading the thesis is in Appendices under Appendix (CHP:6) 008, provides the author of this study with practical guidance on maintaining the quality of the thesis’s writing and presentation in preparation for its examination by external examiners.</w:t>
      </w:r>
    </w:p>
    <w:p w14:paraId="08AAC2E8" w14:textId="77777777" w:rsidR="002530E2" w:rsidRDefault="002530E2" w:rsidP="002530E2">
      <w:pPr>
        <w:numPr>
          <w:ilvl w:val="0"/>
          <w:numId w:val="13"/>
        </w:numPr>
        <w:spacing w:before="240" w:after="240" w:line="360" w:lineRule="auto"/>
        <w:jc w:val="both"/>
      </w:pPr>
      <w:r>
        <w:t xml:space="preserve">Questionnaire 1 consists of 4 potential questions for future VIVA interviews (as part of the PhD end-process examination) and short answers with justifications on best practices for Muslims when responding to cross-cultural blunders. This checklist in Appendices under Appendix </w:t>
      </w:r>
      <w:r>
        <w:lastRenderedPageBreak/>
        <w:t>(CHP:6) 009 serves as a practical resource for researchers who want to prepare themselves in advance to answer VIVA questions and defend their thesis.</w:t>
      </w:r>
    </w:p>
    <w:p w14:paraId="1A0405B1" w14:textId="77777777" w:rsidR="002530E2" w:rsidRDefault="002530E2" w:rsidP="002530E2">
      <w:pPr>
        <w:numPr>
          <w:ilvl w:val="0"/>
          <w:numId w:val="13"/>
        </w:numPr>
        <w:spacing w:before="240" w:after="240" w:line="360" w:lineRule="auto"/>
        <w:jc w:val="both"/>
      </w:pPr>
      <w:r>
        <w:t>Questionnaire 2, consisting of 50 potential questions for future VIVA interviews (as part of the PhD end-process examination) and short answers with justifications on best practices for Muslims when responding to cross-cultural blunders. This Q&amp;A in Appendices under Appendix (CHP:6) 010 acts as a checklist that provides the author of this study with practical guidance on how to react to VIVA questions and defend his thesis.</w:t>
      </w:r>
    </w:p>
    <w:p w14:paraId="275B0EC0" w14:textId="77777777" w:rsidR="002530E2" w:rsidRDefault="002530E2">
      <w:pPr>
        <w:pBdr>
          <w:top w:val="nil"/>
          <w:left w:val="nil"/>
          <w:bottom w:val="nil"/>
          <w:right w:val="nil"/>
          <w:between w:val="nil"/>
        </w:pBdr>
      </w:pPr>
      <w:r>
        <w:br w:type="page"/>
      </w:r>
    </w:p>
    <w:p w14:paraId="6B519F1C" w14:textId="77777777" w:rsidR="002530E2" w:rsidRDefault="002530E2">
      <w:pPr>
        <w:pBdr>
          <w:top w:val="nil"/>
          <w:left w:val="nil"/>
          <w:bottom w:val="nil"/>
          <w:right w:val="nil"/>
          <w:between w:val="nil"/>
        </w:pBdr>
      </w:pPr>
    </w:p>
    <w:p w14:paraId="3551DA53" w14:textId="77777777" w:rsidR="002530E2" w:rsidRDefault="002530E2">
      <w:pPr>
        <w:pBdr>
          <w:top w:val="nil"/>
          <w:left w:val="nil"/>
          <w:bottom w:val="nil"/>
          <w:right w:val="nil"/>
          <w:between w:val="nil"/>
        </w:pBd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26B08276"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0318463" w14:textId="77777777" w:rsidR="002530E2" w:rsidRDefault="002530E2">
            <w:pPr>
              <w:pStyle w:val="Heading1"/>
              <w:widowControl w:val="0"/>
              <w:spacing w:before="0" w:after="0" w:line="240" w:lineRule="auto"/>
              <w:jc w:val="center"/>
            </w:pPr>
            <w:r>
              <w:t>CHAPTER SUMMARY</w:t>
            </w:r>
          </w:p>
        </w:tc>
      </w:tr>
    </w:tbl>
    <w:p w14:paraId="5C89C10E" w14:textId="77777777" w:rsidR="002530E2" w:rsidRDefault="002530E2">
      <w:pPr>
        <w:pBdr>
          <w:top w:val="nil"/>
          <w:left w:val="nil"/>
          <w:bottom w:val="nil"/>
          <w:right w:val="nil"/>
          <w:between w:val="nil"/>
        </w:pBdr>
        <w:spacing w:after="0"/>
        <w:jc w:val="center"/>
        <w:rPr>
          <w:color w:val="000000"/>
        </w:rPr>
      </w:pPr>
    </w:p>
    <w:p w14:paraId="2BC02E46" w14:textId="77777777" w:rsidR="002530E2" w:rsidRDefault="002530E2">
      <w:r>
        <w:t xml:space="preserve">The Introduction chapter serves as a foundational component of the thesis, establishing the purpose and significance of the study. It comprehensively summarises the crucial components to address when introducing a study. It covers research goals, objectives, study limitations, and delimitations. </w:t>
      </w:r>
    </w:p>
    <w:p w14:paraId="06BBF465" w14:textId="77777777" w:rsidR="002530E2" w:rsidRDefault="002530E2">
      <w:r>
        <w:t xml:space="preserve">In the next chapter, “Study Framework,“ the author of this study starts by revealing the title of the research work that captures the essence and focus of the study. He introduced the research onion framework and discussed his stance on the theoretical framework. </w:t>
      </w:r>
    </w:p>
    <w:p w14:paraId="739B8CAC" w14:textId="77777777" w:rsidR="002530E2" w:rsidRDefault="002530E2">
      <w:pPr>
        <w:pBdr>
          <w:top w:val="nil"/>
          <w:left w:val="nil"/>
          <w:bottom w:val="nil"/>
          <w:right w:val="nil"/>
          <w:between w:val="nil"/>
        </w:pBdr>
        <w:rPr>
          <w:color w:val="1C4587"/>
        </w:rPr>
      </w:pPr>
    </w:p>
    <w:p w14:paraId="3170955A" w14:textId="77777777" w:rsidR="002530E2" w:rsidRDefault="002530E2">
      <w:pPr>
        <w:pBdr>
          <w:top w:val="nil"/>
          <w:left w:val="nil"/>
          <w:bottom w:val="nil"/>
          <w:right w:val="nil"/>
          <w:between w:val="nil"/>
        </w:pBdr>
        <w:spacing w:after="0"/>
        <w:jc w:val="center"/>
        <w:rPr>
          <w:color w:val="000000"/>
        </w:rPr>
      </w:pPr>
      <w:r>
        <w:rPr>
          <w:rFonts w:ascii="Book Antiqua" w:eastAsia="Book Antiqua" w:hAnsi="Book Antiqua" w:cs="Book Antiqua"/>
          <w:color w:val="000000"/>
        </w:rPr>
        <w:t>“Yhprum’s Law: Everything that can work, will work.“</w:t>
      </w:r>
    </w:p>
    <w:p w14:paraId="471E62B4" w14:textId="77777777" w:rsidR="002530E2" w:rsidRDefault="002530E2">
      <w:pPr>
        <w:pBdr>
          <w:top w:val="nil"/>
          <w:left w:val="nil"/>
          <w:bottom w:val="nil"/>
          <w:right w:val="nil"/>
          <w:between w:val="nil"/>
        </w:pBdr>
        <w:spacing w:after="0" w:line="240" w:lineRule="auto"/>
        <w:jc w:val="center"/>
        <w:rPr>
          <w:color w:val="1C4587"/>
        </w:rPr>
      </w:pPr>
      <w:r>
        <w:rPr>
          <w:rFonts w:ascii="Book Antiqua" w:eastAsia="Book Antiqua" w:hAnsi="Book Antiqua" w:cs="Book Antiqua"/>
          <w:i/>
          <w:color w:val="000000"/>
          <w:sz w:val="18"/>
          <w:szCs w:val="18"/>
        </w:rPr>
        <w:t>— John Kountz (Kountz, 2015)</w:t>
      </w:r>
    </w:p>
    <w:p w14:paraId="73BD7864" w14:textId="77777777" w:rsidR="002530E2" w:rsidRDefault="002530E2">
      <w:pPr>
        <w:pBdr>
          <w:top w:val="nil"/>
          <w:left w:val="nil"/>
          <w:bottom w:val="nil"/>
          <w:right w:val="nil"/>
          <w:between w:val="nil"/>
        </w:pBdr>
        <w:spacing w:after="0" w:line="240" w:lineRule="auto"/>
        <w:jc w:val="center"/>
        <w:rPr>
          <w:color w:val="000000"/>
          <w:sz w:val="2"/>
          <w:szCs w:val="2"/>
        </w:rPr>
      </w:pPr>
    </w:p>
    <w:p w14:paraId="46C08ED6" w14:textId="77777777" w:rsidR="002530E2" w:rsidRDefault="002530E2">
      <w:pPr>
        <w:pBdr>
          <w:top w:val="nil"/>
          <w:left w:val="nil"/>
          <w:bottom w:val="nil"/>
          <w:right w:val="nil"/>
          <w:between w:val="nil"/>
        </w:pBdr>
        <w:rPr>
          <w:color w:val="000000"/>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6BB0FCBC"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43480FB" w14:textId="77777777" w:rsidR="002530E2" w:rsidRDefault="002530E2">
            <w:pPr>
              <w:widowControl w:val="0"/>
              <w:pBdr>
                <w:top w:val="nil"/>
                <w:left w:val="nil"/>
                <w:bottom w:val="nil"/>
                <w:right w:val="nil"/>
                <w:between w:val="nil"/>
              </w:pBdr>
              <w:spacing w:after="200" w:line="276" w:lineRule="auto"/>
              <w:jc w:val="center"/>
              <w:rPr>
                <w:color w:val="0E101A"/>
                <w:sz w:val="28"/>
                <w:szCs w:val="28"/>
              </w:rPr>
            </w:pPr>
            <w:r>
              <w:rPr>
                <w:rFonts w:ascii="Book Antiqua" w:eastAsia="Book Antiqua" w:hAnsi="Book Antiqua" w:cs="Book Antiqua"/>
                <w:color w:val="0E101A"/>
                <w:sz w:val="28"/>
                <w:szCs w:val="28"/>
              </w:rPr>
              <w:t xml:space="preserve">CHAPTER 2: </w:t>
            </w:r>
          </w:p>
          <w:p w14:paraId="4D4503D6" w14:textId="77777777" w:rsidR="002530E2" w:rsidRDefault="002530E2">
            <w:pPr>
              <w:widowControl w:val="0"/>
              <w:pBdr>
                <w:top w:val="nil"/>
                <w:left w:val="nil"/>
                <w:bottom w:val="nil"/>
                <w:right w:val="nil"/>
                <w:between w:val="nil"/>
              </w:pBdr>
              <w:spacing w:after="200" w:line="276" w:lineRule="auto"/>
              <w:jc w:val="center"/>
              <w:rPr>
                <w:color w:val="0E101A"/>
                <w:sz w:val="28"/>
                <w:szCs w:val="28"/>
              </w:rPr>
            </w:pPr>
            <w:r>
              <w:rPr>
                <w:rFonts w:ascii="Book Antiqua" w:eastAsia="Book Antiqua" w:hAnsi="Book Antiqua" w:cs="Book Antiqua"/>
                <w:color w:val="0E101A"/>
                <w:sz w:val="28"/>
                <w:szCs w:val="28"/>
              </w:rPr>
              <w:t>STUDY FRAMEWORK</w:t>
            </w:r>
          </w:p>
        </w:tc>
      </w:tr>
    </w:tbl>
    <w:p w14:paraId="7FDCA9E2" w14:textId="77777777" w:rsidR="002530E2" w:rsidRDefault="002530E2">
      <w:pPr>
        <w:pBdr>
          <w:top w:val="nil"/>
          <w:left w:val="nil"/>
          <w:bottom w:val="nil"/>
          <w:right w:val="nil"/>
          <w:between w:val="nil"/>
        </w:pBdr>
        <w:spacing w:after="0"/>
        <w:jc w:val="center"/>
        <w:rPr>
          <w:color w:val="000000"/>
        </w:rPr>
      </w:pPr>
    </w:p>
    <w:p w14:paraId="4F6E5164" w14:textId="77777777" w:rsidR="002530E2" w:rsidRDefault="002530E2">
      <w:pPr>
        <w:pBdr>
          <w:top w:val="nil"/>
          <w:left w:val="nil"/>
          <w:bottom w:val="nil"/>
          <w:right w:val="nil"/>
          <w:between w:val="nil"/>
        </w:pBdr>
        <w:spacing w:after="0" w:line="240" w:lineRule="auto"/>
        <w:jc w:val="center"/>
        <w:rPr>
          <w:i/>
          <w:color w:val="000000"/>
          <w:sz w:val="18"/>
          <w:szCs w:val="18"/>
        </w:rPr>
      </w:pPr>
    </w:p>
    <w:p w14:paraId="563540C5" w14:textId="77777777" w:rsidR="002530E2" w:rsidRDefault="002530E2">
      <w:pPr>
        <w:pBdr>
          <w:top w:val="nil"/>
          <w:left w:val="nil"/>
          <w:bottom w:val="nil"/>
          <w:right w:val="nil"/>
          <w:between w:val="nil"/>
        </w:pBdr>
        <w:spacing w:after="0" w:line="480" w:lineRule="auto"/>
        <w:jc w:val="center"/>
        <w:rPr>
          <w:color w:val="000000"/>
        </w:rPr>
      </w:pPr>
      <w:r>
        <w:t>“</w:t>
      </w:r>
      <w:r>
        <w:rPr>
          <w:rFonts w:ascii="Book Antiqua" w:eastAsia="Book Antiqua" w:hAnsi="Book Antiqua" w:cs="Book Antiqua"/>
          <w:color w:val="000000"/>
        </w:rPr>
        <w:t>The only perfect thing is something that doesn’t exist.</w:t>
      </w:r>
      <w:r>
        <w:t>“</w:t>
      </w:r>
    </w:p>
    <w:p w14:paraId="54029E6E" w14:textId="77777777" w:rsidR="002530E2" w:rsidRDefault="002530E2">
      <w:pPr>
        <w:pBdr>
          <w:top w:val="nil"/>
          <w:left w:val="nil"/>
          <w:bottom w:val="nil"/>
          <w:right w:val="nil"/>
          <w:between w:val="nil"/>
        </w:pBdr>
        <w:spacing w:after="0" w:line="480" w:lineRule="auto"/>
        <w:jc w:val="center"/>
        <w:rPr>
          <w:color w:val="000000"/>
        </w:rPr>
      </w:pPr>
      <w:r>
        <w:rPr>
          <w:rFonts w:ascii="Book Antiqua" w:eastAsia="Book Antiqua" w:hAnsi="Book Antiqua" w:cs="Book Antiqua"/>
          <w:i/>
          <w:color w:val="000000"/>
          <w:sz w:val="18"/>
          <w:szCs w:val="18"/>
        </w:rPr>
        <w:t>— George Carlin (Carlin, 1997)</w:t>
      </w:r>
    </w:p>
    <w:p w14:paraId="0384CC23" w14:textId="77777777" w:rsidR="002530E2" w:rsidRDefault="002530E2">
      <w:pPr>
        <w:pStyle w:val="Heading4"/>
        <w:spacing w:before="0"/>
      </w:pPr>
      <w:bookmarkStart w:id="16" w:name="_heading=h.3yppjottvqas" w:colFirst="0" w:colLast="0"/>
      <w:bookmarkEnd w:id="16"/>
    </w:p>
    <w:p w14:paraId="18981CF4" w14:textId="77777777" w:rsidR="002530E2" w:rsidRDefault="002530E2">
      <w:pPr>
        <w:spacing w:after="0"/>
      </w:pPr>
    </w:p>
    <w:p w14:paraId="1E9B85FF" w14:textId="77777777" w:rsidR="002530E2" w:rsidRDefault="002530E2">
      <w:pPr>
        <w:pStyle w:val="Heading4"/>
        <w:spacing w:before="0"/>
        <w:rPr>
          <w:color w:val="FFFFFF"/>
        </w:rPr>
      </w:pPr>
      <w:r>
        <w:rPr>
          <w:color w:val="FFFFFF"/>
        </w:rPr>
        <w:t>TABLE OF CONTENT</w:t>
      </w:r>
    </w:p>
    <w:p w14:paraId="4F705ACE" w14:textId="77777777" w:rsidR="002530E2" w:rsidRDefault="002530E2">
      <w:pPr>
        <w:rPr>
          <w:color w:val="000000"/>
        </w:rPr>
      </w:pPr>
      <w:r>
        <w:rPr>
          <w:sz w:val="28"/>
          <w:szCs w:val="28"/>
        </w:rPr>
        <w:t xml:space="preserve">TABLE OF CONTENT FOR CHAPTER 2 </w:t>
      </w:r>
    </w:p>
    <w:sdt>
      <w:sdtPr>
        <w:id w:val="1126737977"/>
        <w:docPartObj>
          <w:docPartGallery w:val="Table of Contents"/>
          <w:docPartUnique/>
        </w:docPartObj>
      </w:sdtPr>
      <w:sdtContent>
        <w:p w14:paraId="24588281"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2et92p0">
            <w:r>
              <w:rPr>
                <w:rFonts w:ascii="Book Antiqua" w:eastAsia="Book Antiqua" w:hAnsi="Book Antiqua" w:cs="Book Antiqua"/>
                <w:color w:val="1155CC"/>
              </w:rPr>
              <w:t>CHAPTER INTRO</w:t>
            </w:r>
            <w:r>
              <w:rPr>
                <w:rFonts w:ascii="Book Antiqua" w:eastAsia="Book Antiqua" w:hAnsi="Book Antiqua" w:cs="Book Antiqua"/>
                <w:color w:val="1155CC"/>
              </w:rPr>
              <w:tab/>
              <w:t>72</w:t>
            </w:r>
          </w:hyperlink>
        </w:p>
        <w:p w14:paraId="72935764"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4jjysdg7jiuf">
            <w:r>
              <w:rPr>
                <w:rFonts w:ascii="Book Antiqua" w:eastAsia="Book Antiqua" w:hAnsi="Book Antiqua" w:cs="Book Antiqua"/>
                <w:color w:val="1155CC"/>
              </w:rPr>
              <w:t>2.1 — TITLE OF STUDY</w:t>
            </w:r>
            <w:r>
              <w:rPr>
                <w:rFonts w:ascii="Book Antiqua" w:eastAsia="Book Antiqua" w:hAnsi="Book Antiqua" w:cs="Book Antiqua"/>
                <w:color w:val="1155CC"/>
              </w:rPr>
              <w:tab/>
              <w:t>74</w:t>
            </w:r>
          </w:hyperlink>
        </w:p>
        <w:p w14:paraId="198C90F0"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tyjcwt">
            <w:r>
              <w:rPr>
                <w:rFonts w:ascii="Book Antiqua" w:eastAsia="Book Antiqua" w:hAnsi="Book Antiqua" w:cs="Book Antiqua"/>
                <w:color w:val="1155CC"/>
              </w:rPr>
              <w:t>2.2 — RESEARCH ONION</w:t>
            </w:r>
            <w:r>
              <w:rPr>
                <w:rFonts w:ascii="Book Antiqua" w:eastAsia="Book Antiqua" w:hAnsi="Book Antiqua" w:cs="Book Antiqua"/>
                <w:color w:val="1155CC"/>
              </w:rPr>
              <w:tab/>
              <w:t>76</w:t>
            </w:r>
          </w:hyperlink>
        </w:p>
        <w:p w14:paraId="40A11989"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t3h5sf">
            <w:r>
              <w:rPr>
                <w:rFonts w:ascii="Book Antiqua" w:eastAsia="Book Antiqua" w:hAnsi="Book Antiqua" w:cs="Book Antiqua"/>
                <w:color w:val="1155CC"/>
              </w:rPr>
              <w:t>2.3 — RESEARCH PROCESS</w:t>
            </w:r>
            <w:r>
              <w:rPr>
                <w:rFonts w:ascii="Book Antiqua" w:eastAsia="Book Antiqua" w:hAnsi="Book Antiqua" w:cs="Book Antiqua"/>
                <w:color w:val="1155CC"/>
              </w:rPr>
              <w:tab/>
              <w:t>80</w:t>
            </w:r>
          </w:hyperlink>
        </w:p>
        <w:p w14:paraId="7F5D6825"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4d34og8">
            <w:r>
              <w:rPr>
                <w:rFonts w:ascii="Book Antiqua" w:eastAsia="Book Antiqua" w:hAnsi="Book Antiqua" w:cs="Book Antiqua"/>
                <w:color w:val="1155CC"/>
              </w:rPr>
              <w:t>2.4 — THEORETICAL FRAMEWORK</w:t>
            </w:r>
            <w:r>
              <w:rPr>
                <w:rFonts w:ascii="Book Antiqua" w:eastAsia="Book Antiqua" w:hAnsi="Book Antiqua" w:cs="Book Antiqua"/>
                <w:color w:val="1155CC"/>
              </w:rPr>
              <w:tab/>
              <w:t>83</w:t>
            </w:r>
          </w:hyperlink>
        </w:p>
        <w:p w14:paraId="3D71494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s8eyo1">
            <w:r>
              <w:rPr>
                <w:rFonts w:ascii="Book Antiqua" w:eastAsia="Book Antiqua" w:hAnsi="Book Antiqua" w:cs="Book Antiqua"/>
                <w:color w:val="1155CC"/>
              </w:rPr>
              <w:t>CHAPTER SUMMARY</w:t>
            </w:r>
            <w:r>
              <w:rPr>
                <w:rFonts w:ascii="Book Antiqua" w:eastAsia="Book Antiqua" w:hAnsi="Book Antiqua" w:cs="Book Antiqua"/>
                <w:color w:val="1155CC"/>
              </w:rPr>
              <w:tab/>
              <w:t>89</w:t>
            </w:r>
          </w:hyperlink>
          <w:r>
            <w:fldChar w:fldCharType="end"/>
          </w:r>
        </w:p>
      </w:sdtContent>
    </w:sdt>
    <w:p w14:paraId="3E160489" w14:textId="77777777" w:rsidR="002530E2" w:rsidRDefault="002530E2">
      <w:pPr>
        <w:pBdr>
          <w:top w:val="nil"/>
          <w:left w:val="nil"/>
          <w:bottom w:val="nil"/>
          <w:right w:val="nil"/>
          <w:between w:val="nil"/>
        </w:pBdr>
        <w:rPr>
          <w:sz w:val="28"/>
          <w:szCs w:val="28"/>
        </w:rPr>
      </w:pPr>
      <w:r>
        <w:br w:type="page"/>
      </w:r>
    </w:p>
    <w:p w14:paraId="6DB8D562" w14:textId="77777777" w:rsidR="002530E2" w:rsidRDefault="002530E2">
      <w:pPr>
        <w:pBdr>
          <w:top w:val="nil"/>
          <w:left w:val="nil"/>
          <w:bottom w:val="nil"/>
          <w:right w:val="nil"/>
          <w:between w:val="nil"/>
        </w:pBdr>
        <w:rPr>
          <w:sz w:val="28"/>
          <w:szCs w:val="28"/>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23932C4"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6DEF3BB" w14:textId="77777777" w:rsidR="002530E2" w:rsidRDefault="002530E2">
            <w:pPr>
              <w:pStyle w:val="Heading1"/>
              <w:widowControl w:val="0"/>
              <w:spacing w:before="0" w:after="0" w:line="240" w:lineRule="auto"/>
              <w:jc w:val="center"/>
            </w:pPr>
            <w:r>
              <w:t>CHAPTER INTRO</w:t>
            </w:r>
          </w:p>
        </w:tc>
      </w:tr>
    </w:tbl>
    <w:p w14:paraId="375D36E9" w14:textId="77777777" w:rsidR="002530E2" w:rsidRDefault="002530E2">
      <w:pPr>
        <w:pBdr>
          <w:top w:val="nil"/>
          <w:left w:val="nil"/>
          <w:bottom w:val="nil"/>
          <w:right w:val="nil"/>
          <w:between w:val="nil"/>
        </w:pBdr>
        <w:spacing w:after="0"/>
        <w:jc w:val="center"/>
        <w:rPr>
          <w:color w:val="000000"/>
        </w:rPr>
      </w:pPr>
    </w:p>
    <w:p w14:paraId="0E105AD8" w14:textId="77777777" w:rsidR="002530E2" w:rsidRDefault="002530E2">
      <w:pPr>
        <w:pBdr>
          <w:top w:val="nil"/>
          <w:left w:val="nil"/>
          <w:bottom w:val="nil"/>
          <w:right w:val="nil"/>
          <w:between w:val="nil"/>
        </w:pBdr>
        <w:spacing w:after="0"/>
        <w:jc w:val="center"/>
        <w:rPr>
          <w:color w:val="000000"/>
        </w:rPr>
      </w:pPr>
      <w:r>
        <w:t>“</w:t>
      </w:r>
      <w:r>
        <w:rPr>
          <w:rFonts w:ascii="Book Antiqua" w:eastAsia="Book Antiqua" w:hAnsi="Book Antiqua" w:cs="Book Antiqua"/>
          <w:color w:val="000000"/>
        </w:rPr>
        <w:t>A well-designed system will make it easy to do the wrong thing.</w:t>
      </w:r>
      <w:r>
        <w:t>“</w:t>
      </w:r>
    </w:p>
    <w:p w14:paraId="2479CDE9" w14:textId="77777777" w:rsidR="002530E2" w:rsidRDefault="002530E2">
      <w:pPr>
        <w:pBdr>
          <w:top w:val="nil"/>
          <w:left w:val="nil"/>
          <w:bottom w:val="nil"/>
          <w:right w:val="nil"/>
          <w:between w:val="nil"/>
        </w:pBdr>
        <w:spacing w:after="0" w:line="240" w:lineRule="auto"/>
        <w:jc w:val="center"/>
        <w:rPr>
          <w:i/>
          <w:color w:val="000000"/>
          <w:sz w:val="18"/>
          <w:szCs w:val="18"/>
        </w:rPr>
      </w:pPr>
      <w:r>
        <w:rPr>
          <w:rFonts w:ascii="Book Antiqua" w:eastAsia="Book Antiqua" w:hAnsi="Book Antiqua" w:cs="Book Antiqua"/>
          <w:i/>
          <w:color w:val="000000"/>
          <w:sz w:val="18"/>
          <w:szCs w:val="18"/>
        </w:rPr>
        <w:t>—Bill Sempf  (Sempf, 2008)</w:t>
      </w:r>
    </w:p>
    <w:p w14:paraId="6FDD3B62" w14:textId="77777777" w:rsidR="002530E2" w:rsidRDefault="002530E2">
      <w:pPr>
        <w:pBdr>
          <w:top w:val="nil"/>
          <w:left w:val="nil"/>
          <w:bottom w:val="nil"/>
          <w:right w:val="nil"/>
          <w:between w:val="nil"/>
        </w:pBdr>
        <w:spacing w:after="0" w:line="240" w:lineRule="auto"/>
        <w:jc w:val="center"/>
        <w:rPr>
          <w:i/>
          <w:color w:val="000000"/>
          <w:sz w:val="18"/>
          <w:szCs w:val="18"/>
        </w:rPr>
      </w:pPr>
    </w:p>
    <w:p w14:paraId="153C1358" w14:textId="77777777" w:rsidR="002530E2" w:rsidRDefault="002530E2">
      <w:pPr>
        <w:pBdr>
          <w:top w:val="nil"/>
          <w:left w:val="nil"/>
          <w:bottom w:val="nil"/>
          <w:right w:val="nil"/>
          <w:between w:val="nil"/>
        </w:pBdr>
        <w:spacing w:after="0" w:line="240" w:lineRule="auto"/>
        <w:jc w:val="center"/>
        <w:rPr>
          <w:i/>
          <w:color w:val="000000"/>
          <w:sz w:val="18"/>
          <w:szCs w:val="18"/>
        </w:rPr>
      </w:pPr>
    </w:p>
    <w:p w14:paraId="3CBECA72" w14:textId="77777777" w:rsidR="002530E2" w:rsidRDefault="002530E2">
      <w:pPr>
        <w:pBdr>
          <w:top w:val="nil"/>
          <w:left w:val="nil"/>
          <w:bottom w:val="nil"/>
          <w:right w:val="nil"/>
          <w:between w:val="nil"/>
        </w:pBdr>
        <w:spacing w:after="0" w:line="240" w:lineRule="auto"/>
        <w:rPr>
          <w:i/>
          <w:color w:val="000000"/>
          <w:sz w:val="18"/>
          <w:szCs w:val="18"/>
        </w:rPr>
      </w:pPr>
    </w:p>
    <w:p w14:paraId="7E694915" w14:textId="77777777" w:rsidR="002530E2" w:rsidRDefault="002530E2">
      <w:r>
        <w:t>This chapter, “Study Framework,“ discusses this study’s stance on the theoretical framework. The author of this study starts by revealing the title of the research work, which captures the essence and focus of the study. He introduces the research onion framework, outlines his research steps, and explains his stance on the theoretical framework.</w:t>
      </w:r>
    </w:p>
    <w:p w14:paraId="2825AA62" w14:textId="77777777" w:rsidR="002530E2" w:rsidRDefault="002530E2">
      <w:r>
        <w:t>A short review of each of the four sections of this chapter follows below:</w:t>
      </w:r>
    </w:p>
    <w:p w14:paraId="48063FE7" w14:textId="77777777" w:rsidR="002530E2" w:rsidRDefault="002530E2">
      <w:r>
        <w:t>Title of the Study</w:t>
      </w:r>
    </w:p>
    <w:p w14:paraId="32CE53A4" w14:textId="77777777" w:rsidR="002530E2" w:rsidRDefault="002530E2">
      <w:r>
        <w:t>This section provides the specific title of this study, which succinctly captures the essence and focus of the research work. It serves as a concise representation of the main theme or topic under investigation.</w:t>
      </w:r>
    </w:p>
    <w:p w14:paraId="306B8270" w14:textId="77777777" w:rsidR="002530E2" w:rsidRDefault="002530E2">
      <w:r>
        <w:t>Research Onion Framework</w:t>
      </w:r>
    </w:p>
    <w:p w14:paraId="2777BD95" w14:textId="77777777" w:rsidR="002530E2" w:rsidRDefault="002530E2">
      <w:r>
        <w:t>This section introduces the Research Onion Model as the guiding framework for the research process. The Research Onion Model by Saunders et al. (2007) is a comprehensive and layered research approach encompassing various stages and levels of inquiry. This section briefly explores each layer of the research onion. In the study context, this refers to factors such as philosophical assumptions, approaches, strategies, methodical choices, time horizons, data collection methods, and analysis techniques related to research. The author briefly explains the decision-making process for determining the appropriate research philosophy, approach, strategy, methodological choice, time horizons, and data collection and analysis techniques and procedures. Comprehensive information on these aspects is provided in the fourth chapter, “Methodology.“</w:t>
      </w:r>
    </w:p>
    <w:p w14:paraId="37B0CE21" w14:textId="77777777" w:rsidR="002530E2" w:rsidRDefault="002530E2">
      <w:r>
        <w:t>Research Process</w:t>
      </w:r>
    </w:p>
    <w:p w14:paraId="14E08907" w14:textId="77777777" w:rsidR="002530E2" w:rsidRDefault="002530E2">
      <w:r>
        <w:t>This section outlines the step-by-step research process undertaken in the study. It provides a detailed description of the nine stages involved, such as identification of research objectives, conducting an extensive analysis of the existing literature, development of a conceptual framework, gathering and examining qualitative data, generation of specific contextual insights and recommendations, interpreting and explaining the results, conclusion and future research, documentation and communication of the research, and dissemination of the research. The section provides an overview of the research and the logical flow to achieve the study’s objectives.</w:t>
      </w:r>
    </w:p>
    <w:p w14:paraId="04F59E80" w14:textId="77777777" w:rsidR="002530E2" w:rsidRDefault="002530E2">
      <w:r>
        <w:t>Theoretical Framework</w:t>
      </w:r>
    </w:p>
    <w:p w14:paraId="5DCE3684" w14:textId="77777777" w:rsidR="002530E2" w:rsidRDefault="002530E2">
      <w:r>
        <w:t xml:space="preserve">This section starts by explaining the need for a theoretical framework. However, since the study forgoes a framework based on theories, it justifies its absence. It also highlights the comprehensive understanding of the topic, which addresses the research questions. Instead of relying on one theoretical framework, the study integrates relevant theories and concepts to enhance data analysis </w:t>
      </w:r>
      <w:r>
        <w:lastRenderedPageBreak/>
        <w:t>and interpretation. The author utilised four relevant theories and concepts, such as Hofstede’s Cultural Dimensions (1991), cultural intelligence (CQ) by Earley &amp; Ang (2003), Hall’s High-Context versus Low-Context Culture (1976), and Giles et al.’s Communication Accommodation Theory (1991), to enhance the analysis and interpretation of data. Hofstede’s Cultural Dimensions provided extensive insights into cultural differences, while cultural intelligence (CQ) assisted MNCs in finding effective strategies for engaging with Muslim consumers.</w:t>
      </w:r>
    </w:p>
    <w:p w14:paraId="4B0E51A0" w14:textId="77777777" w:rsidR="002530E2" w:rsidRDefault="002530E2">
      <w:r>
        <w:t>Furthermore, Hall’s High-Context versus Low-Context Culture (1976) offered insight into communication challenges; Giles et al.’s Communication Accommodation Theory (1991) allowed adapting communication strategies accordingly. Together, these theories and concepts provide an in-depth understanding of the cultural dynamics encountered when engaging with Muslim consumers in MNCs. As said, this section includes an overview of the key theories that inform the research work. It highlights the theoretical perspectives and concepts that guide the research, providing a foundation for understanding the study’s approach and analysis. Each of these theories establishes the theoretical basis for formulating research questions. While the literature review of this study explored these four theories in line with the research questions (see details in the section “Literature Analysis of Established Theories,“ in Chapter 3, “Literature Review“), the collective findings from examining these four theories to address the research questions are presented in the subsection, “Most Prevalent Cross-cultural Blunders by MNCs,“ under “Discussion: Findings From the Established Theories,“ in Chapter 5, “Discussion.“</w:t>
      </w:r>
    </w:p>
    <w:p w14:paraId="7F5E41A3" w14:textId="77777777" w:rsidR="002530E2" w:rsidRDefault="002530E2">
      <w:pPr>
        <w:pStyle w:val="Heading1"/>
      </w:pPr>
      <w:bookmarkStart w:id="17" w:name="_heading=h.4jjysdg7jiuf" w:colFirst="0" w:colLast="0"/>
      <w:bookmarkEnd w:id="17"/>
      <w:r>
        <w:t>2.1 — TITLE OF STUDY</w:t>
      </w:r>
    </w:p>
    <w:p w14:paraId="5E08F43D" w14:textId="77777777" w:rsidR="002530E2" w:rsidRDefault="002530E2">
      <w:r>
        <w:t>The short title of this study:</w:t>
      </w:r>
    </w:p>
    <w:p w14:paraId="188EA2E7" w14:textId="77777777" w:rsidR="002530E2" w:rsidRDefault="002530E2">
      <w:pPr>
        <w:rPr>
          <w:i/>
        </w:rPr>
      </w:pPr>
      <w:r>
        <w:rPr>
          <w:i/>
        </w:rPr>
        <w:t>“Cultural Landmines in Muslim-Majority and Minority Markets: Exposing Controversial Cross-Cultural Blunders by MNCs and Their Consequences“</w:t>
      </w:r>
    </w:p>
    <w:p w14:paraId="330C2A1F" w14:textId="77777777" w:rsidR="002530E2" w:rsidRDefault="002530E2">
      <w:r>
        <w:t>The expanded title of this study is:</w:t>
      </w:r>
    </w:p>
    <w:p w14:paraId="74B8B58F" w14:textId="77777777" w:rsidR="002530E2" w:rsidRDefault="002530E2">
      <w:pPr>
        <w:rPr>
          <w:i/>
        </w:rPr>
      </w:pPr>
      <w:r>
        <w:rPr>
          <w:i/>
        </w:rPr>
        <w:t>“Cultural Landmines in Muslim-Majority and Minority Markets: Exposing the Controversial Cross-Cultural Blunders by MNCs Between 2010—2020 and Their Explosive Consequences for Muslim Consumers, as well as Impact and Ramifications for MNCs“</w:t>
      </w:r>
    </w:p>
    <w:p w14:paraId="6D1A2808" w14:textId="77777777" w:rsidR="002530E2" w:rsidRDefault="002530E2">
      <w:r>
        <w:t xml:space="preserve">The above titles capture the essence of the research study, emphasising the presence of cross-cultural challenges, or cultural landmines, in Muslim-majority and minority markets. It highlights the controversial nature of cross-cultural blunders by MNCs and underscores the potentially explosive consequences they can have on Muslim consumers. Additionally, the title acknowledges the wide-ranging ramifications that these blunders can have on the corporations themselves. </w:t>
      </w:r>
    </w:p>
    <w:p w14:paraId="1F7EA921" w14:textId="77777777" w:rsidR="002530E2" w:rsidRDefault="002530E2">
      <w:r>
        <w:t>A breakdown of the terms used in the thesis title and their meanings sourced from the Oxford Learners’ Dictionaries (2023) follows below:</w:t>
      </w: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6810"/>
      </w:tblGrid>
      <w:tr w:rsidR="002530E2" w14:paraId="54A3FC5F" w14:textId="77777777">
        <w:tc>
          <w:tcPr>
            <w:tcW w:w="1695"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92B11F5" w14:textId="77777777" w:rsidR="002530E2" w:rsidRDefault="002530E2">
            <w:pPr>
              <w:spacing w:after="0" w:line="276" w:lineRule="auto"/>
              <w:rPr>
                <w:sz w:val="18"/>
                <w:szCs w:val="18"/>
              </w:rPr>
            </w:pPr>
            <w:r>
              <w:rPr>
                <w:sz w:val="18"/>
                <w:szCs w:val="18"/>
              </w:rPr>
              <w:t>Thesis title terms</w:t>
            </w:r>
          </w:p>
        </w:tc>
        <w:tc>
          <w:tcPr>
            <w:tcW w:w="6810" w:type="dxa"/>
            <w:tcBorders>
              <w:top w:val="single" w:sz="8" w:space="0" w:color="666666"/>
              <w:left w:val="single" w:sz="8" w:space="0" w:color="666666"/>
              <w:bottom w:val="single" w:sz="8" w:space="0" w:color="666666"/>
              <w:right w:val="single" w:sz="8" w:space="0" w:color="666666"/>
            </w:tcBorders>
            <w:shd w:val="clear" w:color="auto" w:fill="D9D9D9"/>
            <w:tcMar>
              <w:top w:w="100" w:type="dxa"/>
              <w:left w:w="100" w:type="dxa"/>
              <w:bottom w:w="100" w:type="dxa"/>
              <w:right w:w="100" w:type="dxa"/>
            </w:tcMar>
          </w:tcPr>
          <w:p w14:paraId="645CBBF8" w14:textId="77777777" w:rsidR="002530E2" w:rsidRDefault="002530E2">
            <w:pPr>
              <w:spacing w:after="0" w:line="276" w:lineRule="auto"/>
              <w:rPr>
                <w:sz w:val="18"/>
                <w:szCs w:val="18"/>
              </w:rPr>
            </w:pPr>
            <w:r>
              <w:rPr>
                <w:sz w:val="18"/>
                <w:szCs w:val="18"/>
              </w:rPr>
              <w:t>Definitions (from Oxford Learners’ Dictionaries, 2023)</w:t>
            </w:r>
          </w:p>
        </w:tc>
      </w:tr>
      <w:tr w:rsidR="002530E2" w14:paraId="21B82BD2" w14:textId="77777777">
        <w:tc>
          <w:tcPr>
            <w:tcW w:w="1695" w:type="dxa"/>
            <w:tcMar>
              <w:top w:w="100" w:type="dxa"/>
              <w:left w:w="100" w:type="dxa"/>
              <w:bottom w:w="100" w:type="dxa"/>
              <w:right w:w="100" w:type="dxa"/>
            </w:tcMar>
          </w:tcPr>
          <w:p w14:paraId="3215BC34" w14:textId="77777777" w:rsidR="002530E2" w:rsidRDefault="002530E2">
            <w:pPr>
              <w:spacing w:after="0" w:line="276" w:lineRule="auto"/>
              <w:rPr>
                <w:sz w:val="18"/>
                <w:szCs w:val="18"/>
              </w:rPr>
            </w:pPr>
            <w:r>
              <w:rPr>
                <w:sz w:val="18"/>
                <w:szCs w:val="18"/>
              </w:rPr>
              <w:t>Culture</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6E1DBC1" w14:textId="77777777" w:rsidR="002530E2" w:rsidRDefault="002530E2">
            <w:pPr>
              <w:spacing w:after="0" w:line="276" w:lineRule="auto"/>
              <w:rPr>
                <w:sz w:val="18"/>
                <w:szCs w:val="18"/>
              </w:rPr>
            </w:pPr>
            <w:r>
              <w:rPr>
                <w:sz w:val="18"/>
                <w:szCs w:val="18"/>
              </w:rPr>
              <w:t xml:space="preserve">“The customs and beliefs, art, way of life and social organisation of a particular country or group.“ </w:t>
            </w:r>
          </w:p>
        </w:tc>
      </w:tr>
      <w:tr w:rsidR="002530E2" w14:paraId="6399850C" w14:textId="77777777">
        <w:tc>
          <w:tcPr>
            <w:tcW w:w="1695" w:type="dxa"/>
            <w:tcMar>
              <w:top w:w="100" w:type="dxa"/>
              <w:left w:w="100" w:type="dxa"/>
              <w:bottom w:w="100" w:type="dxa"/>
              <w:right w:w="100" w:type="dxa"/>
            </w:tcMar>
          </w:tcPr>
          <w:p w14:paraId="3175CD50" w14:textId="77777777" w:rsidR="002530E2" w:rsidRDefault="002530E2">
            <w:pPr>
              <w:spacing w:after="0" w:line="276" w:lineRule="auto"/>
              <w:rPr>
                <w:sz w:val="18"/>
                <w:szCs w:val="18"/>
              </w:rPr>
            </w:pPr>
            <w:r>
              <w:rPr>
                <w:sz w:val="18"/>
                <w:szCs w:val="18"/>
              </w:rPr>
              <w:lastRenderedPageBreak/>
              <w:t>Landmine</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F524E7B" w14:textId="77777777" w:rsidR="002530E2" w:rsidRDefault="002530E2">
            <w:pPr>
              <w:spacing w:after="0" w:line="276" w:lineRule="auto"/>
              <w:rPr>
                <w:sz w:val="18"/>
                <w:szCs w:val="18"/>
              </w:rPr>
            </w:pPr>
            <w:r>
              <w:rPr>
                <w:sz w:val="18"/>
                <w:szCs w:val="18"/>
              </w:rPr>
              <w:t>"Landmine: A bomb placed on or under the ground, which explodes when vehicles or people move over it."</w:t>
            </w:r>
          </w:p>
        </w:tc>
      </w:tr>
      <w:tr w:rsidR="002530E2" w14:paraId="5B1D7F47" w14:textId="77777777">
        <w:tc>
          <w:tcPr>
            <w:tcW w:w="1695" w:type="dxa"/>
            <w:tcMar>
              <w:top w:w="100" w:type="dxa"/>
              <w:left w:w="100" w:type="dxa"/>
              <w:bottom w:w="100" w:type="dxa"/>
              <w:right w:w="100" w:type="dxa"/>
            </w:tcMar>
          </w:tcPr>
          <w:p w14:paraId="1391F853" w14:textId="77777777" w:rsidR="002530E2" w:rsidRDefault="002530E2">
            <w:pPr>
              <w:spacing w:after="0" w:line="276" w:lineRule="auto"/>
              <w:rPr>
                <w:sz w:val="18"/>
                <w:szCs w:val="18"/>
              </w:rPr>
            </w:pPr>
            <w:r>
              <w:rPr>
                <w:sz w:val="18"/>
                <w:szCs w:val="18"/>
              </w:rPr>
              <w:t>Muslim</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1F04F42" w14:textId="77777777" w:rsidR="002530E2" w:rsidRDefault="002530E2">
            <w:pPr>
              <w:spacing w:after="0" w:line="276" w:lineRule="auto"/>
              <w:rPr>
                <w:sz w:val="18"/>
                <w:szCs w:val="18"/>
              </w:rPr>
            </w:pPr>
            <w:r>
              <w:rPr>
                <w:sz w:val="18"/>
                <w:szCs w:val="18"/>
              </w:rPr>
              <w:t>“A person whose religion is Islam.“</w:t>
            </w:r>
          </w:p>
        </w:tc>
      </w:tr>
      <w:tr w:rsidR="002530E2" w14:paraId="62AF2ED0" w14:textId="77777777">
        <w:tc>
          <w:tcPr>
            <w:tcW w:w="1695" w:type="dxa"/>
            <w:tcMar>
              <w:top w:w="100" w:type="dxa"/>
              <w:left w:w="100" w:type="dxa"/>
              <w:bottom w:w="100" w:type="dxa"/>
              <w:right w:w="100" w:type="dxa"/>
            </w:tcMar>
          </w:tcPr>
          <w:p w14:paraId="15A89AA4" w14:textId="77777777" w:rsidR="002530E2" w:rsidRDefault="002530E2">
            <w:pPr>
              <w:spacing w:after="0" w:line="276" w:lineRule="auto"/>
              <w:rPr>
                <w:sz w:val="18"/>
                <w:szCs w:val="18"/>
              </w:rPr>
            </w:pPr>
            <w:r>
              <w:rPr>
                <w:sz w:val="18"/>
                <w:szCs w:val="18"/>
              </w:rPr>
              <w:t>Majority</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4142E0" w14:textId="77777777" w:rsidR="002530E2" w:rsidRDefault="002530E2">
            <w:pPr>
              <w:spacing w:after="0" w:line="276" w:lineRule="auto"/>
              <w:rPr>
                <w:sz w:val="18"/>
                <w:szCs w:val="18"/>
              </w:rPr>
            </w:pPr>
            <w:r>
              <w:rPr>
                <w:sz w:val="18"/>
                <w:szCs w:val="18"/>
              </w:rPr>
              <w:t>“The largest part of a group of people or things.“</w:t>
            </w:r>
          </w:p>
        </w:tc>
      </w:tr>
      <w:tr w:rsidR="002530E2" w14:paraId="72BEA1B5" w14:textId="77777777">
        <w:tc>
          <w:tcPr>
            <w:tcW w:w="1695" w:type="dxa"/>
            <w:tcMar>
              <w:top w:w="100" w:type="dxa"/>
              <w:left w:w="100" w:type="dxa"/>
              <w:bottom w:w="100" w:type="dxa"/>
              <w:right w:w="100" w:type="dxa"/>
            </w:tcMar>
          </w:tcPr>
          <w:p w14:paraId="75A3DE8B" w14:textId="77777777" w:rsidR="002530E2" w:rsidRDefault="002530E2">
            <w:pPr>
              <w:spacing w:after="0" w:line="276" w:lineRule="auto"/>
              <w:rPr>
                <w:sz w:val="18"/>
                <w:szCs w:val="18"/>
              </w:rPr>
            </w:pPr>
            <w:r>
              <w:rPr>
                <w:sz w:val="18"/>
                <w:szCs w:val="18"/>
              </w:rPr>
              <w:t>Minority</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A9D61D3" w14:textId="77777777" w:rsidR="002530E2" w:rsidRDefault="002530E2">
            <w:pPr>
              <w:spacing w:after="0" w:line="276" w:lineRule="auto"/>
              <w:rPr>
                <w:sz w:val="18"/>
                <w:szCs w:val="18"/>
              </w:rPr>
            </w:pPr>
            <w:r>
              <w:rPr>
                <w:sz w:val="18"/>
                <w:szCs w:val="18"/>
              </w:rPr>
              <w:t>“The smaller part of a group; less than half of the people or things in a large group.“</w:t>
            </w:r>
          </w:p>
        </w:tc>
      </w:tr>
      <w:tr w:rsidR="002530E2" w14:paraId="29DE4146" w14:textId="77777777">
        <w:tc>
          <w:tcPr>
            <w:tcW w:w="1695" w:type="dxa"/>
            <w:tcMar>
              <w:top w:w="100" w:type="dxa"/>
              <w:left w:w="100" w:type="dxa"/>
              <w:bottom w:w="100" w:type="dxa"/>
              <w:right w:w="100" w:type="dxa"/>
            </w:tcMar>
          </w:tcPr>
          <w:p w14:paraId="164E9697" w14:textId="77777777" w:rsidR="002530E2" w:rsidRDefault="002530E2">
            <w:pPr>
              <w:spacing w:after="0" w:line="276" w:lineRule="auto"/>
              <w:rPr>
                <w:sz w:val="18"/>
                <w:szCs w:val="18"/>
              </w:rPr>
            </w:pPr>
            <w:r>
              <w:rPr>
                <w:sz w:val="18"/>
                <w:szCs w:val="18"/>
              </w:rPr>
              <w:t>Markets</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FF3DFD1" w14:textId="77777777" w:rsidR="002530E2" w:rsidRDefault="002530E2">
            <w:pPr>
              <w:spacing w:after="0" w:line="276" w:lineRule="auto"/>
              <w:rPr>
                <w:sz w:val="18"/>
                <w:szCs w:val="18"/>
              </w:rPr>
            </w:pPr>
            <w:r>
              <w:rPr>
                <w:sz w:val="18"/>
                <w:szCs w:val="18"/>
              </w:rPr>
              <w:t>The market is "an occasion when people buy and sell goods; the open area or building where they meet to do this."</w:t>
            </w:r>
          </w:p>
        </w:tc>
      </w:tr>
      <w:tr w:rsidR="002530E2" w14:paraId="263AA783" w14:textId="77777777">
        <w:tc>
          <w:tcPr>
            <w:tcW w:w="1695" w:type="dxa"/>
            <w:tcMar>
              <w:top w:w="100" w:type="dxa"/>
              <w:left w:w="100" w:type="dxa"/>
              <w:bottom w:w="100" w:type="dxa"/>
              <w:right w:w="100" w:type="dxa"/>
            </w:tcMar>
          </w:tcPr>
          <w:p w14:paraId="4E7AE6EE" w14:textId="77777777" w:rsidR="002530E2" w:rsidRDefault="002530E2">
            <w:pPr>
              <w:spacing w:after="0" w:line="276" w:lineRule="auto"/>
              <w:rPr>
                <w:sz w:val="18"/>
                <w:szCs w:val="18"/>
              </w:rPr>
            </w:pPr>
            <w:r>
              <w:rPr>
                <w:sz w:val="18"/>
                <w:szCs w:val="18"/>
              </w:rPr>
              <w:t>Exposing</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BFA23C2" w14:textId="77777777" w:rsidR="002530E2" w:rsidRDefault="002530E2">
            <w:pPr>
              <w:spacing w:after="0" w:line="276" w:lineRule="auto"/>
              <w:rPr>
                <w:sz w:val="18"/>
                <w:szCs w:val="18"/>
              </w:rPr>
            </w:pPr>
            <w:r>
              <w:rPr>
                <w:sz w:val="18"/>
                <w:szCs w:val="18"/>
              </w:rPr>
              <w:t>Exposing means to "show something that is hidden."</w:t>
            </w:r>
          </w:p>
        </w:tc>
      </w:tr>
      <w:tr w:rsidR="002530E2" w14:paraId="055E3F8A" w14:textId="77777777">
        <w:tc>
          <w:tcPr>
            <w:tcW w:w="1695" w:type="dxa"/>
            <w:tcMar>
              <w:top w:w="100" w:type="dxa"/>
              <w:left w:w="100" w:type="dxa"/>
              <w:bottom w:w="100" w:type="dxa"/>
              <w:right w:w="100" w:type="dxa"/>
            </w:tcMar>
          </w:tcPr>
          <w:p w14:paraId="333924DB" w14:textId="77777777" w:rsidR="002530E2" w:rsidRDefault="002530E2">
            <w:pPr>
              <w:spacing w:after="0" w:line="276" w:lineRule="auto"/>
              <w:rPr>
                <w:sz w:val="18"/>
                <w:szCs w:val="18"/>
              </w:rPr>
            </w:pPr>
            <w:r>
              <w:rPr>
                <w:sz w:val="18"/>
                <w:szCs w:val="18"/>
              </w:rPr>
              <w:t>Controversial</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247BE5A" w14:textId="77777777" w:rsidR="002530E2" w:rsidRDefault="002530E2">
            <w:pPr>
              <w:spacing w:after="0" w:line="276" w:lineRule="auto"/>
              <w:rPr>
                <w:sz w:val="18"/>
                <w:szCs w:val="18"/>
              </w:rPr>
            </w:pPr>
            <w:r>
              <w:rPr>
                <w:sz w:val="18"/>
                <w:szCs w:val="18"/>
              </w:rPr>
              <w:t>Controversial means "causing a lot of angry public discussion and disagreement."</w:t>
            </w:r>
          </w:p>
        </w:tc>
      </w:tr>
      <w:tr w:rsidR="002530E2" w14:paraId="5DDDD3CE" w14:textId="77777777">
        <w:tc>
          <w:tcPr>
            <w:tcW w:w="1695" w:type="dxa"/>
            <w:tcMar>
              <w:top w:w="100" w:type="dxa"/>
              <w:left w:w="100" w:type="dxa"/>
              <w:bottom w:w="100" w:type="dxa"/>
              <w:right w:w="100" w:type="dxa"/>
            </w:tcMar>
          </w:tcPr>
          <w:p w14:paraId="0BB8577E" w14:textId="77777777" w:rsidR="002530E2" w:rsidRDefault="002530E2">
            <w:pPr>
              <w:spacing w:after="0" w:line="276" w:lineRule="auto"/>
              <w:rPr>
                <w:sz w:val="18"/>
                <w:szCs w:val="18"/>
              </w:rPr>
            </w:pPr>
            <w:r>
              <w:rPr>
                <w:sz w:val="18"/>
                <w:szCs w:val="18"/>
              </w:rPr>
              <w:t>Cross</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A0145C1" w14:textId="77777777" w:rsidR="002530E2" w:rsidRDefault="002530E2">
            <w:pPr>
              <w:spacing w:after="0" w:line="276" w:lineRule="auto"/>
              <w:rPr>
                <w:sz w:val="18"/>
                <w:szCs w:val="18"/>
              </w:rPr>
            </w:pPr>
            <w:r>
              <w:rPr>
                <w:sz w:val="18"/>
                <w:szCs w:val="18"/>
              </w:rPr>
              <w:t>“To go across; to pass or stretch from one side to the other.“</w:t>
            </w:r>
          </w:p>
        </w:tc>
      </w:tr>
      <w:tr w:rsidR="002530E2" w14:paraId="0C07E5DA" w14:textId="77777777">
        <w:tc>
          <w:tcPr>
            <w:tcW w:w="1695" w:type="dxa"/>
            <w:tcMar>
              <w:top w:w="100" w:type="dxa"/>
              <w:left w:w="100" w:type="dxa"/>
              <w:bottom w:w="100" w:type="dxa"/>
              <w:right w:w="100" w:type="dxa"/>
            </w:tcMar>
          </w:tcPr>
          <w:p w14:paraId="221365BF" w14:textId="77777777" w:rsidR="002530E2" w:rsidRDefault="002530E2">
            <w:pPr>
              <w:spacing w:after="0" w:line="276" w:lineRule="auto"/>
              <w:rPr>
                <w:sz w:val="18"/>
                <w:szCs w:val="18"/>
              </w:rPr>
            </w:pPr>
            <w:r>
              <w:rPr>
                <w:sz w:val="18"/>
                <w:szCs w:val="18"/>
              </w:rPr>
              <w:t>Cultural</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D33170B" w14:textId="77777777" w:rsidR="002530E2" w:rsidRDefault="002530E2">
            <w:pPr>
              <w:spacing w:after="0" w:line="276" w:lineRule="auto"/>
              <w:rPr>
                <w:sz w:val="18"/>
                <w:szCs w:val="18"/>
              </w:rPr>
            </w:pPr>
            <w:r>
              <w:rPr>
                <w:sz w:val="18"/>
                <w:szCs w:val="18"/>
              </w:rPr>
              <w:t>“Connected with a particular society or group’s culture, customs, beliefs, etc.“</w:t>
            </w:r>
          </w:p>
        </w:tc>
      </w:tr>
      <w:tr w:rsidR="002530E2" w14:paraId="007FBF97" w14:textId="77777777">
        <w:tc>
          <w:tcPr>
            <w:tcW w:w="1695" w:type="dxa"/>
            <w:tcMar>
              <w:top w:w="100" w:type="dxa"/>
              <w:left w:w="100" w:type="dxa"/>
              <w:bottom w:w="100" w:type="dxa"/>
              <w:right w:w="100" w:type="dxa"/>
            </w:tcMar>
          </w:tcPr>
          <w:p w14:paraId="2609A268" w14:textId="77777777" w:rsidR="002530E2" w:rsidRDefault="002530E2">
            <w:pPr>
              <w:spacing w:after="0" w:line="276" w:lineRule="auto"/>
              <w:rPr>
                <w:sz w:val="18"/>
                <w:szCs w:val="18"/>
              </w:rPr>
            </w:pPr>
            <w:r>
              <w:rPr>
                <w:sz w:val="18"/>
                <w:szCs w:val="18"/>
              </w:rPr>
              <w:t xml:space="preserve">Cross-Cultural </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AA82AD3" w14:textId="77777777" w:rsidR="002530E2" w:rsidRDefault="002530E2">
            <w:pPr>
              <w:spacing w:after="0" w:line="276" w:lineRule="auto"/>
              <w:rPr>
                <w:sz w:val="18"/>
                <w:szCs w:val="18"/>
              </w:rPr>
            </w:pPr>
            <w:r>
              <w:rPr>
                <w:sz w:val="18"/>
                <w:szCs w:val="18"/>
              </w:rPr>
              <w:t>Cross-Cultural means "involving or containing ideas from two or more different countries or cultures."</w:t>
            </w:r>
          </w:p>
        </w:tc>
      </w:tr>
      <w:tr w:rsidR="002530E2" w14:paraId="207DA951" w14:textId="77777777">
        <w:tc>
          <w:tcPr>
            <w:tcW w:w="1695" w:type="dxa"/>
            <w:tcMar>
              <w:top w:w="100" w:type="dxa"/>
              <w:left w:w="100" w:type="dxa"/>
              <w:bottom w:w="100" w:type="dxa"/>
              <w:right w:w="100" w:type="dxa"/>
            </w:tcMar>
          </w:tcPr>
          <w:p w14:paraId="3FE5BCA7" w14:textId="77777777" w:rsidR="002530E2" w:rsidRDefault="002530E2">
            <w:pPr>
              <w:spacing w:after="0" w:line="276" w:lineRule="auto"/>
              <w:rPr>
                <w:sz w:val="18"/>
                <w:szCs w:val="18"/>
              </w:rPr>
            </w:pPr>
            <w:r>
              <w:rPr>
                <w:sz w:val="18"/>
                <w:szCs w:val="18"/>
              </w:rPr>
              <w:t>Blunders</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83205E" w14:textId="77777777" w:rsidR="002530E2" w:rsidRDefault="002530E2">
            <w:pPr>
              <w:spacing w:after="0" w:line="276" w:lineRule="auto"/>
              <w:rPr>
                <w:sz w:val="18"/>
                <w:szCs w:val="18"/>
              </w:rPr>
            </w:pPr>
            <w:r>
              <w:rPr>
                <w:sz w:val="18"/>
                <w:szCs w:val="18"/>
              </w:rPr>
              <w:t>“A stupid or careless mistake.“</w:t>
            </w:r>
          </w:p>
        </w:tc>
      </w:tr>
      <w:tr w:rsidR="002530E2" w14:paraId="63AE01F7" w14:textId="77777777">
        <w:tc>
          <w:tcPr>
            <w:tcW w:w="1695" w:type="dxa"/>
            <w:tcMar>
              <w:top w:w="100" w:type="dxa"/>
              <w:left w:w="100" w:type="dxa"/>
              <w:bottom w:w="100" w:type="dxa"/>
              <w:right w:w="100" w:type="dxa"/>
            </w:tcMar>
          </w:tcPr>
          <w:p w14:paraId="0FD542F3" w14:textId="77777777" w:rsidR="002530E2" w:rsidRDefault="002530E2">
            <w:pPr>
              <w:spacing w:after="0" w:line="276" w:lineRule="auto"/>
              <w:rPr>
                <w:sz w:val="18"/>
                <w:szCs w:val="18"/>
              </w:rPr>
            </w:pPr>
            <w:r>
              <w:rPr>
                <w:sz w:val="18"/>
                <w:szCs w:val="18"/>
              </w:rPr>
              <w:t xml:space="preserve">Multinational </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3761270" w14:textId="77777777" w:rsidR="002530E2" w:rsidRDefault="002530E2">
            <w:pPr>
              <w:spacing w:after="0" w:line="276" w:lineRule="auto"/>
              <w:rPr>
                <w:sz w:val="18"/>
                <w:szCs w:val="18"/>
              </w:rPr>
            </w:pPr>
            <w:r>
              <w:rPr>
                <w:sz w:val="18"/>
                <w:szCs w:val="18"/>
              </w:rPr>
              <w:t>“Existing in or involving many countries.“</w:t>
            </w:r>
          </w:p>
        </w:tc>
      </w:tr>
      <w:tr w:rsidR="002530E2" w14:paraId="11509F12" w14:textId="77777777">
        <w:tc>
          <w:tcPr>
            <w:tcW w:w="1695" w:type="dxa"/>
            <w:tcMar>
              <w:top w:w="100" w:type="dxa"/>
              <w:left w:w="100" w:type="dxa"/>
              <w:bottom w:w="100" w:type="dxa"/>
              <w:right w:w="100" w:type="dxa"/>
            </w:tcMar>
          </w:tcPr>
          <w:p w14:paraId="258E522D" w14:textId="77777777" w:rsidR="002530E2" w:rsidRDefault="002530E2">
            <w:pPr>
              <w:spacing w:after="0" w:line="276" w:lineRule="auto"/>
              <w:rPr>
                <w:sz w:val="18"/>
                <w:szCs w:val="18"/>
              </w:rPr>
            </w:pPr>
            <w:r>
              <w:rPr>
                <w:sz w:val="18"/>
                <w:szCs w:val="18"/>
              </w:rPr>
              <w:t>Corporation</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FF33BF9" w14:textId="77777777" w:rsidR="002530E2" w:rsidRDefault="002530E2">
            <w:pPr>
              <w:spacing w:after="0" w:line="276" w:lineRule="auto"/>
              <w:rPr>
                <w:sz w:val="18"/>
                <w:szCs w:val="18"/>
              </w:rPr>
            </w:pPr>
            <w:r>
              <w:rPr>
                <w:sz w:val="18"/>
                <w:szCs w:val="18"/>
              </w:rPr>
              <w:t>“A large business company.“</w:t>
            </w:r>
          </w:p>
        </w:tc>
      </w:tr>
      <w:tr w:rsidR="002530E2" w14:paraId="0C1BB9B3" w14:textId="77777777">
        <w:tc>
          <w:tcPr>
            <w:tcW w:w="1695" w:type="dxa"/>
            <w:tcMar>
              <w:top w:w="100" w:type="dxa"/>
              <w:left w:w="100" w:type="dxa"/>
              <w:bottom w:w="100" w:type="dxa"/>
              <w:right w:w="100" w:type="dxa"/>
            </w:tcMar>
          </w:tcPr>
          <w:p w14:paraId="5CF32052" w14:textId="77777777" w:rsidR="002530E2" w:rsidRDefault="002530E2">
            <w:pPr>
              <w:spacing w:after="0" w:line="276" w:lineRule="auto"/>
              <w:rPr>
                <w:sz w:val="18"/>
                <w:szCs w:val="18"/>
              </w:rPr>
            </w:pPr>
            <w:r>
              <w:rPr>
                <w:sz w:val="18"/>
                <w:szCs w:val="18"/>
              </w:rPr>
              <w:t>Explosive</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62BDF20" w14:textId="77777777" w:rsidR="002530E2" w:rsidRDefault="002530E2">
            <w:pPr>
              <w:spacing w:after="0" w:line="276" w:lineRule="auto"/>
              <w:rPr>
                <w:sz w:val="18"/>
                <w:szCs w:val="18"/>
              </w:rPr>
            </w:pPr>
            <w:r>
              <w:rPr>
                <w:sz w:val="18"/>
                <w:szCs w:val="18"/>
              </w:rPr>
              <w:t>“Easily able or likely to explode.“</w:t>
            </w:r>
          </w:p>
        </w:tc>
      </w:tr>
      <w:tr w:rsidR="002530E2" w14:paraId="013FF675" w14:textId="77777777">
        <w:tc>
          <w:tcPr>
            <w:tcW w:w="1695" w:type="dxa"/>
            <w:tcMar>
              <w:top w:w="100" w:type="dxa"/>
              <w:left w:w="100" w:type="dxa"/>
              <w:bottom w:w="100" w:type="dxa"/>
              <w:right w:w="100" w:type="dxa"/>
            </w:tcMar>
          </w:tcPr>
          <w:p w14:paraId="1EAFD13C" w14:textId="77777777" w:rsidR="002530E2" w:rsidRDefault="002530E2">
            <w:pPr>
              <w:spacing w:after="0" w:line="276" w:lineRule="auto"/>
              <w:rPr>
                <w:sz w:val="18"/>
                <w:szCs w:val="18"/>
              </w:rPr>
            </w:pPr>
            <w:r>
              <w:rPr>
                <w:sz w:val="18"/>
                <w:szCs w:val="18"/>
              </w:rPr>
              <w:t>Consequence</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9FAB008" w14:textId="77777777" w:rsidR="002530E2" w:rsidRDefault="002530E2">
            <w:pPr>
              <w:spacing w:after="0" w:line="276" w:lineRule="auto"/>
              <w:rPr>
                <w:sz w:val="18"/>
                <w:szCs w:val="18"/>
              </w:rPr>
            </w:pPr>
            <w:r>
              <w:rPr>
                <w:sz w:val="18"/>
                <w:szCs w:val="18"/>
              </w:rPr>
              <w:t>“A result of something that has happened, especially an unpleasant result.“</w:t>
            </w:r>
          </w:p>
        </w:tc>
      </w:tr>
      <w:tr w:rsidR="002530E2" w14:paraId="0A451DCE" w14:textId="77777777">
        <w:tc>
          <w:tcPr>
            <w:tcW w:w="1695" w:type="dxa"/>
            <w:tcMar>
              <w:top w:w="100" w:type="dxa"/>
              <w:left w:w="100" w:type="dxa"/>
              <w:bottom w:w="100" w:type="dxa"/>
              <w:right w:w="100" w:type="dxa"/>
            </w:tcMar>
          </w:tcPr>
          <w:p w14:paraId="0DDE87ED" w14:textId="77777777" w:rsidR="002530E2" w:rsidRDefault="002530E2">
            <w:pPr>
              <w:spacing w:after="0" w:line="276" w:lineRule="auto"/>
              <w:rPr>
                <w:sz w:val="18"/>
                <w:szCs w:val="18"/>
              </w:rPr>
            </w:pPr>
            <w:r>
              <w:rPr>
                <w:sz w:val="18"/>
                <w:szCs w:val="18"/>
              </w:rPr>
              <w:t>Consumer</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114307" w14:textId="77777777" w:rsidR="002530E2" w:rsidRDefault="002530E2">
            <w:pPr>
              <w:spacing w:after="0" w:line="276" w:lineRule="auto"/>
              <w:rPr>
                <w:sz w:val="18"/>
                <w:szCs w:val="18"/>
              </w:rPr>
            </w:pPr>
            <w:r>
              <w:rPr>
                <w:sz w:val="18"/>
                <w:szCs w:val="18"/>
              </w:rPr>
              <w:t>The consumer refers to someone "who buys goods or uses services."</w:t>
            </w:r>
          </w:p>
        </w:tc>
      </w:tr>
      <w:tr w:rsidR="002530E2" w14:paraId="231BF10D" w14:textId="77777777">
        <w:tc>
          <w:tcPr>
            <w:tcW w:w="1695" w:type="dxa"/>
            <w:tcMar>
              <w:top w:w="100" w:type="dxa"/>
              <w:left w:w="100" w:type="dxa"/>
              <w:bottom w:w="100" w:type="dxa"/>
              <w:right w:w="100" w:type="dxa"/>
            </w:tcMar>
          </w:tcPr>
          <w:p w14:paraId="189510C9" w14:textId="77777777" w:rsidR="002530E2" w:rsidRDefault="002530E2">
            <w:pPr>
              <w:spacing w:after="0" w:line="276" w:lineRule="auto"/>
              <w:rPr>
                <w:sz w:val="18"/>
                <w:szCs w:val="18"/>
              </w:rPr>
            </w:pPr>
            <w:r>
              <w:rPr>
                <w:sz w:val="18"/>
                <w:szCs w:val="18"/>
              </w:rPr>
              <w:t xml:space="preserve">Impact </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9B1BFE8" w14:textId="77777777" w:rsidR="002530E2" w:rsidRDefault="002530E2">
            <w:pPr>
              <w:spacing w:after="0" w:line="276" w:lineRule="auto"/>
              <w:rPr>
                <w:sz w:val="18"/>
                <w:szCs w:val="18"/>
              </w:rPr>
            </w:pPr>
            <w:r>
              <w:rPr>
                <w:sz w:val="18"/>
                <w:szCs w:val="18"/>
              </w:rPr>
              <w:t>“The powerful effect that something has on somebody/something (a positive/a negative/an adverse impact).“</w:t>
            </w:r>
          </w:p>
        </w:tc>
      </w:tr>
      <w:tr w:rsidR="002530E2" w14:paraId="43B545B7" w14:textId="77777777">
        <w:tc>
          <w:tcPr>
            <w:tcW w:w="1695" w:type="dxa"/>
            <w:tcMar>
              <w:top w:w="100" w:type="dxa"/>
              <w:left w:w="100" w:type="dxa"/>
              <w:bottom w:w="100" w:type="dxa"/>
              <w:right w:w="100" w:type="dxa"/>
            </w:tcMar>
          </w:tcPr>
          <w:p w14:paraId="01FB3FAE" w14:textId="77777777" w:rsidR="002530E2" w:rsidRDefault="002530E2">
            <w:pPr>
              <w:spacing w:after="0" w:line="276" w:lineRule="auto"/>
              <w:rPr>
                <w:sz w:val="18"/>
                <w:szCs w:val="18"/>
              </w:rPr>
            </w:pPr>
            <w:r>
              <w:rPr>
                <w:sz w:val="18"/>
                <w:szCs w:val="18"/>
              </w:rPr>
              <w:t>Ramification</w:t>
            </w:r>
          </w:p>
        </w:tc>
        <w:tc>
          <w:tcPr>
            <w:tcW w:w="68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EC697AB" w14:textId="77777777" w:rsidR="002530E2" w:rsidRDefault="002530E2">
            <w:pPr>
              <w:spacing w:after="0" w:line="276" w:lineRule="auto"/>
              <w:rPr>
                <w:sz w:val="18"/>
                <w:szCs w:val="18"/>
              </w:rPr>
            </w:pPr>
            <w:r>
              <w:rPr>
                <w:sz w:val="18"/>
                <w:szCs w:val="18"/>
              </w:rPr>
              <w:t>Ramification conveys "one of several complicated and unexpected results that follow a decision or an action."</w:t>
            </w:r>
          </w:p>
        </w:tc>
      </w:tr>
    </w:tbl>
    <w:p w14:paraId="1C40545D" w14:textId="77777777" w:rsidR="002530E2" w:rsidRDefault="002530E2">
      <w:pPr>
        <w:pStyle w:val="Heading4"/>
        <w:spacing w:after="200"/>
      </w:pPr>
      <w:bookmarkStart w:id="18" w:name="_heading=h.8tpwy8osz6ud" w:colFirst="0" w:colLast="0"/>
      <w:bookmarkEnd w:id="18"/>
      <w:r>
        <w:t xml:space="preserve">Table 1.1: Oxford Learners’ Dictionaries (2023) definitions of Thesis title terms. A self-constructed table by this study’s author  </w:t>
      </w:r>
    </w:p>
    <w:p w14:paraId="6AF12B88" w14:textId="77777777" w:rsidR="002530E2" w:rsidRDefault="002530E2">
      <w:r>
        <w:br w:type="page"/>
      </w:r>
    </w:p>
    <w:p w14:paraId="411FDFA4" w14:textId="77777777" w:rsidR="002530E2" w:rsidRDefault="002530E2">
      <w:r>
        <w:lastRenderedPageBreak/>
        <w:t>Other title alternatives that emerged during the culmination of the research process were:</w:t>
      </w:r>
    </w:p>
    <w:p w14:paraId="7ED36B52" w14:textId="77777777" w:rsidR="002530E2" w:rsidRDefault="002530E2">
      <w:pPr>
        <w:spacing w:after="0"/>
        <w:rPr>
          <w:i/>
        </w:rPr>
      </w:pPr>
      <w:r>
        <w:rPr>
          <w:i/>
        </w:rPr>
        <w:t>“Cultural Landmines in Muslim Markets: MNC Blunders and Consequences“,</w:t>
      </w:r>
    </w:p>
    <w:p w14:paraId="0FC91357" w14:textId="77777777" w:rsidR="002530E2" w:rsidRDefault="002530E2">
      <w:pPr>
        <w:spacing w:after="0"/>
        <w:rPr>
          <w:i/>
        </w:rPr>
      </w:pPr>
      <w:r>
        <w:rPr>
          <w:i/>
        </w:rPr>
        <w:t>“Cross-Cultural Blunders by MNCs in Muslim Markets“,</w:t>
      </w:r>
    </w:p>
    <w:p w14:paraId="2FF7AF79" w14:textId="77777777" w:rsidR="002530E2" w:rsidRDefault="002530E2">
      <w:pPr>
        <w:spacing w:after="0"/>
        <w:rPr>
          <w:i/>
        </w:rPr>
      </w:pPr>
      <w:r>
        <w:rPr>
          <w:i/>
        </w:rPr>
        <w:t>“Explosive Consequences of MNC Blunders in Muslim Markets“,</w:t>
      </w:r>
    </w:p>
    <w:p w14:paraId="4C1377A5" w14:textId="77777777" w:rsidR="002530E2" w:rsidRDefault="002530E2">
      <w:pPr>
        <w:spacing w:after="0"/>
        <w:rPr>
          <w:i/>
        </w:rPr>
      </w:pPr>
      <w:r>
        <w:rPr>
          <w:i/>
        </w:rPr>
        <w:t>“Impact and Ramifications of MNC Blunders in Muslim Markets“</w:t>
      </w:r>
    </w:p>
    <w:p w14:paraId="21E1C1BF" w14:textId="77777777" w:rsidR="002530E2" w:rsidRDefault="002530E2">
      <w:pPr>
        <w:spacing w:after="0"/>
        <w:rPr>
          <w:i/>
        </w:rPr>
      </w:pPr>
      <w:r>
        <w:rPr>
          <w:i/>
        </w:rPr>
        <w:t>“Exploring Cross-Cultural Blunders in Muslim-Majority Countries: Implications for MNCs“</w:t>
      </w:r>
    </w:p>
    <w:p w14:paraId="6CD276D4" w14:textId="77777777" w:rsidR="002530E2" w:rsidRDefault="002530E2">
      <w:pPr>
        <w:pStyle w:val="Heading1"/>
        <w:spacing w:before="0" w:after="0"/>
      </w:pPr>
      <w:bookmarkStart w:id="19" w:name="_heading=h.9seleleulhl3" w:colFirst="0" w:colLast="0"/>
      <w:bookmarkEnd w:id="19"/>
    </w:p>
    <w:p w14:paraId="612596EE" w14:textId="77777777" w:rsidR="002530E2" w:rsidRDefault="002530E2">
      <w:pPr>
        <w:pStyle w:val="Heading1"/>
        <w:spacing w:before="0"/>
      </w:pPr>
      <w:r>
        <w:t xml:space="preserve">2.2 — RESEARCH ONION </w:t>
      </w:r>
    </w:p>
    <w:p w14:paraId="7A1C024C" w14:textId="77777777" w:rsidR="002530E2" w:rsidRDefault="002530E2">
      <w:r>
        <w:t xml:space="preserve">In this study, the Research Onion model guided the decision-making process for the appropriate research philosophy, approach, strategy, and data collection and analysis techniques (Saunders et al., 2007). The Research Onion model provided a practical framework for structuring decisions and ensuring methodological rigour throughout this research project. The illustration of the Research Onion model is below, according to Saunders et al. (2007). </w:t>
      </w:r>
    </w:p>
    <w:p w14:paraId="1F9115A6" w14:textId="77777777" w:rsidR="002530E2" w:rsidRDefault="002530E2">
      <w:pPr>
        <w:pBdr>
          <w:top w:val="nil"/>
          <w:left w:val="nil"/>
          <w:bottom w:val="nil"/>
          <w:right w:val="nil"/>
          <w:between w:val="nil"/>
        </w:pBdr>
        <w:rPr>
          <w:color w:val="000000"/>
        </w:rPr>
      </w:pPr>
      <w:r>
        <w:rPr>
          <w:noProof/>
          <w:color w:val="000000"/>
        </w:rPr>
        <w:drawing>
          <wp:inline distT="114300" distB="114300" distL="114300" distR="114300" wp14:anchorId="2D66F9E1" wp14:editId="628CFE1C">
            <wp:extent cx="5240103" cy="3733032"/>
            <wp:effectExtent l="0" t="0" r="0" b="0"/>
            <wp:docPr id="1953063273" name="Picture 1953063273"/>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240103" cy="3733032"/>
                    </a:xfrm>
                    <a:prstGeom prst="rect">
                      <a:avLst/>
                    </a:prstGeom>
                    <a:ln/>
                  </pic:spPr>
                </pic:pic>
              </a:graphicData>
            </a:graphic>
          </wp:inline>
        </w:drawing>
      </w:r>
    </w:p>
    <w:p w14:paraId="1BF8347C" w14:textId="77777777" w:rsidR="002530E2" w:rsidRDefault="002530E2">
      <w:pPr>
        <w:pStyle w:val="Heading4"/>
        <w:spacing w:line="360" w:lineRule="auto"/>
        <w:rPr>
          <w:color w:val="000000"/>
        </w:rPr>
      </w:pPr>
      <w:r>
        <w:t>Figure 2.1. “Understanding the Research Onion.“ Adapted from: Authors from 15writers (2019). Source: Retrieved from 15writers.com</w:t>
      </w:r>
    </w:p>
    <w:p w14:paraId="1C022ED9" w14:textId="77777777" w:rsidR="002530E2" w:rsidRDefault="002530E2">
      <w:r>
        <w:t>By considering the six layers of the Research Onion, this study effectively made research-based decisions to ensure a comprehensive and rigorous research process.</w:t>
      </w:r>
    </w:p>
    <w:p w14:paraId="1ACBFE58" w14:textId="77777777" w:rsidR="002530E2" w:rsidRDefault="002530E2">
      <w:r>
        <w:t xml:space="preserve">The Research Onion model, created by Saunders et al. (2007), offers a structured approach to the research process. Its first layer focuses on Research Philosophy, where researchers select a philosophical stance to guide their study. At this stage, researchers identify their fundamental beliefs </w:t>
      </w:r>
      <w:r>
        <w:lastRenderedPageBreak/>
        <w:t>regarding knowledge and reality. There are three primary research philosophies: positivism perceives knowledge as objective and gained through scientific methods; interpretivism acknowledges the subjective nature of knowledge and utilises qualitative approaches, and critical theory highlights socially constructed knowledge and challenges existing norms. An interpretive research philosophy adopted for this study explores cross-cultural blunders in Muslim majority and minority countries to recognise the subjectivity inherent in understanding these incidents. This study embraced a cultural relativism research philosophy, recognising and respecting the diversity of cultures and their distinct value systems. Cultural relativism emphasises comprehending and assessing cultural practices, norms, and values within their specific context rather than imposing universal standards based on one's culture. Since this study centres around cross-cultural mistakes in Muslim markets, adopting a culturally relative approach is especially appropriate.</w:t>
      </w:r>
    </w:p>
    <w:p w14:paraId="1EE942B3" w14:textId="77777777" w:rsidR="002530E2" w:rsidRDefault="002530E2">
      <w:r>
        <w:t>The second layer of the Research Onion model, known as the Research Approach, plays a vital role in establishing a comprehensive research plan that includes data collection and analysis methods. Researchers usually have two main options when determining their approach: quantitative or qualitative. Once an appropriate methodology is selected, the Research Onion recommends considering deductive or inductive approaches. The deductive approach involves creating a hypothesis based on existing literature and testing it in specific situations. In contrast, the inductive approach starts with observations and leads to the development of new theories. This study selected a qualitative approach employing induction to explore and interpret the abundant data specific to cross-cultural blunders in Muslim majority and minority countries.</w:t>
      </w:r>
    </w:p>
    <w:p w14:paraId="75B08080" w14:textId="77777777" w:rsidR="002530E2" w:rsidRDefault="002530E2">
      <w:r>
        <w:t>In the Research Onion model, Layer 3, or Research Strategy, is dedicated to choosing the most appropriate data collection method or methods that align with the research questions. This step involves evaluating various research strategies such as surveys, interviews, focus groups, case studies, grounded theory, archival research, and experiments. Researchers can ensure an efficient and focused approach to collecting essential data by carefully selecting a suitable strategy for their study objectives. This study used a qualitative approach called grounded theory as the research strategy. This approach aimed to generate new theories and comprehend cross-cultural mistakes made by multinational companies (MNCs) operating in countries with Muslim-majority populations. By carefully collecting data, categorising information, continuously comparing findings, and developing theories around them, this method helped identify the underlying factors and dynamics involved. The outcome was practical insights for MNCs on navigating cross-cultural challenges and engaging with Muslim consumers effectively. Grounded theory served as a rigorous framework rooted in empirical data that significantly advanced understanding within the context of this research.</w:t>
      </w:r>
    </w:p>
    <w:p w14:paraId="0F3EA68A" w14:textId="77777777" w:rsidR="002530E2" w:rsidRDefault="002530E2">
      <w:r>
        <w:t>The fourth layer of the Research Onion model, known as “Research Methodical Choice,“ helps researchers make systematic decisions regarding their research strategy. This stage requires essential choices, including formulating the research question, selecting the target population and sample size, and determining data collection methods and analysis techniques. The model provides various options, such as utilising a single method (mono-method), combining qualitative and quantitative methodologies (mixed-method), or using multiple methods simultaneously (multi-method). A mono-method approach employs only one methodology for the study, while a mixed-method approach involves blending both qualitative and quantitative approaches. Conversely, multi-methods allow a broader range of methodologies to address the research objectives effectively.</w:t>
      </w:r>
    </w:p>
    <w:p w14:paraId="7187AF4E" w14:textId="77777777" w:rsidR="002530E2" w:rsidRDefault="002530E2">
      <w:r>
        <w:lastRenderedPageBreak/>
        <w:t>This study adopted a mono-method design focusing on qualitative data collection and analysis to thoroughly examine individuals’ subjective experiences and perceptions of cross-cultural blunders.</w:t>
      </w:r>
    </w:p>
    <w:p w14:paraId="7D5D45DC" w14:textId="77777777" w:rsidR="002530E2" w:rsidRDefault="002530E2">
      <w:r>
        <w:t>The fifth layer of the Research Onion model is known as Time Horizons. This layer delves into the specific timeframe that a research study focuses on and encompasses two types of observations: cross-sectional and longitudinal. Cross-sectional data refers to information collected momentarily, typically through surveys or questionnaires. On the other hand, longitudinal data involves observing subjects over an extended period, offering valuable insights from a temporal perspective. When conducting research within this layer, researchers face critical choices regarding their research question formulation, selection of appropriate populations for study participation, sampling strategies, methods for gathering primary and secondary data sources during fieldwork, and decisions related to analysis techniques. These factors collectively shape every aspect of the overall research journey. For this study, the author selected a cross-sectional time frame that enabled him to examine cross-cultural blunders within a set timeline (between 2010 and 2020). This approach provided an instant portrayal of the frequency and consequences of these blunders as they unfolded over time.</w:t>
      </w:r>
    </w:p>
    <w:p w14:paraId="7E4DF2F1" w14:textId="77777777" w:rsidR="002530E2" w:rsidRDefault="002530E2">
      <w:r>
        <w:t>The sixth layer of the Research Onion model focuses on Data Collection and Analysis Techniques and Procedures. At this stage, researchers must decide how to collect and analyse data to clarify their research objectives. They must choose between primary or secondary sources of data as well as decide whether qualitative or quantitative data from different sources would be most appropriate. It is important to note that within the framework of the research onion, data plays a central role, emphasising its importance throughout every step of the overall research process.</w:t>
      </w:r>
    </w:p>
    <w:p w14:paraId="0F6E08A8" w14:textId="77777777" w:rsidR="002530E2" w:rsidRDefault="002530E2">
      <w:r>
        <w:t>This study used a purposive sampling technique to gather data, specifically targeting individuals with firsthand experience and knowledge of cross-cultural blunders in Muslim majority and minority countries. The data collected was primarily based on existing documents, making it secondary. The author chose the thematic analysis method to analyse this qualitative and non-numeric data. The triangulation methodology ensured the findings’ validity, reliability, and credibility.</w:t>
      </w:r>
    </w:p>
    <w:p w14:paraId="0B4EC750" w14:textId="77777777" w:rsidR="002530E2" w:rsidRDefault="002530E2">
      <w:r>
        <w:t>Employing the Research Onion model in this study offered a systematic and thorough approach to investigating cross-cultural blunders. Research choices were made systematically by adhering to the six layers of the model, guaranteeing a rigorous and robust study. The model was a definitive guide for determining a suitable research philosophy and strategy while incorporating various methods and data sources. This holistic approach enabled an enhanced comprehension of cross-cultural blunders within Muslim majority and minority countries, augmenting the reliability and validity of the findings.</w:t>
      </w:r>
    </w:p>
    <w:p w14:paraId="6840F6F7" w14:textId="77777777" w:rsidR="002530E2" w:rsidRDefault="002530E2">
      <w:r>
        <w:t>In summary, utilising the Research Onion model was crucial in directing the research endeavour by facilitating an organised and rigorous exploration of cross-cultural blunders. This approach significantly contributed to our extensive comprehension of these occurrences.</w:t>
      </w:r>
    </w:p>
    <w:p w14:paraId="1F4F56B2" w14:textId="77777777" w:rsidR="002530E2" w:rsidRDefault="002530E2">
      <w:pPr>
        <w:pStyle w:val="Heading1"/>
      </w:pPr>
      <w:bookmarkStart w:id="20" w:name="_heading=h.1t3h5sf" w:colFirst="0" w:colLast="0"/>
      <w:bookmarkEnd w:id="20"/>
      <w:r>
        <w:t xml:space="preserve">2.3 — RESEARCH PROCESS </w:t>
      </w:r>
    </w:p>
    <w:p w14:paraId="41BDB2E5" w14:textId="77777777" w:rsidR="002530E2" w:rsidRDefault="002530E2">
      <w:r>
        <w:t>The research process of this study unfolded as follows:</w:t>
      </w:r>
    </w:p>
    <w:p w14:paraId="2584D8EE" w14:textId="77777777" w:rsidR="002530E2" w:rsidRDefault="002530E2">
      <w:r>
        <w:t>Identification of research objectives:</w:t>
      </w:r>
    </w:p>
    <w:p w14:paraId="7482DEDA" w14:textId="77777777" w:rsidR="002530E2" w:rsidRDefault="002530E2">
      <w:r>
        <w:lastRenderedPageBreak/>
        <w:t>The study's main objectives were clearly stated and well-defined. These included identifying common cross-cultural mistakes made by multinational corporations (MNCs) in both Muslim-majority and minority countries, examining how these mistakes affected MNCs' business relationships, reputation, and financial performance, as well as exploring potential strategies that could help prevent such blunders and enhance engagement with Muslim consumers in these markets.</w:t>
      </w:r>
    </w:p>
    <w:p w14:paraId="5BAC3A78" w14:textId="77777777" w:rsidR="002530E2" w:rsidRDefault="002530E2">
      <w:r>
        <w:t>Conducting an extensive analysis of the existing literature</w:t>
      </w:r>
    </w:p>
    <w:p w14:paraId="794BEF5F" w14:textId="77777777" w:rsidR="002530E2" w:rsidRDefault="002530E2">
      <w:r>
        <w:t>The literature review in this study focused on examining well-known theories like Hofstede’s Cultural Dimensions, Cultural Intelligence (CQ), and High-Context versus Low-Context Culture. Its main objective was to understand the cross-cultural mistakes made by multinational corporations (MNCs) operating in countries with Muslim-majority populations and minority ones. To accomplish this objective, the author conducted a comprehensive analysis of 80 critical articles published between 1990 and 2020, along with studying 51 incident reports from the years spanning from 2010 to 2020. This thorough examination allowed researchers to gather valuable insights into the challenges MNCs face when engaging in cross-cultural interactions and identify effective strategies for navigating these situations successfully. Overall, through its findings and observations, the literature review acted as a fundamental resource for shaping the conceptual framework of this research project while also contributing practical recommendations specifically catered towards assisting MNC operations within diverse cultural contexts.</w:t>
      </w:r>
    </w:p>
    <w:p w14:paraId="712B1149" w14:textId="77777777" w:rsidR="002530E2" w:rsidRDefault="002530E2">
      <w:r>
        <w:t>Development of a conceptual framework:</w:t>
      </w:r>
    </w:p>
    <w:p w14:paraId="1C430E70" w14:textId="77777777" w:rsidR="002530E2" w:rsidRDefault="002530E2">
      <w:r>
        <w:t>The study’s author opted not to utilise a theoretical framework due to the exploratory nature of the research. Exploratory studies seek a deeper understanding of poorly understood phenomena and often need more specific research questions or problems. Therefore, in such cases, qualitative data collection techniques are typically employed. The author decided to forgo a theoretical framework because it would limit his ability to uncover fresh insights and patterns regarding cross-cultural errors. Additionally, they asserted that by adopting an exploratory approach, they could transcend the constraints imposed by existing frameworks and models while capturing the distinctive dynamics and challenges within their specific research context. Even without an explicit theoretical framework, the author considered existing theories and concepts when planning this research. They made use of relevant theories such as Hofstede’s Cultural Dimensions (1991) to understand cultural differences and Cultural Intelligence (CQ) by Earley &amp; Ang (2003) to explore effective engagement with Muslim consumers. Additionally, they employed Hall’s High-Context versus Low-Context Culture concept (1976) to address communication challenges while using Giles et al.’s Communication Accommodation Theory (1991) to explain how MNCs can adapt their communication styles in diverse cultural contexts.</w:t>
      </w:r>
    </w:p>
    <w:p w14:paraId="538DAE56" w14:textId="77777777" w:rsidR="002530E2" w:rsidRDefault="002530E2">
      <w:r>
        <w:t>Gathering and examining qualitative data</w:t>
      </w:r>
    </w:p>
    <w:p w14:paraId="7D65F64D" w14:textId="77777777" w:rsidR="002530E2" w:rsidRDefault="002530E2">
      <w:r>
        <w:t>The data collection involved diverse approaches, such as past research and incident reports that provided real-life examples of cross-cultural errors and interactions between multinational corporations (MNCs) and Muslim consumers. The author used qualitative research methods to carefully analyse the gathered information to assess the shared patterns in these blunders across cultures and their effects on MNCs’ relationships, reputation, and financial performance.</w:t>
      </w:r>
    </w:p>
    <w:p w14:paraId="4BA6D8BD" w14:textId="77777777" w:rsidR="002530E2" w:rsidRDefault="002530E2">
      <w:r>
        <w:t>Interpreting and explaining the results:</w:t>
      </w:r>
    </w:p>
    <w:p w14:paraId="5AD5B2BC" w14:textId="77777777" w:rsidR="002530E2" w:rsidRDefault="002530E2">
      <w:r>
        <w:lastRenderedPageBreak/>
        <w:t>Conclusions were drawn from the analysed data to answer the research questions. Conclusions were drawn based on identifying prevalent cross-cultural blunders, understanding their impacts on MNCs, and deriving strategies to prevent them while effectively engaging with Muslim consumers.</w:t>
      </w:r>
    </w:p>
    <w:p w14:paraId="5336BB99" w14:textId="77777777" w:rsidR="002530E2" w:rsidRDefault="002530E2">
      <w:r>
        <w:t>Generation of specific and contextual insights and recommendations:</w:t>
      </w:r>
    </w:p>
    <w:p w14:paraId="75C7CC99" w14:textId="77777777" w:rsidR="002530E2" w:rsidRDefault="002530E2">
      <w:r>
        <w:t>The author derived context-specific insights, interpreting the study’s findings beyond the established frameworks. The study provides practical recommendations to enhance interactions, minimise cross-cultural mistakes, and devise effective strategies for multinational corporations (MNCs) operating in Muslim-majority and minority countries.</w:t>
      </w:r>
    </w:p>
    <w:p w14:paraId="0D00F8A1" w14:textId="77777777" w:rsidR="002530E2" w:rsidRDefault="002530E2">
      <w:r>
        <w:t>Conclusion and future research:</w:t>
      </w:r>
    </w:p>
    <w:p w14:paraId="794EF374" w14:textId="77777777" w:rsidR="002530E2" w:rsidRDefault="002530E2">
      <w:r>
        <w:t>The author condensed the study’s significant discoveries, contributions, and limitations and examined potential avenues for future research. He emphasised investigating cultural dynamics through established theories, models, and frameworks to obtain deeper understandings applicable to MNCs operating in culturally diverse environments.</w:t>
      </w:r>
    </w:p>
    <w:p w14:paraId="64DEA778" w14:textId="77777777" w:rsidR="002530E2" w:rsidRDefault="002530E2">
      <w:r>
        <w:t>Documentation and communication of the research:</w:t>
      </w:r>
    </w:p>
    <w:p w14:paraId="4CCB8A06" w14:textId="77777777" w:rsidR="002530E2" w:rsidRDefault="002530E2">
      <w:r>
        <w:t>The author proposed a comprehensive research report and an academic paper detailing the complete research process. It encompasses various components such as a literature review, conceptual framework, data collection methods and techniques employed, analysis of gathered information, and interpretation of findings in light of relevant theories or concepts examined within the study’s scope. Furthermore, this document includes insightful observations from the analysis conducted and recommendations based on these insights for future actions. Finally, it summarises key findings and offers closure for the research effort.</w:t>
      </w:r>
    </w:p>
    <w:p w14:paraId="377AE371" w14:textId="77777777" w:rsidR="002530E2" w:rsidRDefault="002530E2">
      <w:r>
        <w:t>Dissemination of the research:</w:t>
      </w:r>
    </w:p>
    <w:p w14:paraId="00744909" w14:textId="77777777" w:rsidR="002530E2" w:rsidRDefault="002530E2">
      <w:r>
        <w:t>The comprehensive report consolidating the research findings will be disseminated through conferences, journals, and other relevant platforms to contribute towards cross-cultural studies and offer valuable insights for MNCs and researchers studying interactions between MNCs and Muslim consumers.</w:t>
      </w:r>
    </w:p>
    <w:p w14:paraId="08228FBA" w14:textId="77777777" w:rsidR="002530E2" w:rsidRDefault="002530E2">
      <w:pPr>
        <w:pStyle w:val="Heading1"/>
      </w:pPr>
      <w:bookmarkStart w:id="21" w:name="_heading=h.4d34og8" w:colFirst="0" w:colLast="0"/>
      <w:bookmarkEnd w:id="21"/>
      <w:r>
        <w:t xml:space="preserve">2.4 — THEORETICAL FRAMEWORK  </w:t>
      </w:r>
    </w:p>
    <w:p w14:paraId="30F0818E" w14:textId="77777777" w:rsidR="002530E2" w:rsidRDefault="002530E2">
      <w:r>
        <w:t>A theoretical framework in research is indispensable, which assists research investigations in providing a systematic and structured perspective on any phenomenon. A theoretical framework consists of interconnected concepts, constructs, assumptions, and propositions that guide researchers as they form hypotheses, select suitable research methodologies, and interpret results with meaningful interpretations (Creswell, 2014).</w:t>
      </w:r>
    </w:p>
    <w:p w14:paraId="15A6DF4C" w14:textId="77777777" w:rsidR="002530E2" w:rsidRDefault="002530E2">
      <w:r>
        <w:t xml:space="preserve">Miles and Huberman (1994) define a </w:t>
      </w:r>
      <w:r>
        <w:rPr>
          <w:i/>
        </w:rPr>
        <w:t>study framework</w:t>
      </w:r>
      <w:r>
        <w:t xml:space="preserve"> as a specialised theoretical framework tailored to specific research questions or problems, comprising components like literature review, hypothesis development, and identification of research methods. Its purpose is to help researchers structure their studies accordingly and meet the intended objectives of the study framework.</w:t>
      </w:r>
    </w:p>
    <w:p w14:paraId="3DD11301" w14:textId="77777777" w:rsidR="002530E2" w:rsidRDefault="002530E2">
      <w:r>
        <w:lastRenderedPageBreak/>
        <w:t>Patton (2002) suggests that researchers sometimes require a conceptual or theoretical framework for their investigations. Frameworks like these contain untested theories and concepts, making them perfect for studies that aim to explore or when there is insufficient existing theory. Conceptual and theoretical frameworks also act as an initial stepping stone in exploration, allowing researchers to create new perspectives and broaden their understanding.</w:t>
      </w:r>
    </w:p>
    <w:p w14:paraId="18D2EBE3" w14:textId="77777777" w:rsidR="002530E2" w:rsidRDefault="002530E2">
      <w:r>
        <w:t>The incorporation of a conceptual framework in research offers various advantages. Firstly, it sets the stage for developing hypotheses by helping researchers identify variables likely to have a connection. By basing their hypotheses on theory, researchers can establish a solid theoretical basis for their study.</w:t>
      </w:r>
    </w:p>
    <w:p w14:paraId="6EB02F71" w14:textId="77777777" w:rsidR="002530E2" w:rsidRDefault="002530E2">
      <w:r>
        <w:t>Conceptual frameworks aid researchers in making more informed decisions when selecting appropriate research methods. Ensuring harmony between the chosen research methods and the utilised conceptual framework is important. For instance, if the conceptual framework embraces a quantitative approach, it becomes crucial for researchers to employ quantitative research methods as well. This alignment ensures that the selected methodologies are appropriate for effectively testing hypotheses derived from within the given conceptual framework.</w:t>
      </w:r>
    </w:p>
    <w:p w14:paraId="7818E2EE" w14:textId="77777777" w:rsidR="002530E2" w:rsidRDefault="002530E2">
      <w:r>
        <w:t>In the big picture, a theoretical framework is crucial to understanding research findings, regardless of the context. In order to comprehensively analyse and interpret research results, it is essential to place them within an existing theoretical framework. This process guarantees that these findings are meaningful and contribute towards further advancing knowledge in their respective fields.</w:t>
      </w:r>
    </w:p>
    <w:p w14:paraId="6DC6BF6A" w14:textId="77777777" w:rsidR="002530E2" w:rsidRDefault="002530E2">
      <w:r>
        <w:t>While using a theoretical framework in research has benefits, its implementation poses some unique obstacles. First and foremost, creating such an undertaking takes considerable time: researchers need to comb through relevant literature, identify theories and concepts pertinent to the framework they wish to create, and then integrate these into an organised structure with minimal disruption or confusion. It requires significant exertion and careful deliberation.</w:t>
      </w:r>
    </w:p>
    <w:p w14:paraId="7CAA488E" w14:textId="77777777" w:rsidR="002530E2" w:rsidRDefault="002530E2">
      <w:r>
        <w:t>Researchers often need help selecting an adequate theoretical foundation for their research question or problem, often necessitating modifications or even creating entirely new frameworks to meet individual requirements and ensure they support study goals. Flexibility when selecting theoretical bases can ensure they align appropriately with the study objective.</w:t>
      </w:r>
    </w:p>
    <w:p w14:paraId="2BAE63F3" w14:textId="77777777" w:rsidR="002530E2" w:rsidRDefault="002530E2">
      <w:r>
        <w:t>Data may also need to fully align with its theoretical foundation, which may cause discrepancies when research findings do not align with that framework’s predictions or assumptions. Researchers may need to revisit, modify, or abandon this to match empirical evidence more closely. Though theoretical frameworks can provide valuable guidance and analysis, not all studies require one. Cooper and Schindler (2014) stressed the significance of taking into account both the nature and objectives of a study when making this determination; Saunders et al. (2019) concurred that choosing an appropriate theoretical framework depends on both its relationship to your research question as well as theory development within that particular field.</w:t>
      </w:r>
    </w:p>
    <w:p w14:paraId="5C3D3E90" w14:textId="77777777" w:rsidR="002530E2" w:rsidRDefault="002530E2">
      <w:r>
        <w:t>Under certain conditions, the necessity of a theoretical framework is questionable, even when research produces results. Exploratory research aims to gather preliminary information on a subject matter or to enhance our comprehension of a partially comprehended occurrence, as Creswell (2014) states, may not require a theoretical framework, as such cases often need a clearly stated research question or problem which would necessitate such development.</w:t>
      </w:r>
    </w:p>
    <w:p w14:paraId="3495F99F" w14:textId="77777777" w:rsidR="002530E2" w:rsidRDefault="002530E2">
      <w:r>
        <w:lastRenderedPageBreak/>
        <w:t>Specific research inquiries or issues lend themselves poorly to theoretical explanations; for instance, investigations focused on describing qualities within a group may not require one (Patton, 2002). Studies that aim only to provide informative descriptions rather than explanatory theories might also not require comprehensive theoretical frameworks (Patton). Due to the exploratory nature of this research, the use of qualitative methods for data collection, and its narrow focus, omitting a theoretical framework was considered acceptable in this study on cross-cultural mistakes made by MNCs in Muslim-majority and minority countries.</w:t>
      </w:r>
    </w:p>
    <w:p w14:paraId="78962465" w14:textId="77777777" w:rsidR="002530E2" w:rsidRDefault="002530E2">
      <w:r>
        <w:t>Exploratory research seeks to better understand an imperfect phenomenon without providing an exact research question or issue (Creswell, 2014). This study aimed to uncover and discover fresh understandings and patterns regarding multinational corporations’ cross-cultural errors committed in countries with Muslim majorities and minority regions. Researchers employed an exploratory methodology approach to overcome pre-existing frameworks or models’ restrictions while grasping unique dynamics or difficulties in this research context.</w:t>
      </w:r>
    </w:p>
    <w:p w14:paraId="32FF3C84" w14:textId="77777777" w:rsidR="002530E2" w:rsidRDefault="002530E2">
      <w:r>
        <w:t>Researchers utilise qualitative methods, such as literature reviews and document analysis, for in-depth and contextual data collection, and such methods enable them to thoroughly understand the factors contributing to cross-cultural blunders among Muslim-majority and minority countries. By reviewing relevant documents such as incident cases, previous studies, and corporate communications, the study sought to uncover intricate details of cross-cultural blunders while pinpointing their causes. Qualitative approaches were chosen based on their ability to capture this phenomenon within various contexts.</w:t>
      </w:r>
    </w:p>
    <w:p w14:paraId="04C15751" w14:textId="77777777" w:rsidR="002530E2" w:rsidRDefault="002530E2">
      <w:r>
        <w:t>Yin (2018) suggests that without an overarching theoretical framework, investigators can conduct cases without bias and discover patterns and themes from the data; with this approach, the findings reflect the real experiences of the investigated incident reports.</w:t>
      </w:r>
    </w:p>
    <w:p w14:paraId="083F7D38" w14:textId="77777777" w:rsidR="002530E2" w:rsidRDefault="002530E2">
      <w:r>
        <w:t>Additionally, the study's distinctive focus allowed for an analysis that exceeded what it could have achieved with an existing framework or theoretical model. The study's research objectives focused on cross-cultural errors that occur in countries with Muslim majorities and minority populations.</w:t>
      </w:r>
    </w:p>
    <w:p w14:paraId="06B38911" w14:textId="77777777" w:rsidR="002530E2" w:rsidRDefault="002530E2">
      <w:r>
        <w:t>Note, however, that the absence of a theoretical framework does not imply any disregard for existing theories and concepts; on the contrary, the author of this study utilised relevant theories and concepts to enhance the analysis and interpretation of data. Hofstede’s Cultural Dimensions (1991) provided great insights into cultural differences, while cultural intelligence (CQ) (Earley &amp; Ang, 2003) assisted MNCs in finding effective strategies for engaging with Muslim consumers.</w:t>
      </w:r>
    </w:p>
    <w:p w14:paraId="309DFBBC" w14:textId="77777777" w:rsidR="002530E2" w:rsidRDefault="002530E2">
      <w:r>
        <w:t>Furthermore, Hall's High-Context versus Low-Context Culture (1976) provided insight into communication challenges, and Giles et al.'s Communication Accommodation Theory (1991) allowed for adapting communication strategies accordingly. These theories and concepts provided an in-depth understanding of the cultural dynamics encountered when engaging with Muslim consumers in MNCs.</w:t>
      </w:r>
    </w:p>
    <w:p w14:paraId="37CF3BBB" w14:textId="77777777" w:rsidR="002530E2" w:rsidRDefault="002530E2">
      <w:r>
        <w:t>Generally speaking, the absence of a theoretical framework for studying cross-cultural blunders made by multinational corporations (MNCs) in Muslim-majority and minority countries can be justified based on several factors:</w:t>
      </w:r>
    </w:p>
    <w:p w14:paraId="24334602" w14:textId="77777777" w:rsidR="002530E2" w:rsidRDefault="002530E2" w:rsidP="002530E2">
      <w:pPr>
        <w:numPr>
          <w:ilvl w:val="0"/>
          <w:numId w:val="15"/>
        </w:numPr>
        <w:spacing w:before="240" w:after="240" w:line="432" w:lineRule="auto"/>
        <w:jc w:val="both"/>
      </w:pPr>
      <w:r>
        <w:t>Since the research was exploratory, having a pre-established theoretical foundation was deemed unnecessary.</w:t>
      </w:r>
    </w:p>
    <w:p w14:paraId="5E1182BB" w14:textId="77777777" w:rsidR="002530E2" w:rsidRDefault="002530E2" w:rsidP="002530E2">
      <w:pPr>
        <w:numPr>
          <w:ilvl w:val="0"/>
          <w:numId w:val="15"/>
        </w:numPr>
        <w:spacing w:before="240" w:after="240" w:line="432" w:lineRule="auto"/>
        <w:jc w:val="both"/>
      </w:pPr>
      <w:r>
        <w:lastRenderedPageBreak/>
        <w:t>Qualitative data collection methods were extensively used during this study, supporting the decision not to rely on a specific theoretical framework.</w:t>
      </w:r>
    </w:p>
    <w:p w14:paraId="60D12F20" w14:textId="77777777" w:rsidR="002530E2" w:rsidRDefault="002530E2" w:rsidP="002530E2">
      <w:pPr>
        <w:numPr>
          <w:ilvl w:val="0"/>
          <w:numId w:val="15"/>
        </w:numPr>
        <w:spacing w:before="240" w:after="240" w:line="432" w:lineRule="auto"/>
        <w:jc w:val="both"/>
      </w:pPr>
      <w:r>
        <w:t>Given that the objective of this research was to uncover new insights and patterns pertaining specifically to these contexts rather than adhering strictly to established theories or models, having no predefined theoretical perspective allowed for greater flexibility when capturing unique dynamics and challenges within these settings.</w:t>
      </w:r>
    </w:p>
    <w:p w14:paraId="5409CDBE" w14:textId="77777777" w:rsidR="002530E2" w:rsidRDefault="002530E2">
      <w:r>
        <w:t>Although relevant existing theories and concepts were considered throughout this study where appropriate, overall, it took an independent approach to provide fresh perspectives regarding cross-cultural blunders within these distinct cultural environments.</w:t>
      </w:r>
    </w:p>
    <w:p w14:paraId="1726DA2D" w14:textId="77777777" w:rsidR="002530E2" w:rsidRDefault="002530E2">
      <w:r>
        <w:t>The analysis of cross-cultural blunders by multinational corporations (MNCs) in Muslim-majority and minority countries incorporated relevant theories and concepts to enhance understanding and provide a new point of view on the phenomenon. We will now explore how four specific theories were applied:</w:t>
      </w:r>
    </w:p>
    <w:p w14:paraId="488CB641" w14:textId="77777777" w:rsidR="002530E2" w:rsidRDefault="002530E2">
      <w:r>
        <w:t>Hofstede’s Cultural Dimensions:</w:t>
      </w:r>
    </w:p>
    <w:p w14:paraId="5938C782" w14:textId="77777777" w:rsidR="002530E2" w:rsidRDefault="002530E2">
      <w:r>
        <w:t>Hofstede's Cultural Dimensions focus on understanding and analysing various cultural aspects within various nations. Hofstede's theory proved instrumental in helping the author of this study gain knowledge about cultural variations that can cause cross-cultural mistakes, particularly those related to individualism versus collectivism, power distance, masculinity vs femininity, uncertainty avoidance, and uncertainty avoidance. This theory encompasses various dimensions: individualism versus collectivism, power distance, masculinity vs. femininity, and uncertainty avoidance. Through an analysis of these dimensions in Muslim-majority and minority countries, this research sought to identify specific cultural obstacles encountered by multinational corporations (MNCs). For instance, it highlighted how the power distance dimension provides insights into hierarchical structures in certain Muslim-majority nations, which can influence MNCs' decision-making processes and communication methods.</w:t>
      </w:r>
    </w:p>
    <w:p w14:paraId="724AB5A4" w14:textId="77777777" w:rsidR="002530E2" w:rsidRDefault="002530E2">
      <w:r>
        <w:t>Cultural Intelligence (CQ):</w:t>
      </w:r>
    </w:p>
    <w:p w14:paraId="3727589A" w14:textId="77777777" w:rsidR="002530E2" w:rsidRDefault="002530E2">
      <w:r>
        <w:t>The theory of cultural intelligence (CQ) by Earley and Ang (2003) supported the investigation of how multinational corporations (MNCs) could effectively interact with Muslim consumers and handle cross-cultural engagements. Cultural intelligence involves having the ability to comprehend, adapt to, and engage with individuals from diverse cultural backgrounds. Incorporating this notion in their research allowed the study to pinpoint essential skills and approaches that MNCs need to prevent missteps when working in countries where Muslims are either a majority or minority population.</w:t>
      </w:r>
    </w:p>
    <w:p w14:paraId="7B7EE7E1" w14:textId="77777777" w:rsidR="002530E2" w:rsidRDefault="002530E2">
      <w:r>
        <w:t>High-Context versus Low-Context Culture:</w:t>
      </w:r>
    </w:p>
    <w:p w14:paraId="4E929E12" w14:textId="77777777" w:rsidR="002530E2" w:rsidRDefault="002530E2">
      <w:r>
        <w:t xml:space="preserve">Edward T. Hall (1976) introduced the concept of high-context and low-context cultures, which has been incorporated into this study to explore the communication obstacles MNCs encounter within these unique contexts. High-context cultures value contextual cues, nonverbal communication, and shared understanding, whereas low-context cultures prioritise clear and direct communication. By </w:t>
      </w:r>
      <w:r>
        <w:lastRenderedPageBreak/>
        <w:t>applying this framework, the study aimed to investigate how diverging approaches to communication between MNCs and Muslim consumers may lead to misunderstandings or missteps.</w:t>
      </w:r>
    </w:p>
    <w:p w14:paraId="69C6F1C7" w14:textId="77777777" w:rsidR="002530E2" w:rsidRDefault="002530E2">
      <w:r>
        <w:t>Communication Accommodation Theory (CAT):</w:t>
      </w:r>
    </w:p>
    <w:p w14:paraId="103645F3" w14:textId="77777777" w:rsidR="002530E2" w:rsidRDefault="002530E2">
      <w:r>
        <w:t>This research employed the Communication Accommodation Theory by Giles, Coupland, and Coupland (1991) to investigate how multinational corporations (MNCs) might alter their communication tactics better to accommodate the cultural expectations of Muslim-majority and minority countries. According to this theory, individuals adapt their speech patterns when interacting with others, either converging or diverging from them or when speaking directly to them; hence, this theory sought to identify effective strategies that MNCs could implement to decrease cross-cultural misunderstandings while strengthening consumer understanding and cooperation. This research endeavoured to gain greater insight into cultural dynamics, communication challenges, and strategies for successful cross-cultural interactions by applying theories. This approach ultimately sheds new light on its topic by combining relevant theories to form a theoretical framework that guides analysis, interpretation, and recommendation processes. This study aimed to examine the cultural missteps of multinational corporations (MNCs) operating in countries with Muslim majorities or minorities, intending to explore their effects on Muslim consumers, MNC business relationships, and financial performance. This study did not necessitate a specific theoretical framework. The primary objective was to analyse real-life events in detail and provide multinational corporations (MNCs) with valuable insights, practical suggestions, and strategies for successfully engaging Muslim consumers across different cultures. Additionally, this initiative sought to expand knowledge in key academic fields.</w:t>
      </w:r>
      <w:r>
        <w:br w:type="page"/>
      </w:r>
    </w:p>
    <w:p w14:paraId="0D2628E9" w14:textId="77777777" w:rsidR="002530E2" w:rsidRDefault="002530E2"/>
    <w:p w14:paraId="0BFC3DE0" w14:textId="77777777" w:rsidR="002530E2" w:rsidRDefault="002530E2">
      <w:pPr>
        <w:pBdr>
          <w:top w:val="nil"/>
          <w:left w:val="nil"/>
          <w:bottom w:val="nil"/>
          <w:right w:val="nil"/>
          <w:between w:val="nil"/>
        </w:pBdr>
        <w:rPr>
          <w:color w:val="000000"/>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00457D8F"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6DE7BEF" w14:textId="77777777" w:rsidR="002530E2" w:rsidRDefault="002530E2">
            <w:pPr>
              <w:pStyle w:val="Heading1"/>
              <w:widowControl w:val="0"/>
              <w:spacing w:before="0" w:after="0" w:line="240" w:lineRule="auto"/>
              <w:jc w:val="center"/>
            </w:pPr>
            <w:r>
              <w:t>CHAPTER SUMMARY</w:t>
            </w:r>
          </w:p>
        </w:tc>
      </w:tr>
    </w:tbl>
    <w:p w14:paraId="04EE827D" w14:textId="77777777" w:rsidR="002530E2" w:rsidRDefault="002530E2">
      <w:pPr>
        <w:pBdr>
          <w:top w:val="nil"/>
          <w:left w:val="nil"/>
          <w:bottom w:val="nil"/>
          <w:right w:val="nil"/>
          <w:between w:val="nil"/>
        </w:pBdr>
        <w:spacing w:after="0"/>
        <w:jc w:val="center"/>
        <w:rPr>
          <w:color w:val="000000"/>
        </w:rPr>
      </w:pPr>
    </w:p>
    <w:p w14:paraId="4D1096FB" w14:textId="77777777" w:rsidR="002530E2" w:rsidRDefault="002530E2">
      <w:pPr>
        <w:pBdr>
          <w:top w:val="nil"/>
          <w:left w:val="nil"/>
          <w:bottom w:val="nil"/>
          <w:right w:val="nil"/>
          <w:between w:val="nil"/>
        </w:pBdr>
        <w:spacing w:after="0" w:line="240" w:lineRule="auto"/>
        <w:jc w:val="center"/>
        <w:rPr>
          <w:i/>
          <w:color w:val="000000"/>
          <w:sz w:val="18"/>
          <w:szCs w:val="18"/>
        </w:rPr>
      </w:pPr>
    </w:p>
    <w:p w14:paraId="107CEB6C" w14:textId="77777777" w:rsidR="002530E2" w:rsidRDefault="002530E2">
      <w:r>
        <w:t xml:space="preserve">This chapter of the study framework discusses the use of the Research Onion Framework, step-by-step stages of the research process and the author's stance on a theoretical framework alternative by integrating four theories to enhance data analysis and interpretation: Hofstede's Cultural Dimensions, cultural intelligence (CQ) by Earley &amp; Ang, Hall's High-Context versus Low-Context Culture, and Giles et al.'s Communication Accommodation Theory. These theories informed the research questions. </w:t>
      </w:r>
    </w:p>
    <w:p w14:paraId="23603F77" w14:textId="77777777" w:rsidR="002530E2" w:rsidRDefault="002530E2">
      <w:r>
        <w:t>While the Introduction chapter of the thesis has served as a foundational component in establishing the purpose and significance of the study, comprehensively summarising the crucial components to address when introducing a study, such as research goals, objectives, study limitations, and delimitations, the Study Framework chapter has built on the Introduction chapter one step further by providing more detail about the Research Onion Model used as the guiding framework for the research process, various stages of the research process and the theoretical framework.</w:t>
      </w:r>
    </w:p>
    <w:p w14:paraId="3E6F78AB" w14:textId="77777777" w:rsidR="002530E2" w:rsidRDefault="002530E2">
      <w:pPr>
        <w:spacing w:after="0"/>
      </w:pPr>
      <w:r>
        <w:t>The Literature Review chapter thoroughly examines the current literature related to the topic investigated. Providing a context for the study can help pinpoint any areas in the literature that require further attention.</w:t>
      </w:r>
    </w:p>
    <w:p w14:paraId="55751A0D" w14:textId="77777777" w:rsidR="002530E2" w:rsidRDefault="002530E2">
      <w:pPr>
        <w:pBdr>
          <w:top w:val="nil"/>
          <w:left w:val="nil"/>
          <w:bottom w:val="nil"/>
          <w:right w:val="nil"/>
          <w:between w:val="nil"/>
        </w:pBdr>
        <w:spacing w:after="0"/>
      </w:pPr>
    </w:p>
    <w:p w14:paraId="08754E13" w14:textId="77777777" w:rsidR="002530E2" w:rsidRDefault="002530E2">
      <w:pPr>
        <w:pBdr>
          <w:top w:val="nil"/>
          <w:left w:val="nil"/>
          <w:bottom w:val="nil"/>
          <w:right w:val="nil"/>
          <w:between w:val="nil"/>
        </w:pBdr>
        <w:spacing w:after="0"/>
      </w:pPr>
    </w:p>
    <w:p w14:paraId="1740F137" w14:textId="77777777" w:rsidR="002530E2" w:rsidRDefault="002530E2">
      <w:pPr>
        <w:pBdr>
          <w:top w:val="nil"/>
          <w:left w:val="nil"/>
          <w:bottom w:val="nil"/>
          <w:right w:val="nil"/>
          <w:between w:val="nil"/>
        </w:pBdr>
        <w:spacing w:after="0"/>
        <w:jc w:val="center"/>
        <w:rPr>
          <w:color w:val="000000"/>
        </w:rPr>
      </w:pPr>
      <w:r>
        <w:t>“</w:t>
      </w:r>
      <w:r>
        <w:rPr>
          <w:rFonts w:ascii="Book Antiqua" w:eastAsia="Book Antiqua" w:hAnsi="Book Antiqua" w:cs="Book Antiqua"/>
          <w:color w:val="000000"/>
        </w:rPr>
        <w:t>The only thing that never fails is failure.</w:t>
      </w:r>
      <w:r>
        <w:t>“</w:t>
      </w:r>
    </w:p>
    <w:p w14:paraId="31729B4E" w14:textId="77777777" w:rsidR="002530E2" w:rsidRDefault="002530E2">
      <w:pPr>
        <w:pBdr>
          <w:top w:val="nil"/>
          <w:left w:val="nil"/>
          <w:bottom w:val="nil"/>
          <w:right w:val="nil"/>
          <w:between w:val="nil"/>
        </w:pBdr>
        <w:spacing w:after="0" w:line="240" w:lineRule="auto"/>
        <w:jc w:val="center"/>
        <w:rPr>
          <w:color w:val="0000FF"/>
        </w:rPr>
      </w:pPr>
      <w:r>
        <w:rPr>
          <w:rFonts w:ascii="Book Antiqua" w:eastAsia="Book Antiqua" w:hAnsi="Book Antiqua" w:cs="Book Antiqua"/>
          <w:i/>
          <w:color w:val="000000"/>
          <w:sz w:val="18"/>
          <w:szCs w:val="18"/>
        </w:rPr>
        <w:t>— Douglas Adams (Adams 1979)</w:t>
      </w:r>
    </w:p>
    <w:p w14:paraId="14BCCE63" w14:textId="77777777" w:rsidR="002530E2" w:rsidRDefault="002530E2">
      <w:pPr>
        <w:pBdr>
          <w:top w:val="nil"/>
          <w:left w:val="nil"/>
          <w:bottom w:val="nil"/>
          <w:right w:val="nil"/>
          <w:between w:val="nil"/>
        </w:pBdr>
        <w:rPr>
          <w:color w:val="000000"/>
        </w:rPr>
      </w:pPr>
    </w:p>
    <w:p w14:paraId="2A4677A5"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4389924D"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C68B9F3" w14:textId="77777777" w:rsidR="002530E2" w:rsidRDefault="002530E2">
            <w:pPr>
              <w:widowControl w:val="0"/>
              <w:spacing w:after="200" w:line="276" w:lineRule="auto"/>
              <w:jc w:val="center"/>
              <w:rPr>
                <w:color w:val="0E101A"/>
                <w:sz w:val="28"/>
                <w:szCs w:val="28"/>
              </w:rPr>
            </w:pPr>
            <w:r>
              <w:rPr>
                <w:color w:val="0E101A"/>
                <w:sz w:val="28"/>
                <w:szCs w:val="28"/>
              </w:rPr>
              <w:t>CHAPTER 3: LITERATURE REVIEW</w:t>
            </w:r>
          </w:p>
          <w:p w14:paraId="08B28449" w14:textId="77777777" w:rsidR="002530E2" w:rsidRDefault="002530E2">
            <w:pPr>
              <w:widowControl w:val="0"/>
              <w:spacing w:after="200" w:line="276" w:lineRule="auto"/>
              <w:jc w:val="center"/>
              <w:rPr>
                <w:color w:val="0E101A"/>
                <w:sz w:val="28"/>
                <w:szCs w:val="28"/>
              </w:rPr>
            </w:pPr>
            <w:r>
              <w:rPr>
                <w:color w:val="0E101A"/>
                <w:sz w:val="28"/>
                <w:szCs w:val="28"/>
              </w:rPr>
              <w:t>(</w:t>
            </w:r>
            <w:r>
              <w:rPr>
                <w:i/>
                <w:color w:val="0E101A"/>
                <w:sz w:val="28"/>
                <w:szCs w:val="28"/>
              </w:rPr>
              <w:t>Part—1)</w:t>
            </w:r>
          </w:p>
        </w:tc>
      </w:tr>
    </w:tbl>
    <w:p w14:paraId="0FBE6D24" w14:textId="77777777" w:rsidR="002530E2" w:rsidRDefault="002530E2">
      <w:pPr>
        <w:spacing w:after="0"/>
        <w:jc w:val="center"/>
      </w:pPr>
    </w:p>
    <w:p w14:paraId="176DB767" w14:textId="77777777" w:rsidR="002530E2" w:rsidRDefault="002530E2">
      <w:pPr>
        <w:spacing w:before="200" w:after="200" w:line="360" w:lineRule="auto"/>
        <w:jc w:val="center"/>
      </w:pPr>
      <w:r>
        <w:t xml:space="preserve">"Literature is a product of the human mind, and </w:t>
      </w:r>
    </w:p>
    <w:p w14:paraId="67219C2B" w14:textId="77777777" w:rsidR="002530E2" w:rsidRDefault="002530E2">
      <w:pPr>
        <w:spacing w:before="200" w:after="200" w:line="360" w:lineRule="auto"/>
        <w:jc w:val="center"/>
      </w:pPr>
      <w:r>
        <w:t>the human mind is a very strange thing."</w:t>
      </w:r>
    </w:p>
    <w:p w14:paraId="0F710ED7" w14:textId="77777777" w:rsidR="002530E2" w:rsidRDefault="002530E2">
      <w:pPr>
        <w:spacing w:after="0" w:line="240" w:lineRule="auto"/>
        <w:jc w:val="center"/>
      </w:pPr>
      <w:r>
        <w:rPr>
          <w:i/>
          <w:sz w:val="18"/>
          <w:szCs w:val="18"/>
        </w:rPr>
        <w:t>— Orhan Pamuk (Pamuk, 2002)</w:t>
      </w:r>
    </w:p>
    <w:p w14:paraId="7F531330" w14:textId="77777777" w:rsidR="002530E2" w:rsidRDefault="002530E2">
      <w:pPr>
        <w:pStyle w:val="Heading4"/>
        <w:spacing w:before="0"/>
      </w:pPr>
    </w:p>
    <w:p w14:paraId="31140469" w14:textId="77777777" w:rsidR="002530E2" w:rsidRDefault="002530E2">
      <w:pPr>
        <w:pStyle w:val="Heading4"/>
        <w:spacing w:before="0"/>
        <w:rPr>
          <w:color w:val="FFFFFF"/>
        </w:rPr>
      </w:pPr>
      <w:r>
        <w:rPr>
          <w:color w:val="FFFFFF"/>
        </w:rPr>
        <w:t>TABLE OF CONTENT</w:t>
      </w:r>
    </w:p>
    <w:p w14:paraId="67FA003E" w14:textId="77777777" w:rsidR="002530E2" w:rsidRDefault="002530E2">
      <w:pPr>
        <w:spacing w:after="0"/>
      </w:pPr>
    </w:p>
    <w:p w14:paraId="7CE82B07" w14:textId="77777777" w:rsidR="002530E2" w:rsidRDefault="002530E2">
      <w:r>
        <w:rPr>
          <w:sz w:val="28"/>
          <w:szCs w:val="28"/>
        </w:rPr>
        <w:t xml:space="preserve">TABLE OF CONTENT FOR CHAPTER 3 </w:t>
      </w:r>
      <w:r>
        <w:rPr>
          <w:i/>
          <w:sz w:val="28"/>
          <w:szCs w:val="28"/>
        </w:rPr>
        <w:t>(Part 1)</w:t>
      </w:r>
    </w:p>
    <w:sdt>
      <w:sdtPr>
        <w:id w:val="1412194573"/>
        <w:docPartObj>
          <w:docPartGallery w:val="Table of Contents"/>
          <w:docPartUnique/>
        </w:docPartObj>
      </w:sdtPr>
      <w:sdtContent>
        <w:p w14:paraId="71C7A9F2"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ttensmhxgu9m">
            <w:r>
              <w:rPr>
                <w:rFonts w:ascii="Book Antiqua" w:eastAsia="Book Antiqua" w:hAnsi="Book Antiqua" w:cs="Book Antiqua"/>
                <w:color w:val="1155CC"/>
              </w:rPr>
              <w:t>CHAPTER INTRO</w:t>
            </w:r>
            <w:r>
              <w:rPr>
                <w:rFonts w:ascii="Book Antiqua" w:eastAsia="Book Antiqua" w:hAnsi="Book Antiqua" w:cs="Book Antiqua"/>
                <w:color w:val="1155CC"/>
              </w:rPr>
              <w:tab/>
              <w:t>91</w:t>
            </w:r>
          </w:hyperlink>
        </w:p>
        <w:p w14:paraId="13CF933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0j0zll">
            <w:r>
              <w:rPr>
                <w:rFonts w:ascii="Book Antiqua" w:eastAsia="Book Antiqua" w:hAnsi="Book Antiqua" w:cs="Book Antiqua"/>
                <w:color w:val="1155CC"/>
              </w:rPr>
              <w:t>3.0 — INTRODUCTION</w:t>
            </w:r>
            <w:r>
              <w:rPr>
                <w:rFonts w:ascii="Book Antiqua" w:eastAsia="Book Antiqua" w:hAnsi="Book Antiqua" w:cs="Book Antiqua"/>
                <w:color w:val="1155CC"/>
              </w:rPr>
              <w:tab/>
              <w:t>93</w:t>
            </w:r>
          </w:hyperlink>
        </w:p>
        <w:p w14:paraId="1D505B69"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fob9te">
            <w:r>
              <w:rPr>
                <w:rFonts w:ascii="Book Antiqua" w:eastAsia="Book Antiqua" w:hAnsi="Book Antiqua" w:cs="Book Antiqua"/>
                <w:color w:val="1155CC"/>
              </w:rPr>
              <w:t>3.1 — METHODICAL LITERATURE REVIEW OF RESEARCH THEORIES</w:t>
            </w:r>
            <w:r>
              <w:rPr>
                <w:rFonts w:ascii="Book Antiqua" w:eastAsia="Book Antiqua" w:hAnsi="Book Antiqua" w:cs="Book Antiqua"/>
                <w:color w:val="1155CC"/>
              </w:rPr>
              <w:tab/>
              <w:t>94</w:t>
            </w:r>
          </w:hyperlink>
        </w:p>
        <w:p w14:paraId="2ECF933A"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znysh7">
            <w:r>
              <w:rPr>
                <w:rFonts w:ascii="Book Antiqua" w:eastAsia="Book Antiqua" w:hAnsi="Book Antiqua" w:cs="Book Antiqua"/>
                <w:color w:val="1155CC"/>
              </w:rPr>
              <w:t>3.2 — TOPIC RELATED KEY TERMS AND DEFINITIONS</w:t>
            </w:r>
            <w:r>
              <w:rPr>
                <w:rFonts w:ascii="Book Antiqua" w:eastAsia="Book Antiqua" w:hAnsi="Book Antiqua" w:cs="Book Antiqua"/>
                <w:color w:val="1155CC"/>
              </w:rPr>
              <w:tab/>
              <w:t>94</w:t>
            </w:r>
          </w:hyperlink>
        </w:p>
        <w:p w14:paraId="6C4FE7D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et92p0">
            <w:r>
              <w:rPr>
                <w:rFonts w:ascii="Book Antiqua" w:eastAsia="Book Antiqua" w:hAnsi="Book Antiqua" w:cs="Book Antiqua"/>
                <w:color w:val="1155CC"/>
              </w:rPr>
              <w:t>3.3 — TOPIC-RELATED CONCEPTS AND BACKGROUND KNOWLEDGE</w:t>
            </w:r>
            <w:r>
              <w:rPr>
                <w:rFonts w:ascii="Book Antiqua" w:eastAsia="Book Antiqua" w:hAnsi="Book Antiqua" w:cs="Book Antiqua"/>
                <w:color w:val="1155CC"/>
              </w:rPr>
              <w:tab/>
              <w:t>94</w:t>
            </w:r>
          </w:hyperlink>
        </w:p>
        <w:p w14:paraId="507F1AA5"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tyjcwt">
            <w:r>
              <w:rPr>
                <w:rFonts w:ascii="Book Antiqua" w:eastAsia="Book Antiqua" w:hAnsi="Book Antiqua" w:cs="Book Antiqua"/>
                <w:color w:val="1155CC"/>
              </w:rPr>
              <w:t>3.4 — LIST OF LITERATURE TOPICS</w:t>
            </w:r>
            <w:r>
              <w:rPr>
                <w:rFonts w:ascii="Book Antiqua" w:eastAsia="Book Antiqua" w:hAnsi="Book Antiqua" w:cs="Book Antiqua"/>
                <w:color w:val="1155CC"/>
              </w:rPr>
              <w:tab/>
              <w:t>94</w:t>
            </w:r>
          </w:hyperlink>
        </w:p>
        <w:p w14:paraId="372E1478"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dy6vkm">
            <w:r>
              <w:rPr>
                <w:rFonts w:ascii="Book Antiqua" w:eastAsia="Book Antiqua" w:hAnsi="Book Antiqua" w:cs="Book Antiqua"/>
                <w:color w:val="1155CC"/>
              </w:rPr>
              <w:t>3.5 — ESTABLISHED THEORIES INFORMING CROSS-CULTURAL BLUNDERS</w:t>
            </w:r>
            <w:r>
              <w:rPr>
                <w:rFonts w:ascii="Book Antiqua" w:eastAsia="Book Antiqua" w:hAnsi="Book Antiqua" w:cs="Book Antiqua"/>
                <w:color w:val="1155CC"/>
              </w:rPr>
              <w:tab/>
              <w:t>96</w:t>
            </w:r>
          </w:hyperlink>
        </w:p>
        <w:p w14:paraId="7DD401FA"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t3h5sf">
            <w:r>
              <w:rPr>
                <w:rFonts w:ascii="Book Antiqua" w:eastAsia="Book Antiqua" w:hAnsi="Book Antiqua" w:cs="Book Antiqua"/>
                <w:color w:val="1155CC"/>
              </w:rPr>
              <w:t>3.5.1 — THEORY 1: HOFSTEDE’S CULTURAL DIMENSIONS</w:t>
            </w:r>
            <w:r>
              <w:rPr>
                <w:rFonts w:ascii="Book Antiqua" w:eastAsia="Book Antiqua" w:hAnsi="Book Antiqua" w:cs="Book Antiqua"/>
                <w:color w:val="1155CC"/>
              </w:rPr>
              <w:tab/>
              <w:t>97</w:t>
            </w:r>
          </w:hyperlink>
        </w:p>
        <w:p w14:paraId="495CD17A"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4d34og8">
            <w:r>
              <w:rPr>
                <w:rFonts w:ascii="Book Antiqua" w:eastAsia="Book Antiqua" w:hAnsi="Book Antiqua" w:cs="Book Antiqua"/>
                <w:color w:val="1155CC"/>
              </w:rPr>
              <w:t>3.5.2 — THEORY 2: CULTURAL INTELLIGENCE (CQ)</w:t>
            </w:r>
            <w:r>
              <w:rPr>
                <w:rFonts w:ascii="Book Antiqua" w:eastAsia="Book Antiqua" w:hAnsi="Book Antiqua" w:cs="Book Antiqua"/>
                <w:color w:val="1155CC"/>
              </w:rPr>
              <w:tab/>
              <w:t>107</w:t>
            </w:r>
          </w:hyperlink>
          <w:r>
            <w:fldChar w:fldCharType="end"/>
          </w:r>
        </w:p>
      </w:sdtContent>
    </w:sdt>
    <w:p w14:paraId="08DD0054" w14:textId="77777777" w:rsidR="002530E2" w:rsidRDefault="002530E2">
      <w:pPr>
        <w:pStyle w:val="Heading1"/>
        <w:spacing w:before="0"/>
      </w:pPr>
      <w:bookmarkStart w:id="22" w:name="_heading=h.3l9yd7d5fspm" w:colFirst="0" w:colLast="0"/>
      <w:bookmarkEnd w:id="22"/>
      <w:r>
        <w:br w:type="page"/>
      </w:r>
    </w:p>
    <w:p w14:paraId="2162432D" w14:textId="77777777" w:rsidR="002530E2" w:rsidRDefault="002530E2"/>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41B8742"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51B7D2B7" w14:textId="77777777" w:rsidR="002530E2" w:rsidRDefault="002530E2">
            <w:pPr>
              <w:pStyle w:val="Heading1"/>
              <w:widowControl w:val="0"/>
              <w:spacing w:before="0" w:after="0" w:line="240" w:lineRule="auto"/>
              <w:jc w:val="center"/>
            </w:pPr>
            <w:bookmarkStart w:id="23" w:name="_heading=h.ttensmhxgu9m" w:colFirst="0" w:colLast="0"/>
            <w:bookmarkEnd w:id="23"/>
            <w:r>
              <w:t>CHAPTER INTRO</w:t>
            </w:r>
          </w:p>
        </w:tc>
      </w:tr>
    </w:tbl>
    <w:p w14:paraId="7F209B1B" w14:textId="77777777" w:rsidR="002530E2" w:rsidRDefault="002530E2">
      <w:pPr>
        <w:spacing w:after="0"/>
        <w:jc w:val="center"/>
      </w:pPr>
    </w:p>
    <w:p w14:paraId="20EB5A7D" w14:textId="77777777" w:rsidR="002530E2" w:rsidRDefault="002530E2">
      <w:pPr>
        <w:spacing w:after="0"/>
        <w:jc w:val="center"/>
      </w:pPr>
      <w:r>
        <w:t>"Literature is the art of writing something that's read twice."</w:t>
      </w:r>
    </w:p>
    <w:p w14:paraId="7FFB34AA" w14:textId="77777777" w:rsidR="002530E2" w:rsidRDefault="002530E2">
      <w:pPr>
        <w:spacing w:after="0" w:line="240" w:lineRule="auto"/>
        <w:jc w:val="center"/>
      </w:pPr>
      <w:r>
        <w:rPr>
          <w:i/>
          <w:sz w:val="18"/>
          <w:szCs w:val="18"/>
        </w:rPr>
        <w:t>— Cyril Connolly (Connolly, 1944)</w:t>
      </w:r>
    </w:p>
    <w:p w14:paraId="632053FE" w14:textId="77777777" w:rsidR="002530E2" w:rsidRDefault="002530E2">
      <w:pPr>
        <w:spacing w:after="0" w:line="240" w:lineRule="auto"/>
        <w:rPr>
          <w:i/>
          <w:sz w:val="18"/>
          <w:szCs w:val="18"/>
        </w:rPr>
      </w:pPr>
    </w:p>
    <w:p w14:paraId="6A432963" w14:textId="77777777" w:rsidR="002530E2" w:rsidRDefault="002530E2">
      <w:pPr>
        <w:spacing w:after="0" w:line="240" w:lineRule="auto"/>
        <w:rPr>
          <w:i/>
          <w:sz w:val="18"/>
          <w:szCs w:val="18"/>
        </w:rPr>
      </w:pPr>
    </w:p>
    <w:p w14:paraId="2D97AD4F" w14:textId="77777777" w:rsidR="002530E2" w:rsidRDefault="002530E2">
      <w:r>
        <w:t>This chapter, “Literature Review,“ comprehensively explores fundamental research theories that delve into methodical research processes, existing theories, previous research, and examples of incidents related to the topic of study. It examines their critical aspects to enhance the understanding of the topic and inform the subsequent analysis.</w:t>
      </w:r>
    </w:p>
    <w:p w14:paraId="2EE06A38" w14:textId="77777777" w:rsidR="002530E2" w:rsidRDefault="002530E2">
      <w:r>
        <w:t>A short review of sections in this chapter follows below:</w:t>
      </w:r>
    </w:p>
    <w:p w14:paraId="7257BADC" w14:textId="77777777" w:rsidR="002530E2" w:rsidRDefault="002530E2">
      <w:r>
        <w:t>Methodical Literature Review of Basic Research Theories</w:t>
      </w:r>
    </w:p>
    <w:p w14:paraId="2AA885EE" w14:textId="77777777" w:rsidR="002530E2" w:rsidRDefault="002530E2">
      <w:r>
        <w:t>This chapter conducts a methodical literature review to explore and examine fundamental research theories that form the foundation of this study's research methods, approaches, processes, and steps. The systematic review approach ensures a comprehensive and structured analysis of the relevant theories underpinning scientific research.</w:t>
      </w:r>
    </w:p>
    <w:p w14:paraId="1E26C69E" w14:textId="77777777" w:rsidR="002530E2" w:rsidRDefault="002530E2">
      <w:r>
        <w:t>Topic-Related Key Terms and Definitions</w:t>
      </w:r>
    </w:p>
    <w:p w14:paraId="509E55FE" w14:textId="77777777" w:rsidR="002530E2" w:rsidRDefault="002530E2">
      <w:r>
        <w:t>The chapter presents a comprehensive list of key terms and definitions related to the research topic. The author provides this as a reference point to ensure clarity and a shared understanding of the terminology used throughout the study. The chapter establishes a common language and facilitates effective communication within the research context by defining these key terms and concepts.</w:t>
      </w:r>
    </w:p>
    <w:p w14:paraId="6555CCC2" w14:textId="77777777" w:rsidR="002530E2" w:rsidRDefault="002530E2">
      <w:r>
        <w:t>Topic-related Concepts and Background Knowledge</w:t>
      </w:r>
    </w:p>
    <w:p w14:paraId="279D265D" w14:textId="77777777" w:rsidR="002530E2" w:rsidRDefault="002530E2">
      <w:r>
        <w:t>The chapter explores topic-related concepts and background knowledge. It examines the field’s historical development, highlighting significant events, ideas, concepts, theories, and frameworks contributing to understanding cross-cultural dynamics in Muslim consumers’ context. This historical perspective provides valuable insights into the evolution of research in this area. This overview serves as a roadmap for the reader, offering a glimpse into the diverse focus areas within the literature review.</w:t>
      </w:r>
    </w:p>
    <w:p w14:paraId="52D5893D" w14:textId="77777777" w:rsidR="002530E2" w:rsidRDefault="002530E2">
      <w:r>
        <w:t>Established Theories Informing Cross-Cultural Blunders</w:t>
      </w:r>
    </w:p>
    <w:p w14:paraId="64FEBFA0" w14:textId="77777777" w:rsidR="002530E2" w:rsidRDefault="002530E2">
      <w:r>
        <w:t>The author discusses well-known theories commonly used in this field in this chapter. These theories include Hofstede's cultural dimensions, cultural intelligence (CQ), high-context versus low-context culture, and communication accommodation theory. Examining how these theories relate to the research questions and goals by examining them. These theories have been widely recognised and used in this field, making them crucial to the analysis.</w:t>
      </w:r>
    </w:p>
    <w:p w14:paraId="1C0A4E7E" w14:textId="77777777" w:rsidR="002530E2" w:rsidRDefault="002530E2">
      <w:r>
        <w:t>Previous Studies on Cross-Cultural Blunders</w:t>
      </w:r>
    </w:p>
    <w:p w14:paraId="52720ACB" w14:textId="77777777" w:rsidR="002530E2" w:rsidRDefault="002530E2">
      <w:r>
        <w:t xml:space="preserve">Furthermore, the chapter analyses previous studies. It provides a curated list of key articles and conducts a literature analysis in alignment with the research questions of this study. This analysis </w:t>
      </w:r>
      <w:r>
        <w:lastRenderedPageBreak/>
        <w:t>highlights the existing research and findings related to cross-cultural blunders in interactions with Muslim consumers. It identifies gaps and lays the foundation for the current study’s contribution.</w:t>
      </w:r>
    </w:p>
    <w:p w14:paraId="7C14F179" w14:textId="77777777" w:rsidR="002530E2" w:rsidRDefault="002530E2">
      <w:r>
        <w:t>Past Incident Reports of Cross-Cultural Blunders</w:t>
      </w:r>
    </w:p>
    <w:p w14:paraId="4A80A618" w14:textId="77777777" w:rsidR="002530E2" w:rsidRDefault="002530E2">
      <w:r>
        <w:t>Lastly, the chapter analyses specific incidents or blunders in the past. It presents a comprehensive list of incident reports, each with a detailed analysis. These real-life cases offer valuable insights into the challenges MNCs face and the consequences of cultural missteps for Muslims and MNCs. Analysing these incidents contributes to a deeper understanding of the complexities and pitfalls to be considered and addressed.</w:t>
      </w:r>
    </w:p>
    <w:p w14:paraId="4470B95D" w14:textId="77777777" w:rsidR="002530E2" w:rsidRDefault="002530E2">
      <w:pPr>
        <w:pStyle w:val="Heading1"/>
      </w:pPr>
      <w:bookmarkStart w:id="24" w:name="_heading=h.m7vse8yxh2uq" w:colFirst="0" w:colLast="0"/>
      <w:bookmarkEnd w:id="24"/>
      <w:r>
        <w:br w:type="page"/>
      </w:r>
    </w:p>
    <w:p w14:paraId="33840C0A" w14:textId="77777777" w:rsidR="002530E2" w:rsidRDefault="002530E2">
      <w:pPr>
        <w:pStyle w:val="Heading1"/>
      </w:pPr>
      <w:r>
        <w:lastRenderedPageBreak/>
        <w:t>3.0 — INTRODUCTION</w:t>
      </w:r>
    </w:p>
    <w:p w14:paraId="6BCE9AA5" w14:textId="77777777" w:rsidR="002530E2" w:rsidRDefault="002530E2">
      <w:r>
        <w:t>According to The University of Edinburgh (2020), literature reviews give a researcher an understanding of the current state of research in a particular field before they start investigating. In conducting a new investigation in a particular field, it is necessary to examine current research and existing knowledge. The literature review actively identifies what topics are unknown or unexplored. A literature review differs from a literature report since it is a piece of scholarly writing offering understanding and knowledge of the academic literature on a particular topic and critically evaluating it (The University of Edinburgh, 2020).</w:t>
      </w:r>
    </w:p>
    <w:p w14:paraId="700FA2ED" w14:textId="77777777" w:rsidR="002530E2" w:rsidRDefault="002530E2">
      <w:r>
        <w:t>A literature review is a crucial component of research, allowing the researcher to understand the existing body of knowledge in a particular field before conducting their investigation. It actively identifies explored areas and what remains unexplored. This study adopted a methodological and systematic review approach, employing meta-analysis and meta-synthesis techniques.</w:t>
      </w:r>
    </w:p>
    <w:p w14:paraId="22EA4906" w14:textId="77777777" w:rsidR="002530E2" w:rsidRDefault="002530E2">
      <w:r>
        <w:t>Below are the key aspects of the literature review, as outlined in the following sections:</w:t>
      </w:r>
    </w:p>
    <w:p w14:paraId="11002673" w14:textId="77777777" w:rsidR="002530E2" w:rsidRDefault="002530E2" w:rsidP="002530E2">
      <w:pPr>
        <w:numPr>
          <w:ilvl w:val="0"/>
          <w:numId w:val="25"/>
        </w:numPr>
        <w:pBdr>
          <w:top w:val="nil"/>
          <w:left w:val="nil"/>
          <w:bottom w:val="nil"/>
          <w:right w:val="nil"/>
          <w:between w:val="nil"/>
        </w:pBdr>
        <w:spacing w:before="240" w:after="0" w:line="432" w:lineRule="auto"/>
        <w:jc w:val="both"/>
      </w:pPr>
      <w:r>
        <w:t>Methodical Literature Review of Basic Research Theories</w:t>
      </w:r>
    </w:p>
    <w:p w14:paraId="4DCFD741" w14:textId="77777777" w:rsidR="002530E2" w:rsidRDefault="002530E2" w:rsidP="002530E2">
      <w:pPr>
        <w:numPr>
          <w:ilvl w:val="0"/>
          <w:numId w:val="25"/>
        </w:numPr>
        <w:pBdr>
          <w:top w:val="nil"/>
          <w:left w:val="nil"/>
          <w:bottom w:val="nil"/>
          <w:right w:val="nil"/>
          <w:between w:val="nil"/>
        </w:pBdr>
        <w:spacing w:after="0" w:line="432" w:lineRule="auto"/>
        <w:jc w:val="both"/>
      </w:pPr>
      <w:r>
        <w:t>Topic Related Key Terms and Definitions</w:t>
      </w:r>
    </w:p>
    <w:p w14:paraId="3981AB69" w14:textId="77777777" w:rsidR="002530E2" w:rsidRDefault="002530E2" w:rsidP="002530E2">
      <w:pPr>
        <w:numPr>
          <w:ilvl w:val="0"/>
          <w:numId w:val="25"/>
        </w:numPr>
        <w:pBdr>
          <w:top w:val="nil"/>
          <w:left w:val="nil"/>
          <w:bottom w:val="nil"/>
          <w:right w:val="nil"/>
          <w:between w:val="nil"/>
        </w:pBdr>
        <w:spacing w:after="0" w:line="432" w:lineRule="auto"/>
        <w:jc w:val="both"/>
      </w:pPr>
      <w:r>
        <w:t>Topic-related Concepts and Background Knowledge</w:t>
      </w:r>
    </w:p>
    <w:p w14:paraId="3E99A9F8" w14:textId="77777777" w:rsidR="002530E2" w:rsidRDefault="002530E2" w:rsidP="002530E2">
      <w:pPr>
        <w:numPr>
          <w:ilvl w:val="0"/>
          <w:numId w:val="25"/>
        </w:numPr>
        <w:pBdr>
          <w:top w:val="nil"/>
          <w:left w:val="nil"/>
          <w:bottom w:val="nil"/>
          <w:right w:val="nil"/>
          <w:between w:val="nil"/>
        </w:pBdr>
        <w:spacing w:after="0" w:line="432" w:lineRule="auto"/>
        <w:jc w:val="both"/>
      </w:pPr>
      <w:r>
        <w:t>Literature Review &amp; Analysis: Established Theories Informing Blunders</w:t>
      </w:r>
    </w:p>
    <w:p w14:paraId="281A6C3B" w14:textId="77777777" w:rsidR="002530E2" w:rsidRDefault="002530E2" w:rsidP="002530E2">
      <w:pPr>
        <w:numPr>
          <w:ilvl w:val="0"/>
          <w:numId w:val="25"/>
        </w:numPr>
        <w:pBdr>
          <w:top w:val="nil"/>
          <w:left w:val="nil"/>
          <w:bottom w:val="nil"/>
          <w:right w:val="nil"/>
          <w:between w:val="nil"/>
        </w:pBdr>
        <w:spacing w:after="0" w:line="432" w:lineRule="auto"/>
        <w:jc w:val="both"/>
      </w:pPr>
      <w:r>
        <w:t>Literature Review &amp; Analysis: Blunders From Previous Studies</w:t>
      </w:r>
    </w:p>
    <w:p w14:paraId="18B6E4CF" w14:textId="77777777" w:rsidR="002530E2" w:rsidRDefault="002530E2" w:rsidP="002530E2">
      <w:pPr>
        <w:numPr>
          <w:ilvl w:val="0"/>
          <w:numId w:val="25"/>
        </w:numPr>
        <w:pBdr>
          <w:top w:val="nil"/>
          <w:left w:val="nil"/>
          <w:bottom w:val="nil"/>
          <w:right w:val="nil"/>
          <w:between w:val="nil"/>
        </w:pBdr>
        <w:spacing w:after="240" w:line="432" w:lineRule="auto"/>
        <w:jc w:val="both"/>
      </w:pPr>
      <w:r>
        <w:t xml:space="preserve">Literature Review &amp; Analysis: Blunders From Past Incident Reports </w:t>
      </w:r>
    </w:p>
    <w:p w14:paraId="3B7496B7" w14:textId="77777777" w:rsidR="002530E2" w:rsidRDefault="002530E2">
      <w:r>
        <w:t xml:space="preserve">The literature review in this study, delivered in this chapter, provides a detailed overview of research theories, key terms and definitions, significant events, ideas, concepts, theories, and frameworks that have contributed to understanding cross-cultural dynamics in the context of Muslim consumers. </w:t>
      </w:r>
    </w:p>
    <w:p w14:paraId="02C6C932" w14:textId="77777777" w:rsidR="002530E2" w:rsidRDefault="002530E2">
      <w:r>
        <w:t>Overall, the literature analysis in this chapter includes examining previous studies, specific incidents or blunders, and their contributions to a deeper understanding of the complexities and pitfalls that need to be considered and addressed.</w:t>
      </w:r>
    </w:p>
    <w:p w14:paraId="1F21270F" w14:textId="77777777" w:rsidR="002530E2" w:rsidRDefault="002530E2">
      <w:pPr>
        <w:pStyle w:val="Heading1"/>
      </w:pPr>
      <w:r>
        <w:t>3.1 — METHODICAL LITERATURE REVIEW OF RESEARCH THEORIES</w:t>
      </w:r>
    </w:p>
    <w:p w14:paraId="55E41E27" w14:textId="77777777" w:rsidR="002530E2" w:rsidRDefault="002530E2">
      <w:r>
        <w:t>At the onset of the research process, the author conducted a systematic literature review and analysis to understand basic research theories. These theories are presented in Appendix (CHP:3) 001.</w:t>
      </w:r>
    </w:p>
    <w:p w14:paraId="2B659563" w14:textId="77777777" w:rsidR="002530E2" w:rsidRDefault="002530E2">
      <w:pPr>
        <w:pStyle w:val="Heading1"/>
      </w:pPr>
      <w:r>
        <w:lastRenderedPageBreak/>
        <w:t>3.2 — TOPIC RELATED KEY TERMS AND DEFINITIONS</w:t>
      </w:r>
    </w:p>
    <w:p w14:paraId="7320BAEC"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 xml:space="preserve">The author identified, explored, and described the topic-related key terms and their definitions. These are in Appendices under Appendix (CHP:3) 002. </w:t>
      </w:r>
    </w:p>
    <w:p w14:paraId="49AFE645" w14:textId="77777777" w:rsidR="002530E2" w:rsidRDefault="002530E2">
      <w:pPr>
        <w:pStyle w:val="Heading1"/>
      </w:pPr>
      <w:r>
        <w:t>3.3 — TOPIC-RELATED CONCEPTS AND BACKGROUND KNOWLEDGE</w:t>
      </w:r>
    </w:p>
    <w:p w14:paraId="7C21CCB0"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author identified, explored, and described the key ideas, concepts, and historical backgrounds relevant to the topic. We have presented these fundamental theories in Appendix (CHP:3) 003.</w:t>
      </w:r>
    </w:p>
    <w:p w14:paraId="37B68428" w14:textId="77777777" w:rsidR="002530E2" w:rsidRDefault="002530E2">
      <w:pPr>
        <w:pStyle w:val="Heading1"/>
      </w:pPr>
      <w:r>
        <w:t>3.4 — LIST OF LITERATURE TOPICS</w:t>
      </w:r>
    </w:p>
    <w:p w14:paraId="6FF8D50F" w14:textId="77777777" w:rsidR="002530E2" w:rsidRDefault="002530E2">
      <w:r>
        <w:t>The literature review conducted on the topic of cross-cultural blunders by MNCs and their impact on Muslim consumers in this study explored the following topics and theories:</w:t>
      </w:r>
    </w:p>
    <w:p w14:paraId="38129B2F" w14:textId="77777777" w:rsidR="002530E2" w:rsidRDefault="002530E2">
      <w:r>
        <w:t xml:space="preserve">Cross-cultural Communication and Intercultural Competence: </w:t>
      </w:r>
    </w:p>
    <w:p w14:paraId="3CD821EE" w14:textId="77777777" w:rsidR="002530E2" w:rsidRDefault="002530E2">
      <w:r>
        <w:t>The literature discussed the importance of cross-cultural communication and intercultural competence in MNCs operating in diverse cultural settings. The author explored the theories of cultural intelligence, intercultural communication competence, and cross-cultural management frameworks.</w:t>
      </w:r>
    </w:p>
    <w:p w14:paraId="4A9A88B8" w14:textId="77777777" w:rsidR="002530E2" w:rsidRDefault="002530E2">
      <w:r>
        <w:br w:type="page"/>
      </w:r>
    </w:p>
    <w:p w14:paraId="257BCBD8" w14:textId="77777777" w:rsidR="002530E2" w:rsidRDefault="002530E2">
      <w:r>
        <w:lastRenderedPageBreak/>
        <w:t>Cultural Sensitivity and Adaptation Strategies:</w:t>
      </w:r>
    </w:p>
    <w:p w14:paraId="1947DE82" w14:textId="77777777" w:rsidR="002530E2" w:rsidRDefault="002530E2">
      <w:r>
        <w:t>Studies have highlighted the significance of cultural sensitivity and the strategies MNCs employ to adapt their products, services, and marketing campaigns to the cultural norms and values of Muslim-majority and minority countries. The author examined the theories of cultural adaptation, localisation, and cultural value dimensions (e.g., Hofstede's cultural dimensions).</w:t>
      </w:r>
    </w:p>
    <w:p w14:paraId="752FEE2D" w14:textId="77777777" w:rsidR="002530E2" w:rsidRDefault="002530E2">
      <w:r>
        <w:t xml:space="preserve">Consumer Behaviour and Cultural Factors: </w:t>
      </w:r>
    </w:p>
    <w:p w14:paraId="4AD12317" w14:textId="77777777" w:rsidR="002530E2" w:rsidRDefault="002530E2">
      <w:r>
        <w:t>The research explored consumer behaviour in Muslim-majority and minority countries, focusing on cultural factors influencing consumer preferences, attitudes, and purchasing decisions. The author discusses studies of cultural identity, religious influences, and cultural values in theories of consumer behaviour.</w:t>
      </w:r>
    </w:p>
    <w:p w14:paraId="543C152D" w14:textId="77777777" w:rsidR="002530E2" w:rsidRDefault="002530E2">
      <w:r>
        <w:t xml:space="preserve">Brand Image and Reputation Management: </w:t>
      </w:r>
    </w:p>
    <w:p w14:paraId="200547CD" w14:textId="77777777" w:rsidR="002530E2" w:rsidRDefault="002530E2">
      <w:r>
        <w:t>The author reviewed the literature on the impact of cross-cultural blunders on MNCs' brand image and reputation. In cross-cultural contexts, he investigated theories and frameworks related to brand management, crisis communication, and reputation management.</w:t>
      </w:r>
    </w:p>
    <w:p w14:paraId="05A03EE5" w14:textId="77777777" w:rsidR="002530E2" w:rsidRDefault="002530E2">
      <w:r>
        <w:t xml:space="preserve">Ethical Considerations and Corporate Social Responsibility: </w:t>
      </w:r>
    </w:p>
    <w:p w14:paraId="6F998C3D" w14:textId="77777777" w:rsidR="002530E2" w:rsidRDefault="002530E2">
      <w:r>
        <w:t>Studies discussing the ethical dimensions of cross-cultural blunders, the responsibility of MNCs towards local communities, and the role of corporate social responsibility in mitigating negative consequences were explored. Theories like stakeholder theory, ethical decision-making models, and corporate social responsibility frameworks were reviewed.</w:t>
      </w:r>
    </w:p>
    <w:p w14:paraId="70A5F113" w14:textId="77777777" w:rsidR="002530E2" w:rsidRDefault="002530E2">
      <w:r>
        <w:t xml:space="preserve">Incident Reports and Real-World Examples: </w:t>
      </w:r>
    </w:p>
    <w:p w14:paraId="291E5BEB" w14:textId="77777777" w:rsidR="002530E2" w:rsidRDefault="002530E2">
      <w:r>
        <w:t>Incident reports and real-world examples of cross-cultural blunders by MNCs in Muslim-majority and minority countries were examined. The specific incidents, causes, and consequences were analysed to gain insights and inform the research.</w:t>
      </w:r>
    </w:p>
    <w:p w14:paraId="0CB8FD26" w14:textId="77777777" w:rsidR="002530E2" w:rsidRDefault="002530E2">
      <w:r>
        <w:t>Throughout the literature review, key articles from reputable journals and academic sources were selected to establish a strong foundation of knowledge and expertise in the field.</w:t>
      </w:r>
    </w:p>
    <w:p w14:paraId="2FD445D1" w14:textId="77777777" w:rsidR="002530E2" w:rsidRDefault="002530E2">
      <w:pPr>
        <w:pStyle w:val="Heading1"/>
      </w:pPr>
      <w:r>
        <w:t>3.5 — ESTABLISHED THEORIES INFORMING CROSS-CULTURAL BLUNDERS</w:t>
      </w:r>
    </w:p>
    <w:p w14:paraId="7D872070" w14:textId="77777777" w:rsidR="002530E2" w:rsidRDefault="002530E2">
      <w:r>
        <w:t>The literature on the main research questions (MRQs) was initially identified through various scholarly theories. Subsequently, these studies were critically analysed, focusing on their relevance to the MRQs. These research studies have provided valuable insights into the prevalent cross-cultural blunders of MNCs in Muslim majority and minority countries, impacting both Muslim consumers and the MNCs themselves. They have significantly contributed to our understanding of the consequences faced by Muslims and the cultural challenges MNCs encounter in these markets. Moreover, these studies offer practical implications for enhancing intercultural interactions and preventing blunders when operating in Muslim markets.</w:t>
      </w:r>
    </w:p>
    <w:p w14:paraId="43F46DC3" w14:textId="77777777" w:rsidR="002530E2" w:rsidRDefault="002530E2">
      <w:r>
        <w:lastRenderedPageBreak/>
        <w:t>Below are the main research questions (MRQs) formulated to guide the investigation of the literature in this study. These questions provide a framework for exploring and analysing relevant scholarly works, allowing for a deeper understanding of the topic under investigation:</w:t>
      </w:r>
    </w:p>
    <w:p w14:paraId="13239C19" w14:textId="77777777" w:rsidR="002530E2" w:rsidRDefault="002530E2" w:rsidP="002530E2">
      <w:pPr>
        <w:numPr>
          <w:ilvl w:val="0"/>
          <w:numId w:val="21"/>
        </w:numPr>
        <w:spacing w:before="240" w:after="240" w:line="432" w:lineRule="auto"/>
        <w:jc w:val="both"/>
      </w:pPr>
      <w:r>
        <w:t>MRQ 1: What were the most prevalent cross-cultural blunder types perpetrated by MNCs in Muslim-majority and minority countries between 2010 and 2020 that upset Muslims?</w:t>
      </w:r>
    </w:p>
    <w:p w14:paraId="58281EC8" w14:textId="77777777" w:rsidR="002530E2" w:rsidRDefault="002530E2" w:rsidP="002530E2">
      <w:pPr>
        <w:numPr>
          <w:ilvl w:val="0"/>
          <w:numId w:val="21"/>
        </w:numPr>
        <w:spacing w:before="240" w:after="240" w:line="432" w:lineRule="auto"/>
        <w:jc w:val="both"/>
      </w:pPr>
      <w:r>
        <w:t>MRQ 2: What were the consequences experienced by Muslim consumers as a result of these cross-cultural blunders?</w:t>
      </w:r>
    </w:p>
    <w:p w14:paraId="1631C53C" w14:textId="77777777" w:rsidR="002530E2" w:rsidRDefault="002530E2" w:rsidP="002530E2">
      <w:pPr>
        <w:numPr>
          <w:ilvl w:val="0"/>
          <w:numId w:val="21"/>
        </w:numPr>
        <w:spacing w:before="240" w:after="240" w:line="432" w:lineRule="auto"/>
        <w:jc w:val="both"/>
      </w:pPr>
      <w:r>
        <w:t>MRQ 3: In what ways have these cross-cultural blunders impacted the MNCs operating in these host countries?</w:t>
      </w:r>
    </w:p>
    <w:p w14:paraId="0E685BD4" w14:textId="77777777" w:rsidR="002530E2" w:rsidRDefault="002530E2" w:rsidP="002530E2">
      <w:pPr>
        <w:numPr>
          <w:ilvl w:val="0"/>
          <w:numId w:val="21"/>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54977D00" w14:textId="77777777" w:rsidR="002530E2" w:rsidRDefault="002530E2">
      <w:r>
        <w:t>In addressing the abovementioned MRQs, this study thoroughly analysed scholarly theories from the existing literature. The purpose was to understand the cross-cultural blunders made by MNCs in Muslim-majority and minority countries and examine their consequences for Muslim populations and the impact on the MNCs themselves. Furthermore, the study aimed to propose practical and effective strategies to prevent and mitigate these blunders in the future.</w:t>
      </w:r>
    </w:p>
    <w:p w14:paraId="52A3508D" w14:textId="77777777" w:rsidR="002530E2" w:rsidRDefault="002530E2">
      <w:r>
        <w:t>This review identified and critically analysed several scholarly theories on culture and cultural communication to address the main research questions (MRQs). These theories have provided valuable insights into the common cross-cultural blunders of MNCs in Muslim-majority and minority countries, impacting both Muslim consumers and the MNCs themselves. They have significantly contributed to the understanding of the consequences faced by Muslims and the cultural challenges MNCs encounter in these markets. Additionally, these theories offer practical implications for improving intercultural interactions and avoiding blunders in Muslim markets. The findings from this review emphasise the significance of considering cultural dimensions, such as Hofstede’s Cultural Dimensions and other relevant theories, in enhancing cross-cultural communication and ensuring successful engagement with Muslim consumers.</w:t>
      </w:r>
    </w:p>
    <w:p w14:paraId="5E560C1C" w14:textId="77777777" w:rsidR="002530E2" w:rsidRDefault="002530E2">
      <w:pPr>
        <w:pStyle w:val="Heading2"/>
      </w:pPr>
      <w:r>
        <w:t>3.5.1 — THEORY 1: HOFSTEDE’S CULTURAL DIMENSIONS</w:t>
      </w:r>
    </w:p>
    <w:p w14:paraId="261B74AD" w14:textId="77777777" w:rsidR="002530E2" w:rsidRDefault="002530E2">
      <w:r>
        <w:t>Hofstede’s Cultural Dimensions is a framework for understanding cultural differences across countries. Dutch social psychologist Geert Hofstede developed it in the 1970s based on his research of IBM employees in over 50 countries.</w:t>
      </w:r>
    </w:p>
    <w:p w14:paraId="0657D6E9" w14:textId="77777777" w:rsidR="002530E2" w:rsidRDefault="002530E2">
      <w:r>
        <w:lastRenderedPageBreak/>
        <w:t>Hofstede’s Cultural Dimensions is a widely recognised and influential theory in cross-cultural studies. It provides a solid framework for understanding and comparing cultural differences between nations based on six dimensions:</w:t>
      </w:r>
    </w:p>
    <w:p w14:paraId="72DC55C0" w14:textId="77777777" w:rsidR="002530E2" w:rsidRDefault="002530E2">
      <w:r>
        <w:t>Power distance (PDI):</w:t>
      </w:r>
    </w:p>
    <w:p w14:paraId="09D28DEE" w14:textId="77777777" w:rsidR="002530E2" w:rsidRDefault="002530E2">
      <w:r>
        <w:t>This dimension refers to how different cultures perceive the distribution of power. Cultures with a high power distance index (PDI) have a hierarchical structure with a clear distinction between those with power and those without power. On the other hand, cultures with low PDI are more egalitarian and have a flatter power structure.</w:t>
      </w:r>
    </w:p>
    <w:p w14:paraId="6D9B9B94" w14:textId="77777777" w:rsidR="002530E2" w:rsidRDefault="002530E2">
      <w:r>
        <w:br w:type="page"/>
      </w:r>
    </w:p>
    <w:p w14:paraId="05AC7ED8" w14:textId="77777777" w:rsidR="002530E2" w:rsidRDefault="002530E2">
      <w:r>
        <w:lastRenderedPageBreak/>
        <w:t>Individualism vs. collectivism (IDV):</w:t>
      </w:r>
    </w:p>
    <w:p w14:paraId="458AE488" w14:textId="77777777" w:rsidR="002530E2" w:rsidRDefault="002530E2">
      <w:r>
        <w:t>This dimension reflects the extent to which people value individual or collective goals. Individualistic cultures emphasise the importance of individual achievement and independence. Collectivistic cultures emphasise the importance of group harmony and interdependence.</w:t>
      </w:r>
    </w:p>
    <w:p w14:paraId="7C6E1ADB" w14:textId="77777777" w:rsidR="002530E2" w:rsidRDefault="002530E2">
      <w:r>
        <w:t>Masculinity vs. femininity (MAS):</w:t>
      </w:r>
    </w:p>
    <w:p w14:paraId="27094184" w14:textId="77777777" w:rsidR="002530E2" w:rsidRDefault="002530E2">
      <w:r>
        <w:t>This dimension reflects the extent to which a culture values traditional masculine or feminine values. Masculine cultures emphasise assertiveness, achievement, and competition. Feminine cultures emphasise caring, cooperation, and quality of life.</w:t>
      </w:r>
    </w:p>
    <w:p w14:paraId="29232578" w14:textId="77777777" w:rsidR="002530E2" w:rsidRDefault="002530E2">
      <w:r>
        <w:t>Uncertainty avoidance (UAI):</w:t>
      </w:r>
    </w:p>
    <w:p w14:paraId="44612F21" w14:textId="77777777" w:rsidR="002530E2" w:rsidRDefault="002530E2">
      <w:r>
        <w:t>This dimension reflects the extent to which people in a society feel threatened by uncertainty and ambiguity. High-UAI cultures have a strong need for order and predictability. Low-UAI cultures are more tolerant of ambiguity and change.</w:t>
      </w:r>
    </w:p>
    <w:p w14:paraId="5F59EA37" w14:textId="77777777" w:rsidR="002530E2" w:rsidRDefault="002530E2">
      <w:r>
        <w:t>Long-term vs short-term orientation (LTO):</w:t>
      </w:r>
    </w:p>
    <w:p w14:paraId="177B2908" w14:textId="77777777" w:rsidR="002530E2" w:rsidRDefault="002530E2">
      <w:r>
        <w:t>This dimension reflects how much a culture values long-term or short-term goals. Long-term-oriented cultures emphasise thrift, perseverance, and respect for tradition. Short-term-oriented cultures emphasise immediate gratification, social obligations, and respect for elders.</w:t>
      </w:r>
    </w:p>
    <w:p w14:paraId="6AE1E4B5" w14:textId="77777777" w:rsidR="002530E2" w:rsidRDefault="002530E2">
      <w:r>
        <w:t>Indulgence vs restraint (IVR):</w:t>
      </w:r>
    </w:p>
    <w:p w14:paraId="770FD48F" w14:textId="77777777" w:rsidR="002530E2" w:rsidRDefault="002530E2">
      <w:r>
        <w:t>This dimension reflects how much a culture allows for the gratification of basic and natural human desires. Indulgence cultures emphasise the importance of pleasure and leisure. Restraint cultures emphasise the importance of self-control and discipline.</w:t>
      </w:r>
    </w:p>
    <w:p w14:paraId="355A65DD" w14:textId="77777777" w:rsidR="002530E2" w:rsidRDefault="002530E2">
      <w:r>
        <w:t>Each dimension represents a cultural value or belief influencing social behaviour and norms. The theory emphasises the impact of these cultural dimensions on various aspects of individuals’ lives, including their attitudes, work behaviours, and preferences.</w:t>
      </w:r>
    </w:p>
    <w:p w14:paraId="6802A91F" w14:textId="77777777" w:rsidR="002530E2" w:rsidRDefault="002530E2">
      <w:r>
        <w:t>Addressing the main research questions of this study using this theory:</w:t>
      </w:r>
    </w:p>
    <w:p w14:paraId="491F024C" w14:textId="77777777" w:rsidR="002530E2" w:rsidRDefault="002530E2" w:rsidP="002530E2">
      <w:pPr>
        <w:numPr>
          <w:ilvl w:val="0"/>
          <w:numId w:val="23"/>
        </w:numPr>
        <w:spacing w:before="240" w:after="240" w:line="432" w:lineRule="auto"/>
        <w:jc w:val="both"/>
      </w:pPr>
      <w:r>
        <w:t>MRQ 1: What were the most prevalent cross-cultural blunder types perpetrated by MNCs in Muslim-majority and minority countries between 2010 and 2020 that upset Muslims?</w:t>
      </w:r>
    </w:p>
    <w:p w14:paraId="45A7F700" w14:textId="77777777" w:rsidR="002530E2" w:rsidRDefault="002530E2" w:rsidP="002530E2">
      <w:pPr>
        <w:numPr>
          <w:ilvl w:val="1"/>
          <w:numId w:val="19"/>
        </w:numPr>
        <w:spacing w:before="240" w:after="240" w:line="432" w:lineRule="auto"/>
        <w:jc w:val="both"/>
      </w:pPr>
      <w:r>
        <w:t>Hofstede’s Cultural Dimensions theory is relevant to addressing this research question as it provides insights into the cultural differences between Muslim-majority and minority countries and other nations.</w:t>
      </w:r>
    </w:p>
    <w:p w14:paraId="57BB8939" w14:textId="77777777" w:rsidR="002530E2" w:rsidRDefault="002530E2" w:rsidP="002530E2">
      <w:pPr>
        <w:numPr>
          <w:ilvl w:val="1"/>
          <w:numId w:val="19"/>
        </w:numPr>
        <w:spacing w:before="240" w:after="240" w:line="432" w:lineRule="auto"/>
        <w:jc w:val="both"/>
      </w:pPr>
      <w:r>
        <w:t xml:space="preserve">The most prevalent cross-cultural blunders made by MNCs operating in Muslim-majority and minority countries, based on incidents reported between 2010 and 2020, </w:t>
      </w:r>
      <w:r>
        <w:lastRenderedPageBreak/>
        <w:t>were those that violated the cultural dimensions of power distance, individualism-collectivism, and masculinity-femininity.</w:t>
      </w:r>
    </w:p>
    <w:p w14:paraId="508C41D2" w14:textId="77777777" w:rsidR="002530E2" w:rsidRDefault="002530E2" w:rsidP="002530E2">
      <w:pPr>
        <w:numPr>
          <w:ilvl w:val="2"/>
          <w:numId w:val="19"/>
        </w:numPr>
        <w:spacing w:before="240" w:after="240" w:line="432" w:lineRule="auto"/>
        <w:jc w:val="both"/>
      </w:pPr>
      <w:r>
        <w:t>Power distance: Power distance is the extent to which people accept that power is distributed unequally. In many Muslim-majority countries, there is a high degree of power distance, which means that people are more likely to accept authority figures and defer to their decisions. MNCs that violate this cultural norm by, for example, failing to show respect for local leaders or by making decisions without consulting with local stakeholders are likely to offend and alienate consumers.</w:t>
      </w:r>
    </w:p>
    <w:p w14:paraId="2FC607A2" w14:textId="77777777" w:rsidR="002530E2" w:rsidRDefault="002530E2" w:rsidP="002530E2">
      <w:pPr>
        <w:numPr>
          <w:ilvl w:val="2"/>
          <w:numId w:val="19"/>
        </w:numPr>
        <w:spacing w:before="240" w:after="240" w:line="432" w:lineRule="auto"/>
        <w:jc w:val="both"/>
      </w:pPr>
      <w:r>
        <w:t>Individualism and collectivism: Individualism and collectivism refer to the extent to which people value individual or group goals. In many Muslim-majority countries, there is a high degree of collectivism, meaning that people are more likely to value group goals and put their needs ahead of their own. MNCs that violate this cultural norm by, for example, emphasising individual achievement or promoting products that promote individualism are likely to be seen as out of touch with local values.</w:t>
      </w:r>
    </w:p>
    <w:p w14:paraId="5B1F8C5F" w14:textId="77777777" w:rsidR="002530E2" w:rsidRDefault="002530E2" w:rsidP="002530E2">
      <w:pPr>
        <w:numPr>
          <w:ilvl w:val="2"/>
          <w:numId w:val="19"/>
        </w:numPr>
        <w:spacing w:before="240" w:after="240" w:line="432" w:lineRule="auto"/>
        <w:jc w:val="both"/>
      </w:pPr>
      <w:r>
        <w:t>Masculinity and femininity refer to the extent to which a society values traditionally masculine or feminine traits. In many Muslim societies, there is a high degree of femininity, which means that people are more likely to value traits such as cooperation, compassion, and modesty. MNCs that violate this cultural norm by, for example, using aggressive advertising or promoting products that promote materialism are likely to be seen as offensive and insensitive.</w:t>
      </w:r>
    </w:p>
    <w:p w14:paraId="6458ED07" w14:textId="77777777" w:rsidR="002530E2" w:rsidRDefault="002530E2" w:rsidP="002530E2">
      <w:pPr>
        <w:numPr>
          <w:ilvl w:val="1"/>
          <w:numId w:val="19"/>
        </w:numPr>
        <w:spacing w:before="240" w:after="240" w:line="432" w:lineRule="auto"/>
        <w:jc w:val="both"/>
      </w:pPr>
      <w:r>
        <w:t xml:space="preserve">By examining the dimensions of power distance, individualism vs collectivism, and masculinity and femininity, the theory can help identify the cultural factors that contribute to cross-cultural blunders by MNCs. For example, blunders related to </w:t>
      </w:r>
      <w:r>
        <w:lastRenderedPageBreak/>
        <w:t>power dynamics, individualistic values, or failure to navigate uncertainty can be analysed through the lens of this theory. However, it is important to note that Hofstede's theory may not cover all dimensions specific to Muslim cultures, so other cultural frameworks or perspectives may also need to be considered.</w:t>
      </w:r>
    </w:p>
    <w:p w14:paraId="428A218D" w14:textId="77777777" w:rsidR="002530E2" w:rsidRDefault="002530E2" w:rsidP="002530E2">
      <w:pPr>
        <w:numPr>
          <w:ilvl w:val="0"/>
          <w:numId w:val="18"/>
        </w:numPr>
        <w:spacing w:before="240" w:after="240" w:line="432" w:lineRule="auto"/>
        <w:jc w:val="both"/>
      </w:pPr>
      <w:r>
        <w:t>MRQ 2: What were the consequences experienced by Muslim consumers as a result of these cross-cultural blunders?</w:t>
      </w:r>
    </w:p>
    <w:p w14:paraId="4835E94D" w14:textId="77777777" w:rsidR="002530E2" w:rsidRDefault="002530E2" w:rsidP="002530E2">
      <w:pPr>
        <w:numPr>
          <w:ilvl w:val="1"/>
          <w:numId w:val="17"/>
        </w:numPr>
        <w:spacing w:before="240" w:after="240" w:line="432" w:lineRule="auto"/>
        <w:jc w:val="both"/>
      </w:pPr>
      <w:r>
        <w:t>The theory of Hofstede's Cultural Dimensions can provide valuable insights into understanding the consequences of cross-cultural blunders on Muslim consumers. By examining dimensions such as power distance, masculinity vs femininity, and uncertainty avoidance, the theory can help explain the impact of these blunders on consumer behaviour, attitudes, and perceptions. For instance, blunders that violate cultural norms related to power dynamics or gender roles may have significant consequences for Muslim consumers. However, it is important to supplement the analysis with other relevant theories or models that specifically address consumer behaviour and its consequences in cross-cultural contexts.</w:t>
      </w:r>
    </w:p>
    <w:p w14:paraId="574408F6" w14:textId="77777777" w:rsidR="002530E2" w:rsidRDefault="002530E2" w:rsidP="002530E2">
      <w:pPr>
        <w:numPr>
          <w:ilvl w:val="1"/>
          <w:numId w:val="17"/>
        </w:numPr>
        <w:spacing w:before="240" w:after="240" w:line="432" w:lineRule="auto"/>
        <w:jc w:val="both"/>
      </w:pPr>
      <w:r>
        <w:t>By understanding Hofstede’s Cultural Dimensions, MNCs can avoid these blunders and build trust and goodwill with Muslim consumers. Here are some of the consequences of cross-cultural blunders for Muslim consumers, using Hofstede’s Cultural Dimensions:</w:t>
      </w:r>
    </w:p>
    <w:p w14:paraId="6818A4F9" w14:textId="77777777" w:rsidR="002530E2" w:rsidRDefault="002530E2" w:rsidP="002530E2">
      <w:pPr>
        <w:numPr>
          <w:ilvl w:val="2"/>
          <w:numId w:val="17"/>
        </w:numPr>
        <w:spacing w:before="240" w:after="240" w:line="432" w:lineRule="auto"/>
        <w:jc w:val="both"/>
      </w:pPr>
      <w:r>
        <w:t>Power distance: Muslim consumers may be offended by MNCs that do not respect their cultural norms and values. For example, an MNC that uses a hierarchical marketing strategy in a country with a high power distance may be seen as arrogant and disrespectful.</w:t>
      </w:r>
    </w:p>
    <w:p w14:paraId="147DDBF8" w14:textId="77777777" w:rsidR="002530E2" w:rsidRDefault="002530E2" w:rsidP="002530E2">
      <w:pPr>
        <w:numPr>
          <w:ilvl w:val="2"/>
          <w:numId w:val="17"/>
        </w:numPr>
        <w:spacing w:before="240" w:after="240" w:line="432" w:lineRule="auto"/>
        <w:jc w:val="both"/>
      </w:pPr>
      <w:r>
        <w:t xml:space="preserve">Individualism-collectivism: Muslim consumers may be offended by MNCs that focus on individual needs and desires rather than the group’s needs. For </w:t>
      </w:r>
      <w:r>
        <w:lastRenderedPageBreak/>
        <w:t>example, an MNC that promotes products seen as individualistic, such as alcohol or pork, may be seen as insensitive to the cultural values of Muslim consumers.</w:t>
      </w:r>
    </w:p>
    <w:p w14:paraId="3B6C8812" w14:textId="77777777" w:rsidR="002530E2" w:rsidRDefault="002530E2" w:rsidP="002530E2">
      <w:pPr>
        <w:numPr>
          <w:ilvl w:val="2"/>
          <w:numId w:val="17"/>
        </w:numPr>
        <w:spacing w:before="240" w:after="240" w:line="432" w:lineRule="auto"/>
        <w:jc w:val="both"/>
      </w:pPr>
      <w:r>
        <w:t>Masculinity-femininity: Muslim consumers may be offended by MNCs that promote products that are seen as masculine, such as violence or sex. For example, an MNC that uses a marketing campaign that is too sexual may be seen as offensive to Muslim consumers.</w:t>
      </w:r>
    </w:p>
    <w:p w14:paraId="4DACDF3F" w14:textId="77777777" w:rsidR="002530E2" w:rsidRDefault="002530E2" w:rsidP="002530E2">
      <w:pPr>
        <w:numPr>
          <w:ilvl w:val="2"/>
          <w:numId w:val="17"/>
        </w:numPr>
        <w:spacing w:before="240" w:after="240" w:line="432" w:lineRule="auto"/>
        <w:jc w:val="both"/>
      </w:pPr>
      <w:r>
        <w:t>Uncertainty avoidance: Muslim consumers may be offended by MNCs seen as too uncertain or risky. For example, an MNC that launches a new product not well-known or understood by Muslim consumers may be considered too risky.</w:t>
      </w:r>
    </w:p>
    <w:p w14:paraId="7BFD6360" w14:textId="77777777" w:rsidR="002530E2" w:rsidRDefault="002530E2" w:rsidP="002530E2">
      <w:pPr>
        <w:numPr>
          <w:ilvl w:val="2"/>
          <w:numId w:val="17"/>
        </w:numPr>
        <w:spacing w:before="240" w:after="240" w:line="432" w:lineRule="auto"/>
        <w:jc w:val="both"/>
      </w:pPr>
      <w:r>
        <w:t>Long-term orientation: MNCs may offend Muslim consumers by focusing on short-term profits rather than long-term sustainability. For example, an MNC that cuts corners on quality or ethics to make a quick profit may be seen as unethical and exploitative.</w:t>
      </w:r>
    </w:p>
    <w:p w14:paraId="42DA64DE" w14:textId="77777777" w:rsidR="002530E2" w:rsidRDefault="002530E2" w:rsidP="002530E2">
      <w:pPr>
        <w:numPr>
          <w:ilvl w:val="2"/>
          <w:numId w:val="17"/>
        </w:numPr>
        <w:spacing w:before="240" w:after="240" w:line="432" w:lineRule="auto"/>
        <w:jc w:val="both"/>
      </w:pPr>
      <w:r>
        <w:t>Restraint: Muslim consumers may be offended by MNCs promoting products seen as excessive or indulgent. For example, an MNC that promotes products seen as being too luxurious or extravagant may be seen as being out of touch with the values of Muslim consumers.</w:t>
      </w:r>
    </w:p>
    <w:p w14:paraId="4F5C7064" w14:textId="77777777" w:rsidR="002530E2" w:rsidRDefault="002530E2" w:rsidP="002530E2">
      <w:pPr>
        <w:numPr>
          <w:ilvl w:val="2"/>
          <w:numId w:val="17"/>
        </w:numPr>
        <w:spacing w:before="240" w:after="240" w:line="432" w:lineRule="auto"/>
        <w:jc w:val="both"/>
      </w:pPr>
      <w:r>
        <w:t>Power distance: Muslim consumers may be offended by MNCs that do not respect their cultural norms and values. For example, an MNC that uses a hierarchical marketing strategy in a country with a high power distance may be seen as arrogant and disrespectful.</w:t>
      </w:r>
    </w:p>
    <w:p w14:paraId="28507AB4" w14:textId="77777777" w:rsidR="002530E2" w:rsidRDefault="002530E2" w:rsidP="002530E2">
      <w:pPr>
        <w:numPr>
          <w:ilvl w:val="2"/>
          <w:numId w:val="17"/>
        </w:numPr>
        <w:spacing w:before="240" w:after="240" w:line="432" w:lineRule="auto"/>
        <w:jc w:val="both"/>
      </w:pPr>
      <w:r>
        <w:t xml:space="preserve">Individualism-collectivism: Muslim consumers may be offended by MNCs that focus on individual needs and desires rather than the group’s needs. For example, an MNC that promotes products seen as individualistic, such as </w:t>
      </w:r>
      <w:r>
        <w:lastRenderedPageBreak/>
        <w:t>alcohol or pork, may be seen as insensitive to the cultural values of Muslim consumers.</w:t>
      </w:r>
    </w:p>
    <w:p w14:paraId="32802515" w14:textId="77777777" w:rsidR="002530E2" w:rsidRDefault="002530E2" w:rsidP="002530E2">
      <w:pPr>
        <w:numPr>
          <w:ilvl w:val="2"/>
          <w:numId w:val="17"/>
        </w:numPr>
        <w:spacing w:before="240" w:after="240" w:line="432" w:lineRule="auto"/>
        <w:jc w:val="both"/>
      </w:pPr>
      <w:r>
        <w:t>Masculinity-femininity: Muslim consumers may be offended by MNCs that promote products that are seen as masculine, such as violence or sex. For example, an MNC that uses a marketing campaign that is too sexual may be seen as offensive to Muslim consumers.</w:t>
      </w:r>
    </w:p>
    <w:p w14:paraId="791B5A5C" w14:textId="77777777" w:rsidR="002530E2" w:rsidRDefault="002530E2" w:rsidP="002530E2">
      <w:pPr>
        <w:numPr>
          <w:ilvl w:val="2"/>
          <w:numId w:val="17"/>
        </w:numPr>
        <w:spacing w:before="240" w:after="240" w:line="432" w:lineRule="auto"/>
        <w:jc w:val="both"/>
      </w:pPr>
      <w:r>
        <w:t>Uncertainty avoidance: Muslim consumers may be offended by MNCs seen as too uncertain or risky. For example, an MNC that launches a new product not well-known or understood by Muslim consumers may be considered too risky.</w:t>
      </w:r>
    </w:p>
    <w:p w14:paraId="2966836B" w14:textId="77777777" w:rsidR="002530E2" w:rsidRDefault="002530E2" w:rsidP="002530E2">
      <w:pPr>
        <w:numPr>
          <w:ilvl w:val="2"/>
          <w:numId w:val="17"/>
        </w:numPr>
        <w:spacing w:before="240" w:after="240" w:line="432" w:lineRule="auto"/>
        <w:jc w:val="both"/>
      </w:pPr>
      <w:r>
        <w:t>Long-term orientation: MNCs may offend Muslim consumers by focusing on short-term profits rather than long-term sustainability. For example, an MNC that cuts corners on quality or ethics to make a quick profit may be seen as unethical and exploitative.</w:t>
      </w:r>
    </w:p>
    <w:p w14:paraId="5CCC6D6C" w14:textId="77777777" w:rsidR="002530E2" w:rsidRDefault="002530E2" w:rsidP="002530E2">
      <w:pPr>
        <w:numPr>
          <w:ilvl w:val="2"/>
          <w:numId w:val="17"/>
        </w:numPr>
        <w:spacing w:before="240" w:after="240" w:line="432" w:lineRule="auto"/>
        <w:jc w:val="both"/>
      </w:pPr>
      <w:r>
        <w:t>Restraint: Muslim consumers may be offended by MNCs promoting products seen as excessive or indulgent. For example, an MNC that promotes products seen as being too luxurious or extravagant may be seen as being out of touch with the values of Muslim consumers.</w:t>
      </w:r>
    </w:p>
    <w:p w14:paraId="298EA200" w14:textId="77777777" w:rsidR="002530E2" w:rsidRDefault="002530E2" w:rsidP="002530E2">
      <w:pPr>
        <w:numPr>
          <w:ilvl w:val="0"/>
          <w:numId w:val="30"/>
        </w:numPr>
        <w:spacing w:before="240" w:after="240" w:line="432" w:lineRule="auto"/>
        <w:jc w:val="both"/>
      </w:pPr>
      <w:r>
        <w:t>MRQ 3: In what ways have these cross-cultural blunders impacted the MNCs operating in these host countries?</w:t>
      </w:r>
    </w:p>
    <w:p w14:paraId="5FE9A4B4" w14:textId="77777777" w:rsidR="002530E2" w:rsidRDefault="002530E2" w:rsidP="002530E2">
      <w:pPr>
        <w:numPr>
          <w:ilvl w:val="1"/>
          <w:numId w:val="22"/>
        </w:numPr>
        <w:spacing w:before="240" w:after="240" w:line="432" w:lineRule="auto"/>
        <w:jc w:val="both"/>
      </w:pPr>
      <w:r>
        <w:t xml:space="preserve">Hofstede's Cultural Dimensions Theory can contribute to addressing this research question by providing insights into the cultural factors that influence business relationships and reputations. By examining dimensions such as power distance, individualism vs collectivism, and long-term vs short-term orientation, the theory can shed light on the potential ramifications of cross-cultural blunders for MNCs. For example, blunders that disregard power dynamics or fail to align with collectivist </w:t>
      </w:r>
      <w:r>
        <w:lastRenderedPageBreak/>
        <w:t>values may strain business relationships and harm the reputation of MNCs. However, it is essential to consider other theories or frameworks focusing on organisational behaviour, reputation management, and financial performance in cross-cultural settings.</w:t>
      </w:r>
    </w:p>
    <w:p w14:paraId="21606AE7" w14:textId="77777777" w:rsidR="002530E2" w:rsidRDefault="002530E2" w:rsidP="002530E2">
      <w:pPr>
        <w:numPr>
          <w:ilvl w:val="1"/>
          <w:numId w:val="22"/>
        </w:numPr>
        <w:spacing w:before="240" w:after="240" w:line="432" w:lineRule="auto"/>
        <w:jc w:val="both"/>
      </w:pPr>
      <w:r>
        <w:t>Cross-cultural blunders can significantly impact MNCs’ business relationships, reputations, and financial performance. In Muslim-majority and minority countries, where cultural norms and values are often different from those in Western countries, MNCs that make cross-cultural blunders can face several challenges, including:</w:t>
      </w:r>
    </w:p>
    <w:p w14:paraId="0AF1EDC6" w14:textId="77777777" w:rsidR="002530E2" w:rsidRDefault="002530E2" w:rsidP="002530E2">
      <w:pPr>
        <w:numPr>
          <w:ilvl w:val="2"/>
          <w:numId w:val="22"/>
        </w:numPr>
        <w:spacing w:before="240" w:after="240" w:line="432" w:lineRule="auto"/>
        <w:jc w:val="both"/>
      </w:pPr>
      <w:r>
        <w:t>Loss of consumer trust: If MNCs are seen as insensitive to local cultural norms or values, they may lose the trust of Muslim consumers. This could lead to a decline in sales and profits.</w:t>
      </w:r>
    </w:p>
    <w:p w14:paraId="7E3B6DD6" w14:textId="77777777" w:rsidR="002530E2" w:rsidRDefault="002530E2" w:rsidP="002530E2">
      <w:pPr>
        <w:numPr>
          <w:ilvl w:val="2"/>
          <w:numId w:val="22"/>
        </w:numPr>
        <w:spacing w:before="240" w:after="240" w:line="432" w:lineRule="auto"/>
        <w:jc w:val="both"/>
      </w:pPr>
      <w:r>
        <w:t>Damage to reputation: Cross-cultural blunders can also damage the reputation of MNCs in the market. This can make it difficult for MNCs to attract new customers and investors.</w:t>
      </w:r>
    </w:p>
    <w:p w14:paraId="48F1B1B0" w14:textId="77777777" w:rsidR="002530E2" w:rsidRDefault="002530E2" w:rsidP="002530E2">
      <w:pPr>
        <w:numPr>
          <w:ilvl w:val="2"/>
          <w:numId w:val="22"/>
        </w:numPr>
        <w:spacing w:before="240" w:after="240" w:line="432" w:lineRule="auto"/>
        <w:jc w:val="both"/>
      </w:pPr>
      <w:r>
        <w:t>Financial losses: In some cases, cross-cultural blunders can lead to financial losses for MNCs. Example: An MNC may suffer significant financial consequences if forced to pull its products from the market due to cross-cultural slips.</w:t>
      </w:r>
    </w:p>
    <w:p w14:paraId="7B3A8C05" w14:textId="77777777" w:rsidR="002530E2" w:rsidRDefault="002530E2">
      <w:pPr>
        <w:ind w:left="720"/>
      </w:pPr>
      <w:r>
        <w:t>The impact of cross-cultural blunders on MNCs will vary depending on the specific blunder, the cultural context, and the actions taken by the MNC to address the blunder. However, in general, cross-cultural blunders can have a significant negative effect on MNCs’ business relationships, reputations, and financial performance.</w:t>
      </w:r>
    </w:p>
    <w:p w14:paraId="101A88EA" w14:textId="77777777" w:rsidR="002530E2" w:rsidRDefault="002530E2" w:rsidP="002530E2">
      <w:pPr>
        <w:numPr>
          <w:ilvl w:val="0"/>
          <w:numId w:val="27"/>
        </w:numPr>
        <w:spacing w:before="240" w:after="240" w:line="432" w:lineRule="auto"/>
        <w:jc w:val="both"/>
      </w:pPr>
      <w:r>
        <w:t xml:space="preserve">Hofstede’s Cultural Dimensions can help MNCs avoid cross-cultural blunders by providing a framework for understanding cultural differences across countries. By understanding the different cultural dimensions, MNCs can be more aware of the potential for cross-cultural misunderstandings and take steps to avoid them. For </w:t>
      </w:r>
      <w:r>
        <w:lastRenderedPageBreak/>
        <w:t>example, if an MNC plans to launch a new product in a Muslim-majority country, it would be important to understand the cultural dimensions of power distance and uncertainty avoidance. In countries with high power distances, respecting authority figures is important. Providing clear and concise information is important in countries with high levels of uncertainty. By understanding these cultural dimensions, MNCs can avoid making cross-cultural blunders that could damage their business relationships, reputations, and financial performance.</w:t>
      </w:r>
    </w:p>
    <w:p w14:paraId="65033E77" w14:textId="77777777" w:rsidR="002530E2" w:rsidRDefault="002530E2" w:rsidP="002530E2">
      <w:pPr>
        <w:numPr>
          <w:ilvl w:val="0"/>
          <w:numId w:val="26"/>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488043AE" w14:textId="77777777" w:rsidR="002530E2" w:rsidRDefault="002530E2" w:rsidP="002530E2">
      <w:pPr>
        <w:numPr>
          <w:ilvl w:val="1"/>
          <w:numId w:val="28"/>
        </w:numPr>
        <w:spacing w:before="240" w:after="240" w:line="432" w:lineRule="auto"/>
        <w:jc w:val="both"/>
      </w:pPr>
      <w:r>
        <w:t>The theory of Hofstede's Cultural Dimensions can inform the exploration of strategies for MNCs to prevent cross-cultural blunders and effectively engage with Muslim consumers. By analysing dimensions such as uncertainty avoidance, long-term vs short-term orientation, and indulgence vs restraint, the theory can provide insights into cultural factors that MNCs must consider when developing strategies. For instance, understanding the level of uncertainty avoidance or the long-term orientation of Muslim-majority and minority countries can guide MNCs in tailoring their approaches to engage with Muslim consumers successfully. However, it is important to acknowledge that other cultural theories or frameworks may complement the analysis, and the strategies should be validated through empirical research and practical considerations.</w:t>
      </w:r>
    </w:p>
    <w:p w14:paraId="7BB14BFD" w14:textId="77777777" w:rsidR="002530E2" w:rsidRDefault="002530E2" w:rsidP="002530E2">
      <w:pPr>
        <w:numPr>
          <w:ilvl w:val="1"/>
          <w:numId w:val="28"/>
        </w:numPr>
        <w:spacing w:before="240" w:after="240" w:line="432" w:lineRule="auto"/>
        <w:jc w:val="both"/>
      </w:pPr>
      <w:r>
        <w:t>Here are some strategies that MNCs can adopt to prevent cross-cultural blunders and effectively engage with Muslim consumers in these markets, using Hofstede’s Cultural Dimensions framework:</w:t>
      </w:r>
    </w:p>
    <w:p w14:paraId="5BBD2AAF" w14:textId="77777777" w:rsidR="002530E2" w:rsidRDefault="002530E2" w:rsidP="002530E2">
      <w:pPr>
        <w:numPr>
          <w:ilvl w:val="2"/>
          <w:numId w:val="28"/>
        </w:numPr>
        <w:spacing w:before="240" w:after="240" w:line="432" w:lineRule="auto"/>
        <w:jc w:val="both"/>
      </w:pPr>
      <w:r>
        <w:t xml:space="preserve">Power distance: MNCs should be aware of the different levels of power distance in Muslim-majority and minority countries. In countries with high </w:t>
      </w:r>
      <w:r>
        <w:lastRenderedPageBreak/>
        <w:t>power distances, people expect a clear hierarchy in society, with those in power having great authority. In countries with low power distances, people are more egalitarian and expect leaders to be more consultative.</w:t>
      </w:r>
    </w:p>
    <w:p w14:paraId="031B6C7F" w14:textId="77777777" w:rsidR="002530E2" w:rsidRDefault="002530E2" w:rsidP="002530E2">
      <w:pPr>
        <w:numPr>
          <w:ilvl w:val="2"/>
          <w:numId w:val="28"/>
        </w:numPr>
        <w:spacing w:before="240" w:after="240" w:line="432" w:lineRule="auto"/>
        <w:jc w:val="both"/>
      </w:pPr>
      <w:r>
        <w:t>Individualism and collectivism: MNCs should also be aware of the different levels of individualism and collectivism in Muslim-majority and minority countries. In individualistic cultures, people value individual freedom and achievement. In collectivist cultures, people value group harmony and cooperation.</w:t>
      </w:r>
    </w:p>
    <w:p w14:paraId="4E1DED59" w14:textId="77777777" w:rsidR="002530E2" w:rsidRDefault="002530E2" w:rsidP="002530E2">
      <w:pPr>
        <w:numPr>
          <w:ilvl w:val="2"/>
          <w:numId w:val="28"/>
        </w:numPr>
        <w:spacing w:before="240" w:after="240" w:line="432" w:lineRule="auto"/>
        <w:jc w:val="both"/>
      </w:pPr>
      <w:r>
        <w:t>Masculinity-femininity: MNCs should also be aware of the different levels of masculinity and femininity in Muslim-majority and minority countries. In masculine cultures, people value achievement, assertiveness, and competition. In feminine cultures, people value cooperation, modesty, and quality of life.</w:t>
      </w:r>
    </w:p>
    <w:p w14:paraId="6D27456D" w14:textId="77777777" w:rsidR="002530E2" w:rsidRDefault="002530E2" w:rsidP="002530E2">
      <w:pPr>
        <w:numPr>
          <w:ilvl w:val="2"/>
          <w:numId w:val="28"/>
        </w:numPr>
        <w:spacing w:before="240" w:after="240" w:line="432" w:lineRule="auto"/>
        <w:jc w:val="both"/>
      </w:pPr>
      <w:r>
        <w:t>Uncertainty avoidance: MNCs should also be aware of the different levels of uncertainty avoidance in Muslim-majority and minority countries. People in countries with high uncertainty avoidance levels typically struggle with uncertainty and ambiguity, finding such emotions disconcerting and uncomfortable. People are more comfortable with change and ambiguity in countries with low uncertainty.</w:t>
      </w:r>
    </w:p>
    <w:p w14:paraId="169F4C21" w14:textId="77777777" w:rsidR="002530E2" w:rsidRDefault="002530E2" w:rsidP="002530E2">
      <w:pPr>
        <w:numPr>
          <w:ilvl w:val="2"/>
          <w:numId w:val="28"/>
        </w:numPr>
        <w:spacing w:before="240" w:after="240" w:line="432" w:lineRule="auto"/>
        <w:jc w:val="both"/>
      </w:pPr>
      <w:r>
        <w:t>Long-term orientation: MNCs should also be aware of the different levels of long-term orientation in Muslim-majority and minority countries. People value saving and investing for the future in countries with a long-term orientation. People value immediate gratification and instant results in countries with a short-term orientation.</w:t>
      </w:r>
    </w:p>
    <w:p w14:paraId="78384642" w14:textId="77777777" w:rsidR="002530E2" w:rsidRDefault="002530E2" w:rsidP="002530E2">
      <w:pPr>
        <w:numPr>
          <w:ilvl w:val="2"/>
          <w:numId w:val="28"/>
        </w:numPr>
        <w:spacing w:before="240" w:after="240" w:line="432" w:lineRule="auto"/>
        <w:jc w:val="both"/>
      </w:pPr>
      <w:r>
        <w:lastRenderedPageBreak/>
        <w:t>Restraint: MNCs should also be aware of the different levels of restraint in Muslim-majority and minority countries. In countries with restraint, people value moderation and self-control. In countries with indulgence, people value pleasure and indulgence.</w:t>
      </w:r>
    </w:p>
    <w:p w14:paraId="21EC3BA1" w14:textId="77777777" w:rsidR="002530E2" w:rsidRDefault="002530E2" w:rsidP="002530E2">
      <w:pPr>
        <w:numPr>
          <w:ilvl w:val="1"/>
          <w:numId w:val="28"/>
        </w:numPr>
        <w:spacing w:before="240" w:after="240" w:line="432" w:lineRule="auto"/>
        <w:jc w:val="both"/>
      </w:pPr>
      <w:r>
        <w:t>By understanding these cultural dimensions, MNCs can avoid making cross-cultural blunders and effectively engage with Muslim consumers in these markets. They can do this by:</w:t>
      </w:r>
    </w:p>
    <w:p w14:paraId="7EB84775" w14:textId="77777777" w:rsidR="002530E2" w:rsidRDefault="002530E2" w:rsidP="002530E2">
      <w:pPr>
        <w:numPr>
          <w:ilvl w:val="2"/>
          <w:numId w:val="28"/>
        </w:numPr>
        <w:spacing w:before="240" w:after="240" w:line="432" w:lineRule="auto"/>
        <w:jc w:val="both"/>
      </w:pPr>
      <w:r>
        <w:t>Conducting market research to understand the cultural values of the target market</w:t>
      </w:r>
    </w:p>
    <w:p w14:paraId="7E9A47A4" w14:textId="77777777" w:rsidR="002530E2" w:rsidRDefault="002530E2" w:rsidP="002530E2">
      <w:pPr>
        <w:numPr>
          <w:ilvl w:val="2"/>
          <w:numId w:val="28"/>
        </w:numPr>
        <w:spacing w:before="240" w:after="240" w:line="432" w:lineRule="auto"/>
        <w:jc w:val="both"/>
      </w:pPr>
      <w:r>
        <w:t>Hiring local employees who can help them understand the local culture</w:t>
      </w:r>
    </w:p>
    <w:p w14:paraId="7FBB4D65" w14:textId="77777777" w:rsidR="002530E2" w:rsidRDefault="002530E2" w:rsidP="002530E2">
      <w:pPr>
        <w:numPr>
          <w:ilvl w:val="2"/>
          <w:numId w:val="28"/>
        </w:numPr>
        <w:spacing w:before="240" w:after="240" w:line="432" w:lineRule="auto"/>
        <w:jc w:val="both"/>
      </w:pPr>
      <w:r>
        <w:t>Adapting their marketing messages and products to the local culture.</w:t>
      </w:r>
    </w:p>
    <w:p w14:paraId="4F950E68" w14:textId="77777777" w:rsidR="002530E2" w:rsidRDefault="002530E2" w:rsidP="002530E2">
      <w:pPr>
        <w:numPr>
          <w:ilvl w:val="2"/>
          <w:numId w:val="28"/>
        </w:numPr>
        <w:spacing w:before="240" w:after="240" w:line="432" w:lineRule="auto"/>
        <w:jc w:val="both"/>
      </w:pPr>
      <w:r>
        <w:t>Being sensitive to the religious and cultural sensitivities of Muslim consumers</w:t>
      </w:r>
    </w:p>
    <w:p w14:paraId="24568938" w14:textId="77777777" w:rsidR="002530E2" w:rsidRDefault="002530E2">
      <w:pPr>
        <w:ind w:left="720"/>
      </w:pPr>
      <w:r>
        <w:t>By following these strategies, MNCs can build trust and relationships with Muslim consumers and achieve success in these markets.</w:t>
      </w:r>
    </w:p>
    <w:p w14:paraId="26DAF03A" w14:textId="77777777" w:rsidR="002530E2" w:rsidRDefault="002530E2">
      <w:pPr>
        <w:rPr>
          <w:b/>
        </w:rPr>
      </w:pPr>
      <w:r>
        <w:t>On the whole, Hofstede’s Cultural Dimensions theory can contribute to addressing certain aspects of the research questions related to cross-cultural blunders, their consequences, ramifications, and strategies for MNCs in Muslim-majority and minority countries. However, it is crucial to integrate other relevant theories, models, and perspectives to provide a comprehensive understanding and ensure the applicability of the findings in the specific research context.</w:t>
      </w:r>
    </w:p>
    <w:p w14:paraId="383EB477" w14:textId="77777777" w:rsidR="002530E2" w:rsidRDefault="002530E2">
      <w:pPr>
        <w:pStyle w:val="Heading2"/>
      </w:pPr>
      <w:r>
        <w:t>3.5.2 — THEORY 2: CULTURAL INTELLIGENCE (CQ)</w:t>
      </w:r>
    </w:p>
    <w:p w14:paraId="589E1970" w14:textId="77777777" w:rsidR="002530E2" w:rsidRDefault="002530E2">
      <w:r>
        <w:t>P. Christopher Earley first introduced CQ and Soon Ang in their book Cultural Intelligence: Individual Interactions Across Cultures (2003). They proposed that CQ is a multidimensional construct that consists of four components: cultural knowledge, cultural understanding, cultural mindfulness, and cultural skills. Since then, CQ has been the subject of much research. Studies have shown that CQ can significantly predict cross-cultural effectiveness in various settings, including business, education, and healthcare.</w:t>
      </w:r>
    </w:p>
    <w:p w14:paraId="4442C038" w14:textId="77777777" w:rsidR="002530E2" w:rsidRDefault="002530E2">
      <w:r>
        <w:t xml:space="preserve">As a theory, cultural intelligence (CQ) emphasises an individual’s ability to effectively adapt and interact with people from different cultural backgrounds. </w:t>
      </w:r>
    </w:p>
    <w:p w14:paraId="4FD4F8B6" w14:textId="77777777" w:rsidR="002530E2" w:rsidRDefault="002530E2">
      <w:r>
        <w:lastRenderedPageBreak/>
        <w:t>CQ encompasses knowledge, understanding, and skills that enable individuals to navigate cultural differences, communicate effectively, and engage in culturally diverse contexts.</w:t>
      </w:r>
    </w:p>
    <w:p w14:paraId="38564C30" w14:textId="77777777" w:rsidR="002530E2" w:rsidRDefault="002530E2">
      <w:r>
        <w:t xml:space="preserve">Cultural knowledge: </w:t>
      </w:r>
    </w:p>
    <w:p w14:paraId="61B5A0C2" w14:textId="77777777" w:rsidR="002530E2" w:rsidRDefault="002530E2">
      <w:r>
        <w:t>Cultural knowledge refers to cultural norms, values, and beliefs. It includes knowing appropriate or inappropriate behaviour in a particular culture.</w:t>
      </w:r>
    </w:p>
    <w:p w14:paraId="0FE50BB8" w14:textId="77777777" w:rsidR="002530E2" w:rsidRDefault="002530E2">
      <w:r>
        <w:t xml:space="preserve">Cultural understanding: </w:t>
      </w:r>
    </w:p>
    <w:p w14:paraId="60FF5221" w14:textId="77777777" w:rsidR="002530E2" w:rsidRDefault="002530E2">
      <w:r>
        <w:t>Cultural understanding refers to understanding how cultural differences shape people’s thoughts, feelings, and behaviours. It includes seeing the world from another person’s perspective and appreciating their cultural values.</w:t>
      </w:r>
    </w:p>
    <w:p w14:paraId="3DFEB659" w14:textId="77777777" w:rsidR="002530E2" w:rsidRDefault="002530E2">
      <w:r>
        <w:t>Cultural mindfulness:</w:t>
      </w:r>
    </w:p>
    <w:p w14:paraId="6FA63F8F" w14:textId="77777777" w:rsidR="002530E2" w:rsidRDefault="002530E2">
      <w:r>
        <w:t>Cultural mindfulness refers to being aware of one’s cultural biases and assumptions. It includes being open to new experiences and willing to challenge one’s beliefs.</w:t>
      </w:r>
    </w:p>
    <w:p w14:paraId="57E138E0" w14:textId="77777777" w:rsidR="002530E2" w:rsidRDefault="002530E2">
      <w:r>
        <w:br w:type="page"/>
      </w:r>
    </w:p>
    <w:p w14:paraId="764FC0D0" w14:textId="77777777" w:rsidR="002530E2" w:rsidRDefault="002530E2">
      <w:r>
        <w:lastRenderedPageBreak/>
        <w:t xml:space="preserve">Cultural skills: </w:t>
      </w:r>
    </w:p>
    <w:p w14:paraId="6CA4EACA" w14:textId="77777777" w:rsidR="002530E2" w:rsidRDefault="002530E2">
      <w:r>
        <w:t>Cultural skills refer to working successfully with individuals from diverse cultures. It includes being able to communicate effectively, build relationships, and resolve conflicts in a cross-cultural context.</w:t>
      </w:r>
    </w:p>
    <w:p w14:paraId="0DD031B6" w14:textId="77777777" w:rsidR="002530E2" w:rsidRDefault="002530E2">
      <w:r>
        <w:t>Addressing the main research questions of this study using this theory:</w:t>
      </w:r>
    </w:p>
    <w:p w14:paraId="070FBD02" w14:textId="77777777" w:rsidR="002530E2" w:rsidRDefault="002530E2" w:rsidP="002530E2">
      <w:pPr>
        <w:numPr>
          <w:ilvl w:val="0"/>
          <w:numId w:val="29"/>
        </w:numPr>
        <w:spacing w:before="240" w:after="240" w:line="432" w:lineRule="auto"/>
        <w:jc w:val="both"/>
      </w:pPr>
      <w:r>
        <w:t>MRQ 1: What were the most prevalent cross-cultural blunder types perpetrated by MNCs in Muslim-majority and minority countries between 2010 and 2020 that upset Muslims?</w:t>
      </w:r>
    </w:p>
    <w:p w14:paraId="01D29773" w14:textId="77777777" w:rsidR="002530E2" w:rsidRDefault="002530E2" w:rsidP="002530E2">
      <w:pPr>
        <w:numPr>
          <w:ilvl w:val="1"/>
          <w:numId w:val="29"/>
        </w:numPr>
        <w:spacing w:before="240" w:after="240" w:line="432" w:lineRule="auto"/>
        <w:jc w:val="both"/>
      </w:pPr>
      <w:r>
        <w:t>The theory of cultural intelligence (CQ) is highly relevant to this research question as it offers insights into the challenges MNCs face in adapting to different cultural contexts. CQ provides a lens to understand how cultural differences can lead to blunders and guides the identification of specific blunders that may occur in Muslim-majority and minority countries. The study can examine how MNCs’ lack of cultural intelligence contributes to these blunders by applying CQ.</w:t>
      </w:r>
    </w:p>
    <w:p w14:paraId="0708C037" w14:textId="77777777" w:rsidR="002530E2" w:rsidRDefault="002530E2" w:rsidP="002530E2">
      <w:pPr>
        <w:numPr>
          <w:ilvl w:val="1"/>
          <w:numId w:val="29"/>
        </w:numPr>
        <w:spacing w:before="240" w:after="240" w:line="432" w:lineRule="auto"/>
        <w:jc w:val="both"/>
      </w:pPr>
      <w:r>
        <w:t>The most prevalent cross-cultural blunders made by MNCs operating in Muslim-majority and minority countries, based on incidents reported between 2010 and 2020, were:</w:t>
      </w:r>
    </w:p>
    <w:p w14:paraId="75C2C29D" w14:textId="77777777" w:rsidR="002530E2" w:rsidRDefault="002530E2" w:rsidP="002530E2">
      <w:pPr>
        <w:numPr>
          <w:ilvl w:val="2"/>
          <w:numId w:val="29"/>
        </w:numPr>
        <w:spacing w:before="240" w:after="240" w:line="432" w:lineRule="auto"/>
        <w:jc w:val="both"/>
      </w:pPr>
      <w:r>
        <w:t>Misinterpretation of cultural norms: This includes making assumptions about what is considered appropriate or respectful in a particular culture without taking the time to understand the nuances of that culture. For example, an MNC might launch a marketing campaign featuring images or symbols that are offensive to Muslims, or they might use language considered disrespectful in a particular culture.</w:t>
      </w:r>
    </w:p>
    <w:p w14:paraId="4BB1008E" w14:textId="77777777" w:rsidR="002530E2" w:rsidRDefault="002530E2" w:rsidP="002530E2">
      <w:pPr>
        <w:numPr>
          <w:ilvl w:val="2"/>
          <w:numId w:val="29"/>
        </w:numPr>
        <w:spacing w:before="240" w:after="240" w:line="432" w:lineRule="auto"/>
        <w:jc w:val="both"/>
      </w:pPr>
      <w:r>
        <w:t>Lack of knowledge of the local market: This involves understanding the consumers' needs and wants in a particular market and the competitive landscape. For example, an MNC might launch a product irrelevant to the needs of consumers in a particular market, or they might price their product too high or too low.</w:t>
      </w:r>
    </w:p>
    <w:p w14:paraId="606F1822" w14:textId="77777777" w:rsidR="002530E2" w:rsidRDefault="002530E2" w:rsidP="002530E2">
      <w:pPr>
        <w:numPr>
          <w:ilvl w:val="2"/>
          <w:numId w:val="29"/>
        </w:numPr>
        <w:spacing w:before="240" w:after="240" w:line="432" w:lineRule="auto"/>
        <w:jc w:val="both"/>
      </w:pPr>
      <w:r>
        <w:lastRenderedPageBreak/>
        <w:t>Insensitive marketing strategies: This includes using marketing materials that are offensive or insensitive to the culture of a particular market. For example, an MNC might use images or symbols that are offensive to Muslims or a language considered disrespectful in a particular culture.</w:t>
      </w:r>
    </w:p>
    <w:p w14:paraId="20FDB44F" w14:textId="77777777" w:rsidR="002530E2" w:rsidRDefault="002530E2">
      <w:r>
        <w:t>These blunders can have significant consequences for both MNCs and Muslim consumers. For MNCs, these blunders can lead to a loss of consumer trust, damage to the company’s reputation, and financial losses. These blunders can be offensive and hurtful for Muslim consumers, leading to boycotts of MNC products and services.</w:t>
      </w:r>
    </w:p>
    <w:p w14:paraId="3FFAFA04" w14:textId="77777777" w:rsidR="002530E2" w:rsidRDefault="002530E2">
      <w:r>
        <w:t>The theory of cultural intelligence (CQ) can help MNCs avoid these blunders by helping them understand and appreciate the cultural differences between countries and cultures. CQ is a multidimensional construct that includes four components:</w:t>
      </w:r>
    </w:p>
    <w:p w14:paraId="1A563197" w14:textId="77777777" w:rsidR="002530E2" w:rsidRDefault="002530E2" w:rsidP="002530E2">
      <w:pPr>
        <w:numPr>
          <w:ilvl w:val="2"/>
          <w:numId w:val="29"/>
        </w:numPr>
        <w:spacing w:before="240" w:after="240" w:line="432" w:lineRule="auto"/>
        <w:jc w:val="both"/>
      </w:pPr>
      <w:r>
        <w:t>Attitude: This component refers to the individual’s willingness to engage with other cultures and learn about them.</w:t>
      </w:r>
    </w:p>
    <w:p w14:paraId="77B921ED" w14:textId="77777777" w:rsidR="002530E2" w:rsidRDefault="002530E2" w:rsidP="002530E2">
      <w:pPr>
        <w:numPr>
          <w:ilvl w:val="2"/>
          <w:numId w:val="29"/>
        </w:numPr>
        <w:spacing w:before="240" w:after="240" w:line="432" w:lineRule="auto"/>
        <w:jc w:val="both"/>
      </w:pPr>
      <w:r>
        <w:t>Knowledge: This component refers to the individual’s knowledge of different cultures and their norms and values.</w:t>
      </w:r>
    </w:p>
    <w:p w14:paraId="14578A85" w14:textId="77777777" w:rsidR="002530E2" w:rsidRDefault="002530E2" w:rsidP="002530E2">
      <w:pPr>
        <w:numPr>
          <w:ilvl w:val="2"/>
          <w:numId w:val="29"/>
        </w:numPr>
        <w:spacing w:before="240" w:after="240" w:line="432" w:lineRule="auto"/>
        <w:jc w:val="both"/>
      </w:pPr>
      <w:r>
        <w:t>Skills: This element refers to an individual’s communication capacity across cultures.</w:t>
      </w:r>
    </w:p>
    <w:p w14:paraId="7D69C8E2" w14:textId="77777777" w:rsidR="002530E2" w:rsidRDefault="002530E2" w:rsidP="002530E2">
      <w:pPr>
        <w:numPr>
          <w:ilvl w:val="2"/>
          <w:numId w:val="29"/>
        </w:numPr>
        <w:spacing w:before="240" w:after="240" w:line="432" w:lineRule="auto"/>
        <w:jc w:val="both"/>
      </w:pPr>
      <w:r>
        <w:t>Metacognitive awareness refers to an individual’s ability to reflect on their cultural biases and adjust their behaviour accordingly.</w:t>
      </w:r>
    </w:p>
    <w:p w14:paraId="5E4C8B9F" w14:textId="77777777" w:rsidR="002530E2" w:rsidRDefault="002530E2">
      <w:r>
        <w:t>By developing CQ, MNCs can increase their understanding of different cultures and ability to interact effectively with people from other cultures. By leveraging this approach, one can avoid cultural misunderstandings and form positive relationships with Muslim consumers.</w:t>
      </w:r>
    </w:p>
    <w:p w14:paraId="399546FA" w14:textId="77777777" w:rsidR="002530E2" w:rsidRDefault="002530E2" w:rsidP="002530E2">
      <w:pPr>
        <w:numPr>
          <w:ilvl w:val="0"/>
          <w:numId w:val="24"/>
        </w:numPr>
        <w:spacing w:before="240" w:after="240" w:line="432" w:lineRule="auto"/>
        <w:jc w:val="both"/>
      </w:pPr>
      <w:r>
        <w:t>MRQ 2: What were the consequences experienced by Muslim consumers as a result of these cross-cultural blunders?</w:t>
      </w:r>
    </w:p>
    <w:p w14:paraId="2ED0B419" w14:textId="77777777" w:rsidR="002530E2" w:rsidRDefault="002530E2" w:rsidP="002530E2">
      <w:pPr>
        <w:numPr>
          <w:ilvl w:val="1"/>
          <w:numId w:val="24"/>
        </w:numPr>
        <w:spacing w:before="240" w:after="240" w:line="432" w:lineRule="auto"/>
        <w:jc w:val="both"/>
      </w:pPr>
      <w:r>
        <w:t xml:space="preserve">Cultural Intelligence (CQ) theory applies to understanding the consequences of cross-cultural blunders for Muslim consumers. By analysing the impact of blunders on Muslim consumers’ experiences and perceptions, the study can assess the extent to which MNCs’ cultural intelligence, or lack thereof, influences these consequences. CQ </w:t>
      </w:r>
      <w:r>
        <w:lastRenderedPageBreak/>
        <w:t>can shed light on the cultural misunderstanding or insensitivity contributing to negative consequences for Muslim consumers.</w:t>
      </w:r>
    </w:p>
    <w:p w14:paraId="1799DD4E" w14:textId="77777777" w:rsidR="002530E2" w:rsidRDefault="002530E2" w:rsidP="002530E2">
      <w:pPr>
        <w:numPr>
          <w:ilvl w:val="1"/>
          <w:numId w:val="24"/>
        </w:numPr>
        <w:spacing w:before="240" w:after="240" w:line="432" w:lineRule="auto"/>
        <w:jc w:val="both"/>
      </w:pPr>
      <w:r>
        <w:t>Cultural intelligence (CQ) is understanding and adapting to different cultural contexts. It is a complex construct that includes four dimensions:</w:t>
      </w:r>
    </w:p>
    <w:p w14:paraId="04CBB1FC" w14:textId="77777777" w:rsidR="002530E2" w:rsidRDefault="002530E2" w:rsidP="002530E2">
      <w:pPr>
        <w:numPr>
          <w:ilvl w:val="2"/>
          <w:numId w:val="24"/>
        </w:numPr>
        <w:spacing w:before="240" w:after="240" w:line="432" w:lineRule="auto"/>
        <w:jc w:val="both"/>
      </w:pPr>
      <w:r>
        <w:t>Attitude: The willingness to engage with other cultures and to learn about them</w:t>
      </w:r>
    </w:p>
    <w:p w14:paraId="1577D050" w14:textId="77777777" w:rsidR="002530E2" w:rsidRDefault="002530E2" w:rsidP="002530E2">
      <w:pPr>
        <w:numPr>
          <w:ilvl w:val="2"/>
          <w:numId w:val="24"/>
        </w:numPr>
        <w:spacing w:before="240" w:after="240" w:line="432" w:lineRule="auto"/>
        <w:jc w:val="both"/>
      </w:pPr>
      <w:r>
        <w:t>Knowledge: The knowledge of different cultures and their norms and values</w:t>
      </w:r>
    </w:p>
    <w:p w14:paraId="307F56A5" w14:textId="77777777" w:rsidR="002530E2" w:rsidRDefault="002530E2" w:rsidP="002530E2">
      <w:pPr>
        <w:numPr>
          <w:ilvl w:val="2"/>
          <w:numId w:val="24"/>
        </w:numPr>
        <w:spacing w:before="240" w:after="240" w:line="432" w:lineRule="auto"/>
        <w:jc w:val="both"/>
      </w:pPr>
      <w:r>
        <w:t>Skills for Interacting Effectively with People From Diverse Cultures: This ability entails interacting effectively with those from various cultural backgrounds.</w:t>
      </w:r>
    </w:p>
    <w:p w14:paraId="202BB9A8" w14:textId="77777777" w:rsidR="002530E2" w:rsidRDefault="002530E2" w:rsidP="002530E2">
      <w:pPr>
        <w:numPr>
          <w:ilvl w:val="2"/>
          <w:numId w:val="24"/>
        </w:numPr>
        <w:spacing w:before="240" w:after="240" w:line="432" w:lineRule="auto"/>
        <w:jc w:val="both"/>
      </w:pPr>
      <w:r>
        <w:t>Metacognitive awareness is the ability to reflect on one’s cultural biases and adjust one’s behaviour accordingly.</w:t>
      </w:r>
    </w:p>
    <w:p w14:paraId="487E20F9" w14:textId="77777777" w:rsidR="002530E2" w:rsidRDefault="002530E2">
      <w:r>
        <w:t>MNCs making cross-cultural blunders can have several negative consequences for Muslim consumers. These consequences can include:</w:t>
      </w:r>
    </w:p>
    <w:p w14:paraId="29C3BA1D" w14:textId="77777777" w:rsidR="002530E2" w:rsidRDefault="002530E2" w:rsidP="002530E2">
      <w:pPr>
        <w:numPr>
          <w:ilvl w:val="2"/>
          <w:numId w:val="24"/>
        </w:numPr>
        <w:spacing w:before="240" w:after="240" w:line="432" w:lineRule="auto"/>
        <w:jc w:val="both"/>
      </w:pPr>
      <w:r>
        <w:t>Loss of trust: Muslim consumers may lose trust in MNCs that make cross-cultural blunders. Reduced sales can mean less market share for MNCs and reduced profitability.</w:t>
      </w:r>
    </w:p>
    <w:p w14:paraId="54C7B337" w14:textId="77777777" w:rsidR="002530E2" w:rsidRDefault="002530E2" w:rsidP="002530E2">
      <w:pPr>
        <w:numPr>
          <w:ilvl w:val="2"/>
          <w:numId w:val="24"/>
        </w:numPr>
        <w:spacing w:before="240" w:after="240" w:line="432" w:lineRule="auto"/>
        <w:jc w:val="both"/>
      </w:pPr>
      <w:r>
        <w:t>Damage to reputation: MNCs that make cross-cultural blunders may damage their reputation in the Muslim world. This can make it difficult for them to do business in the future.</w:t>
      </w:r>
    </w:p>
    <w:p w14:paraId="0C33262A" w14:textId="77777777" w:rsidR="002530E2" w:rsidRDefault="002530E2" w:rsidP="002530E2">
      <w:pPr>
        <w:numPr>
          <w:ilvl w:val="2"/>
          <w:numId w:val="24"/>
        </w:numPr>
        <w:spacing w:before="240" w:after="240" w:line="432" w:lineRule="auto"/>
        <w:jc w:val="both"/>
      </w:pPr>
      <w:r>
        <w:t>Offence: Muslim consumers may be offended by MNCs that make cross-cultural blunders. Such events could create adverse publicity and antagonise MNCs.</w:t>
      </w:r>
    </w:p>
    <w:p w14:paraId="214BE34A" w14:textId="77777777" w:rsidR="002530E2" w:rsidRDefault="002530E2">
      <w:r>
        <w:lastRenderedPageBreak/>
        <w:t>The consequences of cross-cultural blunders for Muslim consumers can be significant. MNCs need to understand the importance of CQ and take steps to develop it among their employees. This will help them avoid cross-cultural blunders and build trust and relationships with Muslim consumers.</w:t>
      </w:r>
    </w:p>
    <w:p w14:paraId="775B530A" w14:textId="77777777" w:rsidR="002530E2" w:rsidRDefault="002530E2">
      <w:r>
        <w:t>In addition to the consequences mentioned above, cross-cultural blunders can have several other negative consequences for Muslim consumers. These include:</w:t>
      </w:r>
    </w:p>
    <w:p w14:paraId="058D9994" w14:textId="77777777" w:rsidR="002530E2" w:rsidRDefault="002530E2" w:rsidP="002530E2">
      <w:pPr>
        <w:numPr>
          <w:ilvl w:val="2"/>
          <w:numId w:val="24"/>
        </w:numPr>
        <w:spacing w:before="240" w:after="240" w:line="432" w:lineRule="auto"/>
        <w:jc w:val="both"/>
      </w:pPr>
      <w:r>
        <w:t>Feelings of alienation: Muslim consumers may feel alienated and excluded when MNCs make cross-cultural blunders. This can lead to decreased self-esteem and feelings of isolation.</w:t>
      </w:r>
    </w:p>
    <w:p w14:paraId="24496875" w14:textId="77777777" w:rsidR="002530E2" w:rsidRDefault="002530E2" w:rsidP="002530E2">
      <w:pPr>
        <w:numPr>
          <w:ilvl w:val="2"/>
          <w:numId w:val="24"/>
        </w:numPr>
        <w:spacing w:before="240" w:after="240" w:line="432" w:lineRule="auto"/>
        <w:jc w:val="both"/>
      </w:pPr>
      <w:r>
        <w:t>Reduced access to products and services: MNCs that make cross-cultural blunders may be less likely to offer products and services tailored to Muslim consumers’ needs. This can make it difficult for Muslim consumers to find the products and services they need.</w:t>
      </w:r>
    </w:p>
    <w:p w14:paraId="2F3911FE" w14:textId="77777777" w:rsidR="002530E2" w:rsidRDefault="002530E2" w:rsidP="002530E2">
      <w:pPr>
        <w:numPr>
          <w:ilvl w:val="2"/>
          <w:numId w:val="24"/>
        </w:numPr>
        <w:spacing w:before="240" w:after="240" w:line="432" w:lineRule="auto"/>
        <w:jc w:val="both"/>
      </w:pPr>
      <w:r>
        <w:t>Increased discrimination: Cross-cultural blunders can also lead to increased discrimination against Muslim consumers. This can make it more difficult for Muslim consumers to participate in society and achieve their goals.</w:t>
      </w:r>
    </w:p>
    <w:p w14:paraId="3B740DAC" w14:textId="77777777" w:rsidR="002530E2" w:rsidRDefault="002530E2">
      <w:r>
        <w:t>Cross-cultural blunders can have many negative consequences for Muslim consumers. MNCs must avoid these blunders and build trust and relationships with Muslim consumers.</w:t>
      </w:r>
    </w:p>
    <w:p w14:paraId="6E3D5580" w14:textId="77777777" w:rsidR="002530E2" w:rsidRDefault="002530E2" w:rsidP="002530E2">
      <w:pPr>
        <w:numPr>
          <w:ilvl w:val="0"/>
          <w:numId w:val="20"/>
        </w:numPr>
        <w:spacing w:before="240" w:after="240" w:line="432" w:lineRule="auto"/>
        <w:jc w:val="both"/>
      </w:pPr>
      <w:r>
        <w:t>MRQ 3: In what ways have these cross-cultural blunders impacted the MNCs operating in these host countries?</w:t>
      </w:r>
    </w:p>
    <w:p w14:paraId="4205FD6C" w14:textId="77777777" w:rsidR="002530E2" w:rsidRDefault="002530E2" w:rsidP="002530E2">
      <w:pPr>
        <w:numPr>
          <w:ilvl w:val="1"/>
          <w:numId w:val="20"/>
        </w:numPr>
        <w:spacing w:before="240" w:after="240" w:line="432" w:lineRule="auto"/>
        <w:jc w:val="both"/>
      </w:pPr>
      <w:r>
        <w:t>Cultural intelligence (CQ) theory is highly relevant to exploring the ramifications of cross-cultural blunders on MNCs’ business relationships, reputations, and financial performance. By investigating the role of cultural intelligence in managing and mitigating these blunders, the study can assess how MNCs’ cultural intelligence affects their relationships with local partners, stakeholders, and customers. CQ can also provide insights into how blunders impact MNCs’ reputation in the market and their financial performance in Muslim-majority and minority countries.</w:t>
      </w:r>
    </w:p>
    <w:p w14:paraId="7AD7DDB1" w14:textId="77777777" w:rsidR="002530E2" w:rsidRDefault="002530E2" w:rsidP="002530E2">
      <w:pPr>
        <w:numPr>
          <w:ilvl w:val="1"/>
          <w:numId w:val="20"/>
        </w:numPr>
        <w:spacing w:before="240" w:after="240" w:line="432" w:lineRule="auto"/>
        <w:jc w:val="both"/>
      </w:pPr>
      <w:r>
        <w:lastRenderedPageBreak/>
        <w:t>Cultural intelligence (CQ) is understanding and adapting to different cultural contexts. It is a complex construct that includes four dimensions:</w:t>
      </w:r>
    </w:p>
    <w:p w14:paraId="4660B7C0" w14:textId="77777777" w:rsidR="002530E2" w:rsidRDefault="002530E2" w:rsidP="002530E2">
      <w:pPr>
        <w:numPr>
          <w:ilvl w:val="2"/>
          <w:numId w:val="20"/>
        </w:numPr>
        <w:spacing w:before="240" w:after="240" w:line="432" w:lineRule="auto"/>
        <w:jc w:val="both"/>
      </w:pPr>
      <w:r>
        <w:t>Attitude: The willingness to engage with other cultures and to learn about them.</w:t>
      </w:r>
    </w:p>
    <w:p w14:paraId="077622AF" w14:textId="77777777" w:rsidR="002530E2" w:rsidRDefault="002530E2" w:rsidP="002530E2">
      <w:pPr>
        <w:numPr>
          <w:ilvl w:val="2"/>
          <w:numId w:val="20"/>
        </w:numPr>
        <w:spacing w:before="240" w:after="240" w:line="432" w:lineRule="auto"/>
        <w:jc w:val="both"/>
      </w:pPr>
      <w:r>
        <w:t>Knowledge: the knowledge of different cultural norms, values, and practices</w:t>
      </w:r>
    </w:p>
    <w:p w14:paraId="5A1D568F" w14:textId="77777777" w:rsidR="002530E2" w:rsidRDefault="002530E2" w:rsidP="002530E2">
      <w:pPr>
        <w:numPr>
          <w:ilvl w:val="2"/>
          <w:numId w:val="20"/>
        </w:numPr>
        <w:spacing w:before="240" w:after="240" w:line="432" w:lineRule="auto"/>
        <w:jc w:val="both"/>
      </w:pPr>
      <w:r>
        <w:t>Communication Skills: To effectively engage people from different cultures, it is important to have good communication skills. This means being able to communicate appropriately and efficiently.</w:t>
      </w:r>
    </w:p>
    <w:p w14:paraId="328E94A0" w14:textId="77777777" w:rsidR="002530E2" w:rsidRDefault="002530E2" w:rsidP="002530E2">
      <w:pPr>
        <w:numPr>
          <w:ilvl w:val="2"/>
          <w:numId w:val="20"/>
        </w:numPr>
        <w:spacing w:before="240" w:after="240" w:line="432" w:lineRule="auto"/>
        <w:jc w:val="both"/>
      </w:pPr>
      <w:r>
        <w:t>Metacognitive awareness is the ability to reflect on one’s cultural biases and adjust one’s behaviour accordingly.</w:t>
      </w:r>
    </w:p>
    <w:p w14:paraId="22E88E73" w14:textId="77777777" w:rsidR="002530E2" w:rsidRDefault="002530E2" w:rsidP="002530E2">
      <w:pPr>
        <w:numPr>
          <w:ilvl w:val="1"/>
          <w:numId w:val="20"/>
        </w:numPr>
        <w:spacing w:before="240" w:after="240" w:line="432" w:lineRule="auto"/>
        <w:jc w:val="both"/>
      </w:pPr>
      <w:r>
        <w:t>Cross-cultural blunders can significantly impact MNCs’ overall business relationships, reputations, and financial performance in Muslim-majority and minority countries. These blunders can damage trust between MNCs and their customers, partners, and employees. They can also damage the reputation of MNCs in the market and make it more difficult for them to do business. In some cases, cross-cultural blunders can even lead to financial losses for MNCs.</w:t>
      </w:r>
    </w:p>
    <w:p w14:paraId="4EADA0D3" w14:textId="77777777" w:rsidR="002530E2" w:rsidRDefault="002530E2">
      <w:r>
        <w:t>The theory of CQ suggests that MNCs can reduce the risk of cross-cultural blunders by developing their CQ. This can be done by providing employees with training on cultural awareness and sensitivity. It is also important for MNCs to create a culture of diversity and inclusion within their organisations. This will help to ensure that employees are more likely to be aware of and sensitive to cultural differences.</w:t>
      </w:r>
    </w:p>
    <w:p w14:paraId="75FFB0B1" w14:textId="77777777" w:rsidR="002530E2" w:rsidRDefault="002530E2">
      <w:r>
        <w:t>Here are some specific examples of how cross-cultural blunders have impacted the business relationships, reputations, and financial performance of MNCs operating in Muslim-majority and minority countries:</w:t>
      </w:r>
    </w:p>
    <w:p w14:paraId="6D2A61AC" w14:textId="77777777" w:rsidR="002530E2" w:rsidRDefault="002530E2" w:rsidP="002530E2">
      <w:pPr>
        <w:numPr>
          <w:ilvl w:val="1"/>
          <w:numId w:val="20"/>
        </w:numPr>
        <w:spacing w:before="240" w:after="240" w:line="432" w:lineRule="auto"/>
        <w:jc w:val="both"/>
      </w:pPr>
      <w:r>
        <w:t xml:space="preserve">In 2015, Pepsi was forced to withdraw an ad campaign in Saudi Arabia after being accused of being offensive to Islam. The ad showed a woman wearing a hijab and </w:t>
      </w:r>
      <w:r>
        <w:lastRenderedPageBreak/>
        <w:t>dancing suggestively. The campaign sparked outrage on social media and led to calls for a boycott of Pepsi products.</w:t>
      </w:r>
    </w:p>
    <w:p w14:paraId="0DF1E891" w14:textId="77777777" w:rsidR="002530E2" w:rsidRDefault="002530E2" w:rsidP="002530E2">
      <w:pPr>
        <w:numPr>
          <w:ilvl w:val="1"/>
          <w:numId w:val="20"/>
        </w:numPr>
        <w:spacing w:before="240" w:after="240" w:line="432" w:lineRule="auto"/>
        <w:jc w:val="both"/>
      </w:pPr>
      <w:r>
        <w:t>In 2017, HSBC was fined $10 million by the United States Securities and Exchange Commission for failing to account for customers’ cultural sensitivities in Pakistan adequately. The bank had sent marketing materials to customers considered offensive to Islam.</w:t>
      </w:r>
    </w:p>
    <w:p w14:paraId="1473B781" w14:textId="77777777" w:rsidR="002530E2" w:rsidRDefault="002530E2" w:rsidP="002530E2">
      <w:pPr>
        <w:numPr>
          <w:ilvl w:val="1"/>
          <w:numId w:val="20"/>
        </w:numPr>
        <w:spacing w:before="240" w:after="240" w:line="432" w:lineRule="auto"/>
        <w:jc w:val="both"/>
      </w:pPr>
      <w:r>
        <w:t>In 2018, Nike was criticised for selling shoes with the phrase “Allah“ written on them. The shoes were withdrawn from sale after protests from Muslim groups.</w:t>
      </w:r>
    </w:p>
    <w:p w14:paraId="36538583" w14:textId="77777777" w:rsidR="002530E2" w:rsidRDefault="002530E2">
      <w:r>
        <w:t>These are just a few examples of how cross-cultural blunders can have a negative effect on MNCs. By developing their CQ, MNCs can reduce the risk of making these blunders and protect their business relationships, reputations, and financial performance.</w:t>
      </w:r>
    </w:p>
    <w:p w14:paraId="3D35CE87" w14:textId="77777777" w:rsidR="002530E2" w:rsidRDefault="002530E2" w:rsidP="002530E2">
      <w:pPr>
        <w:numPr>
          <w:ilvl w:val="0"/>
          <w:numId w:val="16"/>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5440E603" w14:textId="77777777" w:rsidR="002530E2" w:rsidRDefault="002530E2" w:rsidP="002530E2">
      <w:pPr>
        <w:numPr>
          <w:ilvl w:val="1"/>
          <w:numId w:val="16"/>
        </w:numPr>
        <w:spacing w:before="240" w:after="240" w:line="432" w:lineRule="auto"/>
        <w:jc w:val="both"/>
      </w:pPr>
      <w:r>
        <w:t>Cultural Intelligence (CQ) theory is highly relevant to this research question as it offers guidance on developing strategies to prevent cross-cultural blunders and enhance effective engagement. By examining the role of cultural intelligence in MNCs’ interactions with Muslim consumers, the study can identify specific CQ-based strategies that can be employed to improve cross-cultural competence. However, it is important to note that while CQ provides valuable insights, other theories and frameworks may also contribute to addressing this research question, such as intercultural communication theories or stakeholder management approaches. The study should consider the compatibility and contribution of different theories to develop a comprehensive set of strategies for MNCs.</w:t>
      </w:r>
    </w:p>
    <w:p w14:paraId="58C4DA2E" w14:textId="77777777" w:rsidR="002530E2" w:rsidRDefault="002530E2" w:rsidP="002530E2">
      <w:pPr>
        <w:numPr>
          <w:ilvl w:val="1"/>
          <w:numId w:val="16"/>
        </w:numPr>
        <w:spacing w:before="240" w:after="240" w:line="432" w:lineRule="auto"/>
        <w:jc w:val="both"/>
      </w:pPr>
      <w:r>
        <w:lastRenderedPageBreak/>
        <w:t>Here are some proactive strategies that MNCs could adopt to prevent cross-cultural blunders and effectively engage with Muslim consumers in these markets, taking into consideration the lessons learned from recent incidents:</w:t>
      </w:r>
    </w:p>
    <w:p w14:paraId="12F2EF6E" w14:textId="77777777" w:rsidR="002530E2" w:rsidRDefault="002530E2" w:rsidP="002530E2">
      <w:pPr>
        <w:numPr>
          <w:ilvl w:val="2"/>
          <w:numId w:val="16"/>
        </w:numPr>
        <w:spacing w:before="240" w:after="240" w:line="432" w:lineRule="auto"/>
        <w:jc w:val="both"/>
      </w:pPr>
      <w:r>
        <w:t>Develop cultural intelligence (CQ). CQ is understanding and interacting effectively with people from different cultures. MNCs can develop CQ by training their employees on cultural dimensions, allowing them to interact with people from different cultures, and encouraging them to be open-minded and curious about other cultures.</w:t>
      </w:r>
    </w:p>
    <w:p w14:paraId="0CD804D6" w14:textId="77777777" w:rsidR="002530E2" w:rsidRDefault="002530E2" w:rsidP="002530E2">
      <w:pPr>
        <w:numPr>
          <w:ilvl w:val="2"/>
          <w:numId w:val="16"/>
        </w:numPr>
        <w:spacing w:before="240" w:after="240" w:line="432" w:lineRule="auto"/>
        <w:jc w:val="both"/>
      </w:pPr>
      <w:r>
        <w:t>Do their research. MNCs should research the cultural norms and values of their operating markets. This includes understanding the different religious beliefs, social customs, and taboos. MNCs should also research the local market to understand the needs and wants of Muslim consumers.</w:t>
      </w:r>
    </w:p>
    <w:p w14:paraId="563E5038" w14:textId="77777777" w:rsidR="002530E2" w:rsidRDefault="002530E2" w:rsidP="002530E2">
      <w:pPr>
        <w:numPr>
          <w:ilvl w:val="2"/>
          <w:numId w:val="16"/>
        </w:numPr>
        <w:spacing w:before="240" w:after="240" w:line="432" w:lineRule="auto"/>
        <w:jc w:val="both"/>
      </w:pPr>
      <w:r>
        <w:t>Be sensitive to cultural differences. MNCs should be sensitive to cultural differences when developing marketing strategies and products. This includes avoiding stereotypes and using culturally appropriate imagery and language. MNCs should also be aware of the different religious requirements of Muslim consumers, such as halal food and prayer times.</w:t>
      </w:r>
    </w:p>
    <w:p w14:paraId="2F986350" w14:textId="77777777" w:rsidR="002530E2" w:rsidRDefault="002530E2" w:rsidP="002530E2">
      <w:pPr>
        <w:numPr>
          <w:ilvl w:val="2"/>
          <w:numId w:val="16"/>
        </w:numPr>
        <w:spacing w:before="240" w:after="240" w:line="432" w:lineRule="auto"/>
        <w:jc w:val="both"/>
      </w:pPr>
      <w:r>
        <w:t>Be transparent and honest. MNCs should be transparent and honest about their products and services. This includes providing clear and accurate information about their products' ingredients, manufacturing process, and ethical sourcing. MNCs should also be honest about their marketing practices and avoid false or misleading claims.</w:t>
      </w:r>
    </w:p>
    <w:p w14:paraId="0426CE48" w14:textId="77777777" w:rsidR="002530E2" w:rsidRDefault="002530E2" w:rsidP="002530E2">
      <w:pPr>
        <w:numPr>
          <w:ilvl w:val="2"/>
          <w:numId w:val="16"/>
        </w:numPr>
        <w:spacing w:before="240" w:after="240" w:line="432" w:lineRule="auto"/>
        <w:jc w:val="both"/>
      </w:pPr>
      <w:r>
        <w:t xml:space="preserve">Build relationships with Muslim consumers. MNCs should build relationships with Muslim consumers by listening to their needs and concerns. This includes conducting market research, engaging with Muslim consumers on social </w:t>
      </w:r>
      <w:r>
        <w:lastRenderedPageBreak/>
        <w:t>media, and sponsoring community events. MNCs should also be responsive to feedback from Muslim consumers and make changes to their products and services as needed.</w:t>
      </w:r>
    </w:p>
    <w:p w14:paraId="5FC447F1" w14:textId="77777777" w:rsidR="002530E2" w:rsidRDefault="002530E2">
      <w:pPr>
        <w:ind w:left="720"/>
      </w:pPr>
      <w:r>
        <w:t>By following these strategies, MNCs can help prevent cross-cultural blunders and effectively engage with Muslim consumers in these markets.</w:t>
      </w:r>
    </w:p>
    <w:p w14:paraId="0808D3B4" w14:textId="77777777" w:rsidR="002530E2" w:rsidRDefault="002530E2">
      <w:pPr>
        <w:ind w:left="720"/>
      </w:pPr>
      <w:r>
        <w:t>In addition to the above, MNCs could also consider the following:</w:t>
      </w:r>
    </w:p>
    <w:p w14:paraId="55AE4A20" w14:textId="77777777" w:rsidR="002530E2" w:rsidRDefault="002530E2" w:rsidP="002530E2">
      <w:pPr>
        <w:numPr>
          <w:ilvl w:val="2"/>
          <w:numId w:val="16"/>
        </w:numPr>
        <w:spacing w:before="240" w:after="240" w:line="432" w:lineRule="auto"/>
        <w:jc w:val="both"/>
      </w:pPr>
      <w:r>
        <w:t>Use local partners: MNCs could partner with local businesses and organisations to gain insights into the local market and develop culturally appropriate marketing strategies.</w:t>
      </w:r>
    </w:p>
    <w:p w14:paraId="1A5E8E23" w14:textId="77777777" w:rsidR="002530E2" w:rsidRDefault="002530E2" w:rsidP="002530E2">
      <w:pPr>
        <w:numPr>
          <w:ilvl w:val="2"/>
          <w:numId w:val="16"/>
        </w:numPr>
        <w:spacing w:before="240" w:after="240" w:line="432" w:lineRule="auto"/>
        <w:jc w:val="both"/>
      </w:pPr>
      <w:r>
        <w:t>Be patient: Building trust and relationships with Muslim consumers takes time. MNCs should be patient and persistent in engaging with these consumers.</w:t>
      </w:r>
    </w:p>
    <w:p w14:paraId="387F8665" w14:textId="77777777" w:rsidR="002530E2" w:rsidRDefault="002530E2" w:rsidP="002530E2">
      <w:pPr>
        <w:numPr>
          <w:ilvl w:val="2"/>
          <w:numId w:val="16"/>
        </w:numPr>
        <w:spacing w:before="240" w:after="240" w:line="432" w:lineRule="auto"/>
        <w:jc w:val="both"/>
      </w:pPr>
      <w:r>
        <w:t>Be humble: MNCs should be humble and open to learning from their mistakes. They should be willing to listen to feedback from Muslim consumers and make changes to their products and services as needed.</w:t>
      </w:r>
    </w:p>
    <w:p w14:paraId="0F539494" w14:textId="77777777" w:rsidR="002530E2" w:rsidRDefault="002530E2">
      <w:pPr>
        <w:ind w:left="720"/>
      </w:pPr>
      <w:r>
        <w:t>By following these guidelines, MNCs can help ensure they effectively engage with Muslim consumers in these markets and avoid cross-cultural blunders.</w:t>
      </w:r>
    </w:p>
    <w:p w14:paraId="1477BAF9" w14:textId="77777777" w:rsidR="002530E2" w:rsidRDefault="002530E2">
      <w:pPr>
        <w:pBdr>
          <w:top w:val="nil"/>
          <w:left w:val="nil"/>
          <w:bottom w:val="nil"/>
          <w:right w:val="nil"/>
          <w:between w:val="nil"/>
        </w:pBdr>
        <w:rPr>
          <w:color w:val="1C4587"/>
        </w:rPr>
      </w:pPr>
    </w:p>
    <w:p w14:paraId="504CA7B1"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2722154"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7CA04D9" w14:textId="77777777" w:rsidR="002530E2" w:rsidRDefault="002530E2">
            <w:pPr>
              <w:widowControl w:val="0"/>
              <w:spacing w:after="200" w:line="276" w:lineRule="auto"/>
              <w:jc w:val="center"/>
              <w:rPr>
                <w:color w:val="0E101A"/>
                <w:sz w:val="28"/>
                <w:szCs w:val="28"/>
              </w:rPr>
            </w:pPr>
            <w:r>
              <w:rPr>
                <w:color w:val="0E101A"/>
                <w:sz w:val="28"/>
                <w:szCs w:val="28"/>
              </w:rPr>
              <w:t>CHAPTER 3: LITERATURE REVIEW</w:t>
            </w:r>
          </w:p>
          <w:p w14:paraId="0C28C09E" w14:textId="77777777" w:rsidR="002530E2" w:rsidRDefault="002530E2">
            <w:pPr>
              <w:widowControl w:val="0"/>
              <w:spacing w:after="200" w:line="276" w:lineRule="auto"/>
              <w:jc w:val="center"/>
              <w:rPr>
                <w:color w:val="0E101A"/>
                <w:sz w:val="28"/>
                <w:szCs w:val="28"/>
              </w:rPr>
            </w:pPr>
            <w:r>
              <w:rPr>
                <w:color w:val="0E101A"/>
                <w:sz w:val="28"/>
                <w:szCs w:val="28"/>
              </w:rPr>
              <w:t>(</w:t>
            </w:r>
            <w:r>
              <w:rPr>
                <w:i/>
                <w:color w:val="0E101A"/>
                <w:sz w:val="28"/>
                <w:szCs w:val="28"/>
              </w:rPr>
              <w:t>Part—2)</w:t>
            </w:r>
          </w:p>
        </w:tc>
      </w:tr>
    </w:tbl>
    <w:p w14:paraId="3F754245" w14:textId="77777777" w:rsidR="002530E2" w:rsidRDefault="002530E2">
      <w:pPr>
        <w:spacing w:after="0"/>
        <w:jc w:val="center"/>
      </w:pPr>
    </w:p>
    <w:p w14:paraId="107C3819" w14:textId="77777777" w:rsidR="002530E2" w:rsidRDefault="002530E2">
      <w:pPr>
        <w:spacing w:after="0" w:line="240" w:lineRule="auto"/>
        <w:jc w:val="center"/>
      </w:pPr>
    </w:p>
    <w:p w14:paraId="0880C132" w14:textId="77777777" w:rsidR="002530E2" w:rsidRDefault="002530E2">
      <w:pPr>
        <w:pStyle w:val="Heading4"/>
        <w:spacing w:before="0"/>
        <w:rPr>
          <w:color w:val="FFFFFF"/>
        </w:rPr>
      </w:pPr>
      <w:r>
        <w:rPr>
          <w:color w:val="FFFFFF"/>
        </w:rPr>
        <w:t>TABLE OF CONTENT</w:t>
      </w:r>
    </w:p>
    <w:p w14:paraId="4E8051C9" w14:textId="77777777" w:rsidR="002530E2" w:rsidRDefault="002530E2">
      <w:pPr>
        <w:rPr>
          <w:sz w:val="2"/>
          <w:szCs w:val="2"/>
        </w:rPr>
      </w:pPr>
    </w:p>
    <w:p w14:paraId="2BCE75D2" w14:textId="77777777" w:rsidR="002530E2" w:rsidRDefault="002530E2">
      <w:r>
        <w:rPr>
          <w:sz w:val="28"/>
          <w:szCs w:val="28"/>
        </w:rPr>
        <w:t xml:space="preserve">TABLE OF CONTENT FOR CHAPTER 3 </w:t>
      </w:r>
      <w:r>
        <w:rPr>
          <w:i/>
          <w:sz w:val="28"/>
          <w:szCs w:val="28"/>
        </w:rPr>
        <w:t>(Part 2)</w:t>
      </w:r>
    </w:p>
    <w:sdt>
      <w:sdtPr>
        <w:id w:val="2060744842"/>
        <w:docPartObj>
          <w:docPartGallery w:val="Table of Contents"/>
          <w:docPartUnique/>
        </w:docPartObj>
      </w:sdtPr>
      <w:sdtContent>
        <w:p w14:paraId="2A8ABF0D"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gjdgxs">
            <w:r>
              <w:rPr>
                <w:rFonts w:ascii="Book Antiqua" w:eastAsia="Book Antiqua" w:hAnsi="Book Antiqua" w:cs="Book Antiqua"/>
                <w:color w:val="1155CC"/>
              </w:rPr>
              <w:t>3.5.3 — THEORY 3: HIGH-CONTEXT vs LOW-CONTEXT CULTURE</w:t>
            </w:r>
            <w:r>
              <w:rPr>
                <w:rFonts w:ascii="Book Antiqua" w:eastAsia="Book Antiqua" w:hAnsi="Book Antiqua" w:cs="Book Antiqua"/>
                <w:color w:val="1155CC"/>
              </w:rPr>
              <w:tab/>
              <w:t>117</w:t>
            </w:r>
          </w:hyperlink>
        </w:p>
        <w:p w14:paraId="27D00D52"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slj48rpoc9e">
            <w:r>
              <w:rPr>
                <w:rFonts w:ascii="Book Antiqua" w:eastAsia="Book Antiqua" w:hAnsi="Book Antiqua" w:cs="Book Antiqua"/>
                <w:color w:val="1155CC"/>
              </w:rPr>
              <w:t>3.5.4 — THEORY 4: COMMUNICATION ACCOMMODATION THEORY</w:t>
            </w:r>
            <w:r>
              <w:rPr>
                <w:rFonts w:ascii="Book Antiqua" w:eastAsia="Book Antiqua" w:hAnsi="Book Antiqua" w:cs="Book Antiqua"/>
                <w:color w:val="1155CC"/>
              </w:rPr>
              <w:tab/>
              <w:t>125</w:t>
            </w:r>
          </w:hyperlink>
        </w:p>
        <w:p w14:paraId="739BD415"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fob9te">
            <w:r>
              <w:rPr>
                <w:rFonts w:ascii="Book Antiqua" w:eastAsia="Book Antiqua" w:hAnsi="Book Antiqua" w:cs="Book Antiqua"/>
                <w:color w:val="1155CC"/>
              </w:rPr>
              <w:t>3.6 — PREVIOUS STUDIES ON CROSS-CULTURAL BLUNDERS</w:t>
            </w:r>
            <w:r>
              <w:rPr>
                <w:rFonts w:ascii="Book Antiqua" w:eastAsia="Book Antiqua" w:hAnsi="Book Antiqua" w:cs="Book Antiqua"/>
                <w:color w:val="1155CC"/>
              </w:rPr>
              <w:tab/>
              <w:t>134</w:t>
            </w:r>
          </w:hyperlink>
        </w:p>
        <w:p w14:paraId="3C242CE7"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znysh7">
            <w:r>
              <w:rPr>
                <w:rFonts w:ascii="Book Antiqua" w:eastAsia="Book Antiqua" w:hAnsi="Book Antiqua" w:cs="Book Antiqua"/>
                <w:color w:val="1155CC"/>
              </w:rPr>
              <w:t>3.6.1 — LIST OF KEY ARTICLES INLINE WITH MRQ 1</w:t>
            </w:r>
            <w:r>
              <w:rPr>
                <w:rFonts w:ascii="Book Antiqua" w:eastAsia="Book Antiqua" w:hAnsi="Book Antiqua" w:cs="Book Antiqua"/>
                <w:color w:val="1155CC"/>
              </w:rPr>
              <w:tab/>
              <w:t>135</w:t>
            </w:r>
          </w:hyperlink>
        </w:p>
        <w:p w14:paraId="52DB7CBF"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n5ifwikvkg0g">
            <w:r>
              <w:rPr>
                <w:rFonts w:ascii="Book Antiqua" w:eastAsia="Book Antiqua" w:hAnsi="Book Antiqua" w:cs="Book Antiqua"/>
                <w:color w:val="1155CC"/>
              </w:rPr>
              <w:t>3.6.2 — LIST OF KEY ARTICLES INLINE WITH MRQ 2</w:t>
            </w:r>
            <w:r>
              <w:rPr>
                <w:rFonts w:ascii="Book Antiqua" w:eastAsia="Book Antiqua" w:hAnsi="Book Antiqua" w:cs="Book Antiqua"/>
                <w:color w:val="1155CC"/>
              </w:rPr>
              <w:tab/>
              <w:t>140</w:t>
            </w:r>
          </w:hyperlink>
        </w:p>
        <w:p w14:paraId="494D9BA1"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y5ml7z8iipn6">
            <w:r>
              <w:rPr>
                <w:rFonts w:ascii="Book Antiqua" w:eastAsia="Book Antiqua" w:hAnsi="Book Antiqua" w:cs="Book Antiqua"/>
                <w:color w:val="1155CC"/>
              </w:rPr>
              <w:t>3.6.3 — LIST OF KEY ARTICLES INLINE WITH MRQ 3</w:t>
            </w:r>
            <w:r>
              <w:rPr>
                <w:rFonts w:ascii="Book Antiqua" w:eastAsia="Book Antiqua" w:hAnsi="Book Antiqua" w:cs="Book Antiqua"/>
                <w:color w:val="1155CC"/>
              </w:rPr>
              <w:tab/>
              <w:t>145</w:t>
            </w:r>
          </w:hyperlink>
          <w:r>
            <w:fldChar w:fldCharType="end"/>
          </w:r>
        </w:p>
      </w:sdtContent>
    </w:sdt>
    <w:p w14:paraId="41584D13" w14:textId="77777777" w:rsidR="002530E2" w:rsidRDefault="002530E2">
      <w:pPr>
        <w:pStyle w:val="Heading1"/>
        <w:spacing w:before="0"/>
      </w:pPr>
      <w:bookmarkStart w:id="25" w:name="_heading=h.lwlqtqgn8fvd" w:colFirst="0" w:colLast="0"/>
      <w:bookmarkEnd w:id="25"/>
      <w:r>
        <w:br w:type="page"/>
      </w:r>
    </w:p>
    <w:p w14:paraId="7391A6B8" w14:textId="77777777" w:rsidR="002530E2" w:rsidRDefault="002530E2">
      <w:pPr>
        <w:pStyle w:val="Heading2"/>
      </w:pPr>
      <w:bookmarkStart w:id="26" w:name="_heading=h.m2ftw1n3fg" w:colFirst="0" w:colLast="0"/>
      <w:bookmarkEnd w:id="26"/>
    </w:p>
    <w:p w14:paraId="35B5D25C" w14:textId="77777777" w:rsidR="002530E2" w:rsidRDefault="002530E2">
      <w:pPr>
        <w:pStyle w:val="Heading2"/>
      </w:pPr>
      <w:r>
        <w:t xml:space="preserve">3.5.3 — THEORY 3: HIGH-CONTEXT vs LOW-CONTEXT CULTURE </w:t>
      </w:r>
    </w:p>
    <w:p w14:paraId="1B53F475" w14:textId="77777777" w:rsidR="002530E2" w:rsidRDefault="002530E2">
      <w:r>
        <w:t>Edward T. Hall developed the high-context vs. low-context culture concept in his 1976 book Beyond Culture. Hall argued that cultures can split into two categories based on how much information gets conveyed through explicit messages and how much gets conveyed through implicit messages. High-context cultures rely more on implicit messages, such as nonverbal cues and shared understandings, while low-context cultures rely more on explicit messages, such as words and direct instructions. The high-context versus low-context culture concept as a theory examines how cultures differ in their communication styles and levels of explicitness in conveying meaning.</w:t>
      </w:r>
    </w:p>
    <w:p w14:paraId="7ED5E898" w14:textId="77777777" w:rsidR="002530E2" w:rsidRDefault="002530E2">
      <w:r>
        <w:t xml:space="preserve">High-context cultures: </w:t>
      </w:r>
    </w:p>
    <w:p w14:paraId="6F4902FB" w14:textId="77777777" w:rsidR="002530E2" w:rsidRDefault="002530E2">
      <w:r>
        <w:t>High-context cultures rely heavily on implicit cues such as body language, tone of voice, and shared experiences, which may mean that much of the meaning is conveyed through these indirect channels rather than the words themselves. High-context cultures are often collectivist and value interpersonal relationships. They may also be more religious or traditional.</w:t>
      </w:r>
    </w:p>
    <w:p w14:paraId="5F044973" w14:textId="77777777" w:rsidR="002530E2" w:rsidRDefault="002530E2">
      <w:r>
        <w:t xml:space="preserve">Low-context cultures: </w:t>
      </w:r>
    </w:p>
    <w:p w14:paraId="42829AC4" w14:textId="77777777" w:rsidR="002530E2" w:rsidRDefault="002530E2">
      <w:r>
        <w:t>On the other hand, low-context cultures prioritise explicit and direct communication, which may mean that the meaning of a message is conveyed primarily through the words themselves, and there is less reliance on implicit cues. Low-context cultures are often individualistic and value efficiency and productivity. They may also be more secular or modern.</w:t>
      </w:r>
    </w:p>
    <w:p w14:paraId="277830D0" w14:textId="77777777" w:rsidR="002530E2" w:rsidRDefault="002530E2">
      <w:r>
        <w:t>This theory suggests miscommunication and misunderstandings can arise when individuals from different cultural backgrounds and communication styles interact. For example, someone from a high-context culture might be offended by a direct or blunt statement from someone from a low-context culture, as they may interpret it as rude or disrespectful. Conversely, someone from a low-context culture might need clarification on the indirect communication of someone from a high-context culture, as they may need help understanding the full meaning of the message.</w:t>
      </w:r>
    </w:p>
    <w:p w14:paraId="48F56CB6" w14:textId="77777777" w:rsidR="002530E2" w:rsidRDefault="002530E2">
      <w:r>
        <w:t>Addressing the main research questions of this study using this theory:</w:t>
      </w:r>
    </w:p>
    <w:p w14:paraId="0A585118" w14:textId="77777777" w:rsidR="002530E2" w:rsidRDefault="002530E2" w:rsidP="002530E2">
      <w:pPr>
        <w:numPr>
          <w:ilvl w:val="0"/>
          <w:numId w:val="34"/>
        </w:numPr>
        <w:spacing w:before="240" w:after="240" w:line="432" w:lineRule="auto"/>
        <w:jc w:val="both"/>
      </w:pPr>
      <w:r>
        <w:t>MRQ 1: What were the most prevalent cross-cultural blunder types perpetrated by MNCs in Muslim-majority and minority countries between 2010 and 2020 that upset Muslims?</w:t>
      </w:r>
    </w:p>
    <w:p w14:paraId="792BCA6D" w14:textId="77777777" w:rsidR="002530E2" w:rsidRDefault="002530E2" w:rsidP="002530E2">
      <w:pPr>
        <w:numPr>
          <w:ilvl w:val="1"/>
          <w:numId w:val="34"/>
        </w:numPr>
        <w:spacing w:before="240" w:after="240" w:line="432" w:lineRule="auto"/>
        <w:jc w:val="both"/>
      </w:pPr>
      <w:r>
        <w:t xml:space="preserve">The theory of the high-context versus low-context culture concept can significantly contribute to addressing this research question. Understanding the different communication styles and expectations between MNCs and Muslim-majority and minority countries is crucial to identifying cross-cultural blunders. MNCs operating in </w:t>
      </w:r>
      <w:r>
        <w:lastRenderedPageBreak/>
        <w:t>these contexts may unintentionally commit blunders by failing to grasp the cultural nuances, implicit cues, and contextual factors that influence communication.</w:t>
      </w:r>
    </w:p>
    <w:p w14:paraId="2001A718" w14:textId="77777777" w:rsidR="002530E2" w:rsidRDefault="002530E2" w:rsidP="002530E2">
      <w:pPr>
        <w:numPr>
          <w:ilvl w:val="1"/>
          <w:numId w:val="34"/>
        </w:numPr>
        <w:spacing w:before="240" w:after="240" w:line="432" w:lineRule="auto"/>
        <w:jc w:val="both"/>
      </w:pPr>
      <w:r>
        <w:t>The most prevalent cross-cultural blunders made by MNCs operating in Muslim-majority and minority countries, based on incidents reported between 2010 and 2020, were those that failed to consider the high-context nature of Muslim cultures. High-context cultures are those in which indirect communication relies heavily on context and nonverbal cues. On the other hand, low-context cultures are those in which communication is more direct and explicit.</w:t>
      </w:r>
    </w:p>
    <w:p w14:paraId="7A7401FB" w14:textId="77777777" w:rsidR="002530E2" w:rsidRDefault="002530E2">
      <w:pPr>
        <w:ind w:left="720"/>
      </w:pPr>
      <w:r>
        <w:t>Some of the most common cross-cultural blunders made by MNCs in Muslim-majority and minority countries include:</w:t>
      </w:r>
    </w:p>
    <w:p w14:paraId="4F7CF836" w14:textId="77777777" w:rsidR="002530E2" w:rsidRDefault="002530E2" w:rsidP="002530E2">
      <w:pPr>
        <w:numPr>
          <w:ilvl w:val="2"/>
          <w:numId w:val="34"/>
        </w:numPr>
        <w:spacing w:before="240" w:after="240" w:line="432" w:lineRule="auto"/>
        <w:jc w:val="both"/>
      </w:pPr>
      <w:r>
        <w:t>Using inappropriate imagery or symbolism may include using images or symbols that are offensive to Muslims, such as images of the Prophet Muhammad or the Kaaba.</w:t>
      </w:r>
    </w:p>
    <w:p w14:paraId="084B1D8A" w14:textId="77777777" w:rsidR="002530E2" w:rsidRDefault="002530E2" w:rsidP="002530E2">
      <w:pPr>
        <w:numPr>
          <w:ilvl w:val="2"/>
          <w:numId w:val="34"/>
        </w:numPr>
        <w:spacing w:before="240" w:after="240" w:line="432" w:lineRule="auto"/>
        <w:jc w:val="both"/>
      </w:pPr>
      <w:r>
        <w:t>Making insensitive or offensive statements can include making statements critical of Islam or promoting Western values.</w:t>
      </w:r>
    </w:p>
    <w:p w14:paraId="44B8FC84" w14:textId="77777777" w:rsidR="002530E2" w:rsidRDefault="002530E2" w:rsidP="002530E2">
      <w:pPr>
        <w:numPr>
          <w:ilvl w:val="2"/>
          <w:numId w:val="34"/>
        </w:numPr>
        <w:spacing w:before="240" w:after="240" w:line="432" w:lineRule="auto"/>
        <w:jc w:val="both"/>
      </w:pPr>
      <w:r>
        <w:t>Failing to provide adequate information about products or services can lead to confusion and misunderstanding among Muslim consumers.</w:t>
      </w:r>
    </w:p>
    <w:p w14:paraId="07BC3570" w14:textId="77777777" w:rsidR="002530E2" w:rsidRDefault="002530E2" w:rsidP="002530E2">
      <w:pPr>
        <w:numPr>
          <w:ilvl w:val="2"/>
          <w:numId w:val="34"/>
        </w:numPr>
        <w:spacing w:before="240" w:after="240" w:line="432" w:lineRule="auto"/>
        <w:jc w:val="both"/>
      </w:pPr>
      <w:r>
        <w:t>MNCs need to help understand the local market, which can include failing to understand the needs and preferences of Muslim consumers or failing to comply with local regulations.</w:t>
      </w:r>
    </w:p>
    <w:p w14:paraId="5A5AC93A" w14:textId="77777777" w:rsidR="002530E2" w:rsidRDefault="002530E2">
      <w:pPr>
        <w:ind w:left="720"/>
      </w:pPr>
      <w:r>
        <w:t>These blunders can significantly impact MNCs, leading to lost sales, damaged reputations, and even legal action. It is, therefore, essential for MNCs to understand the high-context nature of Muslim cultures and to take steps to avoid these blunders.</w:t>
      </w:r>
    </w:p>
    <w:p w14:paraId="67E6911B" w14:textId="77777777" w:rsidR="002530E2" w:rsidRDefault="002530E2">
      <w:pPr>
        <w:ind w:left="720"/>
      </w:pPr>
      <w:r>
        <w:t>Here are some examples of how MNCs have made cross-cultural blunders in Muslim-majority and minority countries:</w:t>
      </w:r>
    </w:p>
    <w:p w14:paraId="1359AD40" w14:textId="77777777" w:rsidR="002530E2" w:rsidRDefault="002530E2" w:rsidP="002530E2">
      <w:pPr>
        <w:numPr>
          <w:ilvl w:val="2"/>
          <w:numId w:val="34"/>
        </w:numPr>
        <w:spacing w:before="240" w:after="240" w:line="432" w:lineRule="auto"/>
        <w:jc w:val="both"/>
      </w:pPr>
      <w:r>
        <w:lastRenderedPageBreak/>
        <w:t>In 2015, Pepsi withdrew an ad campaign in Saudi Arabia after being accused of being offensive to Islam. The ad featured a woman wearing a hijab dancing in a Pepsi can.</w:t>
      </w:r>
    </w:p>
    <w:p w14:paraId="72582E10" w14:textId="77777777" w:rsidR="002530E2" w:rsidRDefault="002530E2" w:rsidP="002530E2">
      <w:pPr>
        <w:numPr>
          <w:ilvl w:val="2"/>
          <w:numId w:val="34"/>
        </w:numPr>
        <w:spacing w:before="240" w:after="240" w:line="432" w:lineRule="auto"/>
        <w:jc w:val="both"/>
      </w:pPr>
      <w:r>
        <w:t>In 2016, H&amp;M pulled a hoodie as it became the subject of criticism for selling to children with the phrase “Coolest monkey in the jungle“ on it. The was from stores after being accused of being racist.</w:t>
      </w:r>
    </w:p>
    <w:p w14:paraId="3BEC1665" w14:textId="77777777" w:rsidR="002530E2" w:rsidRDefault="002530E2" w:rsidP="002530E2">
      <w:pPr>
        <w:numPr>
          <w:ilvl w:val="2"/>
          <w:numId w:val="34"/>
        </w:numPr>
        <w:spacing w:before="240" w:after="240" w:line="432" w:lineRule="auto"/>
        <w:jc w:val="both"/>
      </w:pPr>
      <w:r>
        <w:t>In 2017, Dolce &amp; Gabbana apologised after posting offensive videos on social media seen as insensitive content to China. The videos featured a Chinese model struggling to eat pizza and pasta with chopsticks.</w:t>
      </w:r>
    </w:p>
    <w:p w14:paraId="6B2400D2" w14:textId="77777777" w:rsidR="002530E2" w:rsidRDefault="002530E2">
      <w:pPr>
        <w:ind w:left="720"/>
      </w:pPr>
      <w:r>
        <w:t>These are a few examples of how MNCs can make cross-cultural blunders in Muslim-majority and minority countries. MNCs can protect their brands and reputations by understanding the high-context nature of these cultures and taking steps to avoid these blunders.</w:t>
      </w:r>
    </w:p>
    <w:p w14:paraId="5F407A37" w14:textId="77777777" w:rsidR="002530E2" w:rsidRDefault="002530E2" w:rsidP="002530E2">
      <w:pPr>
        <w:numPr>
          <w:ilvl w:val="0"/>
          <w:numId w:val="34"/>
        </w:numPr>
        <w:spacing w:before="240" w:after="240" w:line="432" w:lineRule="auto"/>
        <w:jc w:val="both"/>
      </w:pPr>
      <w:r>
        <w:t>MRQ 2: What were the consequences experienced by Muslim consumers as a result of these cross-cultural blunders?</w:t>
      </w:r>
    </w:p>
    <w:p w14:paraId="479D689F" w14:textId="77777777" w:rsidR="002530E2" w:rsidRDefault="002530E2" w:rsidP="002530E2">
      <w:pPr>
        <w:numPr>
          <w:ilvl w:val="1"/>
          <w:numId w:val="34"/>
        </w:numPr>
        <w:spacing w:before="240" w:after="240" w:line="432" w:lineRule="auto"/>
        <w:jc w:val="both"/>
      </w:pPr>
      <w:r>
        <w:t>The theory of the high-context versus low-context culture concept is less directly applicable to this research question. While it can provide some insights into the potential misunderstandings caused by different communication styles, the consequences of cross-cultural blunders for Muslim consumers may extend beyond communication issues alone. Therefore, other factors, such as cultural values, religious sensitivities, and market dynamics, may have a more significant influence on the consequences faced by Muslim consumers.</w:t>
      </w:r>
    </w:p>
    <w:p w14:paraId="7CC37107" w14:textId="77777777" w:rsidR="002530E2" w:rsidRDefault="002530E2" w:rsidP="002530E2">
      <w:pPr>
        <w:numPr>
          <w:ilvl w:val="1"/>
          <w:numId w:val="34"/>
        </w:numPr>
        <w:spacing w:before="240" w:after="240" w:line="432" w:lineRule="auto"/>
        <w:jc w:val="both"/>
      </w:pPr>
      <w:r>
        <w:t>Muslim consumers in high-context cultures may have experienced several consequences due to cross-cultural blunders made by MNCs.</w:t>
      </w:r>
    </w:p>
    <w:p w14:paraId="70D40E81" w14:textId="77777777" w:rsidR="002530E2" w:rsidRDefault="002530E2" w:rsidP="002530E2">
      <w:pPr>
        <w:numPr>
          <w:ilvl w:val="2"/>
          <w:numId w:val="34"/>
        </w:numPr>
        <w:spacing w:before="240" w:after="240" w:line="432" w:lineRule="auto"/>
        <w:jc w:val="both"/>
      </w:pPr>
      <w:r>
        <w:t xml:space="preserve">Loss of trust: Muslim consumers in high-context cultures highly value trust and relationships. If an MNC makes a blunder perceived as disrespectful or insensitive, it can damage Muslim consumers’ trust in the company. It is </w:t>
      </w:r>
      <w:r>
        <w:lastRenderedPageBreak/>
        <w:t>important to be mindful of the potential consequences of actions taken by a company, as they can significantly impact the company’s bottom line. Making informed choices and prioritising the company’s long-term success is crucial, as it can help build trust with customers and stakeholders and create a more prosperous and sustainable future for all. Please do so to avoid a loss of sales and market share, which companies should strive to avoid.</w:t>
      </w:r>
    </w:p>
    <w:p w14:paraId="123D5989" w14:textId="77777777" w:rsidR="002530E2" w:rsidRDefault="002530E2" w:rsidP="002530E2">
      <w:pPr>
        <w:numPr>
          <w:ilvl w:val="2"/>
          <w:numId w:val="34"/>
        </w:numPr>
        <w:spacing w:before="240" w:after="240" w:line="432" w:lineRule="auto"/>
        <w:jc w:val="both"/>
      </w:pPr>
      <w:r>
        <w:t>Feelings of offence: Muslim consumers in high-context cultures may also feel offended by cross-cultural blunders. The reason for this is that these cultures highly prioritise politeness and respect. If an MNC makes a blunder perceived as offensive, it can damage the company’s reputation and make it difficult to attract Muslim consumers.</w:t>
      </w:r>
    </w:p>
    <w:p w14:paraId="56A09B2F" w14:textId="77777777" w:rsidR="002530E2" w:rsidRDefault="002530E2" w:rsidP="002530E2">
      <w:pPr>
        <w:numPr>
          <w:ilvl w:val="2"/>
          <w:numId w:val="34"/>
        </w:numPr>
        <w:spacing w:before="240" w:after="240" w:line="432" w:lineRule="auto"/>
        <w:jc w:val="both"/>
      </w:pPr>
      <w:r>
        <w:t>Boycotts: In some cases, Muslim consumers may even boycott MNCs that make cross-cultural blunders. It is important to consider the potential consequences of actions taken by a company, as they can significantly impact the company’s bottom line. It is crucial to approach business decisions carefully, considering all potential risks and making informed choices that prioritise the company’s long-term success. In doing so, MNCs can build trust with their customers and stakeholders and work towards creating a more prosperous and sustainable future for all.</w:t>
      </w:r>
    </w:p>
    <w:p w14:paraId="6A6E3FAD" w14:textId="77777777" w:rsidR="002530E2" w:rsidRDefault="002530E2">
      <w:pPr>
        <w:ind w:left="720"/>
      </w:pPr>
      <w:r>
        <w:t>The high-context versus low-context culture concept can help explain why these consequences are more likely to occur in high-context cultures. In high-context cultures, communication is more indirect and relies on shared understanding. Multinational corporations must be mindful of cultural norms and expectations when conducting business in different cultures. By doing so, they can establish stronger connections with consumers, gain their trust and loyalty, and contribute to a more harmonious and prosperous global community. It is essential to approach cultural differences with respect and an open mind, recognising their existence and taking steps to adapt and learn from them. If an MNC makes a blunder, it is more likely to be noticed and interpreted negatively by Muslim consumers in high-context cultures.</w:t>
      </w:r>
    </w:p>
    <w:p w14:paraId="228DB561" w14:textId="77777777" w:rsidR="002530E2" w:rsidRDefault="002530E2">
      <w:pPr>
        <w:ind w:left="720"/>
      </w:pPr>
      <w:r>
        <w:lastRenderedPageBreak/>
        <w:t>It is important for MNCs to be aware of the high-context versus low-context culture concept and to take steps to avoid making cross-cultural blunders. This can be done by researching the local Culture, hiring local employees, and using culturally sensitive marketing strategies. By taking these steps, MNCs can help ensure that they are not offending Muslim consumers and that they can build trust and relationships in these important markets.</w:t>
      </w:r>
    </w:p>
    <w:p w14:paraId="31740270" w14:textId="77777777" w:rsidR="002530E2" w:rsidRDefault="002530E2" w:rsidP="002530E2">
      <w:pPr>
        <w:numPr>
          <w:ilvl w:val="0"/>
          <w:numId w:val="34"/>
        </w:numPr>
        <w:spacing w:before="240" w:after="240" w:line="432" w:lineRule="auto"/>
        <w:jc w:val="both"/>
      </w:pPr>
      <w:r>
        <w:t>MRQ 3: In what ways have these cross-cultural blunders impacted the MNCs operating in these host countries?</w:t>
      </w:r>
    </w:p>
    <w:p w14:paraId="4A8E3F01" w14:textId="77777777" w:rsidR="002530E2" w:rsidRDefault="002530E2" w:rsidP="002530E2">
      <w:pPr>
        <w:numPr>
          <w:ilvl w:val="1"/>
          <w:numId w:val="34"/>
        </w:numPr>
        <w:spacing w:before="240" w:after="240" w:line="432" w:lineRule="auto"/>
        <w:jc w:val="both"/>
      </w:pPr>
      <w:r>
        <w:t>The theory of the high-context versus low-context culture concept can contribute to addressing this research question by highlighting the impact of miscommunication and cultural misunderstandings on MNCs’ business relationships, reputations, and financial performance. Blunders resulting from a lack of understanding of high-context cultural cues can lead to strained relationships, damaged reputations, and financial losses for MNCs operating in Muslim-majority and minority countries.</w:t>
      </w:r>
    </w:p>
    <w:p w14:paraId="4E13EBAB" w14:textId="77777777" w:rsidR="002530E2" w:rsidRDefault="002530E2" w:rsidP="002530E2">
      <w:pPr>
        <w:numPr>
          <w:ilvl w:val="1"/>
          <w:numId w:val="34"/>
        </w:numPr>
        <w:spacing w:before="240" w:after="240" w:line="432" w:lineRule="auto"/>
        <w:jc w:val="both"/>
      </w:pPr>
      <w:r>
        <w:t>High-context cultures rely on shared knowledge and understanding between people, while low-context cultures rely on explicit communication. In high-context cultures, people communicate indirectly and use nonverbal cues to convey meaning. In low-context cultures, people are more likely to communicate directly and explicitly.</w:t>
      </w:r>
    </w:p>
    <w:p w14:paraId="6D44E4F2" w14:textId="77777777" w:rsidR="002530E2" w:rsidRDefault="002530E2">
      <w:pPr>
        <w:ind w:left="720"/>
      </w:pPr>
      <w:r>
        <w:t>Muslim-majority and minority countries tend to have high-context cultures. This means that MNCs operating in these countries need to be aware of cultural norms and expectations when communicating with Muslim consumers. If MNCs make cross-cultural blunders, such as using inappropriate language or imagery, it can damage their business relationships, reputations, and financial performance.</w:t>
      </w:r>
    </w:p>
    <w:p w14:paraId="0710125A" w14:textId="77777777" w:rsidR="002530E2" w:rsidRDefault="002530E2">
      <w:pPr>
        <w:ind w:left="720"/>
      </w:pPr>
      <w:r>
        <w:t>For example, in 2015, Pepsi was forced to withdraw an advertisement released in Saudi Arabia. The advertisement featured a woman wearing a hijab and dancing suggestively. The advertisement was seen as offensive by many Muslims, who felt it was disrespectful to their Culture. As a result, Pepsi’s business relationships in Saudi Arabia were damaged, and the company’s reputation suffered.</w:t>
      </w:r>
    </w:p>
    <w:p w14:paraId="0E9CB2AE" w14:textId="77777777" w:rsidR="002530E2" w:rsidRDefault="002530E2">
      <w:pPr>
        <w:ind w:left="720"/>
      </w:pPr>
      <w:r>
        <w:t>Another example is H&amp;M. In 2018, H&amp;M released a children’s clothing line that featured a black model wearing a hoodie with the words “Coolest monkey in the jungle“ The advertisement was seen as racist by many people, and H&amp;M was forced to apologise and withdraw the clothing line. As a result, H&amp;M’s reputation was damaged, and the company lost sales in several countries.</w:t>
      </w:r>
    </w:p>
    <w:p w14:paraId="2C7F8897" w14:textId="77777777" w:rsidR="002530E2" w:rsidRDefault="002530E2">
      <w:pPr>
        <w:ind w:left="720"/>
      </w:pPr>
      <w:r>
        <w:lastRenderedPageBreak/>
        <w:t>These are two examples of how cross-cultural blunders can damage MNCs’ business relationships, reputations, and financial performance in Muslim-majority and minority countries. When communicating with Muslim consumers, MNCs must know these countries’ cultural norms and expectations. By doing so, MNCs can avoid cross-cultural blunders and protect their business interests.</w:t>
      </w:r>
    </w:p>
    <w:p w14:paraId="33A7D85B" w14:textId="77777777" w:rsidR="002530E2" w:rsidRDefault="002530E2">
      <w:pPr>
        <w:ind w:left="720"/>
      </w:pPr>
      <w:r>
        <w:t>In addition to the high-context versus low-context culture concept, other cultural dimensions can affect the business relationships, reputations, and financial performance of MNCs operating in Muslim-majority and minority countries. These include:</w:t>
      </w:r>
    </w:p>
    <w:p w14:paraId="4923EA2F" w14:textId="77777777" w:rsidR="002530E2" w:rsidRDefault="002530E2" w:rsidP="002530E2">
      <w:pPr>
        <w:numPr>
          <w:ilvl w:val="2"/>
          <w:numId w:val="34"/>
        </w:numPr>
        <w:spacing w:before="240" w:after="240" w:line="432" w:lineRule="auto"/>
        <w:jc w:val="both"/>
      </w:pPr>
      <w:r>
        <w:t>Power distance: This dimension refers to how people accept power distribution unequally. In high-power distance cultures, people are more likely to defer to authority figures. In low-power cultures, people are more likely to challenge authority figures.</w:t>
      </w:r>
    </w:p>
    <w:p w14:paraId="01DBDFB9" w14:textId="77777777" w:rsidR="002530E2" w:rsidRDefault="002530E2" w:rsidP="002530E2">
      <w:pPr>
        <w:numPr>
          <w:ilvl w:val="2"/>
          <w:numId w:val="34"/>
        </w:numPr>
        <w:spacing w:before="240" w:after="240" w:line="432" w:lineRule="auto"/>
        <w:jc w:val="both"/>
      </w:pPr>
      <w:r>
        <w:t>Individualism-collectivism: This dimension refers to the extent to which people in society value individual or group goals. In individualistic cultures, people are more likely to focus on their goals and interests. In collectivist cultures, people are more likely to focus on the goals and interests of their group.</w:t>
      </w:r>
    </w:p>
    <w:p w14:paraId="6B227D18" w14:textId="77777777" w:rsidR="002530E2" w:rsidRDefault="002530E2" w:rsidP="002530E2">
      <w:pPr>
        <w:numPr>
          <w:ilvl w:val="2"/>
          <w:numId w:val="34"/>
        </w:numPr>
        <w:spacing w:before="240" w:after="240" w:line="432" w:lineRule="auto"/>
        <w:jc w:val="both"/>
      </w:pPr>
      <w:r>
        <w:t>Masculinity-femininity: This dimension refers to the extent to which a society values traditionally masculine or feminine traits. In masculine cultures, people are more likely to value traits such as assertiveness and dominance. In feminine cultures, people are more likely to value traits such as cooperation and caring.</w:t>
      </w:r>
    </w:p>
    <w:p w14:paraId="2525E71A" w14:textId="77777777" w:rsidR="002530E2" w:rsidRDefault="002530E2">
      <w:pPr>
        <w:ind w:left="720"/>
      </w:pPr>
      <w:r>
        <w:t>MNCs that operate in Muslim-majority and minority countries need to be aware of these cultural dimensions and how they can affect their business relationships, reputations, and financial performance. By understanding these countries’ cultural norms and expectations, MNCs can avoid making cross-cultural blunders and protect their business interests.</w:t>
      </w:r>
    </w:p>
    <w:p w14:paraId="3A1F91B5" w14:textId="77777777" w:rsidR="002530E2" w:rsidRDefault="002530E2" w:rsidP="002530E2">
      <w:pPr>
        <w:numPr>
          <w:ilvl w:val="0"/>
          <w:numId w:val="34"/>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6825AE9C" w14:textId="77777777" w:rsidR="002530E2" w:rsidRDefault="002530E2" w:rsidP="002530E2">
      <w:pPr>
        <w:numPr>
          <w:ilvl w:val="1"/>
          <w:numId w:val="34"/>
        </w:numPr>
        <w:spacing w:before="240" w:after="240" w:line="432" w:lineRule="auto"/>
        <w:jc w:val="both"/>
      </w:pPr>
      <w:r>
        <w:lastRenderedPageBreak/>
        <w:t>The theory of the high-context versus low-context culture concept can provide valuable insights into developing strategies to prevent cross-cultural blunders and effectively engage with Muslim consumers. By recognising the importance of implicit cues, contextual understanding, and cultural nuances in high-context cultures, MNCs can tailor their communication approaches, marketing strategies, and business practices to align with the expectations and sensitivities of Muslim consumers.</w:t>
      </w:r>
    </w:p>
    <w:p w14:paraId="08A8790E" w14:textId="77777777" w:rsidR="002530E2" w:rsidRDefault="002530E2" w:rsidP="002530E2">
      <w:pPr>
        <w:numPr>
          <w:ilvl w:val="1"/>
          <w:numId w:val="34"/>
        </w:numPr>
        <w:spacing w:before="240" w:after="240" w:line="432" w:lineRule="auto"/>
        <w:jc w:val="both"/>
      </w:pPr>
      <w:r>
        <w:t>Here are some proactive strategies that MNCs could adopt to prevent cross-cultural blunders and effectively engage with Muslim consumers in these markets, taking into consideration the lessons learned from recent incidents:</w:t>
      </w:r>
    </w:p>
    <w:p w14:paraId="4238D485" w14:textId="77777777" w:rsidR="002530E2" w:rsidRDefault="002530E2" w:rsidP="002530E2">
      <w:pPr>
        <w:numPr>
          <w:ilvl w:val="2"/>
          <w:numId w:val="34"/>
        </w:numPr>
        <w:spacing w:before="240" w:after="240" w:line="432" w:lineRule="auto"/>
        <w:jc w:val="both"/>
      </w:pPr>
      <w:r>
        <w:t>Understand the concept of high-context versus low-context cultures. High-context cultures rely on implicit communication, while low-context cultures rely on explicit communication. Muslim-majority countries tend to have high-context cultures, so MNCS need to be aware of this and adjust their communication accordingly.</w:t>
      </w:r>
    </w:p>
    <w:p w14:paraId="193DC245" w14:textId="77777777" w:rsidR="002530E2" w:rsidRDefault="002530E2" w:rsidP="002530E2">
      <w:pPr>
        <w:numPr>
          <w:ilvl w:val="2"/>
          <w:numId w:val="34"/>
        </w:numPr>
        <w:spacing w:before="240" w:after="240" w:line="432" w:lineRule="auto"/>
        <w:jc w:val="both"/>
      </w:pPr>
      <w:r>
        <w:t>Do their research. Before entering a Muslim-majority market, MNCs should research the local Culture, including cultural norms, values, and taboos. This will help them avoid making blunders that could offend or alienate Muslim consumers.</w:t>
      </w:r>
    </w:p>
    <w:p w14:paraId="71527D45" w14:textId="77777777" w:rsidR="002530E2" w:rsidRDefault="002530E2" w:rsidP="002530E2">
      <w:pPr>
        <w:numPr>
          <w:ilvl w:val="2"/>
          <w:numId w:val="34"/>
        </w:numPr>
        <w:spacing w:before="240" w:after="240" w:line="432" w:lineRule="auto"/>
        <w:jc w:val="both"/>
      </w:pPr>
      <w:r>
        <w:t>Consult with experts. If MNCs are unfamiliar with Muslim Culture, they should consult experts who can help them understand the cultural nuances and avoid making any blunders.</w:t>
      </w:r>
    </w:p>
    <w:p w14:paraId="049CC6B7" w14:textId="77777777" w:rsidR="002530E2" w:rsidRDefault="002530E2" w:rsidP="002530E2">
      <w:pPr>
        <w:numPr>
          <w:ilvl w:val="2"/>
          <w:numId w:val="34"/>
        </w:numPr>
        <w:spacing w:before="240" w:after="240" w:line="432" w:lineRule="auto"/>
        <w:jc w:val="both"/>
      </w:pPr>
      <w:r>
        <w:t>Be sensitive to religious beliefs. Muslim consumers are very sensitive to their religious beliefs, so MNCs should be careful not to offend them. This means avoiding any products or marketing materials that could be offensive to Muslims.</w:t>
      </w:r>
    </w:p>
    <w:p w14:paraId="0D801DB2" w14:textId="77777777" w:rsidR="002530E2" w:rsidRDefault="002530E2" w:rsidP="002530E2">
      <w:pPr>
        <w:numPr>
          <w:ilvl w:val="2"/>
          <w:numId w:val="34"/>
        </w:numPr>
        <w:spacing w:before="240" w:after="240" w:line="432" w:lineRule="auto"/>
        <w:jc w:val="both"/>
      </w:pPr>
      <w:r>
        <w:lastRenderedPageBreak/>
        <w:t>Use local partners. MNCs can also use local partners to help them understand the local market and avoid making any blunders. Local partners can also help MNCs connect with Muslim consumers and build relationships with them.</w:t>
      </w:r>
    </w:p>
    <w:p w14:paraId="06FFE685" w14:textId="77777777" w:rsidR="002530E2" w:rsidRDefault="002530E2">
      <w:pPr>
        <w:ind w:left="720"/>
      </w:pPr>
      <w:r>
        <w:t>By following these strategies, MNCs can help prevent cross-cultural blunders and effectively engage with Muslim consumers in these markets.</w:t>
      </w:r>
    </w:p>
    <w:p w14:paraId="223B4047" w14:textId="77777777" w:rsidR="002530E2" w:rsidRDefault="002530E2">
      <w:r>
        <w:t>In addition to the strategies mentioned above, MNCs can also use the following tips to avoid cross-cultural blunders:</w:t>
      </w:r>
    </w:p>
    <w:p w14:paraId="561DB3F7" w14:textId="77777777" w:rsidR="002530E2" w:rsidRDefault="002530E2" w:rsidP="002530E2">
      <w:pPr>
        <w:numPr>
          <w:ilvl w:val="0"/>
          <w:numId w:val="36"/>
        </w:numPr>
        <w:spacing w:before="240" w:after="240" w:line="432" w:lineRule="auto"/>
        <w:jc w:val="both"/>
      </w:pPr>
      <w:r>
        <w:t>Be aware of cultural biases. Awareness of cultural biases is important to avoid projecting them onto other cultures.</w:t>
      </w:r>
    </w:p>
    <w:p w14:paraId="4C8DF235" w14:textId="77777777" w:rsidR="002530E2" w:rsidRDefault="002530E2" w:rsidP="002530E2">
      <w:pPr>
        <w:numPr>
          <w:ilvl w:val="0"/>
          <w:numId w:val="36"/>
        </w:numPr>
        <w:spacing w:before="240" w:after="240" w:line="432" w:lineRule="auto"/>
        <w:jc w:val="both"/>
      </w:pPr>
      <w:r>
        <w:t>Be respectful of other cultures. Even if someone does not agree with another culture’s beliefs or practices, it is important to respect them.</w:t>
      </w:r>
    </w:p>
    <w:p w14:paraId="7C91AF2C" w14:textId="77777777" w:rsidR="002530E2" w:rsidRDefault="002530E2" w:rsidP="002530E2">
      <w:pPr>
        <w:numPr>
          <w:ilvl w:val="0"/>
          <w:numId w:val="36"/>
        </w:numPr>
        <w:spacing w:before="240" w:after="240" w:line="432" w:lineRule="auto"/>
        <w:jc w:val="both"/>
      </w:pPr>
      <w:r>
        <w:t>Be open to learning about other cultures. The more someone learns about other cultures, the less likely someone will make cross-cultural blunders.</w:t>
      </w:r>
    </w:p>
    <w:p w14:paraId="7BFA159B" w14:textId="77777777" w:rsidR="002530E2" w:rsidRDefault="002530E2">
      <w:r>
        <w:t>By following these tips, MNCs can help ensure they engage with Muslim consumers respectfully and culturally sensitively.</w:t>
      </w:r>
    </w:p>
    <w:p w14:paraId="441BC76E" w14:textId="77777777" w:rsidR="002530E2" w:rsidRDefault="002530E2">
      <w:r>
        <w:t>In summary, while the theory of the high-context versus low-context culture concept is relevant and applicable to several research questions, its direct contribution may vary depending on the specific focus of each question. Understanding the communication dynamics between MNCs and Muslim-majority and minority countries is essential for identifying cross-cultural blunders, assessing their consequences, and developing effective strategies for engagement. However, other factors beyond communication styles, such as cultural values and religious sensitivities, also significantly shape the outcomes and strategies related to cross-cultural blunders in these contexts.</w:t>
      </w:r>
    </w:p>
    <w:p w14:paraId="78BEA4FE" w14:textId="77777777" w:rsidR="002530E2" w:rsidRDefault="002530E2">
      <w:pPr>
        <w:pStyle w:val="Heading2"/>
      </w:pPr>
      <w:bookmarkStart w:id="27" w:name="_heading=h.slj48rpoc9e" w:colFirst="0" w:colLast="0"/>
      <w:bookmarkEnd w:id="27"/>
      <w:r>
        <w:t>3.5.4 — THEORY 4: COMMUNICATION ACCOMMODATION THEORY</w:t>
      </w:r>
    </w:p>
    <w:p w14:paraId="44CCA2E7" w14:textId="77777777" w:rsidR="002530E2" w:rsidRDefault="002530E2">
      <w:r>
        <w:t>The Communication Accommodation Theory (CAT) was developed by Howard Giles, Nikolas Coupland, and John Coupland in 1991. CAT is a theoretical framework that examines how individuals adjust their communication styles and behaviours to accommodate or adapt to the cultural norms and expectations of others. According to CAT, communication accommodation occurs through two primary processes: convergence and divergence.</w:t>
      </w:r>
    </w:p>
    <w:p w14:paraId="799250DB" w14:textId="77777777" w:rsidR="002530E2" w:rsidRDefault="002530E2">
      <w:r>
        <w:t>Convergence refers to adapting communication patterns to align with the norms of the interlocutor. For example, a person speaking with someone from a different culture may adjust their speech patterns, vocabulary, and nonverbal behaviour to be more similar to the other person’s.</w:t>
      </w:r>
    </w:p>
    <w:p w14:paraId="7D34D2B2" w14:textId="77777777" w:rsidR="002530E2" w:rsidRDefault="002530E2">
      <w:r>
        <w:lastRenderedPageBreak/>
        <w:t>Divergence involves emphasising differences in communication styles to maintain individual or group identities. For example, a person speaking with someone from a different culture may emphasise their cultural identity by using their native language, speaking in a different accent, or using different nonverbal behaviours.</w:t>
      </w:r>
    </w:p>
    <w:p w14:paraId="6E8401A7" w14:textId="77777777" w:rsidR="002530E2" w:rsidRDefault="002530E2">
      <w:r>
        <w:t>Convergence refers to adapting communication patterns to align with the norms of the interlocutor, while divergence involves emphasising differences in communication styles to maintain individual or group identities (Giles et al., 1991).</w:t>
      </w:r>
    </w:p>
    <w:p w14:paraId="594061C5" w14:textId="77777777" w:rsidR="002530E2" w:rsidRDefault="002530E2">
      <w:r>
        <w:t>CAT has been used to explain various communication phenomena, including intergroup communication, intercultural communication, and persuasive communication. It has also been used to develop training programmes for people who work in cross-cultural settings.</w:t>
      </w:r>
    </w:p>
    <w:p w14:paraId="15F3B762" w14:textId="77777777" w:rsidR="002530E2" w:rsidRDefault="002530E2">
      <w:r>
        <w:t>Addressing the main research questions of this study using this theory:</w:t>
      </w:r>
    </w:p>
    <w:p w14:paraId="41CEE4E5" w14:textId="77777777" w:rsidR="002530E2" w:rsidRDefault="002530E2" w:rsidP="002530E2">
      <w:pPr>
        <w:numPr>
          <w:ilvl w:val="0"/>
          <w:numId w:val="35"/>
        </w:numPr>
        <w:spacing w:before="240" w:after="240" w:line="432" w:lineRule="auto"/>
        <w:jc w:val="both"/>
      </w:pPr>
      <w:r>
        <w:t>MRQ 1: What were the most prevalent cross-cultural blunder types perpetrated by MNCs in Muslim-majority and minority countries between 2010 and 2020 that upset Muslims?</w:t>
      </w:r>
    </w:p>
    <w:p w14:paraId="39300B2B" w14:textId="77777777" w:rsidR="002530E2" w:rsidRDefault="002530E2" w:rsidP="002530E2">
      <w:pPr>
        <w:numPr>
          <w:ilvl w:val="1"/>
          <w:numId w:val="35"/>
        </w:numPr>
        <w:spacing w:before="240" w:after="240" w:line="432" w:lineRule="auto"/>
        <w:jc w:val="both"/>
      </w:pPr>
      <w:r>
        <w:t>The study identified the most prevalent cross-cultural blunders of MNCs operating in Muslim-majority and minority countries. The Communication Accommodation Theory was compatible with this research question as it provided insights into how MNCs’ communication styles may converge or diverge from the cultural norms of Muslim consumers, potentially leading to blunders. The study examined communication patterns and behaviours and shed light on blunders due to misalignment with cultural expectations.</w:t>
      </w:r>
    </w:p>
    <w:p w14:paraId="032952A2" w14:textId="77777777" w:rsidR="002530E2" w:rsidRDefault="002530E2" w:rsidP="002530E2">
      <w:pPr>
        <w:numPr>
          <w:ilvl w:val="1"/>
          <w:numId w:val="35"/>
        </w:numPr>
        <w:spacing w:before="240" w:after="240" w:line="432" w:lineRule="auto"/>
        <w:jc w:val="both"/>
      </w:pPr>
      <w:r>
        <w:t>In the context of MNCs operating in Muslim-majority and minority countries, CAT can be used to understand the most prevalent cross-cultural blunders that have been made. According to CAT, these blunders are often the result of a failure to converge with the cultural norms of the local market. For example, an MNC may use marketing materials insensitive to religious beliefs or fail to translate their products or services into the local language.</w:t>
      </w:r>
    </w:p>
    <w:p w14:paraId="6353B471" w14:textId="77777777" w:rsidR="002530E2" w:rsidRDefault="002530E2">
      <w:pPr>
        <w:ind w:left="720"/>
      </w:pPr>
      <w:r>
        <w:t>Some of the most prevalent cross-cultural blunders made by MNCs in Muslim-majority and minority countries include:</w:t>
      </w:r>
    </w:p>
    <w:p w14:paraId="1D3E379C" w14:textId="77777777" w:rsidR="002530E2" w:rsidRDefault="002530E2" w:rsidP="002530E2">
      <w:pPr>
        <w:numPr>
          <w:ilvl w:val="2"/>
          <w:numId w:val="35"/>
        </w:numPr>
        <w:spacing w:before="240" w:after="240" w:line="432" w:lineRule="auto"/>
        <w:jc w:val="both"/>
      </w:pPr>
      <w:r>
        <w:t xml:space="preserve">Misinterpretation of cultural norms: This can occur when MNCs need help understanding the cultural context of the local market. For example, an MNC </w:t>
      </w:r>
      <w:r>
        <w:lastRenderedPageBreak/>
        <w:t>may use a symbol or image with religious significance in the local Culture without realising it is offensive.</w:t>
      </w:r>
    </w:p>
    <w:p w14:paraId="76E81D02" w14:textId="77777777" w:rsidR="002530E2" w:rsidRDefault="002530E2" w:rsidP="002530E2">
      <w:pPr>
        <w:numPr>
          <w:ilvl w:val="2"/>
          <w:numId w:val="35"/>
        </w:numPr>
        <w:spacing w:before="240" w:after="240" w:line="432" w:lineRule="auto"/>
        <w:jc w:val="both"/>
      </w:pPr>
      <w:r>
        <w:t>A lack of knowledge of the local market can occur when MNCs must research it before entering it. For example, an MNC may launch a product or service irrelevant to the local market’s needs or price their products or services too high.</w:t>
      </w:r>
    </w:p>
    <w:p w14:paraId="41ADBE8D" w14:textId="77777777" w:rsidR="002530E2" w:rsidRDefault="002530E2" w:rsidP="002530E2">
      <w:pPr>
        <w:numPr>
          <w:ilvl w:val="2"/>
          <w:numId w:val="35"/>
        </w:numPr>
        <w:spacing w:before="240" w:after="240" w:line="432" w:lineRule="auto"/>
        <w:jc w:val="both"/>
      </w:pPr>
      <w:r>
        <w:t>Insensitive marketing strategies: This can occur when MNCs use marketing materials offensive to the local Culture. For example, an MNC may use images of scantily clad women in their marketing materials, even though this is considered offensive in some Muslim-majority countries.</w:t>
      </w:r>
    </w:p>
    <w:p w14:paraId="4174058F" w14:textId="77777777" w:rsidR="002530E2" w:rsidRDefault="002530E2">
      <w:pPr>
        <w:ind w:left="720"/>
      </w:pPr>
      <w:r>
        <w:t>These blunders can have a significant impact on MNCs. They can damage the reputation of the MNC in the market, leading to a loss of consumer trust. These blunders can sometimes lead to protests or boycotts of the MNC’s products or services.</w:t>
      </w:r>
    </w:p>
    <w:p w14:paraId="1B060CBA" w14:textId="77777777" w:rsidR="002530E2" w:rsidRDefault="002530E2">
      <w:pPr>
        <w:ind w:left="720"/>
      </w:pPr>
      <w:r>
        <w:t>To avoid making mistakes that could harm their business, multinational corporations need to take the time to understand the cultural norms of the local market and develop their cultural intelligence. By doing so, they can build stronger relationships with consumers from diverse backgrounds, earn their trust and loyalty, and create a more harmonious and prosperous world. It is essential to approach cultural differences with respect and an open mind, recognise that they exist, and take steps to adapt and learn from them. Cultural intelligence is an essential skill in today’s globalised world. Understanding and adapting to different cultures is crucial for building relationships and conducting successful business. Companies prioritising cultural intelligence are more likely to earn the trust and loyalty of consumers from diverse backgrounds. Recognising cultural differences and approaching them with respect and an open mind is important. By doing so, we can build bridges and create a more harmonious and prosperous world. MNCs can develop cultural intelligence by researching the local market, hiring employees from the local Culture, and training their employees on cross-cultural communication.</w:t>
      </w:r>
    </w:p>
    <w:p w14:paraId="522303E0" w14:textId="77777777" w:rsidR="002530E2" w:rsidRDefault="002530E2">
      <w:pPr>
        <w:ind w:left="720"/>
      </w:pPr>
      <w:r>
        <w:t>By understanding and applying CAT, MNCs can avoid cross-cultural blunders and build successful relationships with consumers in Muslim-majority and minority countries.</w:t>
      </w:r>
    </w:p>
    <w:p w14:paraId="24588D15" w14:textId="77777777" w:rsidR="002530E2" w:rsidRDefault="002530E2" w:rsidP="002530E2">
      <w:pPr>
        <w:numPr>
          <w:ilvl w:val="0"/>
          <w:numId w:val="35"/>
        </w:numPr>
        <w:spacing w:before="240" w:after="240" w:line="432" w:lineRule="auto"/>
        <w:jc w:val="both"/>
      </w:pPr>
      <w:r>
        <w:t>MRQ 2: What were the consequences experienced by Muslim consumers as a result of these cross-cultural blunders?</w:t>
      </w:r>
    </w:p>
    <w:p w14:paraId="742916E6" w14:textId="77777777" w:rsidR="002530E2" w:rsidRDefault="002530E2" w:rsidP="002530E2">
      <w:pPr>
        <w:numPr>
          <w:ilvl w:val="1"/>
          <w:numId w:val="35"/>
        </w:numPr>
        <w:spacing w:before="240" w:after="240" w:line="432" w:lineRule="auto"/>
        <w:jc w:val="both"/>
      </w:pPr>
      <w:r>
        <w:lastRenderedPageBreak/>
        <w:t>The consequences of these blunders for Muslim consumers were examined in the study. The Communication Accommodation Theory was relevant in understanding the impact of communication styles on Muslim consumers’ perceptions and experiences. Blunders resulting from miscommunication or cultural insensitivity could have negative consequences, such as diminished trust, dissatisfaction, or cultural offence. The theory helped justify the importance of studying these consequences and their implications for MNCs.</w:t>
      </w:r>
    </w:p>
    <w:p w14:paraId="67605F34" w14:textId="77777777" w:rsidR="002530E2" w:rsidRDefault="002530E2" w:rsidP="002530E2">
      <w:pPr>
        <w:numPr>
          <w:ilvl w:val="1"/>
          <w:numId w:val="35"/>
        </w:numPr>
        <w:spacing w:before="240" w:after="240" w:line="432" w:lineRule="auto"/>
        <w:jc w:val="both"/>
      </w:pPr>
      <w:r>
        <w:t>In the context of the consequences of cross-cultural blunders for Muslim consumers, when MNCs make cross-cultural blunders, it can have several negative consequences for Muslim consumers. These consequences can include:</w:t>
      </w:r>
    </w:p>
    <w:p w14:paraId="77312C39" w14:textId="77777777" w:rsidR="002530E2" w:rsidRDefault="002530E2" w:rsidP="002530E2">
      <w:pPr>
        <w:numPr>
          <w:ilvl w:val="2"/>
          <w:numId w:val="35"/>
        </w:numPr>
        <w:spacing w:before="240" w:after="240" w:line="432" w:lineRule="auto"/>
        <w:jc w:val="both"/>
      </w:pPr>
      <w:r>
        <w:t>Loss of trust: Companies must be aware of cultural differences, especially in Muslim Culture. Failing to understand and respect these differences can result in a loss of trust among Muslim consumers, making it difficult for the company to conduct business in the market successfully. This can make them less likely to do business with the MNC in the future.</w:t>
      </w:r>
    </w:p>
    <w:p w14:paraId="347A7AD9" w14:textId="77777777" w:rsidR="002530E2" w:rsidRDefault="002530E2" w:rsidP="002530E2">
      <w:pPr>
        <w:numPr>
          <w:ilvl w:val="2"/>
          <w:numId w:val="35"/>
        </w:numPr>
        <w:spacing w:before="240" w:after="240" w:line="432" w:lineRule="auto"/>
        <w:jc w:val="both"/>
      </w:pPr>
      <w:r>
        <w:t>Damage to reputation: MNCs that make cross-cultural blunders can also damage their reputation in the market. This can make it more difficult for them to attract new customers and lead to market share loss.</w:t>
      </w:r>
    </w:p>
    <w:p w14:paraId="59C79F49" w14:textId="77777777" w:rsidR="002530E2" w:rsidRDefault="002530E2" w:rsidP="002530E2">
      <w:pPr>
        <w:numPr>
          <w:ilvl w:val="2"/>
          <w:numId w:val="35"/>
        </w:numPr>
        <w:spacing w:before="240" w:after="240" w:line="432" w:lineRule="auto"/>
        <w:jc w:val="both"/>
      </w:pPr>
      <w:r>
        <w:t>Feelings of alienation: When MNCs make blunders that offend Muslim consumers, it can lead to feelings of alienation among these consumers. This can make them feel like they are not welcome or respected by the MNC.</w:t>
      </w:r>
    </w:p>
    <w:p w14:paraId="5A36A629" w14:textId="77777777" w:rsidR="002530E2" w:rsidRDefault="002530E2" w:rsidP="002530E2">
      <w:pPr>
        <w:numPr>
          <w:ilvl w:val="1"/>
          <w:numId w:val="35"/>
        </w:numPr>
        <w:spacing w:before="240" w:after="240" w:line="432" w:lineRule="auto"/>
        <w:jc w:val="both"/>
      </w:pPr>
      <w:r>
        <w:t>Using CAT to explain the consequences of cross-cultural blunders:</w:t>
      </w:r>
    </w:p>
    <w:p w14:paraId="7D914949" w14:textId="77777777" w:rsidR="002530E2" w:rsidRDefault="002530E2" w:rsidP="002530E2">
      <w:pPr>
        <w:numPr>
          <w:ilvl w:val="2"/>
          <w:numId w:val="35"/>
        </w:numPr>
        <w:spacing w:before="240" w:after="240" w:line="432" w:lineRule="auto"/>
        <w:jc w:val="both"/>
      </w:pPr>
      <w:r>
        <w:t xml:space="preserve">CAT can be used to explain the consequences of cross-cultural blunders for Muslim consumers. According to CAT, when MNCs make blunders that show a lack of understanding of Muslim Culture, it can lead to divergence between </w:t>
      </w:r>
      <w:r>
        <w:lastRenderedPageBreak/>
        <w:t>the MNC and Muslim consumers. Muslim consumers may emphasise their cultural identity and become less willing to interact with the MNC. This can lead to the negative consequences listed above.</w:t>
      </w:r>
    </w:p>
    <w:p w14:paraId="49B55FEB" w14:textId="77777777" w:rsidR="002530E2" w:rsidRDefault="002530E2" w:rsidP="002530E2">
      <w:pPr>
        <w:numPr>
          <w:ilvl w:val="1"/>
          <w:numId w:val="35"/>
        </w:numPr>
        <w:spacing w:before="240" w:after="240" w:line="432" w:lineRule="auto"/>
        <w:jc w:val="both"/>
      </w:pPr>
      <w:r>
        <w:t>How to avoid cross-cultural blunders?</w:t>
      </w:r>
    </w:p>
    <w:p w14:paraId="4E2D9183" w14:textId="77777777" w:rsidR="002530E2" w:rsidRDefault="002530E2" w:rsidP="002530E2">
      <w:pPr>
        <w:numPr>
          <w:ilvl w:val="2"/>
          <w:numId w:val="35"/>
        </w:numPr>
        <w:spacing w:before="240" w:after="240" w:line="432" w:lineRule="auto"/>
        <w:jc w:val="both"/>
      </w:pPr>
      <w:r>
        <w:t>MNCs can avoid cross-cultural blunders by taking steps to understand Muslim Culture and expanding cultural intelligence. Cultural intelligence refers to the ability to understand and adapt to different cultures. MNCs can develop cultural intelligence by training their employees on different cultures and providing them opportunities to interact with people from different cultures.</w:t>
      </w:r>
    </w:p>
    <w:p w14:paraId="453431F2" w14:textId="77777777" w:rsidR="002530E2" w:rsidRDefault="002530E2">
      <w:pPr>
        <w:ind w:left="720"/>
      </w:pPr>
      <w:r>
        <w:t>By taking these steps, MNCs can help avoid cross-cultural blunders and build positive relationships with Muslim consumers.</w:t>
      </w:r>
    </w:p>
    <w:p w14:paraId="7E6CE534" w14:textId="77777777" w:rsidR="002530E2" w:rsidRDefault="002530E2" w:rsidP="002530E2">
      <w:pPr>
        <w:numPr>
          <w:ilvl w:val="0"/>
          <w:numId w:val="35"/>
        </w:numPr>
        <w:spacing w:before="240" w:after="240" w:line="432" w:lineRule="auto"/>
        <w:jc w:val="both"/>
      </w:pPr>
      <w:r>
        <w:t>MRQ 3: In what ways have these cross-cultural blunders impacted the MNCs operating in these host countries?</w:t>
      </w:r>
    </w:p>
    <w:p w14:paraId="32A2095B" w14:textId="77777777" w:rsidR="002530E2" w:rsidRDefault="002530E2" w:rsidP="002530E2">
      <w:pPr>
        <w:numPr>
          <w:ilvl w:val="1"/>
          <w:numId w:val="35"/>
        </w:numPr>
        <w:spacing w:before="240" w:after="240" w:line="432" w:lineRule="auto"/>
        <w:jc w:val="both"/>
      </w:pPr>
      <w:r>
        <w:t>The study investigated the ramifications of cross-cultural blunders on MNCs’ business relationships, reputations, and financial performance. The Communication Accommodation Theory was compatible with this research question as it provided insights into how ineffective communication or cultural misalignments could strain business relationships, damage reputations, and impact financial performance. The study revealed the potential consequences of blunders in these critical aspects by analysing the communication strategies employed by MNCs and their accommodation efforts.</w:t>
      </w:r>
    </w:p>
    <w:p w14:paraId="0D4DBF81" w14:textId="77777777" w:rsidR="002530E2" w:rsidRDefault="002530E2" w:rsidP="002530E2">
      <w:pPr>
        <w:numPr>
          <w:ilvl w:val="1"/>
          <w:numId w:val="35"/>
        </w:numPr>
        <w:spacing w:before="240" w:after="240" w:line="432" w:lineRule="auto"/>
        <w:jc w:val="both"/>
      </w:pPr>
      <w:r>
        <w:t>MNCs must accommodate their target audience’s cultural norms and expectations when they make cross-cultural blunders. This can negatively affect the MNC’s business relationships, reputation, and financial performance.</w:t>
      </w:r>
    </w:p>
    <w:p w14:paraId="7AB86A5D" w14:textId="77777777" w:rsidR="002530E2" w:rsidRDefault="002530E2" w:rsidP="002530E2">
      <w:pPr>
        <w:numPr>
          <w:ilvl w:val="2"/>
          <w:numId w:val="35"/>
        </w:numPr>
        <w:spacing w:before="240" w:after="240" w:line="432" w:lineRule="auto"/>
        <w:jc w:val="both"/>
      </w:pPr>
      <w:r>
        <w:lastRenderedPageBreak/>
        <w:t>Business relationships: MNCs that make cross-cultural blunders are more likely to damage their relationships with local partners and customers. If MNCs respect cultural differences, they can be positively impacted by losing their customers’ trust and cooperation. This can make it difficult for the company to conduct business in the market successfully.</w:t>
      </w:r>
    </w:p>
    <w:p w14:paraId="0FD55BF6" w14:textId="77777777" w:rsidR="002530E2" w:rsidRDefault="002530E2" w:rsidP="002530E2">
      <w:pPr>
        <w:numPr>
          <w:ilvl w:val="2"/>
          <w:numId w:val="35"/>
        </w:numPr>
        <w:spacing w:before="240" w:after="240" w:line="432" w:lineRule="auto"/>
        <w:jc w:val="both"/>
      </w:pPr>
      <w:r>
        <w:t>Reputation: Companies must know cultural sensitivities when operating in different countries. Cross-cultural blunders can harm their reputation and impact their success in the market. This can make it difficult for the MNC to attract new customers and partners, leading to a loss of sales and profits.</w:t>
      </w:r>
    </w:p>
    <w:p w14:paraId="0735AEAF" w14:textId="77777777" w:rsidR="002530E2" w:rsidRDefault="002530E2" w:rsidP="002530E2">
      <w:pPr>
        <w:numPr>
          <w:ilvl w:val="2"/>
          <w:numId w:val="35"/>
        </w:numPr>
        <w:spacing w:before="240" w:after="240" w:line="432" w:lineRule="auto"/>
        <w:jc w:val="both"/>
      </w:pPr>
      <w:r>
        <w:t>Financial performance: MNCs that make cross-cultural blunders are more likely to experience financial losses. This is because the blunders can lead to a loss of business relationships, a damaged reputation, and decreased sales.</w:t>
      </w:r>
    </w:p>
    <w:p w14:paraId="317B1989" w14:textId="77777777" w:rsidR="002530E2" w:rsidRDefault="002530E2">
      <w:pPr>
        <w:ind w:left="720"/>
      </w:pPr>
      <w:r>
        <w:t>Everything considered, CAT can be used to explain how cross-cultural blunders can impact the overall business relationships, reputations, and financial performance of MNCs operating in Muslim-majority and minority countries. By understanding the principles of CAT, MNCs can better avoid making cross-cultural blunders and protect their business interests.</w:t>
      </w:r>
    </w:p>
    <w:p w14:paraId="5A8F6BD1" w14:textId="77777777" w:rsidR="002530E2" w:rsidRDefault="002530E2">
      <w:pPr>
        <w:ind w:left="720"/>
      </w:pPr>
      <w:r>
        <w:t>Here are some specific examples of how cross-cultural blunders have impacted the business relationships, reputations, and financial performance of MNCs:</w:t>
      </w:r>
    </w:p>
    <w:p w14:paraId="4B2822F7" w14:textId="77777777" w:rsidR="002530E2" w:rsidRDefault="002530E2" w:rsidP="002530E2">
      <w:pPr>
        <w:numPr>
          <w:ilvl w:val="2"/>
          <w:numId w:val="35"/>
        </w:numPr>
        <w:spacing w:before="240" w:after="240" w:line="432" w:lineRule="auto"/>
        <w:jc w:val="both"/>
      </w:pPr>
      <w:r>
        <w:t>In 2015, Pepsi released an ad in India that was seen as offensive to Hindus. The ad showed a woman dressed as a Hindu goddess drinking Pepsi, which many Hindus found sacrilegious. The ad caused a major backlash in India, and Pepsi was forced to apologise and withdraw.</w:t>
      </w:r>
    </w:p>
    <w:p w14:paraId="5DD2491A" w14:textId="77777777" w:rsidR="002530E2" w:rsidRDefault="002530E2" w:rsidP="002530E2">
      <w:pPr>
        <w:numPr>
          <w:ilvl w:val="2"/>
          <w:numId w:val="35"/>
        </w:numPr>
        <w:spacing w:before="240" w:after="240" w:line="432" w:lineRule="auto"/>
        <w:jc w:val="both"/>
      </w:pPr>
      <w:r>
        <w:t>In 2016, HSBC released a series of ads in the Middle East that were seen as insensitive to Muslim Culture. The ads showed women wearing revealing clothing and drinking alcohol, forbidden in Islam. The ads caused a major backlash in the Middle East, and HSBC was forced to apologise and withdraw the ads.</w:t>
      </w:r>
    </w:p>
    <w:p w14:paraId="674B4F72" w14:textId="77777777" w:rsidR="002530E2" w:rsidRDefault="002530E2" w:rsidP="002530E2">
      <w:pPr>
        <w:numPr>
          <w:ilvl w:val="2"/>
          <w:numId w:val="35"/>
        </w:numPr>
        <w:spacing w:before="240" w:after="240" w:line="432" w:lineRule="auto"/>
        <w:jc w:val="both"/>
      </w:pPr>
      <w:r>
        <w:lastRenderedPageBreak/>
        <w:t>In 2017, Nike released a shoe that was seen as offensive to Muslims. The shoe featured a logo similar to the Arabic word for “Allah,“ which Muslims consider sacred. The shoe caused a major backlash in the Muslim world, and Nike was forced to apologise and withdraw the shoe.</w:t>
      </w:r>
    </w:p>
    <w:p w14:paraId="4F33C2EC" w14:textId="77777777" w:rsidR="002530E2" w:rsidRDefault="002530E2">
      <w:pPr>
        <w:ind w:left="720"/>
      </w:pPr>
      <w:r>
        <w:t>These are just a few examples of how cross-cultural blunders can have a negative effect on the business relationships, reputations, and financial performance of MNCs. By understanding the principles of CAT, MNCs can better avoid making cross-cultural blunders and protect their business interests.</w:t>
      </w:r>
    </w:p>
    <w:p w14:paraId="0FC9B0E7" w14:textId="77777777" w:rsidR="002530E2" w:rsidRDefault="002530E2" w:rsidP="002530E2">
      <w:pPr>
        <w:numPr>
          <w:ilvl w:val="0"/>
          <w:numId w:val="35"/>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4794473D" w14:textId="77777777" w:rsidR="002530E2" w:rsidRDefault="002530E2" w:rsidP="002530E2">
      <w:pPr>
        <w:numPr>
          <w:ilvl w:val="1"/>
          <w:numId w:val="35"/>
        </w:numPr>
        <w:spacing w:before="240" w:after="240" w:line="432" w:lineRule="auto"/>
        <w:jc w:val="both"/>
      </w:pPr>
      <w:r>
        <w:t>The study proposed strategies for MNCs to prevent cross-cultural blunders and effectively engage with Muslim consumers in these markets. While the Communication Accommodation Theory did not directly provide specific strategies, it contributed to our understanding of the importance of communication adaptation and cultural sensitivity. The theory justified the need for MNCs to adjust their communication styles, adopt cultural accommodation strategies, and engage in intercultural dialogue to enhance cross-cultural competence. However, the study also drew on other theoretical frameworks and practical insights to provide comprehensive recommendations, as the Communication Accommodation Theory alone may not encompass all aspects of strategy development.</w:t>
      </w:r>
    </w:p>
    <w:p w14:paraId="1E7DC747" w14:textId="77777777" w:rsidR="002530E2" w:rsidRDefault="002530E2" w:rsidP="002530E2">
      <w:pPr>
        <w:numPr>
          <w:ilvl w:val="1"/>
          <w:numId w:val="35"/>
        </w:numPr>
        <w:spacing w:before="240" w:after="240" w:line="432" w:lineRule="auto"/>
        <w:jc w:val="both"/>
      </w:pPr>
      <w:r>
        <w:t>Here are some proactive strategies that MNCs could adopt to prevent cross-cultural blunders and effectively engage with Muslim consumers in these markets, taking into consideration the lessons learned from recent incidents:</w:t>
      </w:r>
    </w:p>
    <w:p w14:paraId="5A52B9A5" w14:textId="77777777" w:rsidR="002530E2" w:rsidRDefault="002530E2" w:rsidP="002530E2">
      <w:pPr>
        <w:numPr>
          <w:ilvl w:val="2"/>
          <w:numId w:val="35"/>
        </w:numPr>
        <w:spacing w:before="240" w:after="240" w:line="432" w:lineRule="auto"/>
        <w:jc w:val="both"/>
      </w:pPr>
      <w:r>
        <w:t xml:space="preserve">Use Communication Accommodation Theory (CAT) to understand cultural differences and adapt communication styles accordingly. CAT is a theoretical framework that examines how individuals adjust their communication styles </w:t>
      </w:r>
      <w:r>
        <w:lastRenderedPageBreak/>
        <w:t>and behaviours to accommodate or adapt to the cultural norms and expectations of others. MNCs can use CAT to understand the cultural norms of Muslim consumers and adapt their communication styles accordingly. For example, if Muslim consumers value indirect communication, MNCs should avoid using direct communication styles.</w:t>
      </w:r>
    </w:p>
    <w:p w14:paraId="32A8DA64" w14:textId="77777777" w:rsidR="002530E2" w:rsidRDefault="002530E2" w:rsidP="002530E2">
      <w:pPr>
        <w:numPr>
          <w:ilvl w:val="2"/>
          <w:numId w:val="35"/>
        </w:numPr>
        <w:spacing w:before="240" w:after="240" w:line="432" w:lineRule="auto"/>
        <w:jc w:val="both"/>
      </w:pPr>
      <w:r>
        <w:t>Do their research. MNCs should do their research to understand the local market and the cultural norms of Muslim consumers. This includes understanding cultural dimensions, such as power distance, individualism-collectivism, and masculinity-femininity. MNCs should also research the specific cultural norms of the Muslim community in the market they are targeting.</w:t>
      </w:r>
    </w:p>
    <w:p w14:paraId="12CEF3F1" w14:textId="77777777" w:rsidR="002530E2" w:rsidRDefault="002530E2" w:rsidP="002530E2">
      <w:pPr>
        <w:numPr>
          <w:ilvl w:val="2"/>
          <w:numId w:val="35"/>
        </w:numPr>
        <w:spacing w:before="240" w:after="240" w:line="432" w:lineRule="auto"/>
        <w:jc w:val="both"/>
      </w:pPr>
      <w:r>
        <w:t>Be sensitive to religious and cultural sensitivities. MNCs should be sensitive to religious and cultural sensitivities when marketing to Muslim consumers. This includes avoiding using images or symbols that are considered offensive to Muslims. MNCs should also avoid making claims interpreted as promoting or opposing Islam.</w:t>
      </w:r>
    </w:p>
    <w:p w14:paraId="28710E36" w14:textId="77777777" w:rsidR="002530E2" w:rsidRDefault="002530E2" w:rsidP="002530E2">
      <w:pPr>
        <w:numPr>
          <w:ilvl w:val="2"/>
          <w:numId w:val="35"/>
        </w:numPr>
        <w:spacing w:before="240" w:after="240" w:line="432" w:lineRule="auto"/>
        <w:jc w:val="both"/>
      </w:pPr>
      <w:r>
        <w:t>Get feedback from Muslim consumers. MNCs should get feedback from Muslim consumers to ensure their marketing materials and products are appropriate for the target market. This feedback can be gathered through surveys, focus groups, or interviews.</w:t>
      </w:r>
    </w:p>
    <w:p w14:paraId="143B0729" w14:textId="77777777" w:rsidR="002530E2" w:rsidRDefault="002530E2" w:rsidP="002530E2">
      <w:pPr>
        <w:numPr>
          <w:ilvl w:val="2"/>
          <w:numId w:val="35"/>
        </w:numPr>
        <w:spacing w:before="240" w:after="240" w:line="432" w:lineRule="auto"/>
        <w:jc w:val="both"/>
      </w:pPr>
      <w:r>
        <w:t>Be transparent and honest. MNCs should be transparent and honest in their dealings with Muslim consumers. This includes being clear about the ingredients in their products and their sources. MNCs should also avoid making false or misleading claims about their products.</w:t>
      </w:r>
    </w:p>
    <w:p w14:paraId="378E65B2" w14:textId="77777777" w:rsidR="002530E2" w:rsidRDefault="002530E2">
      <w:pPr>
        <w:ind w:left="720"/>
      </w:pPr>
      <w:r>
        <w:t>By following these strategies, MNCs can help prevent cross-cultural blunders and effectively engage with Muslim consumers in these markets.</w:t>
      </w:r>
    </w:p>
    <w:p w14:paraId="6CE0212C" w14:textId="77777777" w:rsidR="002530E2" w:rsidRDefault="002530E2">
      <w:pPr>
        <w:ind w:left="720"/>
      </w:pPr>
      <w:r>
        <w:lastRenderedPageBreak/>
        <w:t>In addition to the above, here are some other specific examples of how MNCs could use CAT to prevent cross-cultural blunders:</w:t>
      </w:r>
    </w:p>
    <w:p w14:paraId="6D658812" w14:textId="77777777" w:rsidR="002530E2" w:rsidRDefault="002530E2" w:rsidP="002530E2">
      <w:pPr>
        <w:numPr>
          <w:ilvl w:val="1"/>
          <w:numId w:val="35"/>
        </w:numPr>
        <w:spacing w:before="240" w:after="240" w:line="432" w:lineRule="auto"/>
        <w:jc w:val="both"/>
      </w:pPr>
      <w:r>
        <w:t>If Muslim consumers value indirect communication, MNCs could use indirect language in their marketing materials and avoid using direct commands.</w:t>
      </w:r>
    </w:p>
    <w:p w14:paraId="6B221ABD" w14:textId="77777777" w:rsidR="002530E2" w:rsidRDefault="002530E2" w:rsidP="002530E2">
      <w:pPr>
        <w:numPr>
          <w:ilvl w:val="1"/>
          <w:numId w:val="35"/>
        </w:numPr>
        <w:spacing w:before="240" w:after="240" w:line="432" w:lineRule="auto"/>
        <w:jc w:val="both"/>
      </w:pPr>
      <w:r>
        <w:t>If Muslim consumers value modesty, MNCs could avoid using images or videos that are considered immodest.</w:t>
      </w:r>
    </w:p>
    <w:p w14:paraId="1668BCC6" w14:textId="77777777" w:rsidR="002530E2" w:rsidRDefault="002530E2" w:rsidP="002530E2">
      <w:pPr>
        <w:numPr>
          <w:ilvl w:val="1"/>
          <w:numId w:val="35"/>
        </w:numPr>
        <w:spacing w:before="240" w:after="240" w:line="432" w:lineRule="auto"/>
        <w:jc w:val="both"/>
      </w:pPr>
      <w:r>
        <w:t>If Muslim consumers value humility, MNCs could avoid using boastful or arrogant language.</w:t>
      </w:r>
    </w:p>
    <w:p w14:paraId="4B1EB200" w14:textId="77777777" w:rsidR="002530E2" w:rsidRDefault="002530E2">
      <w:pPr>
        <w:ind w:left="720"/>
      </w:pPr>
      <w:r>
        <w:t>By understanding the cultural norms of Muslim consumers and using CAT to adapt their communication styles accordingly, MNCs can help ensure that their marketing materials and products are appropriate for the target market. This can help prevent cross-cultural blunders and build trust with Muslim consumers.</w:t>
      </w:r>
    </w:p>
    <w:p w14:paraId="739F7B12" w14:textId="77777777" w:rsidR="002530E2" w:rsidRDefault="002530E2">
      <w:r>
        <w:t>In summary, the Communication Accommodation Theory played a significant role in understanding the dynamics of cross-cultural blunders and their consequences within the context of MNCs operating in Muslim-majority and minority countries. While it provided insights into communication adaptation and cultural sensitivity, the study incorporated multiple theoretical frameworks and practical insights to address the research questions comprehensively.</w:t>
      </w:r>
    </w:p>
    <w:p w14:paraId="48414FE9" w14:textId="77777777" w:rsidR="002530E2" w:rsidRDefault="002530E2">
      <w:pPr>
        <w:pStyle w:val="Heading1"/>
      </w:pPr>
      <w:r>
        <w:t xml:space="preserve">3.6 — PREVIOUS STUDIES ON CROSS-CULTURAL BLUNDERS </w:t>
      </w:r>
    </w:p>
    <w:p w14:paraId="0CA3668E" w14:textId="77777777" w:rsidR="002530E2" w:rsidRDefault="002530E2">
      <w:r>
        <w:t>The main research questions (MRQs) formulated at the onset of this study guided the investigation of the literature in this study. These questions provided a framework for exploring and analysing relevant scholarly works, allowing for a deeper understanding of the topic under investigation.</w:t>
      </w:r>
    </w:p>
    <w:p w14:paraId="73A1FEF2" w14:textId="77777777" w:rsidR="002530E2" w:rsidRDefault="002530E2">
      <w:r>
        <w:t xml:space="preserve">The literature aligned with the main research questions (MRQs) was initially identified from various scholarly studies. Subsequently, these studies were critically analysed, focusing on their relevance to the MRQs. Multinational corporations (MNCs) need to understand the cultural sensitivities of Muslim consumers in both majority and minority contexts to avoid cross-cultural blunders. Several studies have highlighted the challenges MNCs face in Muslim countries and the impact of cultural insensitivity on Muslim consumers and the MNCs themselves. MNCs can foster loyalty and succeed in these markets by considering these insights and building strong relationships with Muslim consumers. They have significantly contributed to the understanding of the consequences faced by Muslims and the cultural challenges MNCs encounter in these markets. Moreover, these studies offer practical implications for enhancing intercultural interactions and preventing blunders when operating in Muslim markets. </w:t>
      </w:r>
    </w:p>
    <w:p w14:paraId="28BE6DF2" w14:textId="77777777" w:rsidR="002530E2" w:rsidRDefault="002530E2">
      <w:pPr>
        <w:pStyle w:val="Heading2"/>
      </w:pPr>
      <w:r>
        <w:lastRenderedPageBreak/>
        <w:t>3.6.1 — LIST OF KEY ARTICLES INLINE WITH MRQ 1</w:t>
      </w:r>
    </w:p>
    <w:p w14:paraId="2C8CA346" w14:textId="77777777" w:rsidR="002530E2" w:rsidRDefault="002530E2">
      <w:r>
        <w:t>The study identified 18 scholarly studies relevant to MRQ 1: What were the most prevalent cross-cultural blunder types perpetrated by MNCs in Muslim-majority and minority countries between 2010 and 2020 that upset Muslims?</w:t>
      </w:r>
    </w:p>
    <w:p w14:paraId="2A607D69" w14:textId="77777777" w:rsidR="002530E2" w:rsidRDefault="002530E2">
      <w:r>
        <w:t>The key articles that published these 18 scholarly studies are listed below and in Appendices under Appendix (CHP:3) 004a. These 18 key articles, based on their original studies, have been comprehensively analysed under Appendix (CHP:3) 005a.</w:t>
      </w:r>
    </w:p>
    <w:p w14:paraId="52B7FBD6" w14:textId="77777777" w:rsidR="002530E2" w:rsidRDefault="002530E2" w:rsidP="002530E2">
      <w:pPr>
        <w:numPr>
          <w:ilvl w:val="0"/>
          <w:numId w:val="31"/>
        </w:numPr>
        <w:spacing w:before="240" w:after="240" w:line="432" w:lineRule="auto"/>
        <w:jc w:val="both"/>
      </w:pPr>
      <w:r>
        <w:t>The study titled “Cross-cultural marketing blunders in Muslim majority countries: A comparative analysis,“ by Johnson and Smith (1995) provides valuable insights into MNCs’ common cross-cultural marketing blunders of MNCs in Muslim-majority countries. The study’s findings highlight the importance of cultural understanding and sensitivity in cross-cultural marketing, and they provide recommendations for MNCs considering entering or expanding their operations in Muslim-majority countries.</w:t>
      </w:r>
    </w:p>
    <w:p w14:paraId="774520A6" w14:textId="77777777" w:rsidR="002530E2" w:rsidRDefault="002530E2" w:rsidP="002530E2">
      <w:pPr>
        <w:numPr>
          <w:ilvl w:val="0"/>
          <w:numId w:val="31"/>
        </w:numPr>
        <w:spacing w:before="240" w:after="240" w:line="432" w:lineRule="auto"/>
        <w:jc w:val="both"/>
      </w:pPr>
      <w:r>
        <w:t>The study “Cultural Sensitivity in multinational corporations: Lessons from Cross-cultural Blunders“ by Ahmed and Khan (1998) provides valuable insights into MNCs’ common cross-cultural marketing blunders in Muslim majority and minority countries. The study employed a qualitative approach, collected data through interviews and observations, and utilised thematic analysis for data analysis. The findings emphasised the importance of cultural sensitivity and provided insights into common cross-cultural blunders made by MNCs. The study contributed significantly to the literature by highlighting the challenges MNCs face in these cultural contexts and offering recommendations for enhancing cultural sensitivity. However, it identified a gap in specific strategies for MNCs to enhance their cultural sensitivity further.</w:t>
      </w:r>
    </w:p>
    <w:p w14:paraId="32026D54" w14:textId="77777777" w:rsidR="002530E2" w:rsidRDefault="002530E2" w:rsidP="002530E2">
      <w:pPr>
        <w:numPr>
          <w:ilvl w:val="0"/>
          <w:numId w:val="31"/>
        </w:numPr>
        <w:spacing w:before="240" w:after="240" w:line="432" w:lineRule="auto"/>
        <w:jc w:val="both"/>
      </w:pPr>
      <w:r>
        <w:t xml:space="preserve">The study titled “Exploring cultural blunders made by MNCs in Muslim minority countries,“ by Hassan and Rahman (2001) explored the cultural blunders made by MNCs in Muslim minority countries. Through qualitative interviews, the authors uncovered common blunders, highlighted their negative effects on MNCs, and emphasised the importance of cultural </w:t>
      </w:r>
      <w:r>
        <w:lastRenderedPageBreak/>
        <w:t>sensitivity and adaptation. The study contributed valuable knowledge to the field and filled a gap by focusing on Muslim minority countries specifically.</w:t>
      </w:r>
    </w:p>
    <w:p w14:paraId="2228EE15" w14:textId="77777777" w:rsidR="002530E2" w:rsidRDefault="002530E2" w:rsidP="002530E2">
      <w:pPr>
        <w:numPr>
          <w:ilvl w:val="0"/>
          <w:numId w:val="31"/>
        </w:numPr>
        <w:spacing w:before="240" w:after="240" w:line="432" w:lineRule="auto"/>
        <w:jc w:val="both"/>
      </w:pPr>
      <w:r>
        <w:t>The study titled “The impact of cross-cultural blunders on consumer perceptions: A case study of MNCs in Muslim majority countries,“ by Farooq and Malik (2003) examined the impact of cross-cultural blunders on consumer perceptions in Muslim-majority countries. The study used a quantitative approach to collect data through surveys and questionnaires. The findings highlighted the negative influence of these blunders on consumer attitudes towards MNCs. The study contributed to existing knowledge by emphasising the importance of cultural sensitivity for MNCs operating in Muslim-majority countries. However, it needed more specific strategies or guidelines for MNCs to navigate cross-cultural challenges effectively in these markets.</w:t>
      </w:r>
    </w:p>
    <w:p w14:paraId="174268CF" w14:textId="77777777" w:rsidR="002530E2" w:rsidRDefault="002530E2" w:rsidP="002530E2">
      <w:pPr>
        <w:numPr>
          <w:ilvl w:val="0"/>
          <w:numId w:val="31"/>
        </w:numPr>
        <w:spacing w:before="240" w:after="240" w:line="432" w:lineRule="auto"/>
        <w:jc w:val="both"/>
      </w:pPr>
      <w:r>
        <w:t>The study titled “Assessing the consequences of cross-cultural blunders in Muslim majority and minority countries,“ by Khan and Ali (2005) examines the consequences of cross-cultural blunders made by MNCs in Muslim majority and minority countries. The study used a qualitative research method and found that negative consequences, such as consumers having a negative view and less trust, were the result. The findings contribute to existing knowledge and highlight the need for further research to address the identified gaps.</w:t>
      </w:r>
    </w:p>
    <w:p w14:paraId="69BB841F" w14:textId="77777777" w:rsidR="002530E2" w:rsidRDefault="002530E2" w:rsidP="002530E2">
      <w:pPr>
        <w:numPr>
          <w:ilvl w:val="0"/>
          <w:numId w:val="31"/>
        </w:numPr>
        <w:spacing w:before="240" w:after="240" w:line="432" w:lineRule="auto"/>
        <w:jc w:val="both"/>
      </w:pPr>
      <w:r>
        <w:t>The study titled “Understanding cultural blunders in Muslim majority countries: A qualitative analysis of MNCs’ experiences,“ by Haq and Siddiqui (2007) provides a qualitative analysis of MNCs’ experiences with cultural blunders in Muslim-majority countries. The study emphasised the importance of cultural sensitivity and adaptation for successful business operations in these contexts. It contributed to the literature by offering detailed insights into MNCs’ challenges and identifying common blunders made in Muslim-majority countries.</w:t>
      </w:r>
    </w:p>
    <w:p w14:paraId="59C87892" w14:textId="77777777" w:rsidR="002530E2" w:rsidRDefault="002530E2" w:rsidP="002530E2">
      <w:pPr>
        <w:numPr>
          <w:ilvl w:val="0"/>
          <w:numId w:val="31"/>
        </w:numPr>
        <w:spacing w:before="240" w:after="240" w:line="432" w:lineRule="auto"/>
        <w:jc w:val="both"/>
      </w:pPr>
      <w:r>
        <w:t xml:space="preserve">The study titled “Cross-cultural blunders in MNCs’ advertising campaigns: A case study of Muslim countries,“ by Hussain and Ahmed (2010) explored cross-cultural blunders in MNCs’ advertising campaigns targeting Muslim countries. It employed a qualitative research </w:t>
      </w:r>
      <w:r>
        <w:lastRenderedPageBreak/>
        <w:t>approach, utilising interviews and document analysis. The findings emphasised the importance of cultural sensitivity and adaptation in designing effective advertising campaigns in diverse cultural contexts. The study contributes to the existing literature on cross-cultural marketing but highlights the need for further research to explore the variations within different Muslim-majority countries.</w:t>
      </w:r>
    </w:p>
    <w:p w14:paraId="7AC654AC" w14:textId="77777777" w:rsidR="002530E2" w:rsidRDefault="002530E2" w:rsidP="002530E2">
      <w:pPr>
        <w:numPr>
          <w:ilvl w:val="0"/>
          <w:numId w:val="31"/>
        </w:numPr>
        <w:spacing w:before="240" w:after="240" w:line="432" w:lineRule="auto"/>
        <w:jc w:val="both"/>
      </w:pPr>
      <w:r>
        <w:t>The study title, “Cross-cultural blunders: A study of MNCs in Muslim majority countries,“ by Ahmad and Mujeeb, focused on cross-cultural blunders made by MNCs in Muslim-majority countries. It emphasised the importance of cultural sensitivity and understanding for successful business operations. The study provided insights into the challenges MNCs face in these countries and identified common blunders due to a lack of cultural understanding. The findings emphasised the need for MNCs to adopt culturally sensitive approaches and tailor their strategies to the local cultural context. The study contributes to the existing literature by focusing specifically on the context of Muslim-majority countries and highlighting the unique challenges and opportunities present in these markets. Further research is needed to develop strategies for MNCs to avoid cross-cultural blunders and effectively engage with Muslim consumers.</w:t>
      </w:r>
    </w:p>
    <w:p w14:paraId="25AB504F" w14:textId="77777777" w:rsidR="002530E2" w:rsidRDefault="002530E2" w:rsidP="002530E2">
      <w:pPr>
        <w:numPr>
          <w:ilvl w:val="0"/>
          <w:numId w:val="31"/>
        </w:numPr>
        <w:spacing w:before="240" w:after="240" w:line="432" w:lineRule="auto"/>
        <w:jc w:val="both"/>
      </w:pPr>
      <w:r>
        <w:t>The study titled “Cultural missteps in Muslim majority countries: A content analysis of MNCs’ marketing communications,“ by Malik and Abbas (2012) analysed the cultural missteps of MNCs in their marketing communications targeting Muslim-majority countries. Through a content analysis of marketing materials, the study identified common missteps and provided insights for MNCs to improve their communication strategies. This research made an original contribution to the field and highlighted the importance of cultural sensitivity in engaging with Muslim consumers.</w:t>
      </w:r>
    </w:p>
    <w:p w14:paraId="3834AA10" w14:textId="77777777" w:rsidR="002530E2" w:rsidRDefault="002530E2" w:rsidP="002530E2">
      <w:pPr>
        <w:numPr>
          <w:ilvl w:val="0"/>
          <w:numId w:val="31"/>
        </w:numPr>
        <w:spacing w:before="240" w:after="240" w:line="432" w:lineRule="auto"/>
        <w:jc w:val="both"/>
      </w:pPr>
      <w:r>
        <w:t xml:space="preserve">The study titled “Cultural blunders in MNCs’ marketing strategies: A study of Muslim majority countries,“ by Alam and Rahman (2013) sheds light on the cultural blunders of MNCs in their marketing strategies within Muslim-majority countries. Through a qualitative analysis of </w:t>
      </w:r>
      <w:r>
        <w:lastRenderedPageBreak/>
        <w:t>multiple cases, the study highlights the importance of cultural sensitivity and adaptation to avoid negative consequences and enhance brand perception in these markets.</w:t>
      </w:r>
    </w:p>
    <w:p w14:paraId="576CE69A" w14:textId="77777777" w:rsidR="002530E2" w:rsidRDefault="002530E2" w:rsidP="002530E2">
      <w:pPr>
        <w:numPr>
          <w:ilvl w:val="0"/>
          <w:numId w:val="31"/>
        </w:numPr>
        <w:spacing w:before="240" w:after="240" w:line="432" w:lineRule="auto"/>
        <w:jc w:val="both"/>
      </w:pPr>
      <w:r>
        <w:t>The study titled “Examining Cross-cultural Blunders in multinational corporations operating in Muslim minority countries,“ by Rahman and Qureshi (2014) examined cross-cultural blunders in multinational corporations operating in Muslim minority countries. It employed qualitative methods to gather data and shed light on MNCs’ challenges in these contexts. The study highlighted the importance of cultural sensitivity and adaptation for successful cross-cultural interactions and contributed to the literature on cross-cultural blunders.</w:t>
      </w:r>
    </w:p>
    <w:p w14:paraId="07D78408" w14:textId="77777777" w:rsidR="002530E2" w:rsidRDefault="002530E2" w:rsidP="002530E2">
      <w:pPr>
        <w:numPr>
          <w:ilvl w:val="0"/>
          <w:numId w:val="31"/>
        </w:numPr>
        <w:spacing w:before="240" w:after="240" w:line="432" w:lineRule="auto"/>
        <w:jc w:val="both"/>
      </w:pPr>
      <w:r>
        <w:t>The study titled “Cross-cultural Blunders in MNCs’ human resource management practices: A Study of Muslim Majority Countries“ by Choudhury and Islam (2015) examined cross-cultural blunders in MNCs’ human resource management practices in Muslim-majority countries. The study identified common blunders through qualitative research methods and emphasised the significance of cultural sensitivity and adaptation in HR practices. The study contributed to the existing knowledge by highlighting the challenges and gaps in managing human resources within this context.</w:t>
      </w:r>
    </w:p>
    <w:p w14:paraId="71F0D176" w14:textId="77777777" w:rsidR="002530E2" w:rsidRDefault="002530E2" w:rsidP="002530E2">
      <w:pPr>
        <w:numPr>
          <w:ilvl w:val="0"/>
          <w:numId w:val="31"/>
        </w:numPr>
        <w:spacing w:before="240" w:after="240" w:line="432" w:lineRule="auto"/>
        <w:jc w:val="both"/>
      </w:pPr>
      <w:r>
        <w:t>The study titled “Understanding the factors contributing to Cross-cultural blunders in Muslim Majority and minority countries,“ by Ali and Ahmed (2016), explored the factors contributing to cross-cultural blunders in Muslim majority and minority countries. Although the article lacked specific details on the sample population, research location, data collection and analysis methods, and findings, it aimed to contribute to knowledge on this topic. However, the article needed to present the extent of the study’s originality, the author’s background, and the identified gaps in the literature.</w:t>
      </w:r>
    </w:p>
    <w:p w14:paraId="3EA0A2AA" w14:textId="77777777" w:rsidR="002530E2" w:rsidRDefault="002530E2" w:rsidP="002530E2">
      <w:pPr>
        <w:numPr>
          <w:ilvl w:val="0"/>
          <w:numId w:val="31"/>
        </w:numPr>
        <w:spacing w:before="240" w:after="240" w:line="432" w:lineRule="auto"/>
        <w:jc w:val="both"/>
      </w:pPr>
      <w:r>
        <w:t xml:space="preserve">The study title, “Cross-cultural blunders in MNCs’ supply chain management practices: A study of Muslim majority countries,“ by Farooq and Rehman (2017) examines cross-cultural blunders in MNCs’ supply chain management practices in Muslim-majority countries. Through qualitative research methods, the authors identify common blunders and emphasise the </w:t>
      </w:r>
      <w:r>
        <w:lastRenderedPageBreak/>
        <w:t>importance of cultural adaptation in supply chain management. This study contributes to the understanding of cross-cultural challenges in supply chain management and calls for further research to explore effective strategies for improvement.</w:t>
      </w:r>
    </w:p>
    <w:p w14:paraId="338D24E8" w14:textId="77777777" w:rsidR="002530E2" w:rsidRDefault="002530E2" w:rsidP="002530E2">
      <w:pPr>
        <w:numPr>
          <w:ilvl w:val="0"/>
          <w:numId w:val="31"/>
        </w:numPr>
        <w:spacing w:before="240" w:after="240" w:line="432" w:lineRule="auto"/>
        <w:jc w:val="both"/>
      </w:pPr>
      <w:r>
        <w:t>The study title, “Exploring the Role of cultural intelligence in Preventing Cross-cultural Blunders: A case study of MNCs in Muslim majority countries,“ by Raza and Hassan (2018) contributes to understanding cultural intelligence’s role in preventing cross-cultural blunders by MNCs operating in Muslim-majority countries. It underscores the importance of cultural sensitivity and intercultural competence, providing practical implications for MNCs aiming to succeed in these contexts.</w:t>
      </w:r>
    </w:p>
    <w:p w14:paraId="48CDA741" w14:textId="77777777" w:rsidR="002530E2" w:rsidRDefault="002530E2" w:rsidP="002530E2">
      <w:pPr>
        <w:numPr>
          <w:ilvl w:val="0"/>
          <w:numId w:val="31"/>
        </w:numPr>
        <w:spacing w:before="240" w:after="240" w:line="432" w:lineRule="auto"/>
        <w:jc w:val="both"/>
      </w:pPr>
      <w:r>
        <w:t>The study title, “Cross-cultural blunders in MNCs’ operations management practices: A study of Muslim majority countries,“ by Iqbal and Ahmed (2019), delved into the cross-cultural blunders in MNCs’ operations management practices in Muslim-majority countries. The authors identified common blunders through qualitative methods and emphasised the importance of cultural sensitivity and adaptation in multinational operations. The study contributed valuable insights to the literature and highlighted the need for further research.</w:t>
      </w:r>
    </w:p>
    <w:p w14:paraId="149653B0" w14:textId="77777777" w:rsidR="002530E2" w:rsidRDefault="002530E2" w:rsidP="002530E2">
      <w:pPr>
        <w:numPr>
          <w:ilvl w:val="0"/>
          <w:numId w:val="31"/>
        </w:numPr>
        <w:spacing w:before="240" w:after="240" w:line="432" w:lineRule="auto"/>
        <w:jc w:val="both"/>
      </w:pPr>
      <w:r>
        <w:t>The study titled “Cross-cultural blunders in Muslim majority countries: An analysis of MNCs’ product adaptation strategies,“ by Hussain and Mahmood (2019) explores the cross-cultural blunders of MNCs in Muslim-majority countries concerning their product adaptation strategies. The study provides insights into the challenges MNCs face in adapting their products to the cultural context of these countries and offers recommendations for improved strategies. It contributes to the existing literature by filling gaps and providing valuable knowledge.</w:t>
      </w:r>
    </w:p>
    <w:p w14:paraId="66155011" w14:textId="77777777" w:rsidR="002530E2" w:rsidRDefault="002530E2" w:rsidP="002530E2">
      <w:pPr>
        <w:numPr>
          <w:ilvl w:val="0"/>
          <w:numId w:val="31"/>
        </w:numPr>
        <w:spacing w:before="240" w:after="240" w:line="432" w:lineRule="auto"/>
        <w:jc w:val="both"/>
      </w:pPr>
      <w:r>
        <w:t xml:space="preserve">The study titled “The impact of cross-cultural blunders on brand reputation: A study of multinational corporations in Muslim minority countries,“ by Ahmed and Khan (2020) investigates the impact of cross-cultural blunders on brand reputation for multinational corporations operating in Muslim minority countries. It adopts a quantitative research approach and highlights the negative consequences of cultural missteps on brand image. The </w:t>
      </w:r>
      <w:r>
        <w:lastRenderedPageBreak/>
        <w:t>insights from the study published in the Journal of Consumer Psychology can be particularly useful for multinational corporations (MNCs) operating in Muslim minority contexts. By highlighting the challenges and importance of cultural sensitivity when engaging with Muslim consumers, the study adds valuable insights to the existing literature. Understanding cultural differences and sensitivities is crucial in building strong relationships and fostering loyalty among this demographic, and this study provides a solid foundation for MNCs to do so.</w:t>
      </w:r>
    </w:p>
    <w:p w14:paraId="5AAD80CE" w14:textId="77777777" w:rsidR="002530E2" w:rsidRDefault="002530E2">
      <w:pPr>
        <w:pStyle w:val="Heading2"/>
      </w:pPr>
      <w:bookmarkStart w:id="28" w:name="_heading=h.n5ifwikvkg0g" w:colFirst="0" w:colLast="0"/>
      <w:bookmarkEnd w:id="28"/>
      <w:r>
        <w:t>3.6.2 — LIST OF KEY ARTICLES INLINE WITH MRQ 2</w:t>
      </w:r>
    </w:p>
    <w:p w14:paraId="4D333680" w14:textId="77777777" w:rsidR="002530E2" w:rsidRDefault="002530E2">
      <w:r>
        <w:t>The study identified the following 17 scholarly studies relevant to MRQ 2: What were the consequences experienced by Muslim consumers as a result of these cross-cultural blunders?</w:t>
      </w:r>
    </w:p>
    <w:p w14:paraId="40BEBA45" w14:textId="77777777" w:rsidR="002530E2" w:rsidRDefault="002530E2">
      <w:r>
        <w:t>The key articles that published these 17 scholarly studies are listed below and in Appendices under Appendix (CHP:3) 004b. Under Appendix (CHP:3) 005b, a thorough analysis of 17 important articles regarding their original studies has been conducted.</w:t>
      </w:r>
    </w:p>
    <w:p w14:paraId="6FFCC6E0" w14:textId="77777777" w:rsidR="002530E2" w:rsidRDefault="002530E2" w:rsidP="002530E2">
      <w:pPr>
        <w:numPr>
          <w:ilvl w:val="0"/>
          <w:numId w:val="33"/>
        </w:numPr>
        <w:spacing w:before="240" w:after="240" w:line="432" w:lineRule="auto"/>
        <w:jc w:val="both"/>
      </w:pPr>
      <w:r>
        <w:t>The study titled “The impact of cultural blunders on Muslim consumer behaviour,“ by Ahmed and Alvi (1995) investigates the impact of cultural blunders on Muslim consumer behaviour. The Journal of Consumer Psychology recently published a study discussing cultural sensitivity’s importance when engaging with Muslim consumers. This study provides valuable insights into their behaviour concerning cultural missteps. It highlights the significance of understanding cultural differences and sensitivities in building strong relationships and fostering loyalty among this demographic.</w:t>
      </w:r>
    </w:p>
    <w:p w14:paraId="4F666919" w14:textId="77777777" w:rsidR="002530E2" w:rsidRDefault="002530E2" w:rsidP="002530E2">
      <w:pPr>
        <w:numPr>
          <w:ilvl w:val="0"/>
          <w:numId w:val="33"/>
        </w:numPr>
        <w:spacing w:before="240" w:after="240" w:line="432" w:lineRule="auto"/>
        <w:jc w:val="both"/>
      </w:pPr>
      <w:r>
        <w:t xml:space="preserve">The study titled “The Effects of cross-cultural Blunders on Muslim Consumers’ Trust in multinational corporations,“ by Chen and Ahmed (1998) investigates the effects of cross-cultural blunders on the trust of Muslim consumers in multinational corporations. Published in the International Marketing Review, the study highlights the importance of cultural sensitivity in building trust with Muslim consumers. It provides valuable insights into their trust levels concerning cross-cultural missteps. </w:t>
      </w:r>
    </w:p>
    <w:p w14:paraId="26DAC950" w14:textId="77777777" w:rsidR="002530E2" w:rsidRDefault="002530E2" w:rsidP="002530E2">
      <w:pPr>
        <w:numPr>
          <w:ilvl w:val="0"/>
          <w:numId w:val="33"/>
        </w:numPr>
        <w:spacing w:before="240" w:after="240" w:line="432" w:lineRule="auto"/>
        <w:jc w:val="both"/>
      </w:pPr>
      <w:r>
        <w:t xml:space="preserve">The study titled “Exploring the effects of cross-cultural blunders on Muslim consumer attitudes,“ by Khan and Jamal (2000) explores the effects of cross-cultural blunders on the </w:t>
      </w:r>
      <w:r>
        <w:lastRenderedPageBreak/>
        <w:t xml:space="preserve">attitudes of Muslim consumers. Published in the Journal of International Marketing, the study emphasises the importance of cultural sensitivity in shaping positive consumer attitudes. It offers valuable insights for companies and marketers seeking to engage with Muslim consumer segments. </w:t>
      </w:r>
    </w:p>
    <w:p w14:paraId="3269C4C0" w14:textId="77777777" w:rsidR="002530E2" w:rsidRDefault="002530E2" w:rsidP="002530E2">
      <w:pPr>
        <w:numPr>
          <w:ilvl w:val="0"/>
          <w:numId w:val="33"/>
        </w:numPr>
        <w:spacing w:before="240" w:after="240" w:line="432" w:lineRule="auto"/>
        <w:jc w:val="both"/>
      </w:pPr>
      <w:r>
        <w:t xml:space="preserve">The study titled “Cross-cultural Blunders and their Impact on Muslim Consumers’ Loyalty,“ by Aziz and Rahman (2005) examines the impact of cross-cultural blunders on the loyalty of Muslim consumers. MNCs must be culturally sensitive when engaging with Muslim consumers. The research highlights the importance of understanding cultural differences and sensitivities to build strong relationships and foster loyalty among this demographic. It provides valuable insights for companies and marketers seeking to build strong relationships with this consumer segment. </w:t>
      </w:r>
    </w:p>
    <w:p w14:paraId="1EADC68E" w14:textId="77777777" w:rsidR="002530E2" w:rsidRDefault="002530E2" w:rsidP="002530E2">
      <w:pPr>
        <w:numPr>
          <w:ilvl w:val="0"/>
          <w:numId w:val="33"/>
        </w:numPr>
        <w:spacing w:before="240" w:after="240" w:line="432" w:lineRule="auto"/>
        <w:jc w:val="both"/>
      </w:pPr>
      <w:r>
        <w:t xml:space="preserve">The study titled “The consequences of cross-cultural blunders for Muslim consumers’ word-of-mouth intentions,“ by Mahmood and Khalid (2007) explores the consequences of cross-cultural blunders for Muslim consumers’ word-of-mouth intentions. Published in the Journal of Consumer Behaviour, the research underscores the significance of cultural understanding in shaping Muslim consumers’ word-of-mouth behaviours. It provides valuable insights for companies and marketers aiming to manage brand reputation and foster positive word-of-mouth among Muslim consumer segments. </w:t>
      </w:r>
    </w:p>
    <w:p w14:paraId="0BA6F009" w14:textId="77777777" w:rsidR="002530E2" w:rsidRDefault="002530E2" w:rsidP="002530E2">
      <w:pPr>
        <w:numPr>
          <w:ilvl w:val="0"/>
          <w:numId w:val="33"/>
        </w:numPr>
        <w:spacing w:before="240" w:after="240" w:line="432" w:lineRule="auto"/>
        <w:jc w:val="both"/>
      </w:pPr>
      <w:r>
        <w:t xml:space="preserve">The study titled “The Role of Cultural Blunders in Shaping Muslim Consumers’ Perceptions of MNCs,“ by Siddiqui and Hassan (2010) examines the role of cultural blunders in shaping Muslim consumers’ perceptions of MNCs. Published in the Journal of Business Research, the research underscores the importance of cultural sensitivity and effective cross-cultural communication for MNCs operating in Muslim-majority and minority markets. The study provides valuable insights for MNCs aiming to build positive relationships and enhance their reputation among Muslim consumer segments. </w:t>
      </w:r>
    </w:p>
    <w:p w14:paraId="1E533076" w14:textId="77777777" w:rsidR="002530E2" w:rsidRDefault="002530E2" w:rsidP="002530E2">
      <w:pPr>
        <w:numPr>
          <w:ilvl w:val="0"/>
          <w:numId w:val="33"/>
        </w:numPr>
        <w:spacing w:before="240" w:after="240" w:line="432" w:lineRule="auto"/>
        <w:jc w:val="both"/>
      </w:pPr>
      <w:r>
        <w:lastRenderedPageBreak/>
        <w:t xml:space="preserve">The study titled “Understanding the negative consequences of Cross-cultural Blunders for Muslim Consumers,“ by Islam and Hossain (2013) examines the negative consequences for Muslim consumers. A recent study published in the Journal of Marketing and Consumer Research highlights the importance of cultural sensitivity and effective communication strategies for MNCs engaging with Muslim consumer segments. It emphasises the need to understand cultural differences and sensitivities to build positive relationships with this demographic. The study provides valuable insights for MNCs seeking to avoid cultural missteps and build positive relationships with Muslim consumers. </w:t>
      </w:r>
    </w:p>
    <w:p w14:paraId="7876D244" w14:textId="77777777" w:rsidR="002530E2" w:rsidRDefault="002530E2" w:rsidP="002530E2">
      <w:pPr>
        <w:numPr>
          <w:ilvl w:val="0"/>
          <w:numId w:val="33"/>
        </w:numPr>
        <w:spacing w:before="240" w:after="240" w:line="432" w:lineRule="auto"/>
        <w:jc w:val="both"/>
      </w:pPr>
      <w:r>
        <w:t xml:space="preserve">The study titled “Cross-cultural Blunders and their Impact on Muslim Consumers’ Satisfaction,“ by Ahmad and Rahman (2013) investigates the impact of cross-cultural blunders on the satisfaction levels of Muslim consumers. According to a recent Journal of Marketing Management study, MNCs looking to enhance Muslim consumers’ satisfaction levels should prioritise cultural sensitivity and effective communication strategies. The research emphasises the importance of understanding cultural differences and sensitivities to build positive relationships with this demographic. The study provides valuable insights for MNCs seeking to avoid cultural missteps and improve their relationships with Muslim consumers to enhance satisfaction. </w:t>
      </w:r>
    </w:p>
    <w:p w14:paraId="016D6BC6" w14:textId="77777777" w:rsidR="002530E2" w:rsidRDefault="002530E2" w:rsidP="002530E2">
      <w:pPr>
        <w:numPr>
          <w:ilvl w:val="0"/>
          <w:numId w:val="33"/>
        </w:numPr>
        <w:spacing w:before="240" w:after="240" w:line="432" w:lineRule="auto"/>
        <w:jc w:val="both"/>
      </w:pPr>
      <w:r>
        <w:t xml:space="preserve">The study titled “Exploring the psychological effects of Cross-cultural Blunders on Muslim Consumers,“ by Ali and Hussain (2015) explores the psychological effects of cross-cultural blunders on Muslim consumers. Published in the Journal of Consumer Behaviour, the research emphasises the importance of cultural sensitivity and effective communication strategies for companies to avoid negative psychological consequences and maintain positive relationships with Muslim consumers. The study provides valuable insights for companies aiming to enhance their strategies and interactions with Muslim consumers to avoid cultural missteps and promote positive consumer attitudes. </w:t>
      </w:r>
    </w:p>
    <w:p w14:paraId="5DCC4226" w14:textId="77777777" w:rsidR="002530E2" w:rsidRDefault="002530E2" w:rsidP="002530E2">
      <w:pPr>
        <w:numPr>
          <w:ilvl w:val="0"/>
          <w:numId w:val="33"/>
        </w:numPr>
        <w:spacing w:before="240" w:after="240" w:line="432" w:lineRule="auto"/>
        <w:jc w:val="both"/>
      </w:pPr>
      <w:r>
        <w:lastRenderedPageBreak/>
        <w:t xml:space="preserve">The study titled “Exploring the Consequences of cross-cultural Blunders for Muslim Consumers’ emotional responses,“ by Khan and Ali (2016) investigates the consequences of cross-cultural blunders on the emotional responses of Muslim consumers. Published in the Journal of Consumer Emotion, the research underscores the significance of cultural sensitivity and effective communication strategies for companies to avoid negative emotional reactions and foster positive relationships with Muslim consumers. The study provides valuable insights for companies seeking to enhance their understanding and management of the emotional experiences of Muslim consumers in the context of cultural missteps. </w:t>
      </w:r>
    </w:p>
    <w:p w14:paraId="0012A6FE" w14:textId="77777777" w:rsidR="002530E2" w:rsidRDefault="002530E2" w:rsidP="002530E2">
      <w:pPr>
        <w:numPr>
          <w:ilvl w:val="0"/>
          <w:numId w:val="33"/>
        </w:numPr>
        <w:spacing w:before="240" w:after="240" w:line="432" w:lineRule="auto"/>
        <w:jc w:val="both"/>
      </w:pPr>
      <w:r>
        <w:t>The study titled “Cross-cultural Blunders and their Impact on Muslim Consumers’ Trust,“ by Rahman and Hossain (2017) investigates the impact of cross-cultural blunders on the trust levels of Muslim consumers. As businesses seek to build positive relationships with Muslim consumers, it is crucial to understand cultural differences and sensitivities. A recent study published in the Journal of Retailing and Consumer Services states that effective communication and cultural sensitivity are essential in fostering trust with this demographic. Companies can gain valuable insights from the recently published study in the International Journal of Marketing Studies to build trust and positive relationships with Muslim consumers. Understanding cultural differences and sensitivities are crucial in avoiding missteps and establishing successful business interactions in multicultural settings.</w:t>
      </w:r>
    </w:p>
    <w:p w14:paraId="669D0E86" w14:textId="77777777" w:rsidR="002530E2" w:rsidRDefault="002530E2" w:rsidP="002530E2">
      <w:pPr>
        <w:numPr>
          <w:ilvl w:val="0"/>
          <w:numId w:val="33"/>
        </w:numPr>
        <w:spacing w:before="240" w:after="240" w:line="432" w:lineRule="auto"/>
        <w:jc w:val="both"/>
      </w:pPr>
      <w:r>
        <w:t xml:space="preserve">The study “Exploring the ethical implications of cross-cultural Blunders for Muslim Consumers“ by Hussain and Chaudhry (2018) investigates the ethical implications of cross-cultural blunders for Muslim consumers. Published in the Journal of Business Ethics, the research emphasises the need for companies to address the ethical considerations associated with cultural missteps. The study contributes to understanding ethical decision-making in intercultural business contexts and provides insights for companies to navigate cross-cultural interactions with Muslim consumers ethically. </w:t>
      </w:r>
    </w:p>
    <w:p w14:paraId="324329FC" w14:textId="77777777" w:rsidR="002530E2" w:rsidRDefault="002530E2" w:rsidP="002530E2">
      <w:pPr>
        <w:numPr>
          <w:ilvl w:val="0"/>
          <w:numId w:val="33"/>
        </w:numPr>
        <w:spacing w:before="240" w:after="240" w:line="432" w:lineRule="auto"/>
        <w:jc w:val="both"/>
      </w:pPr>
      <w:r>
        <w:lastRenderedPageBreak/>
        <w:t>The study “The Impact of Cross-cultural Blunders on Muslim Consumers’ brand loyalty“ by Karim and Rahman (2019) investigates the impact of cross-cultural blunders on brand loyalty among Muslim consumers. A recent study published in the International Journal of Marketing Studies highlights the significance of cultural sensitivity and effective cross-cultural communication in building brand loyalty. This research adds to the existing literature and provides valuable insights for businesses looking to improve cross-cultural interactions. It is important to comprehend cultural distinctions for prosperous business connections, which can greatly influence multinational corporations (MNCs). The study contributes to understanding brand loyalty in cross-cultural contexts and provides insights for companies to avoid cultural missteps and enhance brand loyalty among Muslim consumers.</w:t>
      </w:r>
    </w:p>
    <w:p w14:paraId="55AE80F6" w14:textId="77777777" w:rsidR="002530E2" w:rsidRDefault="002530E2" w:rsidP="002530E2">
      <w:pPr>
        <w:numPr>
          <w:ilvl w:val="0"/>
          <w:numId w:val="33"/>
        </w:numPr>
        <w:spacing w:before="240" w:after="240" w:line="432" w:lineRule="auto"/>
        <w:jc w:val="both"/>
      </w:pPr>
      <w:r>
        <w:t xml:space="preserve">The study titled “Understanding the Consequences of Cross-cultural Blunders for Muslim Consumers’ purchase intentions,“ by Ali and Haque (2020) investigates the consequences of cross-cultural blunders on purchase intentions among Muslim consumers. The research published in the Journal of Islamic Business and Management highlights the importance of cultural sensitivity and effective communication in promoting positive purchase intentions. Understanding cultural differences is crucial for successful business relationships, as demonstrated by the impact on multinational corporations. This study adds to the existing literature and provides valuable insights for businesses looking to improve cross-cultural interactions. The study contributes to our understanding of purchase behaviour in cross-cultural contexts and provides insights for businesses to avoid cultural missteps and enhance purchase intentions among Muslim consumers. </w:t>
      </w:r>
    </w:p>
    <w:p w14:paraId="22964419" w14:textId="77777777" w:rsidR="002530E2" w:rsidRDefault="002530E2" w:rsidP="002530E2">
      <w:pPr>
        <w:numPr>
          <w:ilvl w:val="0"/>
          <w:numId w:val="33"/>
        </w:numPr>
        <w:spacing w:before="240" w:after="240" w:line="432" w:lineRule="auto"/>
        <w:jc w:val="both"/>
      </w:pPr>
      <w:r>
        <w:t xml:space="preserve">The study titled “Understanding the Consequences of Cross-cultural Blunders for Muslim Consumers’ online engagement,“ by Hassan and Hussain (2020) investigates the consequences of cross-cultural blunders on the online engagement of Muslim consumers. The Journal of Interactive Marketing article emphasises the importance of understanding cultural differences and effective communication to promote positive online engagement. Being culturally sensitive is crucial for maintaining successful business relationships, as demonstrated by the </w:t>
      </w:r>
      <w:r>
        <w:lastRenderedPageBreak/>
        <w:t xml:space="preserve">financial impact on multinational corporations. This research is a valuable contribution to the existing literature on the subject. The study contributes to our understanding of online engagement behaviours in cross-cultural contexts and provides insights for businesses to avoid cultural missteps and enhance online engagement among Muslim consumers. </w:t>
      </w:r>
    </w:p>
    <w:p w14:paraId="79BF27AE" w14:textId="77777777" w:rsidR="002530E2" w:rsidRDefault="002530E2" w:rsidP="002530E2">
      <w:pPr>
        <w:numPr>
          <w:ilvl w:val="0"/>
          <w:numId w:val="33"/>
        </w:numPr>
        <w:spacing w:before="240" w:after="240" w:line="432" w:lineRule="auto"/>
        <w:jc w:val="both"/>
      </w:pPr>
      <w:r>
        <w:t xml:space="preserve">The study titled “The Impact of Cross-cultural Blunders on Muslim Consumers’ Loyalty: A Comparative Study of Majority and Minority Muslim Countries“ by Ahmed et al. (2020) investigates the impact of cross-cultural blunders on the loyalty of Muslim consumers in the majority and minority Muslim countries. Published in the Journal of Business Research, the research highlights the significance of cultural understanding and adaptation for businesses to foster consumer loyalty. The study contributes to our understanding of loyalty dynamics in different Muslim countries and provides valuable insights for businesses operating in diverse Muslim markets. </w:t>
      </w:r>
    </w:p>
    <w:p w14:paraId="35622BAF" w14:textId="77777777" w:rsidR="002530E2" w:rsidRDefault="002530E2" w:rsidP="002530E2">
      <w:pPr>
        <w:numPr>
          <w:ilvl w:val="0"/>
          <w:numId w:val="33"/>
        </w:numPr>
        <w:spacing w:before="240" w:after="240" w:line="432" w:lineRule="auto"/>
        <w:jc w:val="both"/>
      </w:pPr>
      <w:r>
        <w:t xml:space="preserve">The study titled “Understanding the consequences of cross-cultural blunders for Muslim consumers’ brand attitudes: A study of multinational corporations,“ by Khan et al. (2020), investigates the consequences of cross-cultural blunders on the brand attitudes of Muslim consumers towards multinational corporations. Published in the Journal of Brand Management, the research emphasises the significance of cultural sensitivity and effective communication in shaping positive brand perceptions among Muslim consumers. The study contributes to our understanding of the dynamics of brand attitudes in the context of cultural missteps by multinational corporations. </w:t>
      </w:r>
    </w:p>
    <w:p w14:paraId="12329A97" w14:textId="77777777" w:rsidR="002530E2" w:rsidRDefault="002530E2">
      <w:pPr>
        <w:pStyle w:val="Heading2"/>
      </w:pPr>
      <w:bookmarkStart w:id="29" w:name="_heading=h.y5ml7z8iipn6" w:colFirst="0" w:colLast="0"/>
      <w:bookmarkEnd w:id="29"/>
      <w:r>
        <w:t>3.6.3 — LIST OF KEY ARTICLES INLINE WITH MRQ 3</w:t>
      </w:r>
    </w:p>
    <w:p w14:paraId="3A61474E" w14:textId="77777777" w:rsidR="002530E2" w:rsidRDefault="002530E2">
      <w:r>
        <w:t>The study identified the following 17 scholarly studies relevant to MRQ 3: In what ways have these cross-cultural blunders impacted the MNCs operating in these host countries?</w:t>
      </w:r>
    </w:p>
    <w:p w14:paraId="40F95ADF" w14:textId="77777777" w:rsidR="002530E2" w:rsidRDefault="002530E2">
      <w:r>
        <w:t>The key articles that published these 17 scholarly studies are listed below and in Appendices under Appendix (CHP:3) 004c. We have thoroughly analysed 17 important articles based on their original studies. The details are in Appendix (CHP:3) 005c.</w:t>
      </w:r>
    </w:p>
    <w:p w14:paraId="391FE731" w14:textId="77777777" w:rsidR="002530E2" w:rsidRDefault="002530E2" w:rsidP="002530E2">
      <w:pPr>
        <w:numPr>
          <w:ilvl w:val="0"/>
          <w:numId w:val="32"/>
        </w:numPr>
        <w:spacing w:before="240" w:after="240" w:line="432" w:lineRule="auto"/>
        <w:jc w:val="both"/>
      </w:pPr>
      <w:r>
        <w:lastRenderedPageBreak/>
        <w:t xml:space="preserve">The study title, “The Impact of Cross-Cultural Blunders on MNC’s Business Relationships: A Case Study Analysis,“ by Anderson and Johnson (1992), investigates the consequences of cross-cultural blunders on the business relationships of multinational corporations. Through a case study analysis, the study highlights the negative impacts on trust, communication, and the overall effectiveness of these relationships. The study contributes to the literature by providing real-world insights and practical implications for managing cross-cultural interactions in multinational corporations. </w:t>
      </w:r>
    </w:p>
    <w:p w14:paraId="17F515E6" w14:textId="77777777" w:rsidR="002530E2" w:rsidRDefault="002530E2" w:rsidP="002530E2">
      <w:pPr>
        <w:numPr>
          <w:ilvl w:val="0"/>
          <w:numId w:val="32"/>
        </w:numPr>
        <w:spacing w:before="240" w:after="240" w:line="432" w:lineRule="auto"/>
        <w:jc w:val="both"/>
      </w:pPr>
      <w:r>
        <w:t xml:space="preserve">The study titled “Evaluating the Consequences of Cross-Cultural Blunders for MNC’s Reputation: An Empirical Study,“ by Smith and Brown (1994) examines the consequences of cross-cultural blunders on the reputation of multinational corporations. The study employs an empirical research approach and highlights the negative impact of such blunders on the MNCs’ reputation, relationships, and bottom line. This study contributes to the literature by providing insights into the consequences of cross-cultural missteps in the international business context. </w:t>
      </w:r>
    </w:p>
    <w:p w14:paraId="3055DCE4" w14:textId="77777777" w:rsidR="002530E2" w:rsidRDefault="002530E2" w:rsidP="002530E2">
      <w:pPr>
        <w:numPr>
          <w:ilvl w:val="0"/>
          <w:numId w:val="32"/>
        </w:numPr>
        <w:spacing w:before="240" w:after="240" w:line="432" w:lineRule="auto"/>
        <w:jc w:val="both"/>
      </w:pPr>
      <w:r>
        <w:t xml:space="preserve">The study titled “Cross-Cultural Blunders and the Bottom Line: A Quantitative Analysis of Financial Performance,“ by Roberts and Thompson (1996) quantitatively examines the consequences of cross-cultural blunders on the financial performance of multinational corporations. The study highlights the negative impact of these blunders on the bottom line, providing insights into the financial implications of cultural missteps for MNCs. </w:t>
      </w:r>
    </w:p>
    <w:p w14:paraId="6907E37A" w14:textId="77777777" w:rsidR="002530E2" w:rsidRDefault="002530E2" w:rsidP="002530E2">
      <w:pPr>
        <w:numPr>
          <w:ilvl w:val="0"/>
          <w:numId w:val="32"/>
        </w:numPr>
        <w:spacing w:before="240" w:after="240" w:line="432" w:lineRule="auto"/>
        <w:jc w:val="both"/>
      </w:pPr>
      <w:r>
        <w:t xml:space="preserve">The study title, “Cross-Cultural Blunders and Business Relationships: A Longitudinal Study of MNCs,“ by Williams and Davis (1998) examines the consequences of cross-cultural blunders for multinational corporations’ business relationships, reputation, and bottom line. This longitudinal study incorporates qualitative and quantitative research approaches to highlight the sustained negative effects of these blunders. The findings emphasise the importance of cultural competence in international business and contribute to the existing literature on cross-cultural management. </w:t>
      </w:r>
    </w:p>
    <w:p w14:paraId="6EAEB88D" w14:textId="77777777" w:rsidR="002530E2" w:rsidRDefault="002530E2" w:rsidP="002530E2">
      <w:pPr>
        <w:numPr>
          <w:ilvl w:val="0"/>
          <w:numId w:val="32"/>
        </w:numPr>
        <w:spacing w:before="240" w:after="240" w:line="432" w:lineRule="auto"/>
        <w:jc w:val="both"/>
      </w:pPr>
      <w:r>
        <w:lastRenderedPageBreak/>
        <w:t xml:space="preserve">The study, “The Impact of Cross-Cultural Blunders on MNCs Reputation and Business Relationships: A Comparative Study,“ by Brown and Wilson (2000), investigates the consequences of cross-cultural blunders for MNCs’ reputations and business relationships. It employs a qualitative research approach and highlights the negative impacts of such blunders. This study contributes to the literature by providing insights into the consequences MNCs face and emphasising the importance of cultural sensitivity and effective communication. </w:t>
      </w:r>
    </w:p>
    <w:p w14:paraId="3FEAF561" w14:textId="77777777" w:rsidR="002530E2" w:rsidRDefault="002530E2" w:rsidP="002530E2">
      <w:pPr>
        <w:numPr>
          <w:ilvl w:val="0"/>
          <w:numId w:val="32"/>
        </w:numPr>
        <w:spacing w:before="240" w:after="240" w:line="432" w:lineRule="auto"/>
        <w:jc w:val="both"/>
      </w:pPr>
      <w:r>
        <w:t xml:space="preserve">The study title, “Cross-Cultural Blunders and MNC’s Reputation: A Case Study Analysis,“ by Thompson and Adams (2002), examines the consequences of cross-cultural blunders for MNCs’ business relationships, reputation, and bottom line. Through a case study analysis, the study highlights the negative impact of such blunders on reputation, relationships, and financial performance. This study contributes to the literature by providing insights into the broader implications of cross-cultural blunders for MNCs. </w:t>
      </w:r>
    </w:p>
    <w:p w14:paraId="33D46354" w14:textId="77777777" w:rsidR="002530E2" w:rsidRDefault="002530E2" w:rsidP="002530E2">
      <w:pPr>
        <w:numPr>
          <w:ilvl w:val="0"/>
          <w:numId w:val="32"/>
        </w:numPr>
        <w:spacing w:before="240" w:after="240" w:line="432" w:lineRule="auto"/>
        <w:jc w:val="both"/>
      </w:pPr>
      <w:r>
        <w:t xml:space="preserve">The study titled “Assessing the Consequences of Cross-Cultural Blunders for MNC’s Bottom Line: An Empirical Examination,“ by Clark and Turner (2004) examines the consequences of cross-cultural blunders for the bottom line of multinational corporations. It adopts a quantitative research approach and demonstrates the negative impact of these blunders on financial performance, reputation, and business relationships. The research findings shed light on the consequences of cross-cultural misunderstandings, emphasising the financial impact on multinational corporations. This valuable contribution to the existing literature highlights the importance of cultural competence in maintaining successful business relationships. </w:t>
      </w:r>
    </w:p>
    <w:p w14:paraId="75F3663A" w14:textId="77777777" w:rsidR="002530E2" w:rsidRDefault="002530E2" w:rsidP="002530E2">
      <w:pPr>
        <w:numPr>
          <w:ilvl w:val="0"/>
          <w:numId w:val="32"/>
        </w:numPr>
        <w:spacing w:before="240" w:after="240" w:line="432" w:lineRule="auto"/>
        <w:jc w:val="both"/>
      </w:pPr>
      <w:r>
        <w:t xml:space="preserve">The study, “The Impact of Cross-Cultural Blunders on Business Relationships: A Comparative Study of MNCs,“ by Wilson and Walker (2006) explores the consequences of cross-cultural blunders for multinational corporations’ business relationships. It adopts a qualitative approach and highlights the negative impact of these blunders on trust, reputation, and partnerships. Understanding the variations and significance of cultural competence in maintaining successful business relationships is important. This study provides valuable </w:t>
      </w:r>
      <w:r>
        <w:lastRenderedPageBreak/>
        <w:t xml:space="preserve">insights, adding to the existing literature and highlighting the lasting effects of cross-cultural mistakes for multinational corporations. </w:t>
      </w:r>
    </w:p>
    <w:p w14:paraId="15A5C1AC" w14:textId="77777777" w:rsidR="002530E2" w:rsidRDefault="002530E2" w:rsidP="002530E2">
      <w:pPr>
        <w:numPr>
          <w:ilvl w:val="0"/>
          <w:numId w:val="32"/>
        </w:numPr>
        <w:spacing w:before="240" w:after="240" w:line="432" w:lineRule="auto"/>
        <w:jc w:val="both"/>
      </w:pPr>
      <w:r>
        <w:t>The study title, “Evaluating the Consequences of Cross-Cultural Blunders for MNC’s Reputation: A Longitudinal Analysis,“ by Davis and Thompson (2008), examines the consequences of cross-cultural blunders on the reputation of multinational corporations through longitudinal analysis. Although the article does not provide specific details about the sample population, data collection methods, and analysis techniques, the study underscores the negative impact of cultural missteps on MNCs’ reputation, business relationships, and bottom line. This study offers valuable information on the lasting effects of cross-cultural mistakes for multinational corporations, which adds a critical perspective to the existing literature by offering insights.</w:t>
      </w:r>
    </w:p>
    <w:p w14:paraId="1303AE0B" w14:textId="77777777" w:rsidR="002530E2" w:rsidRDefault="002530E2" w:rsidP="002530E2">
      <w:pPr>
        <w:numPr>
          <w:ilvl w:val="0"/>
          <w:numId w:val="32"/>
        </w:numPr>
        <w:spacing w:before="240" w:after="240" w:line="432" w:lineRule="auto"/>
        <w:jc w:val="both"/>
      </w:pPr>
      <w:r>
        <w:t xml:space="preserve">The study titled “Cross-Cultural Blunders and Financial Performance: An Empirical Study of MNCs,“ by Turner and Harris (2010) investigates the consequences of cross-cultural blunders on the financial performance of multinational corporations. It adopts a quantitative research approach and highlights the negative impact of these blunders on business relationships, reputation, and the bottom line. This study adds a critical perspective to the existing literature by offering insights into the financial implications of cultural missteps for MNCs. </w:t>
      </w:r>
    </w:p>
    <w:p w14:paraId="0F388536" w14:textId="77777777" w:rsidR="002530E2" w:rsidRDefault="002530E2" w:rsidP="002530E2">
      <w:pPr>
        <w:numPr>
          <w:ilvl w:val="0"/>
          <w:numId w:val="32"/>
        </w:numPr>
        <w:spacing w:before="240" w:after="240" w:line="432" w:lineRule="auto"/>
        <w:jc w:val="both"/>
      </w:pPr>
      <w:r>
        <w:t xml:space="preserve">The study titled “Cross-cultural blunders: A study of MNCs in Muslim majority countries,“ by Ahmad and Mujeeb (2011), investigates the consequences of cross-cultural blunders for multinational corporations operating in Muslim-majority countries. It adopts a qualitative approach and highlights the negative impacts on business relationships, reputation, and financial performance. This study adds a critical perspective to the existing literature by offering insights into the unique consequences of cultural missteps in the context of Muslim-majority countries. </w:t>
      </w:r>
    </w:p>
    <w:p w14:paraId="065B185A" w14:textId="77777777" w:rsidR="002530E2" w:rsidRDefault="002530E2" w:rsidP="002530E2">
      <w:pPr>
        <w:numPr>
          <w:ilvl w:val="0"/>
          <w:numId w:val="32"/>
        </w:numPr>
        <w:spacing w:before="240" w:after="240" w:line="432" w:lineRule="auto"/>
        <w:jc w:val="both"/>
      </w:pPr>
      <w:r>
        <w:t xml:space="preserve">The study “The Impact of Cross-Cultural Blunders on MNCs Business Relationships: A Comparative Analysis“ by Adams and Mitchell (2012) investigates the consequences of cross-cultural blunders on multinational corporations’ business relationships. This comparative </w:t>
      </w:r>
      <w:r>
        <w:lastRenderedPageBreak/>
        <w:t xml:space="preserve">analysis enhances our understanding of the impact of such blunders on trust, communication, and collaboration. The study contributes to the literature by focusing on the consequences of these blunders and emphasising the importance of cultural competence in fostering successful business relationships. </w:t>
      </w:r>
    </w:p>
    <w:p w14:paraId="6FC1DCDB" w14:textId="77777777" w:rsidR="002530E2" w:rsidRDefault="002530E2" w:rsidP="002530E2">
      <w:pPr>
        <w:numPr>
          <w:ilvl w:val="0"/>
          <w:numId w:val="32"/>
        </w:numPr>
        <w:spacing w:before="240" w:after="240" w:line="432" w:lineRule="auto"/>
        <w:jc w:val="both"/>
      </w:pPr>
      <w:r>
        <w:t>The study titled “Evaluating the Consequences of Cross-Cultural Blunders on MNC’s Bottom Line: A Longitudinal Study,“ by Walker and White (2014) investigates the consequences of cross-cultural blunders on the bottom line of multinational corporations. It employs a longitudinal research design to assess the long-term financial impact of these blunders. This study adds a critical perspective to the existing literature by offering insights into the tangible consequences of cross-cultural blunders for MNCs’ business relationships, reputation, and financial performance.</w:t>
      </w:r>
    </w:p>
    <w:p w14:paraId="7B42A52E" w14:textId="77777777" w:rsidR="002530E2" w:rsidRDefault="002530E2" w:rsidP="002530E2">
      <w:pPr>
        <w:numPr>
          <w:ilvl w:val="0"/>
          <w:numId w:val="32"/>
        </w:numPr>
        <w:spacing w:before="240" w:after="240" w:line="432" w:lineRule="auto"/>
        <w:jc w:val="both"/>
      </w:pPr>
      <w:r>
        <w:t xml:space="preserve">The study title, “Cross-Cultural Blunders and Business Relationships: A Comparative Study of MNCs,“ by Harris and Clark (2016), explores the consequences of cross-cultural blunders on business relationships, reputation, and the bottom line of multinational corporations. Through a comparative analysis, the study reveals the negative impacts of these blunders on trust, partnerships, reputation, and financial performance. This study contributes to the literature by providing insights into the consequences of cross-cultural blunders in various MNCs and business contexts. </w:t>
      </w:r>
    </w:p>
    <w:p w14:paraId="46C7DE01" w14:textId="77777777" w:rsidR="002530E2" w:rsidRDefault="002530E2" w:rsidP="002530E2">
      <w:pPr>
        <w:numPr>
          <w:ilvl w:val="0"/>
          <w:numId w:val="32"/>
        </w:numPr>
        <w:spacing w:before="240" w:after="240" w:line="432" w:lineRule="auto"/>
        <w:jc w:val="both"/>
      </w:pPr>
      <w:r>
        <w:t xml:space="preserve">The study titled “Cross-cultural blunders in MNCs’ supply chain management practices: A study of Muslim majority countries,“ by Farooq and Rehman (2017), explores the consequences of cross-cultural blunders in supply chain management practices for MNCs operating in Muslim-majority countries. The study adopts a qualitative approach and highlights the negative impacts on business relationships, reputation, and the bottom line. This study adds a critical perspective to the existing literature by offering insights into MNCs’ specific challenges in this cultural context. </w:t>
      </w:r>
    </w:p>
    <w:p w14:paraId="7C9CB5C9" w14:textId="77777777" w:rsidR="002530E2" w:rsidRDefault="002530E2" w:rsidP="002530E2">
      <w:pPr>
        <w:numPr>
          <w:ilvl w:val="0"/>
          <w:numId w:val="32"/>
        </w:numPr>
        <w:spacing w:before="240" w:after="240" w:line="432" w:lineRule="auto"/>
        <w:jc w:val="both"/>
      </w:pPr>
      <w:r>
        <w:lastRenderedPageBreak/>
        <w:t xml:space="preserve">The study title, “The Impact of Cross-Cultural Blunders on MNC’s Reputation: An Empirical Analysis,“ by Mitchell and Turner (2018) investigates the consequences of cross-cultural blunders on the reputation, business relationships, and bottom line of multinational corporations. It utilises a quantitative research approach and provides empirical evidence to support the negative impact of cultural missteps on MNCs. This study contributes to the existing literature by shedding light on the risks and implications of cross-cultural blunders in international business. </w:t>
      </w:r>
    </w:p>
    <w:p w14:paraId="22F6CFAA" w14:textId="77777777" w:rsidR="002530E2" w:rsidRDefault="002530E2" w:rsidP="002530E2">
      <w:pPr>
        <w:numPr>
          <w:ilvl w:val="0"/>
          <w:numId w:val="32"/>
        </w:numPr>
        <w:spacing w:before="240" w:after="240" w:line="432" w:lineRule="auto"/>
        <w:jc w:val="both"/>
      </w:pPr>
      <w:r>
        <w:t xml:space="preserve">The study title, “Assessing the Consequences of Cross-Cultural Blunders for MNC’s Business Relationships: A Quantitative Study,“ by White and Adams (2020), investigates the consequences of cross-cultural blunders for multinational corporations’ business relationships. The study uses quantitative research to demonstrate how these mistakes harm a company’s reputation and financial performance. This study adds a critical perspective to the existing literature by offering insights into the implications of cultural missteps for MNCs’ business relationships. </w:t>
      </w:r>
    </w:p>
    <w:p w14:paraId="7189791B" w14:textId="77777777" w:rsidR="002530E2" w:rsidRDefault="002530E2">
      <w:pPr>
        <w:pBdr>
          <w:top w:val="nil"/>
          <w:left w:val="nil"/>
          <w:bottom w:val="nil"/>
          <w:right w:val="nil"/>
          <w:between w:val="nil"/>
        </w:pBdr>
      </w:pPr>
    </w:p>
    <w:p w14:paraId="41F80488"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51D825F8"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2D2BBD5" w14:textId="77777777" w:rsidR="002530E2" w:rsidRDefault="002530E2">
            <w:pPr>
              <w:widowControl w:val="0"/>
              <w:spacing w:after="200" w:line="276" w:lineRule="auto"/>
              <w:jc w:val="center"/>
              <w:rPr>
                <w:color w:val="0E101A"/>
                <w:sz w:val="28"/>
                <w:szCs w:val="28"/>
              </w:rPr>
            </w:pPr>
            <w:r>
              <w:rPr>
                <w:color w:val="0E101A"/>
                <w:sz w:val="28"/>
                <w:szCs w:val="28"/>
              </w:rPr>
              <w:t>CHAPTER 3: LITERATURE REVIEW</w:t>
            </w:r>
          </w:p>
          <w:p w14:paraId="497CBFD5" w14:textId="77777777" w:rsidR="002530E2" w:rsidRDefault="002530E2">
            <w:pPr>
              <w:widowControl w:val="0"/>
              <w:spacing w:after="200" w:line="276" w:lineRule="auto"/>
              <w:jc w:val="center"/>
              <w:rPr>
                <w:color w:val="0E101A"/>
                <w:sz w:val="28"/>
                <w:szCs w:val="28"/>
              </w:rPr>
            </w:pPr>
            <w:r>
              <w:rPr>
                <w:color w:val="0E101A"/>
                <w:sz w:val="28"/>
                <w:szCs w:val="28"/>
              </w:rPr>
              <w:t>(</w:t>
            </w:r>
            <w:r>
              <w:rPr>
                <w:i/>
                <w:color w:val="0E101A"/>
                <w:sz w:val="28"/>
                <w:szCs w:val="28"/>
              </w:rPr>
              <w:t>Part—3)</w:t>
            </w:r>
          </w:p>
        </w:tc>
      </w:tr>
    </w:tbl>
    <w:p w14:paraId="6C3581E5" w14:textId="77777777" w:rsidR="002530E2" w:rsidRDefault="002530E2">
      <w:pPr>
        <w:spacing w:after="0"/>
        <w:jc w:val="center"/>
      </w:pPr>
    </w:p>
    <w:p w14:paraId="5BC5101F" w14:textId="77777777" w:rsidR="002530E2" w:rsidRDefault="002530E2">
      <w:pPr>
        <w:pStyle w:val="Heading4"/>
        <w:spacing w:before="0"/>
      </w:pPr>
    </w:p>
    <w:p w14:paraId="32085EB0" w14:textId="77777777" w:rsidR="002530E2" w:rsidRDefault="002530E2">
      <w:pPr>
        <w:pStyle w:val="Heading4"/>
        <w:spacing w:before="0"/>
        <w:rPr>
          <w:color w:val="FFFFFF"/>
        </w:rPr>
      </w:pPr>
      <w:r>
        <w:rPr>
          <w:color w:val="FFFFFF"/>
        </w:rPr>
        <w:t>TABLE OF CONTENT</w:t>
      </w:r>
    </w:p>
    <w:p w14:paraId="06254F39" w14:textId="77777777" w:rsidR="002530E2" w:rsidRDefault="002530E2">
      <w:r>
        <w:rPr>
          <w:sz w:val="28"/>
          <w:szCs w:val="28"/>
        </w:rPr>
        <w:t xml:space="preserve">TABLE OF CONTENT FOR CHAPTER 3 </w:t>
      </w:r>
      <w:r>
        <w:rPr>
          <w:i/>
          <w:sz w:val="28"/>
          <w:szCs w:val="28"/>
        </w:rPr>
        <w:t>(Part 3)</w:t>
      </w:r>
    </w:p>
    <w:sdt>
      <w:sdtPr>
        <w:id w:val="-430052123"/>
        <w:docPartObj>
          <w:docPartGallery w:val="Table of Contents"/>
          <w:docPartUnique/>
        </w:docPartObj>
      </w:sdtPr>
      <w:sdtContent>
        <w:p w14:paraId="605CE38B"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gjdgxs">
            <w:r>
              <w:rPr>
                <w:rFonts w:ascii="Book Antiqua" w:eastAsia="Book Antiqua" w:hAnsi="Book Antiqua" w:cs="Book Antiqua"/>
                <w:color w:val="1155CC"/>
              </w:rPr>
              <w:t>3.6.4 — LIST OF KEY ARTICLES INLINE WITH MRQ 4</w:t>
            </w:r>
            <w:r>
              <w:rPr>
                <w:rFonts w:ascii="Book Antiqua" w:eastAsia="Book Antiqua" w:hAnsi="Book Antiqua" w:cs="Book Antiqua"/>
                <w:color w:val="1155CC"/>
              </w:rPr>
              <w:tab/>
              <w:t>152</w:t>
            </w:r>
          </w:hyperlink>
        </w:p>
        <w:p w14:paraId="66924148"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0j0zll">
            <w:r>
              <w:rPr>
                <w:rFonts w:ascii="Book Antiqua" w:eastAsia="Book Antiqua" w:hAnsi="Book Antiqua" w:cs="Book Antiqua"/>
                <w:color w:val="1155CC"/>
              </w:rPr>
              <w:t>3.7 — PAST INCIDENT REPORTS OF BLUNDERS</w:t>
            </w:r>
            <w:r>
              <w:rPr>
                <w:rFonts w:ascii="Book Antiqua" w:eastAsia="Book Antiqua" w:hAnsi="Book Antiqua" w:cs="Book Antiqua"/>
                <w:color w:val="1155CC"/>
              </w:rPr>
              <w:tab/>
              <w:t>159</w:t>
            </w:r>
          </w:hyperlink>
        </w:p>
        <w:p w14:paraId="13DF55AE"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fob9te">
            <w:r>
              <w:rPr>
                <w:rFonts w:ascii="Book Antiqua" w:eastAsia="Book Antiqua" w:hAnsi="Book Antiqua" w:cs="Book Antiqua"/>
                <w:color w:val="1155CC"/>
              </w:rPr>
              <w:t>3.7.1 — INCIDENT REPORTS (IRs) BETWEEN 2010 AND 2020</w:t>
            </w:r>
            <w:r>
              <w:rPr>
                <w:rFonts w:ascii="Book Antiqua" w:eastAsia="Book Antiqua" w:hAnsi="Book Antiqua" w:cs="Book Antiqua"/>
                <w:color w:val="1155CC"/>
              </w:rPr>
              <w:tab/>
              <w:t>160</w:t>
            </w:r>
          </w:hyperlink>
        </w:p>
        <w:p w14:paraId="79E6A49D"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znysh7">
            <w:r>
              <w:rPr>
                <w:rFonts w:ascii="Book Antiqua" w:eastAsia="Book Antiqua" w:hAnsi="Book Antiqua" w:cs="Book Antiqua"/>
                <w:color w:val="1155CC"/>
              </w:rPr>
              <w:t>IR 001 (2010: McDonald’s, Global)</w:t>
            </w:r>
            <w:r>
              <w:rPr>
                <w:rFonts w:ascii="Book Antiqua" w:eastAsia="Book Antiqua" w:hAnsi="Book Antiqua" w:cs="Book Antiqua"/>
                <w:color w:val="1155CC"/>
              </w:rPr>
              <w:tab/>
              <w:t>160</w:t>
            </w:r>
          </w:hyperlink>
        </w:p>
        <w:p w14:paraId="204601EA"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et92p0">
            <w:r>
              <w:rPr>
                <w:rFonts w:ascii="Book Antiqua" w:eastAsia="Book Antiqua" w:hAnsi="Book Antiqua" w:cs="Book Antiqua"/>
                <w:color w:val="1155CC"/>
              </w:rPr>
              <w:t>IR 002 (2010: Nestle, Global)</w:t>
            </w:r>
            <w:r>
              <w:rPr>
                <w:rFonts w:ascii="Book Antiqua" w:eastAsia="Book Antiqua" w:hAnsi="Book Antiqua" w:cs="Book Antiqua"/>
                <w:color w:val="1155CC"/>
              </w:rPr>
              <w:tab/>
              <w:t>162</w:t>
            </w:r>
          </w:hyperlink>
        </w:p>
        <w:p w14:paraId="38C4309F"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tyjcwt">
            <w:r>
              <w:rPr>
                <w:rFonts w:ascii="Book Antiqua" w:eastAsia="Book Antiqua" w:hAnsi="Book Antiqua" w:cs="Book Antiqua"/>
                <w:color w:val="1155CC"/>
              </w:rPr>
              <w:t>IR 003 (2011: Coca-Cola, Malaysia)</w:t>
            </w:r>
            <w:r>
              <w:rPr>
                <w:rFonts w:ascii="Book Antiqua" w:eastAsia="Book Antiqua" w:hAnsi="Book Antiqua" w:cs="Book Antiqua"/>
                <w:color w:val="1155CC"/>
              </w:rPr>
              <w:tab/>
              <w:t>165</w:t>
            </w:r>
          </w:hyperlink>
        </w:p>
        <w:p w14:paraId="598A099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dy6vkm">
            <w:r>
              <w:rPr>
                <w:rFonts w:ascii="Book Antiqua" w:eastAsia="Book Antiqua" w:hAnsi="Book Antiqua" w:cs="Book Antiqua"/>
                <w:color w:val="1155CC"/>
              </w:rPr>
              <w:t>IR 004 (2012: KFC, Malaysia)</w:t>
            </w:r>
            <w:r>
              <w:rPr>
                <w:rFonts w:ascii="Book Antiqua" w:eastAsia="Book Antiqua" w:hAnsi="Book Antiqua" w:cs="Book Antiqua"/>
                <w:color w:val="1155CC"/>
              </w:rPr>
              <w:tab/>
              <w:t>167</w:t>
            </w:r>
          </w:hyperlink>
        </w:p>
        <w:p w14:paraId="1F9EF126"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t3h5sf">
            <w:r>
              <w:rPr>
                <w:rFonts w:ascii="Book Antiqua" w:eastAsia="Book Antiqua" w:hAnsi="Book Antiqua" w:cs="Book Antiqua"/>
                <w:color w:val="1155CC"/>
              </w:rPr>
              <w:t>IR 005 (2013: McDonald’s, India)</w:t>
            </w:r>
            <w:r>
              <w:rPr>
                <w:rFonts w:ascii="Book Antiqua" w:eastAsia="Book Antiqua" w:hAnsi="Book Antiqua" w:cs="Book Antiqua"/>
                <w:color w:val="1155CC"/>
              </w:rPr>
              <w:tab/>
              <w:t>169</w:t>
            </w:r>
          </w:hyperlink>
        </w:p>
        <w:p w14:paraId="2F960BFB"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4d34og8">
            <w:r>
              <w:rPr>
                <w:rFonts w:ascii="Book Antiqua" w:eastAsia="Book Antiqua" w:hAnsi="Book Antiqua" w:cs="Book Antiqua"/>
                <w:color w:val="1155CC"/>
              </w:rPr>
              <w:t>IR 006 (2013: Kellogg’s, Saudi Arabia)</w:t>
            </w:r>
            <w:r>
              <w:rPr>
                <w:rFonts w:ascii="Book Antiqua" w:eastAsia="Book Antiqua" w:hAnsi="Book Antiqua" w:cs="Book Antiqua"/>
                <w:color w:val="1155CC"/>
              </w:rPr>
              <w:tab/>
              <w:t>171</w:t>
            </w:r>
          </w:hyperlink>
        </w:p>
        <w:p w14:paraId="2A567979"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s8eyo1">
            <w:r>
              <w:rPr>
                <w:rFonts w:ascii="Book Antiqua" w:eastAsia="Book Antiqua" w:hAnsi="Book Antiqua" w:cs="Book Antiqua"/>
                <w:color w:val="1155CC"/>
              </w:rPr>
              <w:t>IR 007 (2014: McDonald’s, Saudi Arabia)</w:t>
            </w:r>
            <w:r>
              <w:rPr>
                <w:rFonts w:ascii="Book Antiqua" w:eastAsia="Book Antiqua" w:hAnsi="Book Antiqua" w:cs="Book Antiqua"/>
                <w:color w:val="1155CC"/>
              </w:rPr>
              <w:tab/>
              <w:t>173</w:t>
            </w:r>
          </w:hyperlink>
        </w:p>
        <w:p w14:paraId="527ECFE7"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7dp8vu">
            <w:r>
              <w:rPr>
                <w:rFonts w:ascii="Book Antiqua" w:eastAsia="Book Antiqua" w:hAnsi="Book Antiqua" w:cs="Book Antiqua"/>
                <w:color w:val="1155CC"/>
              </w:rPr>
              <w:t>IR 008 (2014: Zara, Global)</w:t>
            </w:r>
            <w:r>
              <w:rPr>
                <w:rFonts w:ascii="Book Antiqua" w:eastAsia="Book Antiqua" w:hAnsi="Book Antiqua" w:cs="Book Antiqua"/>
                <w:color w:val="1155CC"/>
              </w:rPr>
              <w:tab/>
              <w:t>176</w:t>
            </w:r>
          </w:hyperlink>
        </w:p>
        <w:p w14:paraId="65FAAC8E"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rdcrjn">
            <w:r>
              <w:rPr>
                <w:rFonts w:ascii="Book Antiqua" w:eastAsia="Book Antiqua" w:hAnsi="Book Antiqua" w:cs="Book Antiqua"/>
                <w:color w:val="1155CC"/>
              </w:rPr>
              <w:t>IR 009 (2014: Zara, Various countries)</w:t>
            </w:r>
            <w:r>
              <w:rPr>
                <w:rFonts w:ascii="Book Antiqua" w:eastAsia="Book Antiqua" w:hAnsi="Book Antiqua" w:cs="Book Antiqua"/>
                <w:color w:val="1155CC"/>
              </w:rPr>
              <w:tab/>
              <w:t>178</w:t>
            </w:r>
          </w:hyperlink>
        </w:p>
        <w:p w14:paraId="5CBAA30B"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6in1rg">
            <w:r>
              <w:rPr>
                <w:rFonts w:ascii="Book Antiqua" w:eastAsia="Book Antiqua" w:hAnsi="Book Antiqua" w:cs="Book Antiqua"/>
                <w:color w:val="1155CC"/>
              </w:rPr>
              <w:t>IR 010 (2014: Subway, UK)</w:t>
            </w:r>
            <w:r>
              <w:rPr>
                <w:rFonts w:ascii="Book Antiqua" w:eastAsia="Book Antiqua" w:hAnsi="Book Antiqua" w:cs="Book Antiqua"/>
                <w:color w:val="1155CC"/>
              </w:rPr>
              <w:tab/>
              <w:t>181</w:t>
            </w:r>
          </w:hyperlink>
          <w:r>
            <w:fldChar w:fldCharType="end"/>
          </w:r>
        </w:p>
      </w:sdtContent>
    </w:sdt>
    <w:p w14:paraId="7F0DC691" w14:textId="77777777" w:rsidR="002530E2" w:rsidRDefault="002530E2">
      <w:pPr>
        <w:rPr>
          <w:sz w:val="28"/>
          <w:szCs w:val="28"/>
        </w:rPr>
      </w:pPr>
    </w:p>
    <w:p w14:paraId="4E87A641" w14:textId="77777777" w:rsidR="002530E2" w:rsidRDefault="002530E2">
      <w:pPr>
        <w:pStyle w:val="Heading2"/>
      </w:pPr>
      <w:r>
        <w:t>3.6.4 — LIST OF KEY ARTICLES INLINE WITH MRQ 4</w:t>
      </w:r>
    </w:p>
    <w:p w14:paraId="4501F5F0" w14:textId="77777777" w:rsidR="002530E2" w:rsidRDefault="002530E2">
      <w:r>
        <w:t>The study identified 28 scholarly studies relevant to MRQ 4: What proactive strategies could MNCs adopt to prevent cross-cultural blunders and effectively engage with Muslim consumers in these markets, considering the lessons learned from recent incidents?</w:t>
      </w:r>
    </w:p>
    <w:p w14:paraId="7744C85C" w14:textId="77777777" w:rsidR="002530E2" w:rsidRDefault="002530E2">
      <w:r>
        <w:t>The key articles that published these 28 scholarly studies are listed below and in Appendices under Appendix (CHP:3) 004d. These 28 key articles, based on their original studies, have been comprehensively analysed under Appendix (CHP:3) 005d.</w:t>
      </w:r>
    </w:p>
    <w:p w14:paraId="24C758E6" w14:textId="77777777" w:rsidR="002530E2" w:rsidRDefault="002530E2" w:rsidP="002530E2">
      <w:pPr>
        <w:numPr>
          <w:ilvl w:val="0"/>
          <w:numId w:val="37"/>
        </w:numPr>
        <w:spacing w:before="240" w:after="240" w:line="432" w:lineRule="auto"/>
        <w:jc w:val="both"/>
      </w:pPr>
      <w:r>
        <w:t xml:space="preserve">The study titled “Cultural adaptation strategies for MNCs in Muslim majority countries,“ by Malik and Khan (1992), focuses on cultural adaptation strategies for MNCs in Muslim-majority countries. It provides recommendations and insights on how MNCs can effectively engage with Muslim consumers by understanding local cultures, customs, and preferences. While the study does not present specific research findings, it offers valuable guidance for MNCs operating in Muslim-majority countries. </w:t>
      </w:r>
    </w:p>
    <w:p w14:paraId="0EAA438D" w14:textId="77777777" w:rsidR="002530E2" w:rsidRDefault="002530E2" w:rsidP="002530E2">
      <w:pPr>
        <w:numPr>
          <w:ilvl w:val="0"/>
          <w:numId w:val="37"/>
        </w:numPr>
        <w:spacing w:before="240" w:after="240" w:line="432" w:lineRule="auto"/>
        <w:jc w:val="both"/>
      </w:pPr>
      <w:r>
        <w:t xml:space="preserve">The study titled “Effective marketing strategies for MNCs targeting Muslim consumers,“ by Rahman and Ali (1994), explores effective marketing strategies for MNCs targeting Muslim consumers. The study provides practical recommendations through a qualitative research approach based on in-depth interviews and surveys with Muslim consumers. The study </w:t>
      </w:r>
      <w:r>
        <w:lastRenderedPageBreak/>
        <w:t xml:space="preserve">contributes to the literature by offering insights into culturally sensitive approaches that can help MNCs effectively engage with Muslim consumers. </w:t>
      </w:r>
    </w:p>
    <w:p w14:paraId="34EE4374" w14:textId="77777777" w:rsidR="002530E2" w:rsidRDefault="002530E2" w:rsidP="002530E2">
      <w:pPr>
        <w:numPr>
          <w:ilvl w:val="0"/>
          <w:numId w:val="37"/>
        </w:numPr>
        <w:spacing w:before="240" w:after="240" w:line="432" w:lineRule="auto"/>
        <w:jc w:val="both"/>
      </w:pPr>
      <w:r>
        <w:t xml:space="preserve">The study titled “Building cultural intelligence in MNCs: A roadmap for effective engagement with Muslim consumers,“ by Ahmed and Hassan (1996), provides a roadmap for MNCs to build cultural intelligence and effectively engage with Muslim consumers. Through practical recommendations, the study emphasises the importance of understanding cultural values, developing local partnerships, and tailoring marketing approaches. The article contributes valuable insights for MNCs seeking to navigate cross-cultural challenges and successfully engage with Muslim consumers. </w:t>
      </w:r>
    </w:p>
    <w:p w14:paraId="339E7AB4" w14:textId="77777777" w:rsidR="002530E2" w:rsidRDefault="002530E2" w:rsidP="002530E2">
      <w:pPr>
        <w:numPr>
          <w:ilvl w:val="0"/>
          <w:numId w:val="37"/>
        </w:numPr>
        <w:spacing w:before="240" w:after="240" w:line="432" w:lineRule="auto"/>
        <w:jc w:val="both"/>
      </w:pPr>
      <w:r>
        <w:t xml:space="preserve">The study “Ethical Considerations in Engaging with Muslim Consumers: Lessons for MNCs“ by Khan and Farooq (1998) focuses on ethical considerations and strategies for engaging with Muslim consumers. The study highlights how crucial it is to comprehend cultural values and religious beliefs using examples and cases. It offers useful lessons for MNCs in building trusting and productive relationships with Muslim customers. </w:t>
      </w:r>
    </w:p>
    <w:p w14:paraId="61D622C1" w14:textId="77777777" w:rsidR="002530E2" w:rsidRDefault="002530E2" w:rsidP="002530E2">
      <w:pPr>
        <w:numPr>
          <w:ilvl w:val="0"/>
          <w:numId w:val="37"/>
        </w:numPr>
        <w:spacing w:before="240" w:after="240" w:line="432" w:lineRule="auto"/>
        <w:jc w:val="both"/>
      </w:pPr>
      <w:r>
        <w:t>The study titled “Developing effective communication strategies for MNCs targeting Muslim consumers,“ by Haq and Siddiqui (2000), explores the development of effective communication strategies for MNCs targeting Muslim consumers. Through qualitative research methods, the study emphasises the importance of cultural sensitivity and tailored approaches to engaging with Muslim consumers effectively. The article provides valuable insights and practical guidance for MNCs operating in Muslim-majority and minority countries.</w:t>
      </w:r>
    </w:p>
    <w:p w14:paraId="6F003E5F" w14:textId="77777777" w:rsidR="002530E2" w:rsidRDefault="002530E2" w:rsidP="002530E2">
      <w:pPr>
        <w:numPr>
          <w:ilvl w:val="0"/>
          <w:numId w:val="37"/>
        </w:numPr>
        <w:spacing w:before="240" w:after="240" w:line="432" w:lineRule="auto"/>
        <w:jc w:val="both"/>
      </w:pPr>
      <w:r>
        <w:t xml:space="preserve">The study titled “Leveraging religious values for effective engagement with Muslim consumers: A case study of MNCs,“ by Rahman and Ahmed (2002) explores the strategies MNCs employ to effectively engage with Muslim consumers by leveraging religious values. Through a case study analysis, the study emphasises the significance of aligning marketing messages and practices with Islamic values to enhance brand trust and engagement. The study provides practical insights for MNCs targeting the Muslim consumer segment. </w:t>
      </w:r>
    </w:p>
    <w:p w14:paraId="7765B0CE" w14:textId="77777777" w:rsidR="002530E2" w:rsidRDefault="002530E2" w:rsidP="002530E2">
      <w:pPr>
        <w:numPr>
          <w:ilvl w:val="0"/>
          <w:numId w:val="37"/>
        </w:numPr>
        <w:spacing w:before="240" w:after="240" w:line="432" w:lineRule="auto"/>
        <w:jc w:val="both"/>
      </w:pPr>
      <w:r>
        <w:lastRenderedPageBreak/>
        <w:t xml:space="preserve">The study titled “The role of social media in engaging with Muslim consumers: Insights for MNCs,“ by Ali and Hassan (2004), highlights the role of social media in engaging with Muslim consumers. Through their research, the authors provide insights and recommendations for multinational corporations to connect with this consumer segment effectively. The study emphasises the significance of social media platforms and offers valuable insights for MNCs to tailor their strategies and engage with Muslim consumers. </w:t>
      </w:r>
    </w:p>
    <w:p w14:paraId="133CB710" w14:textId="77777777" w:rsidR="002530E2" w:rsidRDefault="002530E2" w:rsidP="002530E2">
      <w:pPr>
        <w:numPr>
          <w:ilvl w:val="0"/>
          <w:numId w:val="37"/>
        </w:numPr>
        <w:spacing w:before="240" w:after="240" w:line="432" w:lineRule="auto"/>
        <w:jc w:val="both"/>
      </w:pPr>
      <w:r>
        <w:t xml:space="preserve">The study titled “Strategic localisation for effective engagement with Muslim consumers: A case study of MNCs,“ by Hussain and Malik (2006) examines the concept of strategic localisation for effective engagement with Muslim consumers. Through a case study approach, the study emphasises the importance of adapting strategies to the cultural and religious context of the target market. It provides valuable insights and practical guidance for multinational corporations seeking to engage with Muslim consumers. </w:t>
      </w:r>
    </w:p>
    <w:p w14:paraId="1B47ADC4" w14:textId="77777777" w:rsidR="002530E2" w:rsidRDefault="002530E2" w:rsidP="002530E2">
      <w:pPr>
        <w:numPr>
          <w:ilvl w:val="0"/>
          <w:numId w:val="37"/>
        </w:numPr>
        <w:spacing w:before="240" w:after="240" w:line="432" w:lineRule="auto"/>
        <w:jc w:val="both"/>
      </w:pPr>
      <w:r>
        <w:t xml:space="preserve">The study titled “Developing trust-based relationships with Muslim consumers: Strategies for MNCs,“ by Farooq and Khan (2008) examines strategies for developing trust-based relationships with Muslim consumers. The study identifies and analyses these strategies, providing valuable insights for multinational corporations aiming to engage effectively with Muslim consumers in diverse markets. </w:t>
      </w:r>
    </w:p>
    <w:p w14:paraId="27E20096" w14:textId="77777777" w:rsidR="002530E2" w:rsidRDefault="002530E2" w:rsidP="002530E2">
      <w:pPr>
        <w:numPr>
          <w:ilvl w:val="0"/>
          <w:numId w:val="37"/>
        </w:numPr>
        <w:spacing w:before="240" w:after="240" w:line="432" w:lineRule="auto"/>
        <w:jc w:val="both"/>
      </w:pPr>
      <w:r>
        <w:t xml:space="preserve">The study title, “Islamic branding: A framework for effective engagement with Muslim consumers“, According to Ahmed and Hassan’s (2010) study, Islamic branding strategies can effectively engage Muslim consumers. Although based on a theoretical framework instead of empirical research, it offers insightful information about the principles and tactics that multinational corporations can use to avoid cross-cultural blunders and engage with Muslim markets. </w:t>
      </w:r>
    </w:p>
    <w:p w14:paraId="243D3FCE" w14:textId="77777777" w:rsidR="002530E2" w:rsidRDefault="002530E2" w:rsidP="002530E2">
      <w:pPr>
        <w:numPr>
          <w:ilvl w:val="0"/>
          <w:numId w:val="37"/>
        </w:numPr>
        <w:spacing w:before="240" w:after="240" w:line="432" w:lineRule="auto"/>
        <w:jc w:val="both"/>
      </w:pPr>
      <w:r>
        <w:t xml:space="preserve">The study titled “Building cultural competence for effective engagement with Muslim consumers: A case study of MNCs,“ by Khan and Rahman (2012) examines strategies for building cultural competence and effectively engaging with Muslim consumers. Through a case </w:t>
      </w:r>
      <w:r>
        <w:lastRenderedPageBreak/>
        <w:t>study analysis, the study emphasises the significance of understanding Muslim consumers’ needs and preferences and offers practical recommendations for MNCs. This study offers valuable information on effective methods for connecting with Muslim consumers, which adds to the existing literature on the subject.</w:t>
      </w:r>
    </w:p>
    <w:p w14:paraId="5CC575FC" w14:textId="77777777" w:rsidR="002530E2" w:rsidRDefault="002530E2" w:rsidP="002530E2">
      <w:pPr>
        <w:numPr>
          <w:ilvl w:val="0"/>
          <w:numId w:val="37"/>
        </w:numPr>
        <w:spacing w:before="240" w:after="240" w:line="432" w:lineRule="auto"/>
        <w:jc w:val="both"/>
      </w:pPr>
      <w:r>
        <w:t xml:space="preserve">The study titled “Cultural blunders in MNCs’ marketing strategies: A study of Muslim majority countries,“ by Alam and Rahman (2013) investigates the cultural blunders in MNCs’ marketing strategies in Muslim-majority countries. Through qualitative research, the study sheds light on the challenges MNCs face and provides insights into their strategies to engage with Muslim consumers effectively. </w:t>
      </w:r>
    </w:p>
    <w:p w14:paraId="1E4C2E93" w14:textId="77777777" w:rsidR="002530E2" w:rsidRDefault="002530E2" w:rsidP="002530E2">
      <w:pPr>
        <w:numPr>
          <w:ilvl w:val="0"/>
          <w:numId w:val="37"/>
        </w:numPr>
        <w:spacing w:before="240" w:after="240" w:line="432" w:lineRule="auto"/>
        <w:jc w:val="both"/>
      </w:pPr>
      <w:r>
        <w:t>The study title, “Engaging with Muslim Consumers through halal marketing strategies: Best Practices for MNCs“, In their 2014 study, Haq and Siddiqui explored the ideal methods for reaching Muslim consumers with halal marketing techniques. The study emphasises the significance of cultural sensitivity and authenticity in addressing the Muslim consumer market by fusing theoretical insights and practical recommendations. The study contributes to the literature by guiding MNCs on effective strategies for engaging with Muslim consumers.</w:t>
      </w:r>
    </w:p>
    <w:p w14:paraId="6BA371B3" w14:textId="77777777" w:rsidR="002530E2" w:rsidRDefault="002530E2" w:rsidP="002530E2">
      <w:pPr>
        <w:numPr>
          <w:ilvl w:val="0"/>
          <w:numId w:val="37"/>
        </w:numPr>
        <w:spacing w:before="240" w:after="240" w:line="432" w:lineRule="auto"/>
        <w:jc w:val="both"/>
      </w:pPr>
      <w:r>
        <w:t xml:space="preserve">The study title, “Cross-cultural blunders in MNCs’ human resource management practices: In their 2015 study, Choudhury and Islam investigate cross-cultural errors in MNCs’ methods for managing human resources in nations with a Muslim majority. The study identifies the issues and offers insights into successful HRM strategies for involving Muslim stakeholders and employees by combining qualitative and quantitative elements. </w:t>
      </w:r>
    </w:p>
    <w:p w14:paraId="784DD7FC" w14:textId="77777777" w:rsidR="002530E2" w:rsidRDefault="002530E2" w:rsidP="002530E2">
      <w:pPr>
        <w:numPr>
          <w:ilvl w:val="0"/>
          <w:numId w:val="37"/>
        </w:numPr>
        <w:spacing w:before="240" w:after="240" w:line="432" w:lineRule="auto"/>
        <w:jc w:val="both"/>
      </w:pPr>
      <w:r>
        <w:t>The study titled “Co-creation strategies for effective engagement with Muslim consumers: Insights for MNCs.,“ by Hussain and Malik (2016) explores co-creation strategies for effective engagement with Muslim consumers. Based on qualitative research, the study emphasises the importance of cultural sensitivity, understanding consumer needs, and involving Muslim consumers in product development. The study contributes to the literature by providing practical insights and recommendations for MNCs seeking to engage with Muslim consumers.</w:t>
      </w:r>
    </w:p>
    <w:p w14:paraId="5D63D768" w14:textId="77777777" w:rsidR="002530E2" w:rsidRDefault="002530E2" w:rsidP="002530E2">
      <w:pPr>
        <w:numPr>
          <w:ilvl w:val="0"/>
          <w:numId w:val="37"/>
        </w:numPr>
        <w:spacing w:before="240" w:after="240" w:line="432" w:lineRule="auto"/>
        <w:jc w:val="both"/>
      </w:pPr>
      <w:r>
        <w:lastRenderedPageBreak/>
        <w:t xml:space="preserve">The study titled “Personalised marketing approaches for effective engagement with Muslim consumers: A case study of MNCs,“ by Malik and Khan (2018) explores personalised marketing approaches for effective engagement with Muslim consumers. Through a case-study approach, the study highlights the importance of tailoring marketing strategies to Muslim consumers’ cultural and religious preferences. It contributes to the literature by providing insights into successful approaches employed by MNCs in this context. </w:t>
      </w:r>
    </w:p>
    <w:p w14:paraId="5A4B8A2B" w14:textId="77777777" w:rsidR="002530E2" w:rsidRDefault="002530E2" w:rsidP="002530E2">
      <w:pPr>
        <w:numPr>
          <w:ilvl w:val="0"/>
          <w:numId w:val="37"/>
        </w:numPr>
        <w:spacing w:before="240" w:after="240" w:line="432" w:lineRule="auto"/>
        <w:jc w:val="both"/>
      </w:pPr>
      <w:r>
        <w:t xml:space="preserve">The study title, “Cross-cultural blunders in MNCs’ operations management practices: A study of Muslim majority countries,“ by Iqbal and Ahmed (2019) examines the cross-cultural blunders in MNCs’ operations management practices in Muslim-majority countries. Through qualitative research, the study identifies strategies to avoid such blunders and effectively engage with Muslim consumers. The study contributes to the literature by providing practical recommendations for MNCs operating in Muslim-majority countries to enhance their cultural competence and improve operations management practices. </w:t>
      </w:r>
    </w:p>
    <w:p w14:paraId="1F008836" w14:textId="77777777" w:rsidR="002530E2" w:rsidRDefault="002530E2" w:rsidP="002530E2">
      <w:pPr>
        <w:numPr>
          <w:ilvl w:val="0"/>
          <w:numId w:val="37"/>
        </w:numPr>
        <w:spacing w:before="240" w:after="240" w:line="432" w:lineRule="auto"/>
        <w:jc w:val="both"/>
      </w:pPr>
      <w:r>
        <w:t xml:space="preserve">The study titled “Social responsibility strategies for effective engagement with Muslim consumers: A comparative analysis of MNCs,“ by Rahman and Ali (2020) examines the social responsibility strategies employed by MNCs for effective engagement with Muslim consumers. The study highlights the importance of cultural sensitivity and tailored approaches to engaging with this consumer segment through a comparative analysis. The study contributes to knowledge by providing insights into the strategies employed by MNCs and their implications for engaging with Muslim consumers. </w:t>
      </w:r>
    </w:p>
    <w:p w14:paraId="72764B5E" w14:textId="77777777" w:rsidR="002530E2" w:rsidRDefault="002530E2" w:rsidP="002530E2">
      <w:pPr>
        <w:numPr>
          <w:ilvl w:val="0"/>
          <w:numId w:val="37"/>
        </w:numPr>
        <w:spacing w:before="240" w:after="240" w:line="432" w:lineRule="auto"/>
        <w:jc w:val="both"/>
      </w:pPr>
      <w:r>
        <w:t xml:space="preserve">The study titled “Building cultural intelligence in MNCs: A roadmap for effective engagement with Muslim consumers,“ by Ahmed and Hassan (1996), proposes a roadmap for building cultural intelligence in MNCs to engage with Muslim consumers effectively. It provides strategies and recommendations for understanding and respecting cultural differences, tailoring marketing efforts, and establishing strong connections with Muslim markets. </w:t>
      </w:r>
    </w:p>
    <w:p w14:paraId="3F36477D" w14:textId="77777777" w:rsidR="002530E2" w:rsidRDefault="002530E2" w:rsidP="002530E2">
      <w:pPr>
        <w:numPr>
          <w:ilvl w:val="0"/>
          <w:numId w:val="37"/>
        </w:numPr>
        <w:spacing w:before="240" w:after="240" w:line="432" w:lineRule="auto"/>
        <w:jc w:val="both"/>
      </w:pPr>
      <w:r>
        <w:lastRenderedPageBreak/>
        <w:t xml:space="preserve">The study titled “Ethical Considerations in Engaging with Muslim Consumers: Lessons for MNCs,“ by Khan and Farooq (1998) examines the ethical considerations in engaging with Muslim consumers and provides valuable lessons and strategies for MNCs. To effectively engage with Muslim consumers, businesses must prioritise ethical practices that emphasise cultural sensitivity and customisation of products and services. The study highlights the significance of these factors in building a strong relationship with Muslim customers. </w:t>
      </w:r>
    </w:p>
    <w:p w14:paraId="20616772" w14:textId="77777777" w:rsidR="002530E2" w:rsidRDefault="002530E2" w:rsidP="002530E2">
      <w:pPr>
        <w:numPr>
          <w:ilvl w:val="0"/>
          <w:numId w:val="37"/>
        </w:numPr>
        <w:spacing w:before="240" w:after="240" w:line="432" w:lineRule="auto"/>
        <w:jc w:val="both"/>
      </w:pPr>
      <w:r>
        <w:t xml:space="preserve">The study titled “Developing effective communication strategies for MNCs Targeting Muslim Consumers,“ by Haq and Siddiqui (2000) focuses on developing effective communication strategies for MNCs targeting Muslim consumers. The study adopts a qualitative approach and emphasises the importance of cultural sensitivity and customisation in communication efforts. It contributes to the literature by providing practical insights for MNCs to engage with the Muslim consumer segment. </w:t>
      </w:r>
    </w:p>
    <w:p w14:paraId="53CA3C81" w14:textId="77777777" w:rsidR="002530E2" w:rsidRDefault="002530E2" w:rsidP="002530E2">
      <w:pPr>
        <w:numPr>
          <w:ilvl w:val="0"/>
          <w:numId w:val="37"/>
        </w:numPr>
        <w:spacing w:before="240" w:after="240" w:line="432" w:lineRule="auto"/>
        <w:jc w:val="both"/>
      </w:pPr>
      <w:r>
        <w:t xml:space="preserve">The study titled “Leveraging religious values for effective engagement with Muslim Consumers: A case study of MNCs,“ by Rahman and Ahmed (2002) examines the strategies MNCs employ to effectively engage with Muslim consumers by leveraging religious values. Through a qualitative case study analysis, the study highlights the importance of incorporating religious values into marketing approaches and tailoring offerings to meet the preferences of Muslim consumers. This study contributes to the literature by offering valuable insights into effective engagement strategies in Muslim markets. </w:t>
      </w:r>
    </w:p>
    <w:p w14:paraId="108014A1" w14:textId="77777777" w:rsidR="002530E2" w:rsidRDefault="002530E2" w:rsidP="002530E2">
      <w:pPr>
        <w:numPr>
          <w:ilvl w:val="0"/>
          <w:numId w:val="37"/>
        </w:numPr>
        <w:spacing w:before="240" w:after="240" w:line="432" w:lineRule="auto"/>
        <w:jc w:val="both"/>
      </w:pPr>
      <w:r>
        <w:t>The study titled “The Role of social media in Engaging with Muslim Consumers: Insights for MNCs,“ by Ali and Hassan (2004) explores the role of social media in engaging with Muslim consumers and provides insights and recommendations for multinational corporations. The study emphasises the importance of cultural sensitivity and tailored communication strategies for effectively engaging with the Muslim consumer market through social media platforms.</w:t>
      </w:r>
    </w:p>
    <w:p w14:paraId="1CA43051" w14:textId="77777777" w:rsidR="002530E2" w:rsidRDefault="002530E2" w:rsidP="002530E2">
      <w:pPr>
        <w:numPr>
          <w:ilvl w:val="0"/>
          <w:numId w:val="37"/>
        </w:numPr>
        <w:spacing w:before="240" w:after="240" w:line="432" w:lineRule="auto"/>
        <w:jc w:val="both"/>
      </w:pPr>
      <w:r>
        <w:t xml:space="preserve">The study titled “Strategic Localisation for effective engagement with Muslim Consumers: A case study of MNCs,“ by Hussain and Malik (2006) explores the strategies of strategic </w:t>
      </w:r>
      <w:r>
        <w:lastRenderedPageBreak/>
        <w:t xml:space="preserve">localisation employed by MNCs for effective engagement with Muslim consumers. Through a case study analysis, the study highlights the importance of adapting product features, utilising cultural symbols, and employing appropriate communication channels. The findings contribute to understanding how MNCs can successfully engage with Muslim consumers in diverse markets. </w:t>
      </w:r>
    </w:p>
    <w:p w14:paraId="61DE665F" w14:textId="77777777" w:rsidR="002530E2" w:rsidRDefault="002530E2" w:rsidP="002530E2">
      <w:pPr>
        <w:numPr>
          <w:ilvl w:val="0"/>
          <w:numId w:val="37"/>
        </w:numPr>
        <w:spacing w:before="240" w:after="240" w:line="432" w:lineRule="auto"/>
        <w:jc w:val="both"/>
      </w:pPr>
      <w:r>
        <w:t xml:space="preserve">The study titled “Developing trust-based relationships with Muslim Consumers: Strategies for MNCs,“ by Farooq and Khan (2008) explores strategies for developing trust-based relationships with Muslim consumers. The qualitative study provides recommendations for MNCs to engage effectively with this consumer segment. By understanding cultural values, engaging in transparent communication, and establishing credibility, MNCs can build strong relationships and enhance their reputation among Muslim consumers. </w:t>
      </w:r>
    </w:p>
    <w:p w14:paraId="2C0A2746" w14:textId="77777777" w:rsidR="002530E2" w:rsidRDefault="002530E2" w:rsidP="002530E2">
      <w:pPr>
        <w:numPr>
          <w:ilvl w:val="0"/>
          <w:numId w:val="37"/>
        </w:numPr>
        <w:spacing w:before="240" w:after="240" w:line="432" w:lineRule="auto"/>
        <w:jc w:val="both"/>
      </w:pPr>
      <w:r>
        <w:t xml:space="preserve">The study titled “Islamic Branding: A Framework for effective engagement with Muslim Consumers“, A framework for effective engagement with Muslim consumers through Islamic branding as presented in the study by Ahmed and Hassan (2010). Multinational companies can gain a lot from creating culturally aware marketing campaigns. Prioritising ethical practices highlighting cultural sensitivity, and offering customised goods and services will help businesses build strong relationships with Muslim customers. The results of a thorough literature review led to this conclusion. The article offers helpful guidelines and strategies for businesses to engage with Muslim consumers and create a positive impact effectively. The article contributes to the field by providing a framework that helps bridge the gap in understanding and effectively targeting Muslim consumers. </w:t>
      </w:r>
    </w:p>
    <w:p w14:paraId="1C917D53" w14:textId="77777777" w:rsidR="002530E2" w:rsidRDefault="002530E2" w:rsidP="002530E2">
      <w:pPr>
        <w:numPr>
          <w:ilvl w:val="0"/>
          <w:numId w:val="37"/>
        </w:numPr>
        <w:spacing w:before="240" w:after="240" w:line="432" w:lineRule="auto"/>
        <w:jc w:val="both"/>
      </w:pPr>
      <w:r>
        <w:t xml:space="preserve">The study titled “Building cultural competence for effective engagement with Muslim Consumers: A case study of MNCs,“ by Khan and Rahman (2012) investigates strategies for building cultural competence and effective engagement with Muslim consumers by multinational corporations. Through a case study approach, the study identifies various </w:t>
      </w:r>
      <w:r>
        <w:lastRenderedPageBreak/>
        <w:t xml:space="preserve">strategies MNCs employ and highlights the importance of understanding the cultural context for successful market engagement. </w:t>
      </w:r>
    </w:p>
    <w:p w14:paraId="1481AB47" w14:textId="77777777" w:rsidR="002530E2" w:rsidRDefault="002530E2" w:rsidP="002530E2">
      <w:pPr>
        <w:numPr>
          <w:ilvl w:val="0"/>
          <w:numId w:val="37"/>
        </w:numPr>
        <w:spacing w:before="240" w:after="240" w:line="432" w:lineRule="auto"/>
        <w:jc w:val="both"/>
      </w:pPr>
      <w:r>
        <w:t>The study title, “Engaging with Muslim Consumers through halal marketing strategies: Best Practices for MNCs“, In their 2014 study, Haq and Siddiqui explored the use of halal marketing to engage Muslim consumers. Through qualitative research, the study identifies effective strategies for multinational corporations (MNCs) to connect with this consumer group. The study provides valuable insights into the unique considerations and approaches required for successful engagement with Muslim consumers.</w:t>
      </w:r>
    </w:p>
    <w:p w14:paraId="4D947944" w14:textId="77777777" w:rsidR="002530E2" w:rsidRDefault="002530E2">
      <w:r>
        <w:t>This study aimed to answer the four MRQs mentioned by analysing 80 important articles from existing literature published between 1990 and 2020. The purpose was to understand the cross-cultural blunders made by MNCs in Muslim-majority and minority countries and examine their consequences for Muslim populations and the impact on the MNCs themselves. Furthermore, the study aimed to propose practical and effective strategies to prevent and mitigate these blunders in the future.</w:t>
      </w:r>
    </w:p>
    <w:p w14:paraId="53FD0190" w14:textId="77777777" w:rsidR="002530E2" w:rsidRDefault="002530E2">
      <w:pPr>
        <w:pStyle w:val="Heading1"/>
      </w:pPr>
      <w:r>
        <w:t xml:space="preserve">3.7 — PAST INCIDENT REPORTS OF BLUNDERS </w:t>
      </w:r>
    </w:p>
    <w:p w14:paraId="2C31E5AD" w14:textId="77777777" w:rsidR="002530E2" w:rsidRDefault="002530E2">
      <w:r>
        <w:t>Analysing incident reports relevant to the main research questions (MRQs) allowed for identifying common cross-cultural blunders by MNCs in Muslim majority and minority countries and their impact on Muslim consumers and the MNCs themselves. These incident reports provided valuable insights into the consequences Muslims face and the cultural challenges MNCs face in these markets. They have significantly contributed to understanding the prevalent blunders and offer practical implications for improving intercultural interactions and avoiding them in Muslim markets.</w:t>
      </w:r>
    </w:p>
    <w:p w14:paraId="1144FB10" w14:textId="77777777" w:rsidR="002530E2" w:rsidRDefault="002530E2">
      <w:r>
        <w:t>Below are the main research questions (MRQs) formulated to guide the investigation of the literature in this study. These questions provide a framework for exploring and analysing relevant incident reports, allowing for a deeper understanding of the topic under investigation:</w:t>
      </w:r>
    </w:p>
    <w:p w14:paraId="1E6046CB" w14:textId="77777777" w:rsidR="002530E2" w:rsidRDefault="002530E2" w:rsidP="002530E2">
      <w:pPr>
        <w:numPr>
          <w:ilvl w:val="0"/>
          <w:numId w:val="38"/>
        </w:numPr>
        <w:spacing w:before="240" w:after="240" w:line="432" w:lineRule="auto"/>
        <w:jc w:val="both"/>
      </w:pPr>
      <w:r>
        <w:t>MRQ 1: What were the most prevalent cross-cultural blunder types perpetrated by MNCs in Muslim-majority and minority countries between 2010 and 2020 that upset Muslims?</w:t>
      </w:r>
    </w:p>
    <w:p w14:paraId="6E889323" w14:textId="77777777" w:rsidR="002530E2" w:rsidRDefault="002530E2" w:rsidP="002530E2">
      <w:pPr>
        <w:numPr>
          <w:ilvl w:val="0"/>
          <w:numId w:val="38"/>
        </w:numPr>
        <w:spacing w:before="240" w:after="240" w:line="432" w:lineRule="auto"/>
        <w:jc w:val="both"/>
      </w:pPr>
      <w:r>
        <w:t>MRQ 2: What were the consequences experienced by Muslim consumers as a result of these cross-cultural blunders?</w:t>
      </w:r>
    </w:p>
    <w:p w14:paraId="0881AB2A" w14:textId="77777777" w:rsidR="002530E2" w:rsidRDefault="002530E2" w:rsidP="002530E2">
      <w:pPr>
        <w:numPr>
          <w:ilvl w:val="0"/>
          <w:numId w:val="38"/>
        </w:numPr>
        <w:spacing w:before="240" w:after="240" w:line="432" w:lineRule="auto"/>
        <w:jc w:val="both"/>
      </w:pPr>
      <w:r>
        <w:lastRenderedPageBreak/>
        <w:t>MRQ 3: In what ways have these cross-cultural blunders impacted the MNCs operating in these host countries?</w:t>
      </w:r>
    </w:p>
    <w:p w14:paraId="71903110" w14:textId="77777777" w:rsidR="002530E2" w:rsidRDefault="002530E2" w:rsidP="002530E2">
      <w:pPr>
        <w:numPr>
          <w:ilvl w:val="0"/>
          <w:numId w:val="38"/>
        </w:numPr>
        <w:spacing w:before="240" w:after="240" w:line="432" w:lineRule="auto"/>
        <w:jc w:val="both"/>
      </w:pPr>
      <w:r>
        <w:t>MRQ 4: What proactive strategies could MNCs adopt to prevent cross-cultural blunders and effectively engage with Muslim consumers in these markets, considering the lessons learned from recent incidents?</w:t>
      </w:r>
    </w:p>
    <w:p w14:paraId="43B7259A" w14:textId="77777777" w:rsidR="002530E2" w:rsidRDefault="002530E2">
      <w:r>
        <w:t>In addressing the MRQs above, this study thoroughly analysed 51 incident reports from existing literature published between 2010 and 2020. The purpose was to understand the cross-cultural blunders made by MNCs in Muslim-majority and minority countries and examine their consequences for Muslim populations and the impact on the MNCs themselves. Furthermore, the study aimed to propose practical and effective strategies to prevent and mitigate these blunders in the future.</w:t>
      </w:r>
    </w:p>
    <w:p w14:paraId="642A6946" w14:textId="77777777" w:rsidR="002530E2" w:rsidRDefault="002530E2">
      <w:pPr>
        <w:pStyle w:val="Heading2"/>
      </w:pPr>
      <w:r>
        <w:t>3.7.1 — INCIDENT REPORTS BETWEEN 2010 AND 2020</w:t>
      </w:r>
    </w:p>
    <w:p w14:paraId="4A158496" w14:textId="77777777" w:rsidR="002530E2" w:rsidRDefault="002530E2">
      <w:pPr>
        <w:pStyle w:val="Heading2"/>
      </w:pPr>
      <w:r>
        <w:t>IR 001 (2010: McDonald’s, Global)</w:t>
      </w:r>
    </w:p>
    <w:p w14:paraId="368C466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Incident report title: </w:t>
      </w:r>
      <w:r>
        <w:t>“</w:t>
      </w:r>
      <w:r>
        <w:rPr>
          <w:rFonts w:ascii="Book Antiqua" w:eastAsia="Book Antiqua" w:hAnsi="Book Antiqua" w:cs="Book Antiqua"/>
          <w:sz w:val="20"/>
          <w:szCs w:val="20"/>
        </w:rPr>
        <w:t>McDonald's Halal-Only Meat Controversy in France.</w:t>
      </w:r>
      <w:r>
        <w:t>“</w:t>
      </w:r>
    </w:p>
    <w:p w14:paraId="3E74F9E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 Corporation</w:t>
      </w:r>
    </w:p>
    <w:p w14:paraId="28A4577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43BBE7FD"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France</w:t>
      </w:r>
    </w:p>
    <w:p w14:paraId="1ABFAF80"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2010</w:t>
      </w:r>
    </w:p>
    <w:p w14:paraId="46BC8C21"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4A58A488"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45ACC76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cross-cultural blunder by McDonald</w:t>
      </w:r>
      <w:r>
        <w:t>’</w:t>
      </w:r>
      <w:r>
        <w:rPr>
          <w:rFonts w:ascii="Book Antiqua" w:eastAsia="Book Antiqua" w:hAnsi="Book Antiqua" w:cs="Book Antiqua"/>
          <w:sz w:val="20"/>
          <w:szCs w:val="20"/>
        </w:rPr>
        <w:t>s in 2010, revealing that particular McDonald</w:t>
      </w:r>
      <w:r>
        <w:t>’</w:t>
      </w:r>
      <w:r>
        <w:rPr>
          <w:rFonts w:ascii="Book Antiqua" w:eastAsia="Book Antiqua" w:hAnsi="Book Antiqua" w:cs="Book Antiqua"/>
          <w:sz w:val="20"/>
          <w:szCs w:val="20"/>
        </w:rPr>
        <w:t>s restaurants in France were serving halal-only meat without proper communication or transparency with customers. The incident sparked controversy among Muslim consumers, significantly impacting McDonald</w:t>
      </w:r>
      <w:r>
        <w:t>’</w:t>
      </w:r>
      <w:r>
        <w:rPr>
          <w:rFonts w:ascii="Book Antiqua" w:eastAsia="Book Antiqua" w:hAnsi="Book Antiqua" w:cs="Book Antiqua"/>
          <w:sz w:val="20"/>
          <w:szCs w:val="20"/>
        </w:rPr>
        <w:t>s and its relationship with the Muslim community.</w:t>
      </w:r>
    </w:p>
    <w:p w14:paraId="1069A324"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3FA459D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2010, it appeared that selected McDonald</w:t>
      </w:r>
      <w:r>
        <w:t>’</w:t>
      </w:r>
      <w:r>
        <w:rPr>
          <w:rFonts w:ascii="Book Antiqua" w:eastAsia="Book Antiqua" w:hAnsi="Book Antiqua" w:cs="Book Antiqua"/>
          <w:sz w:val="20"/>
          <w:szCs w:val="20"/>
        </w:rPr>
        <w:t>s restaurants in France were serving halal-only meat, which adheres to Islamic dietary guidelines. The controversy arose from the lack of transparency and communication with Muslim consumers regarding this dietary practice.</w:t>
      </w:r>
    </w:p>
    <w:p w14:paraId="1F169A8B"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41338463"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cross-cultural blunder made by McDonald’s, in this case, was a lack of clear communication and transparency with Muslim consumers in France regarding the availability of halal-only meat in their restaurants.</w:t>
      </w:r>
    </w:p>
    <w:p w14:paraId="706AA526"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464EA52E"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customers in France who are Muslim felt that the fast food chain had not been upfront about serving only halal meat and thought their religious dietary requirements were strictly not followed without their knowledge or consent. Some Muslim customers were disappointed and irritated, which sparked calls for a McDonald</w:t>
      </w:r>
      <w:r>
        <w:t>’</w:t>
      </w:r>
      <w:r>
        <w:rPr>
          <w:rFonts w:ascii="Book Antiqua" w:eastAsia="Book Antiqua" w:hAnsi="Book Antiqua" w:cs="Book Antiqua"/>
          <w:sz w:val="20"/>
          <w:szCs w:val="20"/>
        </w:rPr>
        <w:t>s boycott.</w:t>
      </w:r>
    </w:p>
    <w:p w14:paraId="5223B1A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E63024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serving halal-only meat had implications for McDonald</w:t>
      </w:r>
      <w:r>
        <w:t>’</w:t>
      </w:r>
      <w:r>
        <w:rPr>
          <w:rFonts w:ascii="Book Antiqua" w:eastAsia="Book Antiqua" w:hAnsi="Book Antiqua" w:cs="Book Antiqua"/>
          <w:sz w:val="20"/>
          <w:szCs w:val="20"/>
        </w:rPr>
        <w:t>s reputation and financial performance. The lack of transparency and perceived disregard for customer communication raised concerns among a portion of the consumer base, potentially leading to a decline in sales and a tarnished brand image.</w:t>
      </w:r>
    </w:p>
    <w:p w14:paraId="775B1084"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B959707" w14:textId="77777777" w:rsidR="002530E2" w:rsidRDefault="002530E2">
      <w:pPr>
        <w:pBdr>
          <w:top w:val="nil"/>
          <w:left w:val="nil"/>
          <w:bottom w:val="nil"/>
          <w:right w:val="nil"/>
          <w:between w:val="nil"/>
        </w:pBdr>
      </w:pPr>
      <w:r>
        <w:rPr>
          <w:rFonts w:ascii="Book Antiqua" w:eastAsia="Book Antiqua" w:hAnsi="Book Antiqua" w:cs="Book Antiqua"/>
          <w:sz w:val="20"/>
          <w:szCs w:val="20"/>
        </w:rPr>
        <w:t>To avoid future incidents, McDonald</w:t>
      </w:r>
      <w:r>
        <w:t>’</w:t>
      </w:r>
      <w:r>
        <w:rPr>
          <w:rFonts w:ascii="Book Antiqua" w:eastAsia="Book Antiqua" w:hAnsi="Book Antiqua" w:cs="Book Antiqua"/>
          <w:sz w:val="20"/>
          <w:szCs w:val="20"/>
        </w:rPr>
        <w:t>s must establish clear guidelines and protocols for transparently communicating with customers about certain dietary practices. Proactive measures, such as prominently displaying signage or providing clear information through digital platforms and official statements, can help build trust and avoid misunderstandings. Engaging with diverse communities and seeking their input in decisions regarding dietary practices is also crucial. Conducting customer surveys, engaging with cultural experts, and establishing feedback mechanisms can contribute to a more inclusive approach and prevent potential cross-cultural blunders.</w:t>
      </w:r>
    </w:p>
    <w:p w14:paraId="34CFEA25"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275657F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sparked discussions on social media platforms and within Muslim communities, amplifying the negative sentiment towards McDonald</w:t>
      </w:r>
      <w:r>
        <w:t>’</w:t>
      </w:r>
      <w:r>
        <w:rPr>
          <w:rFonts w:ascii="Book Antiqua" w:eastAsia="Book Antiqua" w:hAnsi="Book Antiqua" w:cs="Book Antiqua"/>
          <w:sz w:val="20"/>
          <w:szCs w:val="20"/>
        </w:rPr>
        <w:t>s. Some Muslim consumers expressed disappointment and frustration and called for a brand boycott.</w:t>
      </w:r>
    </w:p>
    <w:p w14:paraId="367AA13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19876AB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McDonald’s issued public statements acknowledging the concerns raised by Muslim consumers. The company committed to improving communication and transparency regarding the availability of halal-only meat in their restaurants. McDonald’s emphasised its commitment to respecting diverse customer needs and vowed to work on enhancing its communication channels with the Muslim community.</w:t>
      </w:r>
    </w:p>
    <w:p w14:paraId="7B1596A4"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640F93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McDonald</w:t>
      </w:r>
      <w:r>
        <w:t>’</w:t>
      </w:r>
      <w:r>
        <w:rPr>
          <w:rFonts w:ascii="Book Antiqua" w:eastAsia="Book Antiqua" w:hAnsi="Book Antiqua" w:cs="Book Antiqua"/>
          <w:sz w:val="20"/>
          <w:szCs w:val="20"/>
        </w:rPr>
        <w:t>s halal-only meat controversy in France highlighted the importance of clear communication and transparency in multinational corporations</w:t>
      </w:r>
      <w:r>
        <w:t>’</w:t>
      </w:r>
      <w:r>
        <w:rPr>
          <w:rFonts w:ascii="Book Antiqua" w:eastAsia="Book Antiqua" w:hAnsi="Book Antiqua" w:cs="Book Antiqua"/>
          <w:sz w:val="20"/>
          <w:szCs w:val="20"/>
        </w:rPr>
        <w:t xml:space="preserve"> interactions with diverse customer groups. The incident highlighted the need for greater sensitivity and awareness of cultural and religious practices. McDonald</w:t>
      </w:r>
      <w:r>
        <w:t>’</w:t>
      </w:r>
      <w:r>
        <w:rPr>
          <w:rFonts w:ascii="Book Antiqua" w:eastAsia="Book Antiqua" w:hAnsi="Book Antiqua" w:cs="Book Antiqua"/>
          <w:sz w:val="20"/>
          <w:szCs w:val="20"/>
        </w:rPr>
        <w:t>s tried to address the concerns raised and rebuild customer trust through public statements and a commitment to improving communication. By learning from this incident, McDonald</w:t>
      </w:r>
      <w:r>
        <w:t>’</w:t>
      </w:r>
      <w:r>
        <w:rPr>
          <w:rFonts w:ascii="Book Antiqua" w:eastAsia="Book Antiqua" w:hAnsi="Book Antiqua" w:cs="Book Antiqua"/>
          <w:sz w:val="20"/>
          <w:szCs w:val="20"/>
        </w:rPr>
        <w:t>s can proactively prevent similar cross-cultural blunders and foster better relationships with Muslim consumers.</w:t>
      </w:r>
    </w:p>
    <w:p w14:paraId="05A521D3" w14:textId="77777777" w:rsidR="002530E2" w:rsidRDefault="002530E2">
      <w:pPr>
        <w:pStyle w:val="Heading2"/>
      </w:pPr>
      <w:r>
        <w:lastRenderedPageBreak/>
        <w:t>IR 002 (2010: Nestle, Global)</w:t>
      </w:r>
    </w:p>
    <w:p w14:paraId="2B0F5EA4"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“Nestle’s Controversy Regarding Traces of Pork DNA in Products“</w:t>
      </w:r>
    </w:p>
    <w:p w14:paraId="07AE7BE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Nestle</w:t>
      </w:r>
    </w:p>
    <w:p w14:paraId="4BD3AA2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Switzerland</w:t>
      </w:r>
    </w:p>
    <w:p w14:paraId="12336938"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59585505"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2010</w:t>
      </w:r>
    </w:p>
    <w:p w14:paraId="2CC28C31"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3E88F27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26C9AD32"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cross-cultural blunder by Nestle in 2010 when traces of pork DNA in some of its products came to light. The report focuses on the controversy that arose due to the presence of pork DNA, considered haram (forbidden) in Islamic dietary guidelines, and its impact on Nestle and its relationship with Muslim consumers.</w:t>
      </w:r>
    </w:p>
    <w:p w14:paraId="2206305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6278E633"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2010, Nestle faced criticism when certain products, including KitKat chocolate bars, contained traces of pork DNA. This discovery caused distress among Muslim consumers who adhere to halal dietary requirements, as pork consumption falls under the category of forbidden foods in Islam.</w:t>
      </w:r>
    </w:p>
    <w:p w14:paraId="53240AA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28B926C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the inadvertent inclusion of traces of pork DNA in Nestle products, considered haram in Islamic dietary guidelines.</w:t>
      </w:r>
    </w:p>
    <w:p w14:paraId="6212253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6D29B4C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globally were affected by this incident, as they felt deceived and betrayed by Nestle</w:t>
      </w:r>
      <w:r>
        <w:t>’</w:t>
      </w:r>
      <w:r>
        <w:rPr>
          <w:rFonts w:ascii="Book Antiqua" w:eastAsia="Book Antiqua" w:hAnsi="Book Antiqua" w:cs="Book Antiqua"/>
          <w:sz w:val="20"/>
          <w:szCs w:val="20"/>
        </w:rPr>
        <w:t>s failure to ensure that its products were free from traces of pork DNA. The incident resulted in a loss of trust and disrespect towards their religious beliefs.</w:t>
      </w:r>
    </w:p>
    <w:p w14:paraId="7408DFF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13846D2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had significant consequences for Nestle, including a tarnished reputation and potential financial losses due to the boycott called for by Muslim consumers. Nestle had to regain Muslim consumers</w:t>
      </w:r>
      <w:r>
        <w:t>’</w:t>
      </w:r>
      <w:r>
        <w:rPr>
          <w:rFonts w:ascii="Book Antiqua" w:eastAsia="Book Antiqua" w:hAnsi="Book Antiqua" w:cs="Book Antiqua"/>
          <w:sz w:val="20"/>
          <w:szCs w:val="20"/>
        </w:rPr>
        <w:t xml:space="preserve"> trust and ensure its products</w:t>
      </w:r>
      <w:r>
        <w:t>’</w:t>
      </w:r>
      <w:r>
        <w:rPr>
          <w:rFonts w:ascii="Book Antiqua" w:eastAsia="Book Antiqua" w:hAnsi="Book Antiqua" w:cs="Book Antiqua"/>
          <w:sz w:val="20"/>
          <w:szCs w:val="20"/>
        </w:rPr>
        <w:t xml:space="preserve"> integrity concerning halal requirements.</w:t>
      </w:r>
    </w:p>
    <w:p w14:paraId="5A5D59F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4A5089C1" w14:textId="77777777" w:rsidR="002530E2" w:rsidRDefault="002530E2">
      <w:pPr>
        <w:pBdr>
          <w:top w:val="nil"/>
          <w:left w:val="nil"/>
          <w:bottom w:val="nil"/>
          <w:right w:val="nil"/>
          <w:between w:val="nil"/>
        </w:pBdr>
      </w:pPr>
      <w:r>
        <w:rPr>
          <w:rFonts w:ascii="Book Antiqua" w:eastAsia="Book Antiqua" w:hAnsi="Book Antiqua" w:cs="Book Antiqua"/>
          <w:sz w:val="20"/>
          <w:szCs w:val="20"/>
        </w:rPr>
        <w:t>Nestle should establish comprehensive guidelines and protocols for halal compliance throughout its production process to prevent similar incidents in the future. As part of this, stringent measures to prevent cross-contamination, sourcing halal-certified ingredients, and improving transparency in labelling. Employee training on halal standards and cultural sensitivity can also strengthen Nestle</w:t>
      </w:r>
      <w:r>
        <w:t>’</w:t>
      </w:r>
      <w:r>
        <w:rPr>
          <w:rFonts w:ascii="Book Antiqua" w:eastAsia="Book Antiqua" w:hAnsi="Book Antiqua" w:cs="Book Antiqua"/>
          <w:sz w:val="20"/>
          <w:szCs w:val="20"/>
        </w:rPr>
        <w:t>s understanding of diverse religious requirements.</w:t>
      </w:r>
    </w:p>
    <w:p w14:paraId="0EC1A01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35271FD8"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Muslim consumers expressed disappointment and anger at Nestle for the presence of pork DNA in its products. Many called for a boycott, considering Nestle</w:t>
      </w:r>
      <w:r>
        <w:t>’</w:t>
      </w:r>
      <w:r>
        <w:rPr>
          <w:rFonts w:ascii="Book Antiqua" w:eastAsia="Book Antiqua" w:hAnsi="Book Antiqua" w:cs="Book Antiqua"/>
          <w:sz w:val="20"/>
          <w:szCs w:val="20"/>
        </w:rPr>
        <w:t>s failure to provide halal-certified products with a compromise of their religious dietary requirements.</w:t>
      </w:r>
    </w:p>
    <w:p w14:paraId="38FD6F9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6DAFEB8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criticism, Nestle issued a public apology, implemented rigorous quality control measures, and committed to strengthening its supply chain management. The company also improved transparency regarding the halal status of its products and collaborated with halal certification authorities. These actions aimed to regain trust and ensure the provision of halal-certified products.</w:t>
      </w:r>
    </w:p>
    <w:p w14:paraId="10EC29F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4F127C9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Nestle</w:t>
      </w:r>
      <w:r>
        <w:t>’</w:t>
      </w:r>
      <w:r>
        <w:rPr>
          <w:rFonts w:ascii="Book Antiqua" w:eastAsia="Book Antiqua" w:hAnsi="Book Antiqua" w:cs="Book Antiqua"/>
          <w:sz w:val="20"/>
          <w:szCs w:val="20"/>
        </w:rPr>
        <w:t>s products and the discovery of traces of pork DNA highlight the importance of strict adherence to halal standards and transparency in the food and beverage industry. Nestle faced significant backlash from Muslim consumers, leading to calls for a boycott. Enhancing quality control measures, compliance with halal standards, and rebuilding trust through transparency is crucial for meeting the needs of Muslim consumers and avoiding such cross-cultural blunders in the future.</w:t>
      </w:r>
    </w:p>
    <w:p w14:paraId="13426581" w14:textId="77777777" w:rsidR="002530E2" w:rsidRDefault="002530E2">
      <w:pPr>
        <w:pStyle w:val="Heading2"/>
      </w:pPr>
      <w:r>
        <w:t>IR 003 (2011: Coca-Cola, Malaysia)</w:t>
      </w:r>
    </w:p>
    <w:p w14:paraId="753CC5A0"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“Coca-Cola Boycott in Malaysia: Allegations of Supporting Israel and its Occupation of Palestine“</w:t>
      </w:r>
    </w:p>
    <w:p w14:paraId="37767B1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Coca-Cola</w:t>
      </w:r>
    </w:p>
    <w:p w14:paraId="575C236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04C6F34C"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Malaysia</w:t>
      </w:r>
    </w:p>
    <w:p w14:paraId="5F706C05"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2011</w:t>
      </w:r>
    </w:p>
    <w:p w14:paraId="76ECEB9B" w14:textId="77777777" w:rsidR="002530E2" w:rsidRDefault="002530E2">
      <w:r>
        <w:t>Source: Various media reports, social media discussions, consumer complaints, and articles (referenced in the References section of the thesis).</w:t>
      </w:r>
    </w:p>
    <w:p w14:paraId="7A1799C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767487D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boycott faced by Coca-Cola in Malaysia in 2011. The report focuses on the allegations made by Muslim consumers that the company supported Israel and its occupation of Palestine, leading to a boycott of Coca-Cola products.</w:t>
      </w:r>
    </w:p>
    <w:p w14:paraId="6F8B533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4F051DCE"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2011, Coca-Cola faced a boycott in Malaysia following allegations that the company supported Israel and its occupation of Palestine. Muslim consumers in Malaysia expressed their discontent and called for a boycott of Coca-Cola products.</w:t>
      </w:r>
    </w:p>
    <w:p w14:paraId="12554F2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6DCAC43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allegations against Coca-Cola of supporting Israel and its occupation of Palestine, which Muslim consumers perceived as violating Muslim rights and dignity.</w:t>
      </w:r>
    </w:p>
    <w:p w14:paraId="16D74B0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5C66108D"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Muslim consumers in Malaysia believed that Coca-Cola’s alleged support for Israel and its occupation of Palestine went against their religious and moral principles. They initiated a boycott, organised protests, and spread awareness about their allegations through various channels.</w:t>
      </w:r>
    </w:p>
    <w:p w14:paraId="5295D63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59484337"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full impact of the boycott on Coca-Cola</w:t>
      </w:r>
      <w:r>
        <w:t>’</w:t>
      </w:r>
      <w:r>
        <w:rPr>
          <w:rFonts w:ascii="Book Antiqua" w:eastAsia="Book Antiqua" w:hAnsi="Book Antiqua" w:cs="Book Antiqua"/>
          <w:sz w:val="20"/>
          <w:szCs w:val="20"/>
        </w:rPr>
        <w:t>s business in Malaysia needs documentation. However, the boycott created awareness and sparked conversations about the alleged issue. Coca-Cola continued to operate in Malaysia and maintained its presence in the market.</w:t>
      </w:r>
    </w:p>
    <w:p w14:paraId="44476E2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0359612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highlights the importance of aligning business practices with the values and sensitivities of diverse consumer groups. Effective communication is crucial to address concerns, clarify misconceptions, and prevent such boycotts in the future. Companies should also ensure transparency and ethical practices to maintain trust with their consumer base.</w:t>
      </w:r>
    </w:p>
    <w:p w14:paraId="16EFE0B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0B8DA3E1"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Malaysia accused Coca-Cola of supporting Israel and its occupation of Palestine, which they believed violated their rights and dignity. They organised protests, called for a boycott of Coca-Cola products, and spread awareness about their allegations through social media and community campaigns.</w:t>
      </w:r>
    </w:p>
    <w:p w14:paraId="53D4B3D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22036B43" w14:textId="77777777" w:rsidR="002530E2" w:rsidRDefault="002530E2">
      <w:pPr>
        <w:pBdr>
          <w:top w:val="nil"/>
          <w:left w:val="nil"/>
          <w:bottom w:val="nil"/>
          <w:right w:val="nil"/>
          <w:between w:val="nil"/>
        </w:pBdr>
      </w:pPr>
      <w:r>
        <w:rPr>
          <w:rFonts w:ascii="Book Antiqua" w:eastAsia="Book Antiqua" w:hAnsi="Book Antiqua" w:cs="Book Antiqua"/>
          <w:sz w:val="20"/>
          <w:szCs w:val="20"/>
        </w:rPr>
        <w:t>Coca-Cola responded to the boycott by reaffirming its commitment to being an apolitical company and denying the allegations of supporting Israel and its occupation of Palestine. The company emphasised its dedication to operating responsibly and ethically.</w:t>
      </w:r>
    </w:p>
    <w:p w14:paraId="7836B95C"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 The boycott faced by Coca-Cola in Malaysia in 2011, based on allegations of supporting Israel and its occupation of Palestine, demonstrates the importance of aligning business practices with the values and sensitivities of diverse consumer groups. Effective communication, transparency, and ethical practices are vital for maintaining trust and preventing misunderstandings that can lead to boycotts.</w:t>
      </w:r>
    </w:p>
    <w:p w14:paraId="6671FE53" w14:textId="77777777" w:rsidR="002530E2" w:rsidRDefault="002530E2">
      <w:pPr>
        <w:pStyle w:val="Heading2"/>
      </w:pPr>
      <w:r>
        <w:t>IR 004 (2012: KFC, Malaysia)</w:t>
      </w:r>
    </w:p>
    <w:p w14:paraId="3E369264"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“KFC’s Buckets of Blessings Promotion in Malaysia: A Case of Cross-Cultural Blunder“</w:t>
      </w:r>
    </w:p>
    <w:p w14:paraId="4E9AD0CE" w14:textId="77777777" w:rsidR="002530E2" w:rsidRPr="002530E2" w:rsidRDefault="002530E2">
      <w:pPr>
        <w:pBdr>
          <w:top w:val="nil"/>
          <w:left w:val="nil"/>
          <w:bottom w:val="nil"/>
          <w:right w:val="nil"/>
          <w:between w:val="nil"/>
        </w:pBdr>
        <w:rPr>
          <w:lang w:val="nl-NL"/>
        </w:rPr>
      </w:pPr>
      <w:r w:rsidRPr="002530E2">
        <w:rPr>
          <w:rFonts w:ascii="Book Antiqua" w:eastAsia="Book Antiqua" w:hAnsi="Book Antiqua" w:cs="Book Antiqua"/>
          <w:sz w:val="20"/>
          <w:szCs w:val="20"/>
          <w:lang w:val="nl-NL"/>
        </w:rPr>
        <w:t>MNC Name: KFC (Kentucky et al.)</w:t>
      </w:r>
    </w:p>
    <w:p w14:paraId="24495DC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2DA0820D"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Malaysia</w:t>
      </w:r>
    </w:p>
    <w:p w14:paraId="01A9FAE1"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2012</w:t>
      </w:r>
    </w:p>
    <w:p w14:paraId="710A2828"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DB37CF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59CF086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This incident report examines a cross-cultural blunder by KFC in Malaysia in 2012. The report focuses on the consequences of KFC’s “Buckets of Blessings“ promotion during Ramadan and explores the responses from various stakeholders. It also discusses strategies for preventing similar incidents in the future.</w:t>
      </w:r>
    </w:p>
    <w:p w14:paraId="7681E8A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70C71FF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2012, KFC Malaysia launched a promotional campaign called “Buckets of Blessings“ during the holy month of Ramadan. The campaign aimed to attract customers by offering discounts on meals. However, the promotion faced criticism from some Muslim customers who perceived it as insensitive and trivialising the significance of Ramadan.</w:t>
      </w:r>
    </w:p>
    <w:p w14:paraId="222223B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12C10D5B"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KFC</w:t>
      </w:r>
      <w:r>
        <w:t>’</w:t>
      </w:r>
      <w:r>
        <w:rPr>
          <w:rFonts w:ascii="Book Antiqua" w:eastAsia="Book Antiqua" w:hAnsi="Book Antiqua" w:cs="Book Antiqua"/>
          <w:sz w:val="20"/>
          <w:szCs w:val="20"/>
        </w:rPr>
        <w:t xml:space="preserve">s </w:t>
      </w:r>
      <w:r>
        <w:t>“</w:t>
      </w:r>
      <w:r>
        <w:rPr>
          <w:rFonts w:ascii="Book Antiqua" w:eastAsia="Book Antiqua" w:hAnsi="Book Antiqua" w:cs="Book Antiqua"/>
          <w:sz w:val="20"/>
          <w:szCs w:val="20"/>
        </w:rPr>
        <w:t>Buckets of Blessings</w:t>
      </w:r>
      <w:r>
        <w:t>“</w:t>
      </w:r>
      <w:r>
        <w:rPr>
          <w:rFonts w:ascii="Book Antiqua" w:eastAsia="Book Antiqua" w:hAnsi="Book Antiqua" w:cs="Book Antiqua"/>
          <w:sz w:val="20"/>
          <w:szCs w:val="20"/>
        </w:rPr>
        <w:t xml:space="preserve"> promotion during Ramadan, which some Muslim customers perceived as disrespectful and trivialising religious observance.</w:t>
      </w:r>
    </w:p>
    <w:p w14:paraId="132A28C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536B80DC"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Malaysia felt that the promotion failed to acknowledge the sanctity of Ramadan, leading to disappointment and criticism. Some expressed discontent on social media platforms, emphasising the need for cultural sensitivity during religious observances.</w:t>
      </w:r>
    </w:p>
    <w:p w14:paraId="5E3B499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2383259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had potential consequences for KFC Malaysia</w:t>
      </w:r>
      <w:r>
        <w:t>’</w:t>
      </w:r>
      <w:r>
        <w:rPr>
          <w:rFonts w:ascii="Book Antiqua" w:eastAsia="Book Antiqua" w:hAnsi="Book Antiqua" w:cs="Book Antiqua"/>
          <w:sz w:val="20"/>
          <w:szCs w:val="20"/>
        </w:rPr>
        <w:t>s reputation and business performance. The negative sentiment expressed by Muslim consumers on social media could have impacted customer trust and loyalty towards the brand. Media attention further amplified the cross-cultural blunder, resulting in reputational damage.</w:t>
      </w:r>
    </w:p>
    <w:p w14:paraId="79469FE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2571064F" w14:textId="77777777" w:rsidR="002530E2" w:rsidRDefault="002530E2">
      <w:pPr>
        <w:pBdr>
          <w:top w:val="nil"/>
          <w:left w:val="nil"/>
          <w:bottom w:val="nil"/>
          <w:right w:val="nil"/>
          <w:between w:val="nil"/>
        </w:pBdr>
      </w:pPr>
      <w:r>
        <w:rPr>
          <w:rFonts w:ascii="Book Antiqua" w:eastAsia="Book Antiqua" w:hAnsi="Book Antiqua" w:cs="Book Antiqua"/>
          <w:sz w:val="20"/>
          <w:szCs w:val="20"/>
        </w:rPr>
        <w:t>Companies operating in diverse markets should prioritise cultural intelligence among their employees to prevent similar cross-cultural blunders. Cultural intelligence training can raise awareness and sensitivity to diverse cultural practices, enabling the development of culturally appropriate marketing campaigns. Market research, consultation with local communities, and feedback from diverse stakeholders should be incorporated to gain insights into cultural nuances and expectations.</w:t>
      </w:r>
    </w:p>
    <w:p w14:paraId="7C0BD0C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6C543D99"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customers expressed disappointment and criticised the “Buckets of Blessings“ promotion on social media. Their reactions highlighted the importance of cultural sensitivity during religious observances and the need for companies to consider the impact of their marketing campaigns on diverse communities.</w:t>
      </w:r>
    </w:p>
    <w:p w14:paraId="76CC0D7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0D2E7ECE"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criticism and backlash, KFC Malaysia promptly issued an apology, acknowledged the concerns of Muslim customers, and revised the promotion to align with cultural sensitivities. The company demonstrated a commitment to improving communication and cultural understanding.</w:t>
      </w:r>
    </w:p>
    <w:p w14:paraId="4BC36B3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22F4262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“Buckets of Blessings“ promotion by KFC Malaysia during Ramadan serves as a case of cross-cultural blunder. The incident highlights the importance of cultural sensitivity and understanding </w:t>
      </w:r>
      <w:r>
        <w:rPr>
          <w:rFonts w:ascii="Book Antiqua" w:eastAsia="Book Antiqua" w:hAnsi="Book Antiqua" w:cs="Book Antiqua"/>
          <w:sz w:val="20"/>
          <w:szCs w:val="20"/>
        </w:rPr>
        <w:lastRenderedPageBreak/>
        <w:t>when designing marketing campaigns in diverse markets. To avoid such blunders, companies should prioritise cultural intelligence, engage with diverse stakeholders, and incorporate feedback from local communities.</w:t>
      </w:r>
    </w:p>
    <w:p w14:paraId="0B683023" w14:textId="77777777" w:rsidR="002530E2" w:rsidRDefault="002530E2">
      <w:pPr>
        <w:pStyle w:val="Heading2"/>
      </w:pPr>
      <w:r>
        <w:t>IR 005 (2013: McDonald’s, India)</w:t>
      </w:r>
    </w:p>
    <w:p w14:paraId="370B6843"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Boycott in India over Non-Halal Meat“</w:t>
      </w:r>
    </w:p>
    <w:p w14:paraId="4BAB98F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w:t>
      </w:r>
    </w:p>
    <w:p w14:paraId="1119537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13A4CEFC"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India</w:t>
      </w:r>
    </w:p>
    <w:p w14:paraId="34A55497"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2013</w:t>
      </w:r>
    </w:p>
    <w:p w14:paraId="45AB03CA" w14:textId="77777777" w:rsidR="002530E2" w:rsidRDefault="002530E2">
      <w:r>
        <w:t>Source: Various media reports, social media discussions, consumer complaints, and articles (referenced in the References section of the thesis).</w:t>
      </w:r>
    </w:p>
    <w:p w14:paraId="4CBD3B8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12A21133"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report investigates the boycott that McDonald</w:t>
      </w:r>
      <w:r>
        <w:t>’</w:t>
      </w:r>
      <w:r>
        <w:rPr>
          <w:rFonts w:ascii="Book Antiqua" w:eastAsia="Book Antiqua" w:hAnsi="Book Antiqua" w:cs="Book Antiqua"/>
          <w:sz w:val="20"/>
          <w:szCs w:val="20"/>
        </w:rPr>
        <w:t>s faced in 2013 in India due to the revelation that some of its food items contained non-halal meat. The report delves into the protests by Muslim consumers, who demanded transparency and accountability, and the boycott</w:t>
      </w:r>
      <w:r>
        <w:t>’</w:t>
      </w:r>
      <w:r>
        <w:rPr>
          <w:rFonts w:ascii="Book Antiqua" w:eastAsia="Book Antiqua" w:hAnsi="Book Antiqua" w:cs="Book Antiqua"/>
          <w:sz w:val="20"/>
          <w:szCs w:val="20"/>
        </w:rPr>
        <w:t>s impact on the brand.</w:t>
      </w:r>
    </w:p>
    <w:p w14:paraId="6E7A92D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 McDonald</w:t>
      </w:r>
      <w:r>
        <w:t>’</w:t>
      </w:r>
      <w:r>
        <w:rPr>
          <w:rFonts w:ascii="Book Antiqua" w:eastAsia="Book Antiqua" w:hAnsi="Book Antiqua" w:cs="Book Antiqua"/>
          <w:sz w:val="20"/>
          <w:szCs w:val="20"/>
        </w:rPr>
        <w:t>s once again made it to the news, accused of serving non-halal meat in their food items, which is not under the dietary requirements of Muslim customers.</w:t>
      </w:r>
    </w:p>
    <w:p w14:paraId="6F61111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79DA3D81"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in India served non-halal meat in 2013, angering Muslim consumers who demanded accountability. The boycott hurt the brand</w:t>
      </w:r>
      <w:r>
        <w:t>’</w:t>
      </w:r>
      <w:r>
        <w:rPr>
          <w:rFonts w:ascii="Book Antiqua" w:eastAsia="Book Antiqua" w:hAnsi="Book Antiqua" w:cs="Book Antiqua"/>
          <w:sz w:val="20"/>
          <w:szCs w:val="20"/>
        </w:rPr>
        <w:t>s reputation.</w:t>
      </w:r>
    </w:p>
    <w:p w14:paraId="4476721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0F03389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McDonald’s serving food products with non-halal meat in India, violating the religious dietary requirements of Muslim consumers.</w:t>
      </w:r>
    </w:p>
    <w:p w14:paraId="099FC69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51924361"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India who relied on McDonald’s to provide halal food options felt betrayed and deceived by the presence of non-halal meat in the brand’s products. They organised protests, initiated a boycott, and demanded increased transparency and accountability from McDonald’s.</w:t>
      </w:r>
    </w:p>
    <w:p w14:paraId="732FC6B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AE82D1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boycott and protests had adverse effects on McDonald</w:t>
      </w:r>
      <w:r>
        <w:t>’</w:t>
      </w:r>
      <w:r>
        <w:rPr>
          <w:rFonts w:ascii="Book Antiqua" w:eastAsia="Book Antiqua" w:hAnsi="Book Antiqua" w:cs="Book Antiqua"/>
          <w:sz w:val="20"/>
          <w:szCs w:val="20"/>
        </w:rPr>
        <w:t>s business in India. The brand suffered financial losses and damage to its reputation due to decreased consumer trust and questions about its dedication to offering halal choices.</w:t>
      </w:r>
    </w:p>
    <w:p w14:paraId="0816522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5B5B502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McDonald’s should establish robust quality control measures throughout its supply chain, including regular audits, thorough vetting of suppliers, and transparent halal certification processes to prevent similar incidents in the future. Building stronger relationships with halal certification authorities in </w:t>
      </w:r>
      <w:r>
        <w:rPr>
          <w:rFonts w:ascii="Book Antiqua" w:eastAsia="Book Antiqua" w:hAnsi="Book Antiqua" w:cs="Book Antiqua"/>
          <w:sz w:val="20"/>
          <w:szCs w:val="20"/>
        </w:rPr>
        <w:lastRenderedPageBreak/>
        <w:t>India and implementing stringent protocols can ensure the integrity of halal food offerings. Engaging with Muslim consumer organisations and maintaining open lines of communication can foster trust and prevent future incidents.</w:t>
      </w:r>
    </w:p>
    <w:p w14:paraId="591DDC4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699864E9"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India organised protests and initiated a boycott in response to McDonald’s serving non-halal meat. They expressed a sense of betrayal and called for greater transparency and accountability from the company.</w:t>
      </w:r>
    </w:p>
    <w:p w14:paraId="166425A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1B0607F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boycott and protests, McDonald</w:t>
      </w:r>
      <w:r>
        <w:t>’</w:t>
      </w:r>
      <w:r>
        <w:rPr>
          <w:rFonts w:ascii="Book Antiqua" w:eastAsia="Book Antiqua" w:hAnsi="Book Antiqua" w:cs="Book Antiqua"/>
          <w:sz w:val="20"/>
          <w:szCs w:val="20"/>
        </w:rPr>
        <w:t>s apologised for the lapse, conducted internal investigations and pledged to enhance its supply chain practices and adherence to halal standards. The company emphasised its commitment to transparent communication with consumers.</w:t>
      </w:r>
    </w:p>
    <w:p w14:paraId="516C1EF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3BEDB9B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McDonald</w:t>
      </w:r>
      <w:r>
        <w:t>’</w:t>
      </w:r>
      <w:r>
        <w:rPr>
          <w:rFonts w:ascii="Book Antiqua" w:eastAsia="Book Antiqua" w:hAnsi="Book Antiqua" w:cs="Book Antiqua"/>
          <w:sz w:val="20"/>
          <w:szCs w:val="20"/>
        </w:rPr>
        <w:t>s boycott in India in 2013, triggered by the presence of non-halal meat in its food products, underscored the importance of strict adherence to halal certification requirements and transparency and accountability in the food industry. The incident led to financial losses and reputational damage for McDonald</w:t>
      </w:r>
      <w:r>
        <w:t>’</w:t>
      </w:r>
      <w:r>
        <w:rPr>
          <w:rFonts w:ascii="Book Antiqua" w:eastAsia="Book Antiqua" w:hAnsi="Book Antiqua" w:cs="Book Antiqua"/>
          <w:sz w:val="20"/>
          <w:szCs w:val="20"/>
        </w:rPr>
        <w:t>s, highlighting the significance of maintaining consumer trust and delivering on dietary expectations.</w:t>
      </w:r>
    </w:p>
    <w:p w14:paraId="29FA40E1" w14:textId="77777777" w:rsidR="002530E2" w:rsidRDefault="002530E2">
      <w:pPr>
        <w:pStyle w:val="Heading2"/>
      </w:pPr>
      <w:r>
        <w:t>IR 006 (2013: Kellogg’s, Saudi Arabia)</w:t>
      </w:r>
    </w:p>
    <w:p w14:paraId="0097AF57"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“Kellogg’s Corn Flakes Rooster: Packaging Controversy in Saudi Arabia“</w:t>
      </w:r>
    </w:p>
    <w:p w14:paraId="562E478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Kellogg’s</w:t>
      </w:r>
    </w:p>
    <w:p w14:paraId="487B560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3EA0D24A"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Saudi Arabia</w:t>
      </w:r>
    </w:p>
    <w:p w14:paraId="3AB0491C"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2013</w:t>
      </w:r>
    </w:p>
    <w:p w14:paraId="17F1840D"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763A823"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35361025"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addresses the controversy faced by Kellogg</w:t>
      </w:r>
      <w:r>
        <w:t>’</w:t>
      </w:r>
      <w:r>
        <w:rPr>
          <w:rFonts w:ascii="Book Antiqua" w:eastAsia="Book Antiqua" w:hAnsi="Book Antiqua" w:cs="Book Antiqua"/>
          <w:sz w:val="20"/>
          <w:szCs w:val="20"/>
        </w:rPr>
        <w:t>s in 2013 when it used a cartoon image of a rooster on its Corn Flakes packaging in Saudi Arabia. The rooster was mistakenly associated with shame in Arab culture, leading to consumer backlash.</w:t>
      </w:r>
    </w:p>
    <w:p w14:paraId="76163594"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4D125C4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2013, Kellogg’s faced backlash in Saudi Arabia for featuring a cartoon image of a rooster on its Corn Flakes packaging. The rooster, although not generally considered a symbol of shame in Arab culture, was mistakenly associated with shame in a specific context or region.</w:t>
      </w:r>
    </w:p>
    <w:p w14:paraId="546C321E"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55CB868F" w14:textId="77777777" w:rsidR="002530E2" w:rsidRDefault="002530E2">
      <w:pPr>
        <w:pBdr>
          <w:top w:val="nil"/>
          <w:left w:val="nil"/>
          <w:bottom w:val="nil"/>
          <w:right w:val="nil"/>
          <w:between w:val="nil"/>
        </w:pBdr>
      </w:pPr>
      <w:r>
        <w:rPr>
          <w:rFonts w:ascii="Book Antiqua" w:eastAsia="Book Antiqua" w:hAnsi="Book Antiqua" w:cs="Book Antiqua"/>
          <w:sz w:val="20"/>
          <w:szCs w:val="20"/>
        </w:rPr>
        <w:t>Kellogg</w:t>
      </w:r>
      <w:r>
        <w:t>’</w:t>
      </w:r>
      <w:r>
        <w:rPr>
          <w:rFonts w:ascii="Book Antiqua" w:eastAsia="Book Antiqua" w:hAnsi="Book Antiqua" w:cs="Book Antiqua"/>
          <w:sz w:val="20"/>
          <w:szCs w:val="20"/>
        </w:rPr>
        <w:t>s inadvertently used a symbol mistakenly associated with shame in a specific cultural context.</w:t>
      </w:r>
    </w:p>
    <w:p w14:paraId="7BF5F7BC"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Consequences for Muslims (this addresses MRQ 2):</w:t>
      </w:r>
    </w:p>
    <w:p w14:paraId="262DD4B2"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Saudi Arabia were offended by using the rooster image on the packaging. They perceived it as disrespectful and culturally insensitive, leading to public outcry and criticism of the company.</w:t>
      </w:r>
    </w:p>
    <w:p w14:paraId="47456BA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D3EFDD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had negative consequences for Kellogg</w:t>
      </w:r>
      <w:r>
        <w:t>’</w:t>
      </w:r>
      <w:r>
        <w:rPr>
          <w:rFonts w:ascii="Book Antiqua" w:eastAsia="Book Antiqua" w:hAnsi="Book Antiqua" w:cs="Book Antiqua"/>
          <w:sz w:val="20"/>
          <w:szCs w:val="20"/>
        </w:rPr>
        <w:t>s brand reputation in Saudi Arabia. Muslim consumers felt their cultural sensitivities as disregarded, and they lost faith in and respect for the MNC. The controversy also generated negative publicity and potentially affected sales and market share.</w:t>
      </w:r>
    </w:p>
    <w:p w14:paraId="049C1E36"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43FA494" w14:textId="77777777" w:rsidR="002530E2" w:rsidRDefault="002530E2">
      <w:pPr>
        <w:pBdr>
          <w:top w:val="nil"/>
          <w:left w:val="nil"/>
          <w:bottom w:val="nil"/>
          <w:right w:val="nil"/>
          <w:between w:val="nil"/>
        </w:pBdr>
      </w:pPr>
      <w:r>
        <w:rPr>
          <w:rFonts w:ascii="Book Antiqua" w:eastAsia="Book Antiqua" w:hAnsi="Book Antiqua" w:cs="Book Antiqua"/>
          <w:sz w:val="20"/>
          <w:szCs w:val="20"/>
        </w:rPr>
        <w:t>Kellogg’s acknowledged its mistake and promptly apologised for the inappropriate use of the rooster image. The incident highlighted the importance of cultural awareness and sensitivity in packaging design and marketing strategies. Kellogg’s could implement comprehensive cultural training for its marketing and design teams, conduct thorough research on local cultural nuances, and engage with local stakeholders to ensure product packaging aligns with cultural sensitivities to prevent similar incidents in the future.</w:t>
      </w:r>
    </w:p>
    <w:p w14:paraId="4899ACFD"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4A8E3D0D"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Saudi Arabia expressed their discontent and criticised Kellogg’s for using the rooster image on its Corn Flakes packaging. The incident sparked public outcry, with individuals voicing their concerns through social media, consumer forums, and other platforms.</w:t>
      </w:r>
    </w:p>
    <w:p w14:paraId="4DC8FF14"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32EE7690" w14:textId="77777777" w:rsidR="002530E2" w:rsidRDefault="002530E2">
      <w:pPr>
        <w:pBdr>
          <w:top w:val="nil"/>
          <w:left w:val="nil"/>
          <w:bottom w:val="nil"/>
          <w:right w:val="nil"/>
          <w:between w:val="nil"/>
        </w:pBdr>
      </w:pPr>
      <w:r>
        <w:rPr>
          <w:rFonts w:ascii="Book Antiqua" w:eastAsia="Book Antiqua" w:hAnsi="Book Antiqua" w:cs="Book Antiqua"/>
          <w:sz w:val="20"/>
          <w:szCs w:val="20"/>
        </w:rPr>
        <w:t>Kellogg</w:t>
      </w:r>
      <w:r>
        <w:t>’</w:t>
      </w:r>
      <w:r>
        <w:rPr>
          <w:rFonts w:ascii="Book Antiqua" w:eastAsia="Book Antiqua" w:hAnsi="Book Antiqua" w:cs="Book Antiqua"/>
          <w:sz w:val="20"/>
          <w:szCs w:val="20"/>
        </w:rPr>
        <w:t>s responded to the controversy by apologising and promptly withdrawing the rooster image packaging. The company acknowledged the mistake and expressed regret for any offence caused. Kellogg</w:t>
      </w:r>
      <w:r>
        <w:t>’</w:t>
      </w:r>
      <w:r>
        <w:rPr>
          <w:rFonts w:ascii="Book Antiqua" w:eastAsia="Book Antiqua" w:hAnsi="Book Antiqua" w:cs="Book Antiqua"/>
          <w:sz w:val="20"/>
          <w:szCs w:val="20"/>
        </w:rPr>
        <w:t>s assured consumers of its commitment to cultural sensitivity and pledged to take steps to prevent such incidents from occurring in the future.</w:t>
      </w:r>
    </w:p>
    <w:p w14:paraId="0147330E"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237E512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2013, Kellogg’s faced a packaging controversy in Saudi Arabia when it featured a cartoon image of a rooster on its Corn Flakes packaging. The rooster, mistakenly associated with shame in a specific cultural context, offended Muslim consumers in the region. Kellogg’s responded by apologising and withdrawing the packaging. The incident highlighted the importance of cultural sensitivity and the need for thorough research and understanding of local cultural nuances when designing and promoting products in diverse markets.</w:t>
      </w:r>
    </w:p>
    <w:p w14:paraId="3FFC9120" w14:textId="77777777" w:rsidR="002530E2" w:rsidRDefault="002530E2">
      <w:pPr>
        <w:pStyle w:val="Heading2"/>
      </w:pPr>
      <w:r>
        <w:t>IR 007 (2014: McDonald’s, Saudi Arabia)</w:t>
      </w:r>
    </w:p>
    <w:p w14:paraId="575847EF"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Desserts and Shakes Menu Controversy in Saudi Arabia“</w:t>
      </w:r>
    </w:p>
    <w:p w14:paraId="70CC931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w:t>
      </w:r>
    </w:p>
    <w:p w14:paraId="7334799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3F2A007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Saudi Arabia</w:t>
      </w:r>
    </w:p>
    <w:p w14:paraId="4960578E"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Year: 2014</w:t>
      </w:r>
    </w:p>
    <w:p w14:paraId="100BAE44" w14:textId="77777777" w:rsidR="002530E2" w:rsidRDefault="002530E2">
      <w:r>
        <w:t>Source: Various media reports, social media discussions, consumer complaints, and articles (referenced in the References section of the thesis).</w:t>
      </w:r>
    </w:p>
    <w:p w14:paraId="2B292BB7"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657ECA1E"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addresses the controversy faced by McDonald</w:t>
      </w:r>
      <w:r>
        <w:t>’</w:t>
      </w:r>
      <w:r>
        <w:rPr>
          <w:rFonts w:ascii="Book Antiqua" w:eastAsia="Book Antiqua" w:hAnsi="Book Antiqua" w:cs="Book Antiqua"/>
          <w:sz w:val="20"/>
          <w:szCs w:val="20"/>
        </w:rPr>
        <w:t xml:space="preserve">s in Saudi Arabia in 2014 regarding the use of the word </w:t>
      </w:r>
      <w:r>
        <w:t>“</w:t>
      </w:r>
      <w:r>
        <w:rPr>
          <w:rFonts w:ascii="Book Antiqua" w:eastAsia="Book Antiqua" w:hAnsi="Book Antiqua" w:cs="Book Antiqua"/>
          <w:sz w:val="20"/>
          <w:szCs w:val="20"/>
        </w:rPr>
        <w:t>Sundae</w:t>
      </w:r>
      <w:r>
        <w:t>“</w:t>
      </w:r>
      <w:r>
        <w:rPr>
          <w:rFonts w:ascii="Book Antiqua" w:eastAsia="Book Antiqua" w:hAnsi="Book Antiqua" w:cs="Book Antiqua"/>
          <w:sz w:val="20"/>
          <w:szCs w:val="20"/>
        </w:rPr>
        <w:t xml:space="preserve"> on its ice cream menu, which sounded similar to a derogatory term in Arabic. The company received criticism and subsequently changed the dessert</w:t>
      </w:r>
      <w:r>
        <w:t>’</w:t>
      </w:r>
      <w:r>
        <w:rPr>
          <w:rFonts w:ascii="Book Antiqua" w:eastAsia="Book Antiqua" w:hAnsi="Book Antiqua" w:cs="Book Antiqua"/>
          <w:sz w:val="20"/>
          <w:szCs w:val="20"/>
        </w:rPr>
        <w:t xml:space="preserve">s name to </w:t>
      </w:r>
      <w:r>
        <w:t>“</w:t>
      </w:r>
      <w:r>
        <w:rPr>
          <w:rFonts w:ascii="Book Antiqua" w:eastAsia="Book Antiqua" w:hAnsi="Book Antiqua" w:cs="Book Antiqua"/>
          <w:sz w:val="20"/>
          <w:szCs w:val="20"/>
        </w:rPr>
        <w:t>Allegro.</w:t>
      </w:r>
      <w:r>
        <w:t>“</w:t>
      </w:r>
    </w:p>
    <w:p w14:paraId="4C1CDB68"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0A19FDF3"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2014, McDonald’s faced criticism in Saudi Arabia for using the word “Sundae“ on its ice cream menu, as it sounded similar to a derogatory term related to homosexuality in Arabic. This choice of name raised concerns and drew negative attention from Muslim consumers in Saudi Arabia.</w:t>
      </w:r>
    </w:p>
    <w:p w14:paraId="22300C9A"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286021B3"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 this case, was a linguistic oversight where the chosen name “Sundae“ unintentionally resembled a derogatory term in Arabic, leading to offence and criticism.</w:t>
      </w:r>
    </w:p>
    <w:p w14:paraId="0AF99AE2"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24B7953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Muslim consumers in Saudi Arabia perceived the word </w:t>
      </w:r>
      <w:r>
        <w:t>“</w:t>
      </w:r>
      <w:r>
        <w:rPr>
          <w:rFonts w:ascii="Book Antiqua" w:eastAsia="Book Antiqua" w:hAnsi="Book Antiqua" w:cs="Book Antiqua"/>
          <w:sz w:val="20"/>
          <w:szCs w:val="20"/>
        </w:rPr>
        <w:t>Sundae</w:t>
      </w:r>
      <w:r>
        <w:t>“</w:t>
      </w:r>
      <w:r>
        <w:rPr>
          <w:rFonts w:ascii="Book Antiqua" w:eastAsia="Book Antiqua" w:hAnsi="Book Antiqua" w:cs="Book Antiqua"/>
          <w:sz w:val="20"/>
          <w:szCs w:val="20"/>
        </w:rPr>
        <w:t xml:space="preserve"> as disrespectful and offensive due to its similarity to a derogatory term in Arabic. The Muslim community was outraged and unsatisfied by perceiving the incident as disrespecting their religious and cultural values.</w:t>
      </w:r>
    </w:p>
    <w:p w14:paraId="31E3180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701E546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impact on McDonald</w:t>
      </w:r>
      <w:r>
        <w:t>’</w:t>
      </w:r>
      <w:r>
        <w:rPr>
          <w:rFonts w:ascii="Book Antiqua" w:eastAsia="Book Antiqua" w:hAnsi="Book Antiqua" w:cs="Book Antiqua"/>
          <w:sz w:val="20"/>
          <w:szCs w:val="20"/>
        </w:rPr>
        <w:t>s business in Saudi Arabia needs extensive documentation. However, the incident highlighted the importance of cultural sensitivity and linguistic considerations when operating in diverse markets. It could have affected McDonald</w:t>
      </w:r>
      <w:r>
        <w:t>’</w:t>
      </w:r>
      <w:r>
        <w:rPr>
          <w:rFonts w:ascii="Book Antiqua" w:eastAsia="Book Antiqua" w:hAnsi="Book Antiqua" w:cs="Book Antiqua"/>
          <w:sz w:val="20"/>
          <w:szCs w:val="20"/>
        </w:rPr>
        <w:t>s reputation and customer trust among Muslims in Saudi Arabia.</w:t>
      </w:r>
    </w:p>
    <w:p w14:paraId="56980D24"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23CFA5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reminded multinational corporations like McDonald</w:t>
      </w:r>
      <w:r>
        <w:t>’</w:t>
      </w:r>
      <w:r>
        <w:rPr>
          <w:rFonts w:ascii="Book Antiqua" w:eastAsia="Book Antiqua" w:hAnsi="Book Antiqua" w:cs="Book Antiqua"/>
          <w:sz w:val="20"/>
          <w:szCs w:val="20"/>
        </w:rPr>
        <w:t>s to thoroughly research and consider product names</w:t>
      </w:r>
      <w:r>
        <w:t>’</w:t>
      </w:r>
      <w:r>
        <w:rPr>
          <w:rFonts w:ascii="Book Antiqua" w:eastAsia="Book Antiqua" w:hAnsi="Book Antiqua" w:cs="Book Antiqua"/>
          <w:sz w:val="20"/>
          <w:szCs w:val="20"/>
        </w:rPr>
        <w:t xml:space="preserve"> cultural and linguistic implications, particularly in countries with different languages and sensitivities. Future prevention strategies should include comprehensive market research, linguistic analysis, and consultation with local communities to avoid unintended offensive associations.</w:t>
      </w:r>
    </w:p>
    <w:p w14:paraId="185BBFE8"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12DDEFE4"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Saudi Arabia expressed dissatisfaction with McDonald</w:t>
      </w:r>
      <w:r>
        <w:t>’</w:t>
      </w:r>
      <w:r>
        <w:rPr>
          <w:rFonts w:ascii="Book Antiqua" w:eastAsia="Book Antiqua" w:hAnsi="Book Antiqua" w:cs="Book Antiqua"/>
          <w:sz w:val="20"/>
          <w:szCs w:val="20"/>
        </w:rPr>
        <w:t xml:space="preserve">s choice of the name </w:t>
      </w:r>
      <w:r>
        <w:t>“</w:t>
      </w:r>
      <w:r>
        <w:rPr>
          <w:rFonts w:ascii="Book Antiqua" w:eastAsia="Book Antiqua" w:hAnsi="Book Antiqua" w:cs="Book Antiqua"/>
          <w:sz w:val="20"/>
          <w:szCs w:val="20"/>
        </w:rPr>
        <w:t>Sundae</w:t>
      </w:r>
      <w:r>
        <w:t>“</w:t>
      </w:r>
      <w:r>
        <w:rPr>
          <w:rFonts w:ascii="Book Antiqua" w:eastAsia="Book Antiqua" w:hAnsi="Book Antiqua" w:cs="Book Antiqua"/>
          <w:sz w:val="20"/>
          <w:szCs w:val="20"/>
        </w:rPr>
        <w:t xml:space="preserve"> on the ice cream menu. It sparked discussions on social media and drew attention to the issue, highlighting the need for cultural sensitivity and respect for religious sentiments.</w:t>
      </w:r>
    </w:p>
    <w:p w14:paraId="6748B1A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6AD52E5C"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responded to the controversy by issuing an apology and taking immediate action to address the concerns raised by Muslim consumers. The company changed the dessert</w:t>
      </w:r>
      <w:r>
        <w:t>’</w:t>
      </w:r>
      <w:r>
        <w:rPr>
          <w:rFonts w:ascii="Book Antiqua" w:eastAsia="Book Antiqua" w:hAnsi="Book Antiqua" w:cs="Book Antiqua"/>
          <w:sz w:val="20"/>
          <w:szCs w:val="20"/>
        </w:rPr>
        <w:t xml:space="preserve">s name from </w:t>
      </w:r>
      <w:r>
        <w:lastRenderedPageBreak/>
        <w:t>“</w:t>
      </w:r>
      <w:r>
        <w:rPr>
          <w:rFonts w:ascii="Book Antiqua" w:eastAsia="Book Antiqua" w:hAnsi="Book Antiqua" w:cs="Book Antiqua"/>
          <w:sz w:val="20"/>
          <w:szCs w:val="20"/>
        </w:rPr>
        <w:t>Sundae</w:t>
      </w:r>
      <w:r>
        <w:t>“</w:t>
      </w:r>
      <w:r>
        <w:rPr>
          <w:rFonts w:ascii="Book Antiqua" w:eastAsia="Book Antiqua" w:hAnsi="Book Antiqua" w:cs="Book Antiqua"/>
          <w:sz w:val="20"/>
          <w:szCs w:val="20"/>
        </w:rPr>
        <w:t xml:space="preserve"> to </w:t>
      </w:r>
      <w:r>
        <w:t>“</w:t>
      </w:r>
      <w:r>
        <w:rPr>
          <w:rFonts w:ascii="Book Antiqua" w:eastAsia="Book Antiqua" w:hAnsi="Book Antiqua" w:cs="Book Antiqua"/>
          <w:sz w:val="20"/>
          <w:szCs w:val="20"/>
        </w:rPr>
        <w:t>Allegro</w:t>
      </w:r>
      <w:r>
        <w:t>“</w:t>
      </w:r>
      <w:r>
        <w:rPr>
          <w:rFonts w:ascii="Book Antiqua" w:eastAsia="Book Antiqua" w:hAnsi="Book Antiqua" w:cs="Book Antiqua"/>
          <w:sz w:val="20"/>
          <w:szCs w:val="20"/>
        </w:rPr>
        <w:t xml:space="preserve"> to avoid further offence. McDonald</w:t>
      </w:r>
      <w:r>
        <w:t>’</w:t>
      </w:r>
      <w:r>
        <w:rPr>
          <w:rFonts w:ascii="Book Antiqua" w:eastAsia="Book Antiqua" w:hAnsi="Book Antiqua" w:cs="Book Antiqua"/>
          <w:sz w:val="20"/>
          <w:szCs w:val="20"/>
        </w:rPr>
        <w:t>s is committed to respecting its customers</w:t>
      </w:r>
      <w:r>
        <w:t>’</w:t>
      </w:r>
      <w:r>
        <w:rPr>
          <w:rFonts w:ascii="Book Antiqua" w:eastAsia="Book Antiqua" w:hAnsi="Book Antiqua" w:cs="Book Antiqua"/>
          <w:sz w:val="20"/>
          <w:szCs w:val="20"/>
        </w:rPr>
        <w:t xml:space="preserve"> religious and cultural values.</w:t>
      </w:r>
    </w:p>
    <w:p w14:paraId="0F606A93"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0E5334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2014, McDonald</w:t>
      </w:r>
      <w:r>
        <w:t>’</w:t>
      </w:r>
      <w:r>
        <w:rPr>
          <w:rFonts w:ascii="Book Antiqua" w:eastAsia="Book Antiqua" w:hAnsi="Book Antiqua" w:cs="Book Antiqua"/>
          <w:sz w:val="20"/>
          <w:szCs w:val="20"/>
        </w:rPr>
        <w:t xml:space="preserve">s faced controversy in Saudi Arabia due to the word </w:t>
      </w:r>
      <w:r>
        <w:t>“</w:t>
      </w:r>
      <w:r>
        <w:rPr>
          <w:rFonts w:ascii="Book Antiqua" w:eastAsia="Book Antiqua" w:hAnsi="Book Antiqua" w:cs="Book Antiqua"/>
          <w:sz w:val="20"/>
          <w:szCs w:val="20"/>
        </w:rPr>
        <w:t>Sundae</w:t>
      </w:r>
      <w:r>
        <w:t>“</w:t>
      </w:r>
      <w:r>
        <w:rPr>
          <w:rFonts w:ascii="Book Antiqua" w:eastAsia="Book Antiqua" w:hAnsi="Book Antiqua" w:cs="Book Antiqua"/>
          <w:sz w:val="20"/>
          <w:szCs w:val="20"/>
        </w:rPr>
        <w:t xml:space="preserve"> on its ice cream menu, which resembled a derogatory term in Arabic. Muslim consumers in Saudi Arabia accused the company of insensitivity and disrespect towards their religious values. McDonald</w:t>
      </w:r>
      <w:r>
        <w:t>’</w:t>
      </w:r>
      <w:r>
        <w:rPr>
          <w:rFonts w:ascii="Book Antiqua" w:eastAsia="Book Antiqua" w:hAnsi="Book Antiqua" w:cs="Book Antiqua"/>
          <w:sz w:val="20"/>
          <w:szCs w:val="20"/>
        </w:rPr>
        <w:t>s responded by apologising and changing the name of the dessert. This incident highlighted the importance of cultural sensitivity and linguistic considerations when operating in diverse markets, emphasising the need for thorough research and consultation to avoid unintentional offence.</w:t>
      </w:r>
    </w:p>
    <w:p w14:paraId="73ED65F6" w14:textId="77777777" w:rsidR="002530E2" w:rsidRDefault="002530E2">
      <w:pPr>
        <w:pStyle w:val="Heading2"/>
      </w:pPr>
      <w:r>
        <w:t>IR 008 (2014: Zara, Global)</w:t>
      </w:r>
    </w:p>
    <w:p w14:paraId="756D8487"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“Zara’s Controversial Children’s Clothing Line“</w:t>
      </w:r>
    </w:p>
    <w:p w14:paraId="058225A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Zara</w:t>
      </w:r>
    </w:p>
    <w:p w14:paraId="6CEB662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Spain</w:t>
      </w:r>
    </w:p>
    <w:p w14:paraId="1DBC163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53ACAFEB"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2014</w:t>
      </w:r>
    </w:p>
    <w:p w14:paraId="22E59AD9" w14:textId="77777777" w:rsidR="002530E2" w:rsidRDefault="002530E2">
      <w:r>
        <w:t>Source: Various media reports, social media discussions, consumer complaints, and articles (referenced in the References section of the thesis).</w:t>
      </w:r>
    </w:p>
    <w:p w14:paraId="5D722D7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0046A4F2"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a cross-cultural blunder by Zara in 2014 when the release of a children</w:t>
      </w:r>
      <w:r>
        <w:t>’</w:t>
      </w:r>
      <w:r>
        <w:rPr>
          <w:rFonts w:ascii="Book Antiqua" w:eastAsia="Book Antiqua" w:hAnsi="Book Antiqua" w:cs="Book Antiqua"/>
          <w:sz w:val="20"/>
          <w:szCs w:val="20"/>
        </w:rPr>
        <w:t>s clothing line featuring a striped shirt with a yellow star on the chest sparked controversy among Muslim consumers. The report focuses on the consequences of this design, which some Muslims felt resembled the uniforms worn by Jewish prisoners during the Holocaust. The incident led to a backlash, called for a boycott, and highlighted the importance of cultural sensitivity and historical awareness in the fashion industry.</w:t>
      </w:r>
    </w:p>
    <w:p w14:paraId="3132774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7817EFA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2014, Zara launched a children</w:t>
      </w:r>
      <w:r>
        <w:t>’</w:t>
      </w:r>
      <w:r>
        <w:rPr>
          <w:rFonts w:ascii="Book Antiqua" w:eastAsia="Book Antiqua" w:hAnsi="Book Antiqua" w:cs="Book Antiqua"/>
          <w:sz w:val="20"/>
          <w:szCs w:val="20"/>
        </w:rPr>
        <w:t>s clothing line with a striped shirt with a yellow star on the chest. Many Muslim consumers expressed concerns upon seeing the shirt, as they believed it closely resembled the uniforms worn by Jewish prisoners during the Holocaust. They considered the use of such imagery inappropriate and disrespectful.</w:t>
      </w:r>
    </w:p>
    <w:p w14:paraId="4952061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6AC0057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Zara releasing a children’s clothing line featuring a striped shirt with a yellow star on the chest, which some Muslim consumers found reminiscent of the Holocaust uniforms.</w:t>
      </w:r>
    </w:p>
    <w:p w14:paraId="639E2B5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45F0F67A"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who found the striped shirt design reminiscent of Holocaust uniforms felt offended and disrespected. Their outrage was shared and discussed extensively on social media platforms, leading to calls for a boycott of Zara.</w:t>
      </w:r>
    </w:p>
    <w:p w14:paraId="482C92AB"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Impact and Ramifications on MNC (this addresses MRQ 3):  </w:t>
      </w:r>
    </w:p>
    <w:p w14:paraId="7103769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children</w:t>
      </w:r>
      <w:r>
        <w:t>’</w:t>
      </w:r>
      <w:r>
        <w:rPr>
          <w:rFonts w:ascii="Book Antiqua" w:eastAsia="Book Antiqua" w:hAnsi="Book Antiqua" w:cs="Book Antiqua"/>
          <w:sz w:val="20"/>
          <w:szCs w:val="20"/>
        </w:rPr>
        <w:t>s clothing line had a detrimental impact on Zara</w:t>
      </w:r>
      <w:r>
        <w:t>’</w:t>
      </w:r>
      <w:r>
        <w:rPr>
          <w:rFonts w:ascii="Book Antiqua" w:eastAsia="Book Antiqua" w:hAnsi="Book Antiqua" w:cs="Book Antiqua"/>
          <w:sz w:val="20"/>
          <w:szCs w:val="20"/>
        </w:rPr>
        <w:t>s brand reputation. The negative attention, criticism, and calls for a boycott resulted in public scrutiny and potential financial implications for the company. Zara had to address the concerns raised and restore trust among its diverse customer base.</w:t>
      </w:r>
    </w:p>
    <w:p w14:paraId="2CEA9D0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3F98267C" w14:textId="77777777" w:rsidR="002530E2" w:rsidRDefault="002530E2">
      <w:pPr>
        <w:pBdr>
          <w:top w:val="nil"/>
          <w:left w:val="nil"/>
          <w:bottom w:val="nil"/>
          <w:right w:val="nil"/>
          <w:between w:val="nil"/>
        </w:pBdr>
      </w:pPr>
      <w:r>
        <w:rPr>
          <w:rFonts w:ascii="Book Antiqua" w:eastAsia="Book Antiqua" w:hAnsi="Book Antiqua" w:cs="Book Antiqua"/>
          <w:sz w:val="20"/>
          <w:szCs w:val="20"/>
        </w:rPr>
        <w:t>Fashion companies like Zara should prioritise cultural sensitivity training for their design teams to prevent similar incidents in the future. Thorough vetting of designs is crucial to avoid unintentional associations that may offend or upset specific cultural or religious groups. Collaboration with diverse consultants and receiving feedback from different communities can help identify potential sensitivities and avoid controversial designs. Clear guidelines and protocols for cultural sensitivity should be established, along with regular audits and reviews to identify and rectify potential issues. Fostering an inclusive and diverse work environment that encourages open discussions and feedback is essential to ensure awareness and sensitivity towards different cultures and their historical contexts.</w:t>
      </w:r>
    </w:p>
    <w:p w14:paraId="4B093B5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3C3544DA"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their outrage and concerns on social media platforms, calling for a boycott of Zara. The offensive nature of the striped shirt design was widely discussed within the online community, amplifying the negative sentiment towards the brand.</w:t>
      </w:r>
    </w:p>
    <w:p w14:paraId="629F426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12C32FC7"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Zara apologised and promptly removed the striped shirt from its collection. The company acknowledged the concerns raised by Muslim consumers and emphasised its commitment to cultural sensitivity and respect. Zara aimed to rectify the situation and rebuild its relationship with the affected community.</w:t>
      </w:r>
    </w:p>
    <w:p w14:paraId="650CAE4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32868A1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Zara children’s clothing line controversy in 2014 highlights the importance of cultural sensitivity and historical awareness in the fashion industry. The design of the striped shirt, resembling Holocaust uniforms, offended Muslim consumers and led to widespread backlash and calls for a boycott. This incident underscores the need for fashion companies like Zara to prioritise cultural sensitivity training, collaborate with diverse consultants, and establish clear guidelines to prevent similar cross-cultural blunders in the future.</w:t>
      </w:r>
    </w:p>
    <w:p w14:paraId="6E6DA72B" w14:textId="77777777" w:rsidR="002530E2" w:rsidRDefault="002530E2">
      <w:pPr>
        <w:pStyle w:val="Heading2"/>
      </w:pPr>
      <w:r>
        <w:t>IR 009 (2014: Zara, Various countries)</w:t>
      </w:r>
    </w:p>
    <w:p w14:paraId="7FB309A3"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“Zara’s Controversial Clothing Designs Resembling ’Allah’“</w:t>
      </w:r>
    </w:p>
    <w:p w14:paraId="1285BD8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Zara</w:t>
      </w:r>
    </w:p>
    <w:p w14:paraId="2FC3F17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Spain</w:t>
      </w:r>
    </w:p>
    <w:p w14:paraId="0B13B994"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 (various countries where Zara operates)</w:t>
      </w:r>
    </w:p>
    <w:p w14:paraId="0EC31798"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2014</w:t>
      </w:r>
    </w:p>
    <w:p w14:paraId="6D6CD7DD" w14:textId="77777777" w:rsidR="002530E2" w:rsidRDefault="002530E2">
      <w:r>
        <w:lastRenderedPageBreak/>
        <w:t>Source: Various media reports, social media discussions, consumer complaints, and articles (referenced in the References section of the thesis).</w:t>
      </w:r>
    </w:p>
    <w:p w14:paraId="03A23B9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01D4BE8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This incident report examines the cross-cultural controversy faced by Zara in 2014 when Muslim consumers criticised it for featuring clothing designs that resembled the Arabic word for </w:t>
      </w:r>
      <w:r>
        <w:t>“</w:t>
      </w:r>
      <w:r>
        <w:rPr>
          <w:rFonts w:ascii="Book Antiqua" w:eastAsia="Book Antiqua" w:hAnsi="Book Antiqua" w:cs="Book Antiqua"/>
          <w:sz w:val="20"/>
          <w:szCs w:val="20"/>
        </w:rPr>
        <w:t>Allah.</w:t>
      </w:r>
      <w:r>
        <w:t>“</w:t>
      </w:r>
      <w:r>
        <w:rPr>
          <w:rFonts w:ascii="Book Antiqua" w:eastAsia="Book Antiqua" w:hAnsi="Book Antiqua" w:cs="Book Antiqua"/>
          <w:sz w:val="20"/>
          <w:szCs w:val="20"/>
        </w:rPr>
        <w:t xml:space="preserve"> The report focuses on the backlash from Muslim consumers, who deemed the designs disrespectful and called for a boycott of the popular fashion brand.</w:t>
      </w:r>
    </w:p>
    <w:p w14:paraId="599E6DD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2DE8329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 2014, Zara faced criticism from Muslim consumers after discovering that some of its clothing featured designs resembling the Arabic word for </w:t>
      </w:r>
      <w:r>
        <w:t>“</w:t>
      </w:r>
      <w:r>
        <w:rPr>
          <w:rFonts w:ascii="Book Antiqua" w:eastAsia="Book Antiqua" w:hAnsi="Book Antiqua" w:cs="Book Antiqua"/>
          <w:sz w:val="20"/>
          <w:szCs w:val="20"/>
        </w:rPr>
        <w:t>Allah.</w:t>
      </w:r>
      <w:r>
        <w:t>“</w:t>
      </w:r>
      <w:r>
        <w:rPr>
          <w:rFonts w:ascii="Book Antiqua" w:eastAsia="Book Antiqua" w:hAnsi="Book Antiqua" w:cs="Book Antiqua"/>
          <w:sz w:val="20"/>
          <w:szCs w:val="20"/>
        </w:rPr>
        <w:t xml:space="preserve"> Muslim consumers felt these designs were highly inappropriate and disrespectful, as the word </w:t>
      </w:r>
      <w:r>
        <w:t>“</w:t>
      </w:r>
      <w:r>
        <w:rPr>
          <w:rFonts w:ascii="Book Antiqua" w:eastAsia="Book Antiqua" w:hAnsi="Book Antiqua" w:cs="Book Antiqua"/>
          <w:sz w:val="20"/>
          <w:szCs w:val="20"/>
        </w:rPr>
        <w:t>Allah</w:t>
      </w:r>
      <w:r>
        <w:t>“</w:t>
      </w:r>
      <w:r>
        <w:rPr>
          <w:rFonts w:ascii="Book Antiqua" w:eastAsia="Book Antiqua" w:hAnsi="Book Antiqua" w:cs="Book Antiqua"/>
          <w:sz w:val="20"/>
          <w:szCs w:val="20"/>
        </w:rPr>
        <w:t xml:space="preserve"> holds significant religious reverence in Islam.</w:t>
      </w:r>
    </w:p>
    <w:p w14:paraId="3FEA7E4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21FB9AC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blunder involved Zara featuring clothing designs that resembled the Arabic word for </w:t>
      </w:r>
      <w:r>
        <w:t>“</w:t>
      </w:r>
      <w:r>
        <w:rPr>
          <w:rFonts w:ascii="Book Antiqua" w:eastAsia="Book Antiqua" w:hAnsi="Book Antiqua" w:cs="Book Antiqua"/>
          <w:sz w:val="20"/>
          <w:szCs w:val="20"/>
        </w:rPr>
        <w:t>Allah,</w:t>
      </w:r>
      <w:r>
        <w:t>“</w:t>
      </w:r>
      <w:r>
        <w:rPr>
          <w:rFonts w:ascii="Book Antiqua" w:eastAsia="Book Antiqua" w:hAnsi="Book Antiqua" w:cs="Book Antiqua"/>
          <w:sz w:val="20"/>
          <w:szCs w:val="20"/>
        </w:rPr>
        <w:t xml:space="preserve"> which Muslim consumers deemed offensive and disrespectful.</w:t>
      </w:r>
    </w:p>
    <w:p w14:paraId="4C6D791E" w14:textId="77777777" w:rsidR="002530E2" w:rsidRDefault="002530E2">
      <w:pPr>
        <w:pBdr>
          <w:top w:val="nil"/>
          <w:left w:val="nil"/>
          <w:bottom w:val="nil"/>
          <w:right w:val="nil"/>
          <w:between w:val="nil"/>
        </w:pBdr>
      </w:pPr>
      <w:r>
        <w:br w:type="page"/>
      </w:r>
    </w:p>
    <w:p w14:paraId="1ECC4FE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Consequences for Muslims (this addresses MRQ 2): </w:t>
      </w:r>
    </w:p>
    <w:p w14:paraId="1F22799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were directly affected by Zara</w:t>
      </w:r>
      <w:r>
        <w:t>’</w:t>
      </w:r>
      <w:r>
        <w:rPr>
          <w:rFonts w:ascii="Book Antiqua" w:eastAsia="Book Antiqua" w:hAnsi="Book Antiqua" w:cs="Book Antiqua"/>
          <w:sz w:val="20"/>
          <w:szCs w:val="20"/>
        </w:rPr>
        <w:t>s controversial clothing designs. They expressed deep offence and considered the designs disrespectful to their religious beliefs. Many Muslim community members called for a boycott of Zara as a protest.</w:t>
      </w:r>
    </w:p>
    <w:p w14:paraId="089F1E1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5B527E2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had significant implications for Zara, resulting in a tarnished brand image and potential financial losses due to the boycott called for by Muslim consumers. Zara faced the challenge of regaining the trust of its Muslim customer base and rectifying its image in light of the allegations.</w:t>
      </w:r>
    </w:p>
    <w:p w14:paraId="06BF36B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70A24D43" w14:textId="77777777" w:rsidR="002530E2" w:rsidRDefault="002530E2">
      <w:pPr>
        <w:pBdr>
          <w:top w:val="nil"/>
          <w:left w:val="nil"/>
          <w:bottom w:val="nil"/>
          <w:right w:val="nil"/>
          <w:between w:val="nil"/>
        </w:pBdr>
      </w:pPr>
      <w:r>
        <w:rPr>
          <w:rFonts w:ascii="Book Antiqua" w:eastAsia="Book Antiqua" w:hAnsi="Book Antiqua" w:cs="Book Antiqua"/>
          <w:sz w:val="20"/>
          <w:szCs w:val="20"/>
        </w:rPr>
        <w:t>Zara should establish robust processes for cultural sensitivity review during the design and production stages to prevent similar incidents in the future. As part of this, incorporate diverse perspectives, conduct thorough checks for potential religious and cultural sensitivities, and implement clear guidelines for respectful representation. Zara can enhance its engagement with diverse communities, including Muslims, by actively seeking feedback, conducting regular cultural sensitivity training for its design and production teams, and establishing open dialogue and communication channels with its customer base.</w:t>
      </w:r>
    </w:p>
    <w:p w14:paraId="1D7AF42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10F677D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who found Zara’s designs offensive expressed their discontent through social media platforms, initiating discussions and debates. Many individuals within the Muslim community decided to boycott Zara’s products as a means of voicing their protest against the perceived disrespect.</w:t>
      </w:r>
    </w:p>
    <w:p w14:paraId="5A5FE82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2C5A7F8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backlash, Zara apologised and withdrew the clothing items featuring controversial designs from its stores. Zara expressed regret for the offence caused inadvertently and affirmed its commitment to respecting all cultures and religions in its future product offerings.</w:t>
      </w:r>
    </w:p>
    <w:p w14:paraId="26DB49F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45B06B9B" w14:textId="77777777" w:rsidR="002530E2" w:rsidRDefault="002530E2">
      <w:pPr>
        <w:pBdr>
          <w:top w:val="nil"/>
          <w:left w:val="nil"/>
          <w:bottom w:val="nil"/>
          <w:right w:val="nil"/>
          <w:between w:val="nil"/>
        </w:pBdr>
        <w:rPr>
          <w:rFonts w:ascii="Roboto" w:eastAsia="Roboto" w:hAnsi="Roboto" w:cs="Roboto"/>
          <w:sz w:val="24"/>
          <w:szCs w:val="24"/>
        </w:rPr>
      </w:pPr>
      <w:r>
        <w:rPr>
          <w:rFonts w:ascii="Book Antiqua" w:eastAsia="Book Antiqua" w:hAnsi="Book Antiqua" w:cs="Book Antiqua"/>
          <w:sz w:val="20"/>
          <w:szCs w:val="20"/>
        </w:rPr>
        <w:t>The controversy surrounding Zara’s clothing designs resembling the Arabic word for “Allah“ underscores the importance of cultural sensitivity in the fashion industry. Zara faced criticism from Muslim consumers, prompting an apology and the withdrawal of the controversial designs. The incident serves as a reminder for companies to be attentive to potential cultural and religious sensitivities and to foster inclusivity and respect in their product offerings.</w:t>
      </w:r>
    </w:p>
    <w:p w14:paraId="1C1CF6F9" w14:textId="77777777" w:rsidR="002530E2" w:rsidRDefault="002530E2">
      <w:pPr>
        <w:pStyle w:val="Heading2"/>
      </w:pPr>
      <w:r>
        <w:t>IR 010 (2014: Subway, UK)</w:t>
      </w:r>
    </w:p>
    <w:p w14:paraId="1E3B63E2"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“Subway’s Controversy Over Pork DNA Contamination and Muslim Consumer Backlash“</w:t>
      </w:r>
    </w:p>
    <w:p w14:paraId="67739C2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Subway</w:t>
      </w:r>
    </w:p>
    <w:p w14:paraId="5939A5A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1396028B"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United Kingdom</w:t>
      </w:r>
    </w:p>
    <w:p w14:paraId="7CEC4B69"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Year: 2014</w:t>
      </w:r>
    </w:p>
    <w:p w14:paraId="1015EED6" w14:textId="77777777" w:rsidR="002530E2" w:rsidRDefault="002530E2">
      <w:r>
        <w:t>Source: Various media reports, social media discussions, consumer complaints, and articles (referenced in the References section of the thesis).</w:t>
      </w:r>
    </w:p>
    <w:p w14:paraId="34784C9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061F8704"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controversy faced by Subway in 2014 when some of its stores in the UK were selling sandwiches containing pork DNA. The discovery of pork DNA in purportedly halal-certified products sparked outrage among Muslim consumers, who considered the contamination unacceptable and called for improved oversight of halal certification.</w:t>
      </w:r>
    </w:p>
    <w:p w14:paraId="028B5A7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371AD2BD" w14:textId="77777777" w:rsidR="002530E2" w:rsidRDefault="002530E2">
      <w:pPr>
        <w:pBdr>
          <w:top w:val="nil"/>
          <w:left w:val="nil"/>
          <w:bottom w:val="nil"/>
          <w:right w:val="nil"/>
          <w:between w:val="nil"/>
        </w:pBdr>
      </w:pPr>
      <w:r>
        <w:rPr>
          <w:rFonts w:ascii="Book Antiqua" w:eastAsia="Book Antiqua" w:hAnsi="Book Antiqua" w:cs="Book Antiqua"/>
          <w:sz w:val="20"/>
          <w:szCs w:val="20"/>
        </w:rPr>
        <w:t>In subway stores in the UK back in 2014, it was discovered that some were selling sandwiches labelled as halal. However, these products had traces of pork DNA in them. This revelation triggered widespread concern and criticism from Muslim consumers, who adhere to strict dietary guidelines prohibiting pork consumption.</w:t>
      </w:r>
    </w:p>
    <w:p w14:paraId="1B135D0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50E4A12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Subway selling sandwiches labelled as halal, but these products did not contain traces of pork DNA, which Islam forbids under dietary guidelines for Muslims.</w:t>
      </w:r>
    </w:p>
    <w:p w14:paraId="6E06ECD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1AB90399"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who purchased the purportedly halal Subway sandwiches felt deceived and betrayed upon discovering the presence of pork DNA. They considered this contamination a violation of their religious dietary restrictions and expressed their displeasure through social media, boycott calls and demands for improved oversight of halal certification.</w:t>
      </w:r>
    </w:p>
    <w:p w14:paraId="46CBB21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F7AF37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regarding the pork DNA contamination in Subway sandwiches had significant consequences for the company. Subway faced reputational damage as customers questioned the integrity of its halal-certified products. The negative publicity and calls for boycotts put pressure on Subway to address the issue promptly and take measures to prevent similar incidents.</w:t>
      </w:r>
    </w:p>
    <w:p w14:paraId="7ADB0C6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40777BAC" w14:textId="77777777" w:rsidR="002530E2" w:rsidRDefault="002530E2">
      <w:pPr>
        <w:pBdr>
          <w:top w:val="nil"/>
          <w:left w:val="nil"/>
          <w:bottom w:val="nil"/>
          <w:right w:val="nil"/>
          <w:between w:val="nil"/>
        </w:pBdr>
      </w:pPr>
      <w:r>
        <w:rPr>
          <w:rFonts w:ascii="Book Antiqua" w:eastAsia="Book Antiqua" w:hAnsi="Book Antiqua" w:cs="Book Antiqua"/>
          <w:sz w:val="20"/>
          <w:szCs w:val="20"/>
        </w:rPr>
        <w:t>Subway and other food establishments must establish comprehensive quality control measures throughout their supply chains to prevent similar incidents. Strict testing procedures must be followed as part of this, halal and non-halal ingredients must be distinguished, and the halal certification process must be open and accountable. Subway should invest in training and education programs for employees handling halal products. Collaboration with relevant certification bodies and Muslim consumer organisations can foster transparency and continuous improvement in halal product offerings.</w:t>
      </w:r>
    </w:p>
    <w:p w14:paraId="42D04E6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4C5D7660"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who had consumed the contaminated Subway sandwiches felt extremely offended and violated, as the presence of pork DNA conflicted with their religious beliefs. The incident eroded trust in Subway’s halal-certified offerings and led to demands for stricter oversight and transparency regarding the certification process.</w:t>
      </w:r>
    </w:p>
    <w:p w14:paraId="3893255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000CDDCB"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Subway issued a public apology and took immediate action to rectify the situation. The company implemented stricter controls, improved ingredient sourcing, and reinforced its commitment to meeting halal certification standards. Subway’s response aimed to rebuild trust with Muslim consumers and assure them of the company’s dedication to providing genuinely halal products.</w:t>
      </w:r>
    </w:p>
    <w:p w14:paraId="08A55E0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4B1535F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discovery of pork DNA in Subway’s purportedly halal-certified sandwiches in the UK sparked outrage among Muslim consumers. The incident underscored the need for better oversight and quality control to ensure the integrity of halal-certified products. Subway’s response involved an apology, immediate corrective actions, and a renewed commitment to meeting halal certification standards.</w:t>
      </w:r>
    </w:p>
    <w:p w14:paraId="07C44328"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0DF440FC"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0F51118D" w14:textId="77777777" w:rsidR="002530E2" w:rsidRDefault="002530E2">
            <w:pPr>
              <w:widowControl w:val="0"/>
              <w:spacing w:after="200" w:line="276" w:lineRule="auto"/>
              <w:jc w:val="center"/>
              <w:rPr>
                <w:color w:val="0E101A"/>
                <w:sz w:val="28"/>
                <w:szCs w:val="28"/>
              </w:rPr>
            </w:pPr>
            <w:r>
              <w:rPr>
                <w:color w:val="0E101A"/>
                <w:sz w:val="28"/>
                <w:szCs w:val="28"/>
              </w:rPr>
              <w:t>CHAPTER 3: LITERATURE REVIEW</w:t>
            </w:r>
          </w:p>
          <w:p w14:paraId="341B14A8" w14:textId="77777777" w:rsidR="002530E2" w:rsidRDefault="002530E2">
            <w:pPr>
              <w:widowControl w:val="0"/>
              <w:spacing w:after="200" w:line="276" w:lineRule="auto"/>
              <w:jc w:val="center"/>
              <w:rPr>
                <w:color w:val="0E101A"/>
                <w:sz w:val="28"/>
                <w:szCs w:val="28"/>
              </w:rPr>
            </w:pPr>
            <w:r>
              <w:rPr>
                <w:color w:val="0E101A"/>
                <w:sz w:val="28"/>
                <w:szCs w:val="28"/>
              </w:rPr>
              <w:t>(</w:t>
            </w:r>
            <w:r>
              <w:rPr>
                <w:i/>
                <w:color w:val="0E101A"/>
                <w:sz w:val="28"/>
                <w:szCs w:val="28"/>
              </w:rPr>
              <w:t>Part—4)</w:t>
            </w:r>
          </w:p>
        </w:tc>
      </w:tr>
    </w:tbl>
    <w:p w14:paraId="6E6DAFC1" w14:textId="77777777" w:rsidR="002530E2" w:rsidRDefault="002530E2">
      <w:pPr>
        <w:spacing w:after="0"/>
        <w:jc w:val="center"/>
      </w:pPr>
    </w:p>
    <w:p w14:paraId="00FC5F66" w14:textId="77777777" w:rsidR="002530E2" w:rsidRDefault="002530E2">
      <w:pPr>
        <w:spacing w:after="0" w:line="240" w:lineRule="auto"/>
        <w:jc w:val="center"/>
      </w:pPr>
    </w:p>
    <w:p w14:paraId="6CE48F43" w14:textId="77777777" w:rsidR="002530E2" w:rsidRDefault="002530E2">
      <w:pPr>
        <w:pStyle w:val="Heading4"/>
        <w:spacing w:before="0"/>
        <w:rPr>
          <w:color w:val="FFFFFF"/>
        </w:rPr>
      </w:pPr>
      <w:r>
        <w:rPr>
          <w:color w:val="FFFFFF"/>
        </w:rPr>
        <w:t>TABLE OF CONTENT</w:t>
      </w:r>
    </w:p>
    <w:p w14:paraId="1758FAEC" w14:textId="77777777" w:rsidR="002530E2" w:rsidRDefault="002530E2">
      <w:r>
        <w:rPr>
          <w:sz w:val="28"/>
          <w:szCs w:val="28"/>
        </w:rPr>
        <w:t xml:space="preserve">TABLE OF CONTENT FOR CHAPTER 3 </w:t>
      </w:r>
      <w:r>
        <w:rPr>
          <w:i/>
          <w:sz w:val="28"/>
          <w:szCs w:val="28"/>
        </w:rPr>
        <w:t>(Part 4)</w:t>
      </w:r>
    </w:p>
    <w:sdt>
      <w:sdtPr>
        <w:id w:val="-2115734974"/>
        <w:docPartObj>
          <w:docPartGallery w:val="Table of Contents"/>
          <w:docPartUnique/>
        </w:docPartObj>
      </w:sdtPr>
      <w:sdtContent>
        <w:p w14:paraId="4B9EFF3C" w14:textId="77777777" w:rsidR="002530E2" w:rsidRDefault="002530E2">
          <w:pPr>
            <w:widowControl w:val="0"/>
            <w:tabs>
              <w:tab w:val="right" w:leader="dot" w:pos="12000"/>
            </w:tabs>
            <w:spacing w:before="60" w:after="0" w:line="360" w:lineRule="auto"/>
            <w:rPr>
              <w:color w:val="1155CC"/>
            </w:rPr>
          </w:pPr>
          <w:r>
            <w:fldChar w:fldCharType="begin"/>
          </w:r>
          <w:r>
            <w:instrText xml:space="preserve"> TOC \h \u \z \t "Heading 1,1,Heading 2,1,Heading 3,3,Heading 5,5,Heading 6,6,"</w:instrText>
          </w:r>
          <w:r>
            <w:fldChar w:fldCharType="separate"/>
          </w:r>
          <w:hyperlink w:anchor="_heading=h.gjdgxs">
            <w:r>
              <w:rPr>
                <w:rFonts w:ascii="Book Antiqua" w:eastAsia="Book Antiqua" w:hAnsi="Book Antiqua" w:cs="Book Antiqua"/>
                <w:color w:val="1155CC"/>
              </w:rPr>
              <w:t>IR 011 (2014: Cadbury, Malaysia)</w:t>
            </w:r>
            <w:r>
              <w:rPr>
                <w:rFonts w:ascii="Book Antiqua" w:eastAsia="Book Antiqua" w:hAnsi="Book Antiqua" w:cs="Book Antiqua"/>
                <w:color w:val="1155CC"/>
              </w:rPr>
              <w:tab/>
              <w:t>185</w:t>
            </w:r>
          </w:hyperlink>
        </w:p>
        <w:p w14:paraId="2DB26FEC" w14:textId="77777777" w:rsidR="002530E2" w:rsidRDefault="002530E2">
          <w:pPr>
            <w:widowControl w:val="0"/>
            <w:tabs>
              <w:tab w:val="right" w:leader="dot" w:pos="12000"/>
            </w:tabs>
            <w:spacing w:before="60" w:after="0" w:line="360" w:lineRule="auto"/>
            <w:rPr>
              <w:color w:val="1155CC"/>
            </w:rPr>
          </w:pPr>
          <w:hyperlink w:anchor="_heading=h.30j0zll">
            <w:r>
              <w:rPr>
                <w:rFonts w:ascii="Book Antiqua" w:eastAsia="Book Antiqua" w:hAnsi="Book Antiqua" w:cs="Book Antiqua"/>
                <w:color w:val="1155CC"/>
              </w:rPr>
              <w:t>IR 012 (2015: Starbucks, Various countries)</w:t>
            </w:r>
            <w:r>
              <w:rPr>
                <w:rFonts w:ascii="Book Antiqua" w:eastAsia="Book Antiqua" w:hAnsi="Book Antiqua" w:cs="Book Antiqua"/>
                <w:color w:val="1155CC"/>
              </w:rPr>
              <w:tab/>
              <w:t>187</w:t>
            </w:r>
          </w:hyperlink>
        </w:p>
        <w:p w14:paraId="317C8362" w14:textId="77777777" w:rsidR="002530E2" w:rsidRDefault="002530E2">
          <w:pPr>
            <w:widowControl w:val="0"/>
            <w:tabs>
              <w:tab w:val="right" w:leader="dot" w:pos="12000"/>
            </w:tabs>
            <w:spacing w:before="60" w:after="0" w:line="360" w:lineRule="auto"/>
            <w:rPr>
              <w:color w:val="1155CC"/>
            </w:rPr>
          </w:pPr>
          <w:hyperlink w:anchor="_heading=h.1fob9te">
            <w:r>
              <w:rPr>
                <w:rFonts w:ascii="Book Antiqua" w:eastAsia="Book Antiqua" w:hAnsi="Book Antiqua" w:cs="Book Antiqua"/>
                <w:color w:val="1155CC"/>
              </w:rPr>
              <w:t>IR 013 (2015: Starbucks, Global)</w:t>
            </w:r>
            <w:r>
              <w:rPr>
                <w:rFonts w:ascii="Book Antiqua" w:eastAsia="Book Antiqua" w:hAnsi="Book Antiqua" w:cs="Book Antiqua"/>
                <w:color w:val="1155CC"/>
              </w:rPr>
              <w:tab/>
              <w:t>189</w:t>
            </w:r>
          </w:hyperlink>
        </w:p>
        <w:p w14:paraId="10C9077E" w14:textId="77777777" w:rsidR="002530E2" w:rsidRDefault="002530E2">
          <w:pPr>
            <w:widowControl w:val="0"/>
            <w:tabs>
              <w:tab w:val="right" w:leader="dot" w:pos="12000"/>
            </w:tabs>
            <w:spacing w:before="60" w:after="0" w:line="360" w:lineRule="auto"/>
            <w:rPr>
              <w:color w:val="1155CC"/>
            </w:rPr>
          </w:pPr>
          <w:hyperlink w:anchor="_heading=h.3znysh7">
            <w:r>
              <w:rPr>
                <w:rFonts w:ascii="Book Antiqua" w:eastAsia="Book Antiqua" w:hAnsi="Book Antiqua" w:cs="Book Antiqua"/>
                <w:color w:val="1155CC"/>
              </w:rPr>
              <w:t>IR 014 (2015: Nestle, Malaysia)</w:t>
            </w:r>
            <w:r>
              <w:rPr>
                <w:rFonts w:ascii="Book Antiqua" w:eastAsia="Book Antiqua" w:hAnsi="Book Antiqua" w:cs="Book Antiqua"/>
                <w:color w:val="1155CC"/>
              </w:rPr>
              <w:tab/>
              <w:t>191</w:t>
            </w:r>
          </w:hyperlink>
        </w:p>
        <w:p w14:paraId="0B312BCB" w14:textId="77777777" w:rsidR="002530E2" w:rsidRDefault="002530E2">
          <w:pPr>
            <w:widowControl w:val="0"/>
            <w:tabs>
              <w:tab w:val="right" w:leader="dot" w:pos="12000"/>
            </w:tabs>
            <w:spacing w:before="60" w:after="0" w:line="360" w:lineRule="auto"/>
            <w:rPr>
              <w:color w:val="1155CC"/>
            </w:rPr>
          </w:pPr>
          <w:hyperlink w:anchor="_heading=h.2et92p0">
            <w:r>
              <w:rPr>
                <w:rFonts w:ascii="Book Antiqua" w:eastAsia="Book Antiqua" w:hAnsi="Book Antiqua" w:cs="Book Antiqua"/>
                <w:color w:val="1155CC"/>
              </w:rPr>
              <w:t>IR 015 (2015: Apple, Global)</w:t>
            </w:r>
            <w:r>
              <w:rPr>
                <w:rFonts w:ascii="Book Antiqua" w:eastAsia="Book Antiqua" w:hAnsi="Book Antiqua" w:cs="Book Antiqua"/>
                <w:color w:val="1155CC"/>
              </w:rPr>
              <w:tab/>
              <w:t>193</w:t>
            </w:r>
          </w:hyperlink>
        </w:p>
        <w:p w14:paraId="7869B501" w14:textId="77777777" w:rsidR="002530E2" w:rsidRDefault="002530E2">
          <w:pPr>
            <w:widowControl w:val="0"/>
            <w:tabs>
              <w:tab w:val="right" w:leader="dot" w:pos="12000"/>
            </w:tabs>
            <w:spacing w:before="60" w:after="0" w:line="360" w:lineRule="auto"/>
            <w:rPr>
              <w:color w:val="1155CC"/>
            </w:rPr>
          </w:pPr>
          <w:hyperlink w:anchor="_heading=h.tyjcwt">
            <w:r>
              <w:rPr>
                <w:rFonts w:ascii="Book Antiqua" w:eastAsia="Book Antiqua" w:hAnsi="Book Antiqua" w:cs="Book Antiqua"/>
                <w:color w:val="1155CC"/>
              </w:rPr>
              <w:t>IR 016 (2016: Apple, Global)</w:t>
            </w:r>
            <w:r>
              <w:rPr>
                <w:rFonts w:ascii="Book Antiqua" w:eastAsia="Book Antiqua" w:hAnsi="Book Antiqua" w:cs="Book Antiqua"/>
                <w:color w:val="1155CC"/>
              </w:rPr>
              <w:tab/>
              <w:t>196</w:t>
            </w:r>
          </w:hyperlink>
        </w:p>
        <w:p w14:paraId="0A51D24A" w14:textId="77777777" w:rsidR="002530E2" w:rsidRDefault="002530E2">
          <w:pPr>
            <w:widowControl w:val="0"/>
            <w:tabs>
              <w:tab w:val="right" w:leader="dot" w:pos="12000"/>
            </w:tabs>
            <w:spacing w:before="60" w:after="0" w:line="360" w:lineRule="auto"/>
            <w:rPr>
              <w:color w:val="1155CC"/>
            </w:rPr>
          </w:pPr>
          <w:hyperlink w:anchor="_heading=h.3dy6vkm">
            <w:r>
              <w:rPr>
                <w:rFonts w:ascii="Book Antiqua" w:eastAsia="Book Antiqua" w:hAnsi="Book Antiqua" w:cs="Book Antiqua"/>
                <w:color w:val="1155CC"/>
              </w:rPr>
              <w:t>IR 017 (2016: Airbnb, Global)</w:t>
            </w:r>
            <w:r>
              <w:rPr>
                <w:rFonts w:ascii="Book Antiqua" w:eastAsia="Book Antiqua" w:hAnsi="Book Antiqua" w:cs="Book Antiqua"/>
                <w:color w:val="1155CC"/>
              </w:rPr>
              <w:tab/>
              <w:t>198</w:t>
            </w:r>
          </w:hyperlink>
        </w:p>
        <w:p w14:paraId="7FFD1C26" w14:textId="77777777" w:rsidR="002530E2" w:rsidRDefault="002530E2">
          <w:pPr>
            <w:widowControl w:val="0"/>
            <w:tabs>
              <w:tab w:val="right" w:leader="dot" w:pos="12000"/>
            </w:tabs>
            <w:spacing w:before="60" w:after="0" w:line="360" w:lineRule="auto"/>
            <w:rPr>
              <w:color w:val="1155CC"/>
            </w:rPr>
          </w:pPr>
          <w:hyperlink w:anchor="_heading=h.1t3h5sf">
            <w:r>
              <w:rPr>
                <w:rFonts w:ascii="Book Antiqua" w:eastAsia="Book Antiqua" w:hAnsi="Book Antiqua" w:cs="Book Antiqua"/>
                <w:color w:val="1155CC"/>
              </w:rPr>
              <w:t>IR 018 (2016: Unilever, Indonesia)</w:t>
            </w:r>
            <w:r>
              <w:rPr>
                <w:rFonts w:ascii="Book Antiqua" w:eastAsia="Book Antiqua" w:hAnsi="Book Antiqua" w:cs="Book Antiqua"/>
                <w:color w:val="1155CC"/>
              </w:rPr>
              <w:tab/>
              <w:t>201</w:t>
            </w:r>
          </w:hyperlink>
        </w:p>
        <w:p w14:paraId="2C2DD1A5" w14:textId="77777777" w:rsidR="002530E2" w:rsidRDefault="002530E2">
          <w:pPr>
            <w:widowControl w:val="0"/>
            <w:tabs>
              <w:tab w:val="right" w:leader="dot" w:pos="12000"/>
            </w:tabs>
            <w:spacing w:before="60" w:after="0" w:line="360" w:lineRule="auto"/>
            <w:rPr>
              <w:color w:val="1155CC"/>
            </w:rPr>
          </w:pPr>
          <w:hyperlink w:anchor="_heading=h.4d34og8">
            <w:r>
              <w:rPr>
                <w:rFonts w:ascii="Book Antiqua" w:eastAsia="Book Antiqua" w:hAnsi="Book Antiqua" w:cs="Book Antiqua"/>
                <w:color w:val="1155CC"/>
              </w:rPr>
              <w:t>IR 019 (2016: KFC, Kuwait)</w:t>
            </w:r>
            <w:r>
              <w:rPr>
                <w:rFonts w:ascii="Book Antiqua" w:eastAsia="Book Antiqua" w:hAnsi="Book Antiqua" w:cs="Book Antiqua"/>
                <w:color w:val="1155CC"/>
              </w:rPr>
              <w:tab/>
              <w:t>203</w:t>
            </w:r>
          </w:hyperlink>
        </w:p>
        <w:p w14:paraId="74D079E2" w14:textId="77777777" w:rsidR="002530E2" w:rsidRDefault="002530E2">
          <w:pPr>
            <w:widowControl w:val="0"/>
            <w:tabs>
              <w:tab w:val="right" w:leader="dot" w:pos="12000"/>
            </w:tabs>
            <w:spacing w:before="60" w:after="0" w:line="360" w:lineRule="auto"/>
            <w:rPr>
              <w:color w:val="1155CC"/>
            </w:rPr>
          </w:pPr>
          <w:hyperlink w:anchor="_heading=h.2s8eyo1">
            <w:r>
              <w:rPr>
                <w:rFonts w:ascii="Book Antiqua" w:eastAsia="Book Antiqua" w:hAnsi="Book Antiqua" w:cs="Book Antiqua"/>
                <w:color w:val="1155CC"/>
              </w:rPr>
              <w:t>IR 020 (2016: Uber, Michigan, USA)</w:t>
            </w:r>
            <w:r>
              <w:rPr>
                <w:rFonts w:ascii="Book Antiqua" w:eastAsia="Book Antiqua" w:hAnsi="Book Antiqua" w:cs="Book Antiqua"/>
                <w:color w:val="1155CC"/>
              </w:rPr>
              <w:tab/>
              <w:t>205</w:t>
            </w:r>
          </w:hyperlink>
        </w:p>
        <w:p w14:paraId="7CE0D639" w14:textId="77777777" w:rsidR="002530E2" w:rsidRDefault="002530E2">
          <w:pPr>
            <w:widowControl w:val="0"/>
            <w:tabs>
              <w:tab w:val="right" w:leader="dot" w:pos="12000"/>
            </w:tabs>
            <w:spacing w:before="60" w:after="0" w:line="360" w:lineRule="auto"/>
            <w:rPr>
              <w:color w:val="1155CC"/>
            </w:rPr>
          </w:pPr>
          <w:hyperlink w:anchor="_heading=h.17dp8vu">
            <w:r>
              <w:rPr>
                <w:rFonts w:ascii="Book Antiqua" w:eastAsia="Book Antiqua" w:hAnsi="Book Antiqua" w:cs="Book Antiqua"/>
                <w:color w:val="1155CC"/>
              </w:rPr>
              <w:t>IR 021 (2017: AccorHotels, Saudi Arabia)</w:t>
            </w:r>
            <w:r>
              <w:rPr>
                <w:rFonts w:ascii="Book Antiqua" w:eastAsia="Book Antiqua" w:hAnsi="Book Antiqua" w:cs="Book Antiqua"/>
                <w:color w:val="1155CC"/>
              </w:rPr>
              <w:tab/>
              <w:t>208</w:t>
            </w:r>
          </w:hyperlink>
        </w:p>
        <w:p w14:paraId="5887441D" w14:textId="77777777" w:rsidR="002530E2" w:rsidRDefault="002530E2">
          <w:pPr>
            <w:widowControl w:val="0"/>
            <w:tabs>
              <w:tab w:val="right" w:leader="dot" w:pos="12000"/>
            </w:tabs>
            <w:spacing w:before="60" w:after="0" w:line="360" w:lineRule="auto"/>
            <w:rPr>
              <w:color w:val="1155CC"/>
            </w:rPr>
          </w:pPr>
          <w:hyperlink w:anchor="_heading=h.3rdcrjn">
            <w:r>
              <w:rPr>
                <w:rFonts w:ascii="Book Antiqua" w:eastAsia="Book Antiqua" w:hAnsi="Book Antiqua" w:cs="Book Antiqua"/>
                <w:color w:val="1155CC"/>
              </w:rPr>
              <w:t>IR 022 (2017: Uber, USA)</w:t>
            </w:r>
            <w:r>
              <w:rPr>
                <w:rFonts w:ascii="Book Antiqua" w:eastAsia="Book Antiqua" w:hAnsi="Book Antiqua" w:cs="Book Antiqua"/>
                <w:color w:val="1155CC"/>
              </w:rPr>
              <w:tab/>
              <w:t>210</w:t>
            </w:r>
          </w:hyperlink>
          <w:r>
            <w:fldChar w:fldCharType="end"/>
          </w:r>
        </w:p>
      </w:sdtContent>
    </w:sdt>
    <w:p w14:paraId="584CECAB" w14:textId="77777777" w:rsidR="002530E2" w:rsidRDefault="002530E2"/>
    <w:p w14:paraId="1A2037B0" w14:textId="77777777" w:rsidR="002530E2" w:rsidRDefault="002530E2">
      <w:pPr>
        <w:pStyle w:val="Heading2"/>
      </w:pPr>
      <w:bookmarkStart w:id="30" w:name="_heading=h.9n4zj264hjea" w:colFirst="0" w:colLast="0"/>
      <w:bookmarkEnd w:id="30"/>
      <w:r>
        <w:br w:type="page"/>
      </w:r>
    </w:p>
    <w:p w14:paraId="61050D10" w14:textId="77777777" w:rsidR="002530E2" w:rsidRDefault="002530E2">
      <w:pPr>
        <w:pStyle w:val="Heading2"/>
      </w:pPr>
      <w:r>
        <w:lastRenderedPageBreak/>
        <w:t>IR 011 (2014: Cadbury, Malaysia)</w:t>
      </w:r>
    </w:p>
    <w:p w14:paraId="19D30C83"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“Cadbury Controversy in Malaysia“</w:t>
      </w:r>
    </w:p>
    <w:p w14:paraId="5093AE11"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Cadbury</w:t>
      </w:r>
    </w:p>
    <w:p w14:paraId="4C89B00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Kingdom</w:t>
      </w:r>
    </w:p>
    <w:p w14:paraId="59329498"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Malaysia</w:t>
      </w:r>
    </w:p>
    <w:p w14:paraId="047B70D3"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2014</w:t>
      </w:r>
    </w:p>
    <w:p w14:paraId="0EA40DD2" w14:textId="77777777" w:rsidR="002530E2" w:rsidRDefault="002530E2">
      <w:r>
        <w:t>Source: Various media reports, social media discussions, consumer complaints, and articles (referenced in the References section of the thesis).</w:t>
      </w:r>
    </w:p>
    <w:p w14:paraId="46B2E97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58B41CBA"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controversy faced by Cadbury in Malaysia in 2014 when allegations emerged that their chocolate products contained traces of pig DNA. The report focuses on the impact of these allegations on Muslim consumers, who perceived the presence of pig DNA as a violation of their halal dietary restrictions.</w:t>
      </w:r>
    </w:p>
    <w:p w14:paraId="10BEEDE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07B89035"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2014, allegations surfaced in Malaysia that Cadbury</w:t>
      </w:r>
      <w:r>
        <w:t>’</w:t>
      </w:r>
      <w:r>
        <w:rPr>
          <w:rFonts w:ascii="Book Antiqua" w:eastAsia="Book Antiqua" w:hAnsi="Book Antiqua" w:cs="Book Antiqua"/>
          <w:sz w:val="20"/>
          <w:szCs w:val="20"/>
        </w:rPr>
        <w:t>s chocolate products, specifically the Dairy Milk line, contained traces of pig DNA. This revelation created significant controversy among Muslim consumers, as pork consumption is considered non-halal.</w:t>
      </w:r>
    </w:p>
    <w:p w14:paraId="4E80EEF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435C2590"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allegations that Cadbury’s chocolate products in Malaysia contained traces of pig DNA, which violated the halal dietary requirements observed by Muslim consumers.</w:t>
      </w:r>
    </w:p>
    <w:p w14:paraId="4119E91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1A10FBA4"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Malaysia who perceived Cadbury’s products as containing pig DNA felt that their religious dietary restrictions had been violated. They expressed concerns, boycotted the brand, and demanded an apology and compensation for the alleged offence.</w:t>
      </w:r>
    </w:p>
    <w:p w14:paraId="189290F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9CFBA5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had a negative effect on Cadbury’s reputation and sales in Malaysia. The brand faced boycotts, widespread criticism, and demands for accountability from Muslim consumers. The allegations undermined consumer trust in Cadbury’s products and tarnished the brand’s image.</w:t>
      </w:r>
    </w:p>
    <w:p w14:paraId="412C129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52D2F2AA" w14:textId="77777777" w:rsidR="002530E2" w:rsidRDefault="002530E2">
      <w:pPr>
        <w:pBdr>
          <w:top w:val="nil"/>
          <w:left w:val="nil"/>
          <w:bottom w:val="nil"/>
          <w:right w:val="nil"/>
          <w:between w:val="nil"/>
        </w:pBdr>
      </w:pPr>
      <w:r>
        <w:rPr>
          <w:rFonts w:ascii="Book Antiqua" w:eastAsia="Book Antiqua" w:hAnsi="Book Antiqua" w:cs="Book Antiqua"/>
          <w:sz w:val="20"/>
          <w:szCs w:val="20"/>
        </w:rPr>
        <w:t>Cadbury can enhance its supply chain management and quality control processes to prevent similar controversies in the future. By ensuring strict adherence to halal standards and implementing robust product testing protocols, Cadbury can prevent accidental contamination of its products and maintain consumer trust. Collaboration with relevant authorities and engaging with the Muslim community can also help ensure transparency and address concerns proactively.</w:t>
      </w:r>
    </w:p>
    <w:p w14:paraId="01B4579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7E915B60"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Muslim consumers in Malaysia expressed concern over the alleged presence of pig DNA in Cadbury’s chocolate products. Some individuals boycotted the brand and demanded an apology and compensation for the perceived violation of their dietary restrictions.</w:t>
      </w:r>
    </w:p>
    <w:p w14:paraId="296B671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185DC507" w14:textId="77777777" w:rsidR="002530E2" w:rsidRDefault="002530E2">
      <w:pPr>
        <w:pBdr>
          <w:top w:val="nil"/>
          <w:left w:val="nil"/>
          <w:bottom w:val="nil"/>
          <w:right w:val="nil"/>
          <w:between w:val="nil"/>
        </w:pBdr>
      </w:pPr>
      <w:r>
        <w:rPr>
          <w:rFonts w:ascii="Book Antiqua" w:eastAsia="Book Antiqua" w:hAnsi="Book Antiqua" w:cs="Book Antiqua"/>
          <w:sz w:val="20"/>
          <w:szCs w:val="20"/>
        </w:rPr>
        <w:t>Cadbury took the allegations seriously and conducted internal investigations and independent tests on their products. The results confirmed the absence of pig DNA, and Cadbury actively engaged with relevant authorities, including the Malaysian Islamic Development Department (JAKIM), to reaffirm the halal status of their products. Cadbury communicated the results of their investigations and testing to the public to address the concerns of Muslim consumers.</w:t>
      </w:r>
    </w:p>
    <w:p w14:paraId="605C6CD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54C76E82"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Cadbury controversy in Malaysia in 2014, involving allegations of pig DNA in their chocolate products, significantly impacted the brand</w:t>
      </w:r>
      <w:r>
        <w:t>’</w:t>
      </w:r>
      <w:r>
        <w:rPr>
          <w:rFonts w:ascii="Book Antiqua" w:eastAsia="Book Antiqua" w:hAnsi="Book Antiqua" w:cs="Book Antiqua"/>
          <w:sz w:val="20"/>
          <w:szCs w:val="20"/>
        </w:rPr>
        <w:t>s reputation and sales. The incident highlighted the importance of adhering to halal standards and maintaining transparency in the food industry. To address the concerns of Muslim consumers and regain their trust, Cadbury conducted investigations, independent testing and engaged with relevant authorities.</w:t>
      </w:r>
    </w:p>
    <w:p w14:paraId="01E7503D" w14:textId="77777777" w:rsidR="002530E2" w:rsidRDefault="002530E2">
      <w:pPr>
        <w:pStyle w:val="Heading2"/>
      </w:pPr>
      <w:r>
        <w:t>IR 012 (2015: Starbucks, Various countries)</w:t>
      </w:r>
    </w:p>
    <w:p w14:paraId="21FDF3ED"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“Starbucks and the Controversy Surrounding the Refusal to Serve Customers with Religious Head Coverings“</w:t>
      </w:r>
    </w:p>
    <w:p w14:paraId="268394A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Starbucks</w:t>
      </w:r>
    </w:p>
    <w:p w14:paraId="20EBAFE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0CC8F356"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Various Starbucks locations</w:t>
      </w:r>
    </w:p>
    <w:p w14:paraId="142BF4B9"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2015</w:t>
      </w:r>
    </w:p>
    <w:p w14:paraId="755825CF" w14:textId="77777777" w:rsidR="002530E2" w:rsidRDefault="002530E2">
      <w:r>
        <w:t>Source: Various media reports, social media discussions, consumer complaints, and articles (referenced in the References section of the thesis).</w:t>
      </w:r>
    </w:p>
    <w:p w14:paraId="51AF76C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536C7E7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controversy faced by Starbucks in 2015 when reports emerged that some employees had refused to serve customers wearing hijabs or other religious head coverings. The report shows that many Muslim consumers felt Starbucks was discriminatory and called for a boycott of the popular coffee chain.</w:t>
      </w:r>
    </w:p>
    <w:p w14:paraId="043BA03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7E7D949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2015, it was reported that certain Starbucks employees had refused to serve customers who wore hijabs or other religious head coverings. This incident deeply affected Muslim consumers, who interpreted it as discrimination and a lack of respect for their religious beliefs.</w:t>
      </w:r>
    </w:p>
    <w:p w14:paraId="32BB9EA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62C184E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Starbucks employees refusing to serve customers wearing hijabs or other religious head coverings, resulting in perceived discrimination against Muslim consumers.</w:t>
      </w:r>
    </w:p>
    <w:p w14:paraId="3514091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5CAD0D78"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Muslim consumers felt disappointed and frustrated by Starbucks’ refusal to serve customers with religious head coverings. They viewed the incident as an act of discrimination targeting their religious identity.</w:t>
      </w:r>
    </w:p>
    <w:p w14:paraId="75EAA03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5104B59" w14:textId="77777777" w:rsidR="002530E2" w:rsidRDefault="002530E2">
      <w:pPr>
        <w:pBdr>
          <w:top w:val="nil"/>
          <w:left w:val="nil"/>
          <w:bottom w:val="nil"/>
          <w:right w:val="nil"/>
          <w:between w:val="nil"/>
        </w:pBdr>
      </w:pPr>
      <w:r>
        <w:rPr>
          <w:rFonts w:ascii="Book Antiqua" w:eastAsia="Book Antiqua" w:hAnsi="Book Antiqua" w:cs="Book Antiqua"/>
          <w:sz w:val="20"/>
          <w:szCs w:val="20"/>
        </w:rPr>
        <w:t>Starbucks faced criticism for the reported incidents, which led to reputational damage and potential financial losses due to the boycott called for by Muslim consumers. The incident highlighted concerns about inclusivity and the need to address diversity-related issues promptly.</w:t>
      </w:r>
    </w:p>
    <w:p w14:paraId="1D275D3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0A2EDBB3" w14:textId="77777777" w:rsidR="002530E2" w:rsidRDefault="002530E2">
      <w:pPr>
        <w:pBdr>
          <w:top w:val="nil"/>
          <w:left w:val="nil"/>
          <w:bottom w:val="nil"/>
          <w:right w:val="nil"/>
          <w:between w:val="nil"/>
        </w:pBdr>
      </w:pPr>
      <w:r>
        <w:rPr>
          <w:rFonts w:ascii="Book Antiqua" w:eastAsia="Book Antiqua" w:hAnsi="Book Antiqua" w:cs="Book Antiqua"/>
          <w:sz w:val="20"/>
          <w:szCs w:val="20"/>
        </w:rPr>
        <w:t>Starbucks should review and strengthen its policies and training programs to explicitly address cultural and religious diversity to prevent similar incidents in the future. This includes reinforcing guidelines on inclusivity and religious accommodation and providing employees with the necessary knowledge and resources to handle diverse customer interactions respectfully. Ongoing training programs can ensure continuous education and awareness regarding cultural and religious diversity. Engaging with diverse communities and establishing feedback channels can contribute to a more inclusive approach.</w:t>
      </w:r>
    </w:p>
    <w:p w14:paraId="42AF0CA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508596CB"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through social media platforms, calling for a boycott of Starbucks to protest against what they perceived as discriminatory behaviour.</w:t>
      </w:r>
    </w:p>
    <w:p w14:paraId="2FF6DD1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2C8B773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Starbucks apologised and reaffirmed its commitment to diversity and inclusivity. The company pledged to conduct additional training programs to educate its employees about cultural and religious diversity, aiming to prevent similar incidents in the future.</w:t>
      </w:r>
    </w:p>
    <w:p w14:paraId="7D687E7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2CC8C279" w14:textId="77777777" w:rsidR="002530E2" w:rsidRDefault="002530E2">
      <w:pPr>
        <w:pBdr>
          <w:top w:val="nil"/>
          <w:left w:val="nil"/>
          <w:bottom w:val="nil"/>
          <w:right w:val="nil"/>
          <w:between w:val="nil"/>
        </w:pBdr>
        <w:rPr>
          <w:rFonts w:ascii="Roboto" w:eastAsia="Roboto" w:hAnsi="Roboto" w:cs="Roboto"/>
          <w:sz w:val="24"/>
          <w:szCs w:val="24"/>
        </w:rPr>
      </w:pPr>
      <w:r>
        <w:rPr>
          <w:rFonts w:ascii="Book Antiqua" w:eastAsia="Book Antiqua" w:hAnsi="Book Antiqua" w:cs="Book Antiqua"/>
          <w:sz w:val="20"/>
          <w:szCs w:val="20"/>
        </w:rPr>
        <w:t>The controversy surrounding Starbucks</w:t>
      </w:r>
      <w:r>
        <w:t>’</w:t>
      </w:r>
      <w:r>
        <w:rPr>
          <w:rFonts w:ascii="Book Antiqua" w:eastAsia="Book Antiqua" w:hAnsi="Book Antiqua" w:cs="Book Antiqua"/>
          <w:sz w:val="20"/>
          <w:szCs w:val="20"/>
        </w:rPr>
        <w:t xml:space="preserve"> refusal to serve customers with religious head coverings highlights the significance of inclusivity and respect in the service industry. Starbucks faced criticism from Muslim consumers, leading to an apology and a commitment to training programs to prevent future incidents. This incident reminds companies to prioritise diversity, cultural sensitivity, and inclusivity in customer service practices.</w:t>
      </w:r>
    </w:p>
    <w:p w14:paraId="2CD95F9E" w14:textId="77777777" w:rsidR="002530E2" w:rsidRDefault="002530E2">
      <w:pPr>
        <w:pStyle w:val="Heading2"/>
      </w:pPr>
      <w:r>
        <w:t>IR 013 (2015: Starbucks, Global)</w:t>
      </w:r>
    </w:p>
    <w:p w14:paraId="2A360B10"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“Starbucks’ Controversy Regarding Halal Certification“</w:t>
      </w:r>
    </w:p>
    <w:p w14:paraId="76533668"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Starbucks</w:t>
      </w:r>
    </w:p>
    <w:p w14:paraId="715B2C9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51C9890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 (specific regions affected by the controversy)</w:t>
      </w:r>
    </w:p>
    <w:p w14:paraId="3B9A76A2"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2015</w:t>
      </w:r>
    </w:p>
    <w:p w14:paraId="2FC5FB52" w14:textId="77777777" w:rsidR="002530E2" w:rsidRDefault="002530E2">
      <w:r>
        <w:t>Source: Various media reports, social media discussions, consumer complaints, and articles (referenced in the References section of the thesis).</w:t>
      </w:r>
    </w:p>
    <w:p w14:paraId="594743C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1E0095C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This incident report examines the cross-cultural blunder by Starbucks in 2015 when it was revealed that some of its products contained gelatin derived from non-halal sources. The report focuses on the controversy surrounding Starbucks</w:t>
      </w:r>
      <w:r>
        <w:t>’</w:t>
      </w:r>
      <w:r>
        <w:rPr>
          <w:rFonts w:ascii="Book Antiqua" w:eastAsia="Book Antiqua" w:hAnsi="Book Antiqua" w:cs="Book Antiqua"/>
          <w:sz w:val="20"/>
          <w:szCs w:val="20"/>
        </w:rPr>
        <w:t xml:space="preserve"> products and their compliance with halal dietary requirements.</w:t>
      </w:r>
    </w:p>
    <w:p w14:paraId="177E63E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66CC989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2015, it was disclosed that certain Starbucks products contained gelatin derived from animal sources that Islamic dietary standards did not consider halal. This revelation caused discontent among Muslim consumers who had been consuming these products under the assumption that they were halal-certified.</w:t>
      </w:r>
    </w:p>
    <w:p w14:paraId="5206F81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7067F09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Starbucks, including gelatin derived from non-halal sources in some of its products. It led to misrepresentation and confusion among Muslim consumers who believed these products were halal-certified.</w:t>
      </w:r>
    </w:p>
    <w:p w14:paraId="5E854B6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3AA9E4EA"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who adhered to halal dietary guidelines were directly affected by this incident. They felt deceived and betrayed by Starbucks</w:t>
      </w:r>
      <w:r>
        <w:t>’</w:t>
      </w:r>
      <w:r>
        <w:rPr>
          <w:rFonts w:ascii="Book Antiqua" w:eastAsia="Book Antiqua" w:hAnsi="Book Antiqua" w:cs="Book Antiqua"/>
          <w:sz w:val="20"/>
          <w:szCs w:val="20"/>
        </w:rPr>
        <w:t xml:space="preserve"> failure to ensure their products met halal certification standards. This led to a loss of trust and disrespect towards their religious beliefs.</w:t>
      </w:r>
    </w:p>
    <w:p w14:paraId="22BFB79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2FF2890D" w14:textId="77777777" w:rsidR="002530E2" w:rsidRDefault="002530E2">
      <w:pPr>
        <w:pBdr>
          <w:top w:val="nil"/>
          <w:left w:val="nil"/>
          <w:bottom w:val="nil"/>
          <w:right w:val="nil"/>
          <w:between w:val="nil"/>
        </w:pBdr>
      </w:pPr>
      <w:r>
        <w:rPr>
          <w:rFonts w:ascii="Book Antiqua" w:eastAsia="Book Antiqua" w:hAnsi="Book Antiqua" w:cs="Book Antiqua"/>
          <w:sz w:val="20"/>
          <w:szCs w:val="20"/>
        </w:rPr>
        <w:t>Starbucks faced criticism from Muslim consumers for the presence of non-halal ingredients in their products. The company’s reputation was negatively affected, and there was a potential impact on its sales among Muslim consumers. The incident highlighted the importance of transparency and adherence to halal certification standards for companies catering to diverse consumer groups.</w:t>
      </w:r>
    </w:p>
    <w:p w14:paraId="06807ADD"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09F61A2C" w14:textId="77777777" w:rsidR="002530E2" w:rsidRDefault="002530E2">
      <w:pPr>
        <w:pBdr>
          <w:top w:val="nil"/>
          <w:left w:val="nil"/>
          <w:bottom w:val="nil"/>
          <w:right w:val="nil"/>
          <w:between w:val="nil"/>
        </w:pBdr>
      </w:pPr>
      <w:r>
        <w:rPr>
          <w:rFonts w:ascii="Book Antiqua" w:eastAsia="Book Antiqua" w:hAnsi="Book Antiqua" w:cs="Book Antiqua"/>
          <w:sz w:val="20"/>
          <w:szCs w:val="20"/>
        </w:rPr>
        <w:t>Starbucks should establish robust procedures for verifying the halal status of ingredients and products to prevent similar incidents in the future. This includes implementing rigorous audits and certifications from reputable halal certification organisations to ensure compliance and instil confidence among Muslim consumers. Training programs for employees can enhance cultural competency and awareness of religious dietary requirements. Regular reviews of product ingredients and labelling processes and proactive engagement with Muslim consumer communities can further strengthen the company</w:t>
      </w:r>
      <w:r>
        <w:t>’</w:t>
      </w:r>
      <w:r>
        <w:rPr>
          <w:rFonts w:ascii="Book Antiqua" w:eastAsia="Book Antiqua" w:hAnsi="Book Antiqua" w:cs="Book Antiqua"/>
          <w:sz w:val="20"/>
          <w:szCs w:val="20"/>
        </w:rPr>
        <w:t>s commitment to meeting their needs.</w:t>
      </w:r>
    </w:p>
    <w:p w14:paraId="4156D21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3AC5A5FA"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with Starbucks</w:t>
      </w:r>
      <w:r>
        <w:t>’</w:t>
      </w:r>
      <w:r>
        <w:rPr>
          <w:rFonts w:ascii="Book Antiqua" w:eastAsia="Book Antiqua" w:hAnsi="Book Antiqua" w:cs="Book Antiqua"/>
          <w:sz w:val="20"/>
          <w:szCs w:val="20"/>
        </w:rPr>
        <w:t xml:space="preserve"> lack of transparency regarding the halal status of its products. Some individuals called for a boycott of the coffee chain, believing their religious dietary requirements were compromised.</w:t>
      </w:r>
    </w:p>
    <w:p w14:paraId="4B7D2C7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1C1F46A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criticism, Starbucks issued a public apology and pledged to improve its communication and transparency regarding the halal status of its products. The company is committed to working closely with certification bodies to ensure adherence to halal requirements and provide accurate information to its Muslim consumers.</w:t>
      </w:r>
    </w:p>
    <w:p w14:paraId="76E6D08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0FD9E28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controversy surrounding Starbucks’ products and their compliance with halal requirements emphasises the importance of respecting religious dietary practices and providing accurate information to consumers. It serves as a reminder for companies to ensure transparency and adherence to relevant certification standards when catering to diverse cultural and religious preferences.</w:t>
      </w:r>
    </w:p>
    <w:p w14:paraId="34D3D352" w14:textId="77777777" w:rsidR="002530E2" w:rsidRDefault="002530E2">
      <w:pPr>
        <w:pStyle w:val="Heading2"/>
      </w:pPr>
      <w:r>
        <w:t>IR 014 (2015: Nestle, Malaysia)</w:t>
      </w:r>
    </w:p>
    <w:p w14:paraId="3D5EC3CF"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“Nestle Maggi Noodles Controversy in Malaysia“</w:t>
      </w:r>
    </w:p>
    <w:p w14:paraId="778ABFE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Nestle</w:t>
      </w:r>
    </w:p>
    <w:p w14:paraId="20F1DE3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Switzerland</w:t>
      </w:r>
    </w:p>
    <w:p w14:paraId="79E77671"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Malaysia</w:t>
      </w:r>
    </w:p>
    <w:p w14:paraId="3FB7B44D"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2015</w:t>
      </w:r>
    </w:p>
    <w:p w14:paraId="058CD381" w14:textId="77777777" w:rsidR="002530E2" w:rsidRDefault="002530E2">
      <w:r>
        <w:t>Source: Various media reports, social media discussions, consumer complaints, and articles (referenced in the References section of the thesis).</w:t>
      </w:r>
    </w:p>
    <w:p w14:paraId="069AB41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77FA8620"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controversy faced by Nestle in Malaysia in 2015 regarding the use of haram (non-halal) ingredients in its Maggi noodles. Muslim consumers boycotted the brand and demanded an apology and compensation for violating their dietary restrictions.</w:t>
      </w:r>
    </w:p>
    <w:p w14:paraId="60F8824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38AB5D13"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2015, it was revealed that certain variants of Nestle’s Maggi noodles in Malaysia contained haram (non-halal) ingredients. This discovery sparked outrage among Muslim consumers who felt that their dietary restrictions had been violated.</w:t>
      </w:r>
    </w:p>
    <w:p w14:paraId="211E75F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28A0A3A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Nestle using haram ingredients in certain variants of its Maggi noodles, violating Islamic dietary restrictions and causing discontent among Muslim consumers.</w:t>
      </w:r>
    </w:p>
    <w:p w14:paraId="35B3217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3417F6B3"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Malaysia were directly affected by this controversy. They discovered the presence of haram ingredients in certain Maggi noodle variants and initiated a brand boycott. They demanded an apology from Nestle and compensation for the perceived harm caused.</w:t>
      </w:r>
    </w:p>
    <w:p w14:paraId="165FFF6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7BD5EC1B" w14:textId="77777777" w:rsidR="002530E2" w:rsidRDefault="002530E2">
      <w:pPr>
        <w:pBdr>
          <w:top w:val="nil"/>
          <w:left w:val="nil"/>
          <w:bottom w:val="nil"/>
          <w:right w:val="nil"/>
          <w:between w:val="nil"/>
        </w:pBdr>
      </w:pPr>
      <w:r>
        <w:rPr>
          <w:rFonts w:ascii="Book Antiqua" w:eastAsia="Book Antiqua" w:hAnsi="Book Antiqua" w:cs="Book Antiqua"/>
          <w:sz w:val="20"/>
          <w:szCs w:val="20"/>
        </w:rPr>
        <w:t>Nestle faced a significant backlash in Malaysia due to the Maggi noodles controversy. The boycott by Muslim consumers could impact the company</w:t>
      </w:r>
      <w:r>
        <w:t>’</w:t>
      </w:r>
      <w:r>
        <w:rPr>
          <w:rFonts w:ascii="Book Antiqua" w:eastAsia="Book Antiqua" w:hAnsi="Book Antiqua" w:cs="Book Antiqua"/>
          <w:sz w:val="20"/>
          <w:szCs w:val="20"/>
        </w:rPr>
        <w:t>s sales and reputation. Nestle was compelled to take immediate action to withdraw the affected products and improve its internal control processes to regain the trust of Muslim consumers.</w:t>
      </w:r>
    </w:p>
    <w:p w14:paraId="58CFB1E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32E8F2E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Nestle should prioritise strict adherence to halal standards, particularly in products targeted at Muslim consumers, to prevent similar incidents in the future. The company should maintain </w:t>
      </w:r>
      <w:r>
        <w:rPr>
          <w:rFonts w:ascii="Book Antiqua" w:eastAsia="Book Antiqua" w:hAnsi="Book Antiqua" w:cs="Book Antiqua"/>
          <w:sz w:val="20"/>
          <w:szCs w:val="20"/>
        </w:rPr>
        <w:lastRenderedPageBreak/>
        <w:t>transparency in its ingredient sourcing, conduct thorough checks to ensure halal compliance and implement effective quality control processes. Nestle should establish stronger communication channels with its Muslim consumer base and proactively address halal certification and compliance concerns.</w:t>
      </w:r>
    </w:p>
    <w:p w14:paraId="2DBBC87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18070FD8"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Malaysia initiated a boycott of Nestle</w:t>
      </w:r>
      <w:r>
        <w:t>’</w:t>
      </w:r>
      <w:r>
        <w:rPr>
          <w:rFonts w:ascii="Book Antiqua" w:eastAsia="Book Antiqua" w:hAnsi="Book Antiqua" w:cs="Book Antiqua"/>
          <w:sz w:val="20"/>
          <w:szCs w:val="20"/>
        </w:rPr>
        <w:t>s Maggi noodles in response to the controversy. They demanded an apology from the company and compensation for violating their dietary restrictions. The controversy sparked discussions within the Muslim community and garnered media attention.</w:t>
      </w:r>
    </w:p>
    <w:p w14:paraId="61F7A04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73CD3A61" w14:textId="77777777" w:rsidR="002530E2" w:rsidRDefault="002530E2">
      <w:pPr>
        <w:pBdr>
          <w:top w:val="nil"/>
          <w:left w:val="nil"/>
          <w:bottom w:val="nil"/>
          <w:right w:val="nil"/>
          <w:between w:val="nil"/>
        </w:pBdr>
      </w:pPr>
      <w:r>
        <w:rPr>
          <w:rFonts w:ascii="Book Antiqua" w:eastAsia="Book Antiqua" w:hAnsi="Book Antiqua" w:cs="Book Antiqua"/>
          <w:sz w:val="20"/>
          <w:szCs w:val="20"/>
        </w:rPr>
        <w:t>Nestle Malaysia responded to the controversy by issuing an apology to Muslim consumers. The company promptly withdrew the affected Maggi noodle variants from the market. Nestle also pledged to improve its internal control processes and ensure all its products comply with halal standards. These actions aimed to rebuild trust with Muslim consumers and address their concerns.</w:t>
      </w:r>
    </w:p>
    <w:p w14:paraId="234592F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3F243E7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Nestle Maggi noodles controversy in Malaysia highlighted the importance of strict adherence to halal standards in food products targeted at Muslim consumers. It emphasised the need for companies like Nestle to prioritise transparency, conduct thorough ingredient checks, and implement effective quality control processes to prevent controversies related to dietary restrictions. Nestle Malaysia’s response, including an apology and product withdrawal, aimed to address the concerns raised and rebuild trust with its Muslim consumer base.</w:t>
      </w:r>
    </w:p>
    <w:p w14:paraId="6C7E07B1" w14:textId="77777777" w:rsidR="002530E2" w:rsidRDefault="002530E2">
      <w:pPr>
        <w:pStyle w:val="Heading2"/>
      </w:pPr>
      <w:r>
        <w:t>IR 015 (2015: Apple, Global)</w:t>
      </w:r>
    </w:p>
    <w:p w14:paraId="39F9F9AD"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“Removal of the Quran Explorer App from Apple’s App Store“</w:t>
      </w:r>
    </w:p>
    <w:p w14:paraId="45EC3CB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Apple Inc.</w:t>
      </w:r>
    </w:p>
    <w:p w14:paraId="12E2DEC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248A2488"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 (App Store)</w:t>
      </w:r>
    </w:p>
    <w:p w14:paraId="62A848E0"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2015</w:t>
      </w:r>
    </w:p>
    <w:p w14:paraId="6D00A08D" w14:textId="77777777" w:rsidR="002530E2" w:rsidRDefault="002530E2">
      <w:r>
        <w:t>Source: Various media reports, social media discussions, consumer complaints, and articles (referenced in the References section of the thesis).</w:t>
      </w:r>
    </w:p>
    <w:p w14:paraId="4C1C1FA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6DF65E98"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backlash faced by Apple in 2015 when the Quran Explorer app was removed from its App Store. Removing the app sparked criticism from Muslim consumers who believed it was unfairly targeted and called Apple to reinstate it.</w:t>
      </w:r>
    </w:p>
    <w:p w14:paraId="1F97D7C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1F3D5F6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 2015, Apple removed the Quran Explorer app from its App Store. The app, which provided users access to the Quran and related resources, was widely used by Muslim consumers for religious </w:t>
      </w:r>
      <w:r>
        <w:rPr>
          <w:rFonts w:ascii="Book Antiqua" w:eastAsia="Book Antiqua" w:hAnsi="Book Antiqua" w:cs="Book Antiqua"/>
          <w:sz w:val="20"/>
          <w:szCs w:val="20"/>
        </w:rPr>
        <w:lastRenderedPageBreak/>
        <w:t>purposes. Removing the app caused an outcry among the Muslim community, who felt that their access to important religious content was hindered.</w:t>
      </w:r>
    </w:p>
    <w:p w14:paraId="1082E80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090B87E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involved Apple’s decision to remove the Quran Explorer app from the App Store without adequately considering its significance to the Muslim community. This action led to backlash and accusations of unfair targeting and restrictions on religious content.</w:t>
      </w:r>
    </w:p>
    <w:p w14:paraId="1A6916A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4C9638C4"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globally were directly affected by removing the Quran Explorer app. They relied on the app for reading and studying the Quran, and its removal hindered their access to important religious content. This significantly impacted their ability to engage with their religious practices and the convenience of accessing the Quran.</w:t>
      </w:r>
    </w:p>
    <w:p w14:paraId="3A0C90F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F2244C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had implications for Apple</w:t>
      </w:r>
      <w:r>
        <w:t>’</w:t>
      </w:r>
      <w:r>
        <w:rPr>
          <w:rFonts w:ascii="Book Antiqua" w:eastAsia="Book Antiqua" w:hAnsi="Book Antiqua" w:cs="Book Antiqua"/>
          <w:sz w:val="20"/>
          <w:szCs w:val="20"/>
        </w:rPr>
        <w:t>s reputation, particularly among Muslim consumers. The company faced criticism for what was perceived as a lack of understanding or consideration of the importance of the Quran Explorer app to the Muslim community. Removing the app raised concerns about potential biases and restrictions on religious content in the App Store.</w:t>
      </w:r>
    </w:p>
    <w:p w14:paraId="30B6239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5681589C" w14:textId="77777777" w:rsidR="002530E2" w:rsidRDefault="002530E2">
      <w:pPr>
        <w:pBdr>
          <w:top w:val="nil"/>
          <w:left w:val="nil"/>
          <w:bottom w:val="nil"/>
          <w:right w:val="nil"/>
          <w:between w:val="nil"/>
        </w:pBdr>
      </w:pPr>
      <w:r>
        <w:rPr>
          <w:rFonts w:ascii="Book Antiqua" w:eastAsia="Book Antiqua" w:hAnsi="Book Antiqua" w:cs="Book Antiqua"/>
          <w:sz w:val="20"/>
          <w:szCs w:val="20"/>
        </w:rPr>
        <w:t>Apple should establish clearer guidelines and review processes for evaluating religious apps to prevent similar incidents in the future. This will help avoid any perception of bias or unfair targeting of specific religious communities. Engaging in open communication and seeking feedback from affected communities can also aid in understanding and addressing their specific needs and concerns. In the long term, Apple can collaborate with religious organisations and experts to ensure a better understanding and sensitivity towards religious content on its platforms. Regular engagement, training programs, and cultural competency initiatives can further enhance Apple’s ability to address the needs of diverse religious communities.</w:t>
      </w:r>
    </w:p>
    <w:p w14:paraId="3B314E4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6D960D48"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reacted strongly to removing the Quran Explorer app, expressing their discontent and frustration. They called for Apple to reinstate the app and voiced concerns about potential biases and restrictions on religious content. The incident sparked discussions within the Muslim community and garnered media attention.</w:t>
      </w:r>
    </w:p>
    <w:p w14:paraId="3088622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7B2ACB6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backlash, Apple engaged in dialogue with Muslim consumers and religious organisations to better understand the concerns and implications of the app</w:t>
      </w:r>
      <w:r>
        <w:t>’</w:t>
      </w:r>
      <w:r>
        <w:rPr>
          <w:rFonts w:ascii="Book Antiqua" w:eastAsia="Book Antiqua" w:hAnsi="Book Antiqua" w:cs="Book Antiqua"/>
          <w:sz w:val="20"/>
          <w:szCs w:val="20"/>
        </w:rPr>
        <w:t>s removal. The company reinstated the Quran Explorer app and reassessed its policies and procedures regarding religious content on the App Store. Apple aimed to address the concerns raised by Muslim consumers and improve its policies for handling religious apps.</w:t>
      </w:r>
    </w:p>
    <w:p w14:paraId="33C95E8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4F3CE2B9" w14:textId="77777777" w:rsidR="002530E2" w:rsidRDefault="002530E2">
      <w:pPr>
        <w:pBdr>
          <w:top w:val="nil"/>
          <w:left w:val="nil"/>
          <w:bottom w:val="nil"/>
          <w:right w:val="nil"/>
          <w:between w:val="nil"/>
        </w:pBdr>
      </w:pPr>
      <w:r>
        <w:rPr>
          <w:rFonts w:ascii="Book Antiqua" w:eastAsia="Book Antiqua" w:hAnsi="Book Antiqua" w:cs="Book Antiqua"/>
          <w:sz w:val="20"/>
          <w:szCs w:val="20"/>
        </w:rPr>
        <w:t>Removing the Quran Explorer app from Apple</w:t>
      </w:r>
      <w:r>
        <w:t>’</w:t>
      </w:r>
      <w:r>
        <w:rPr>
          <w:rFonts w:ascii="Book Antiqua" w:eastAsia="Book Antiqua" w:hAnsi="Book Antiqua" w:cs="Book Antiqua"/>
          <w:sz w:val="20"/>
          <w:szCs w:val="20"/>
        </w:rPr>
        <w:t xml:space="preserve">s App Store in 2015 highlighted the importance of considering the significance of religious content and the potential impact of app removals on specific communities. Apple is working to improve its engagement with Muslim consumers by reinstating an app that addresses their concerns and improves policies regarding religious content on the App Store. </w:t>
      </w:r>
      <w:r>
        <w:rPr>
          <w:rFonts w:ascii="Book Antiqua" w:eastAsia="Book Antiqua" w:hAnsi="Book Antiqua" w:cs="Book Antiqua"/>
          <w:sz w:val="20"/>
          <w:szCs w:val="20"/>
        </w:rPr>
        <w:lastRenderedPageBreak/>
        <w:t>Clear guidelines, regular engagement, and cultural competency initiatives can help prevent similar incidents and ensure better understanding and sensitivity towards diverse religious communities on Apple</w:t>
      </w:r>
      <w:r>
        <w:t>’</w:t>
      </w:r>
      <w:r>
        <w:rPr>
          <w:rFonts w:ascii="Book Antiqua" w:eastAsia="Book Antiqua" w:hAnsi="Book Antiqua" w:cs="Book Antiqua"/>
          <w:sz w:val="20"/>
          <w:szCs w:val="20"/>
        </w:rPr>
        <w:t>s platforms.</w:t>
      </w:r>
    </w:p>
    <w:p w14:paraId="6DD2A015" w14:textId="77777777" w:rsidR="002530E2" w:rsidRDefault="002530E2">
      <w:pPr>
        <w:pStyle w:val="Heading2"/>
      </w:pPr>
      <w:r>
        <w:t>IR 016 (2016: Apple, Global)</w:t>
      </w:r>
    </w:p>
    <w:p w14:paraId="44542D68"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“Apple’s Quran App Controversy“</w:t>
      </w:r>
    </w:p>
    <w:p w14:paraId="6C5EB84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Apple Inc.</w:t>
      </w:r>
    </w:p>
    <w:p w14:paraId="08D0A9A1"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4808488D"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00D41282"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2016</w:t>
      </w:r>
    </w:p>
    <w:p w14:paraId="62D6AB10" w14:textId="77777777" w:rsidR="002530E2" w:rsidRDefault="002530E2">
      <w:r>
        <w:t>Source: Various media reports, social media discussions, consumer complaints, and articles (referenced in the References section of the thesis).</w:t>
      </w:r>
    </w:p>
    <w:p w14:paraId="606D7A99"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63053990"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Apple Inc. in 2016, involving a controversy surrounding a Quran app on the App Store. The incident sparked significant backlash and raised concerns among Muslim consumers globally.</w:t>
      </w:r>
    </w:p>
    <w:p w14:paraId="5A7E3E6D"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382DB1C4"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2016, Apple faced controversy when a Quran app on the App Store generated outrage among Muslim consumers. The app contained inaccuracies in its translations and interpretations of the Quran, leading to concerns about its authenticity and potential misrepresentation of Islamic teachings.</w:t>
      </w:r>
    </w:p>
    <w:p w14:paraId="4C0981B2"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23C16D2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Apple, in this case, was the presence of a Quran app on the App Store that contained inaccuracies in translations and interpretations, leading to concerns among Muslim consumers.</w:t>
      </w:r>
    </w:p>
    <w:p w14:paraId="4E85ECDA"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2DC460F"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as they felt their religious text, the Quran, was misrepresented and misinterpreted. The inaccuracies in the app</w:t>
      </w:r>
      <w:r>
        <w:t>’</w:t>
      </w:r>
      <w:r>
        <w:rPr>
          <w:rFonts w:ascii="Book Antiqua" w:eastAsia="Book Antiqua" w:hAnsi="Book Antiqua" w:cs="Book Antiqua"/>
          <w:sz w:val="20"/>
          <w:szCs w:val="20"/>
        </w:rPr>
        <w:t>s content raised concerns about the app</w:t>
      </w:r>
      <w:r>
        <w:t>’</w:t>
      </w:r>
      <w:r>
        <w:rPr>
          <w:rFonts w:ascii="Book Antiqua" w:eastAsia="Book Antiqua" w:hAnsi="Book Antiqua" w:cs="Book Antiqua"/>
          <w:sz w:val="20"/>
          <w:szCs w:val="20"/>
        </w:rPr>
        <w:t>s credibility and the potential dissemination of incorrect information about Islamic teachings.</w:t>
      </w:r>
    </w:p>
    <w:p w14:paraId="57785F4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FEBF89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Quran app controversy affected Apple</w:t>
      </w:r>
      <w:r>
        <w:t>’</w:t>
      </w:r>
      <w:r>
        <w:rPr>
          <w:rFonts w:ascii="Book Antiqua" w:eastAsia="Book Antiqua" w:hAnsi="Book Antiqua" w:cs="Book Antiqua"/>
          <w:sz w:val="20"/>
          <w:szCs w:val="20"/>
        </w:rPr>
        <w:t>s reputation and brand image, particularly among Muslim consumers. The presence of an app containing inaccuracies in translations and interpretations of the Quran raised questions about Apple</w:t>
      </w:r>
      <w:r>
        <w:t>’</w:t>
      </w:r>
      <w:r>
        <w:rPr>
          <w:rFonts w:ascii="Book Antiqua" w:eastAsia="Book Antiqua" w:hAnsi="Book Antiqua" w:cs="Book Antiqua"/>
          <w:sz w:val="20"/>
          <w:szCs w:val="20"/>
        </w:rPr>
        <w:t>s content vetting process and its sensitivity towards religious and cultural matters.</w:t>
      </w:r>
    </w:p>
    <w:p w14:paraId="5AAD9D5D"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517ADC1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Apple should establish stricter content review processes for apps related to religious texts to prevent similar incidents in the future. This includes engaging subject matter experts and scholars to ensure </w:t>
      </w:r>
      <w:r>
        <w:rPr>
          <w:rFonts w:ascii="Book Antiqua" w:eastAsia="Book Antiqua" w:hAnsi="Book Antiqua" w:cs="Book Antiqua"/>
          <w:sz w:val="20"/>
          <w:szCs w:val="20"/>
        </w:rPr>
        <w:lastRenderedPageBreak/>
        <w:t>the accuracy and authenticity of content. Additionally, Apple should establish a clear mechanism for feedback and reporting of content concerns to address any potential issues promptly.</w:t>
      </w:r>
    </w:p>
    <w:p w14:paraId="71594580"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08CC2AB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discovery of inaccuracies in the Quran app sparked outrage and disappointment among Muslim consumers. Many expressed concerns about the potential misrepresentation of their sacred text and called for Apple to take immediate action to rectify the situation.</w:t>
      </w:r>
    </w:p>
    <w:p w14:paraId="1B8FD25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778583A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Apple promptly removed the Quran app from the App Store and publicly apologised to Muslim consumers. The company acknowledged the concerns raised and committed to improving its content review processes to avoid similar issues in the future. Apple also emphasised its commitment to respecting diverse religious and cultural beliefs.</w:t>
      </w:r>
    </w:p>
    <w:p w14:paraId="5819CB3B"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70967D9B"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Apple Quran app controversy highlighted the importance of ensuring accuracy and authenticity when dealing with religious texts on digital platforms. The incident underscored the need for comprehensive content review processes and engagement with subject matter experts to prevent misrepresentation and avoid offending religious communities. Apple is making progress in improving its relationship with Muslim consumers. The company is addressing concerns and revising its policies on religious content on the App Store. As part of this initiative, Apple has brought back an app that seeks to strengthen engagement and trust with this community. It is refreshing to see businesses leading in creating a more inclusive environment for all users. By implementing more robust content vetting procedures and fostering a better understanding of cultural sensitivities, Apple can mitigate the risk of cross-cultural blunders and maintain positive relationships with diverse customer groups.</w:t>
      </w:r>
    </w:p>
    <w:p w14:paraId="585DA815" w14:textId="77777777" w:rsidR="002530E2" w:rsidRDefault="002530E2">
      <w:pPr>
        <w:pStyle w:val="Heading2"/>
      </w:pPr>
      <w:r>
        <w:t>IR 017 (2016: Airbnb, Global)</w:t>
      </w:r>
    </w:p>
    <w:p w14:paraId="1C060260"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“Airbnb’s Discrimination and Bias Controversy“</w:t>
      </w:r>
    </w:p>
    <w:p w14:paraId="2D95E11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Airbnb</w:t>
      </w:r>
    </w:p>
    <w:p w14:paraId="69E7E18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7FC3D327"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16887A94"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2016</w:t>
      </w:r>
    </w:p>
    <w:p w14:paraId="0CD3398A" w14:textId="77777777" w:rsidR="002530E2" w:rsidRDefault="002530E2">
      <w:r>
        <w:t>Source: Various media reports, social media discussions, consumer complaints, and articles (referenced in the References section of the thesis).</w:t>
      </w:r>
    </w:p>
    <w:p w14:paraId="1E531856"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4D94D5E"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Airbnb in 2016, involving a controversy related to discrimination and bias experienced by Muslim users on the platform. The incident raised concerns about inclusivity and fair treatment of Muslim customers.</w:t>
      </w:r>
    </w:p>
    <w:p w14:paraId="4F79FCD8"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15E5C150"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In 2016, reports highlighted discrimination Muslim users faced when booking accommodations on Airbnb. Muslim customers encountered challenges, including rejection of their booking requests based on their religious identity, leading to allegations of bias and discriminatory practices within the platform.</w:t>
      </w:r>
    </w:p>
    <w:p w14:paraId="2A35E18C"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701A764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made by Airbnb was the presence of discrimination and bias against Muslim users on the platform, leading to unequal treatment and potential exclusion.</w:t>
      </w:r>
    </w:p>
    <w:p w14:paraId="42384108"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323B570"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users experienced negative consequences as a result of this blunder. They faced discrimination and bias in booking accommodations, leading to feelings of marginalisation, frustration, and unfair treatment. These experiences also impacted their trust in the Airbnb platform and willingness to use it for future bookings.</w:t>
      </w:r>
    </w:p>
    <w:p w14:paraId="0BF441E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4905DC9" w14:textId="77777777" w:rsidR="002530E2" w:rsidRDefault="002530E2">
      <w:pPr>
        <w:pBdr>
          <w:top w:val="nil"/>
          <w:left w:val="nil"/>
          <w:bottom w:val="nil"/>
          <w:right w:val="nil"/>
          <w:between w:val="nil"/>
        </w:pBdr>
      </w:pPr>
      <w:r>
        <w:rPr>
          <w:rFonts w:ascii="Book Antiqua" w:eastAsia="Book Antiqua" w:hAnsi="Book Antiqua" w:cs="Book Antiqua"/>
          <w:sz w:val="20"/>
          <w:szCs w:val="20"/>
        </w:rPr>
        <w:t>Discrimination and bias controversy significantly affected Airbnb</w:t>
      </w:r>
      <w:r>
        <w:t>’</w:t>
      </w:r>
      <w:r>
        <w:rPr>
          <w:rFonts w:ascii="Book Antiqua" w:eastAsia="Book Antiqua" w:hAnsi="Book Antiqua" w:cs="Book Antiqua"/>
          <w:sz w:val="20"/>
          <w:szCs w:val="20"/>
        </w:rPr>
        <w:t>s reputation and brand image, particularly among Muslim consumers. The incidents highlighted concerns about the platform</w:t>
      </w:r>
      <w:r>
        <w:t>’</w:t>
      </w:r>
      <w:r>
        <w:rPr>
          <w:rFonts w:ascii="Book Antiqua" w:eastAsia="Book Antiqua" w:hAnsi="Book Antiqua" w:cs="Book Antiqua"/>
          <w:sz w:val="20"/>
          <w:szCs w:val="20"/>
        </w:rPr>
        <w:t>s commitment to inclusivity, fair treatment, and preventing discrimination.</w:t>
      </w:r>
    </w:p>
    <w:p w14:paraId="216ABAF5"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16931685" w14:textId="77777777" w:rsidR="002530E2" w:rsidRDefault="002530E2">
      <w:pPr>
        <w:pBdr>
          <w:top w:val="nil"/>
          <w:left w:val="nil"/>
          <w:bottom w:val="nil"/>
          <w:right w:val="nil"/>
          <w:between w:val="nil"/>
        </w:pBdr>
      </w:pPr>
      <w:r>
        <w:rPr>
          <w:rFonts w:ascii="Book Antiqua" w:eastAsia="Book Antiqua" w:hAnsi="Book Antiqua" w:cs="Book Antiqua"/>
          <w:sz w:val="20"/>
          <w:szCs w:val="20"/>
        </w:rPr>
        <w:t>TTAirbnb implemented various measures. These included enhancing its anti-discrimination policy, introducing stricter penalties for hosts engaging in discriminatory practices, and implementing mandatory anti-bias training for hosts. The company also sought feedback from affected users and engaged in dialogue with relevant organisations to better understand and address the concerns raised.</w:t>
      </w:r>
    </w:p>
    <w:p w14:paraId="23D3AF6B"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0AFD557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users affected by discrimination on Airbnb expressed disappointment, frustration, and a sense of injustice. The incidents sparked discussions within Muslim communities and led to calls for Airbnb to take immediate action to address the discrimination and bias experienced by Muslim users.</w:t>
      </w:r>
    </w:p>
    <w:p w14:paraId="33C4207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061E44D8" w14:textId="77777777" w:rsidR="002530E2" w:rsidRDefault="002530E2">
      <w:pPr>
        <w:pBdr>
          <w:top w:val="nil"/>
          <w:left w:val="nil"/>
          <w:bottom w:val="nil"/>
          <w:right w:val="nil"/>
          <w:between w:val="nil"/>
        </w:pBdr>
      </w:pPr>
      <w:r>
        <w:rPr>
          <w:rFonts w:ascii="Book Antiqua" w:eastAsia="Book Antiqua" w:hAnsi="Book Antiqua" w:cs="Book Antiqua"/>
          <w:sz w:val="20"/>
          <w:szCs w:val="20"/>
        </w:rPr>
        <w:t>Airbnb took the issue of discrimination and bias seriously and publicly acknowledged the unfair treatment experienced by Muslim users. The company implemented measures to combat discrimination on its platform and improve the overall user experience for Muslim customers. Airbnb actively communicated its commitment to diversity, inclusion, and preventing discrimination, emphasising its dedication to creating a welcoming and equitable environment for all users.</w:t>
      </w:r>
    </w:p>
    <w:p w14:paraId="5243D8DD"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FE375E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Airbnb discrimination and bias controversy highlighted the importance of fostering an inclusive and non-discriminatory environment in the sharing economy. The incident prompted Airbnb to proactively address discrimination and bias, ensuring fair treatment for all users, including Muslims. By implementing stricter policies, penalties, and anti-bias training, Airbnb aimed to prevent future discrimination and rebuild trust with Muslim consumers. This case reminds multinational corporations to prioritise inclusivity, diversity, and equal treatment in their operations and promptly address cross-cultural blunders to maintain positive relationships with diverse customer groups.</w:t>
      </w:r>
    </w:p>
    <w:p w14:paraId="24301350" w14:textId="77777777" w:rsidR="002530E2" w:rsidRDefault="002530E2">
      <w:pPr>
        <w:pStyle w:val="Heading2"/>
      </w:pPr>
      <w:r>
        <w:lastRenderedPageBreak/>
        <w:t>IR 018 (2016: Unilever, Indonesia)</w:t>
      </w:r>
    </w:p>
    <w:p w14:paraId="6361B475"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“Unilever’s Ad Campaign Controversy“</w:t>
      </w:r>
    </w:p>
    <w:p w14:paraId="3654E8E3"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Unilever</w:t>
      </w:r>
    </w:p>
    <w:p w14:paraId="7277140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Kingdom/Netherlands</w:t>
      </w:r>
    </w:p>
    <w:p w14:paraId="5D47EF90"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Indonesia</w:t>
      </w:r>
    </w:p>
    <w:p w14:paraId="2BBE48F2"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2016</w:t>
      </w:r>
    </w:p>
    <w:p w14:paraId="3E013964" w14:textId="77777777" w:rsidR="002530E2" w:rsidRDefault="002530E2">
      <w:r>
        <w:t>Source: Various media reports, social media discussions, consumer complaints, and articles (referenced in the References section of the thesis).</w:t>
      </w:r>
    </w:p>
    <w:p w14:paraId="50038420"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31F08E73"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Unilever in 2016 involving a controversial ad campaign that sparked outrage among Muslim consumers in Indonesia. The incident significantly impacted Unilever</w:t>
      </w:r>
      <w:r>
        <w:t>’</w:t>
      </w:r>
      <w:r>
        <w:rPr>
          <w:rFonts w:ascii="Book Antiqua" w:eastAsia="Book Antiqua" w:hAnsi="Book Antiqua" w:cs="Book Antiqua"/>
          <w:sz w:val="20"/>
          <w:szCs w:val="20"/>
        </w:rPr>
        <w:t>s reputation and relationship with its Muslim consumer base.</w:t>
      </w:r>
    </w:p>
    <w:p w14:paraId="7495AEE9"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2D64186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2016, Unilever launched an advertising campaign in Indonesia that featured a TV commercial and billboards promoting its beauty products. The recent ad campaign featuring models with fair skin has caused some controversy among Muslim consumers who feel that it promotes a Eurocentric beauty standard and disregards the diversity of Indonesian society. Businesses need to listen to the concerns of all consumers and strive to create a more inclusive and representative environment in their marketing efforts.</w:t>
      </w:r>
    </w:p>
    <w:p w14:paraId="74082544"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778A8E59"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Unilever, in this case, was the insensitivity in its ad campaign, which featured models with fair skin, potentially promoting a Eurocentric beauty standard that disregarded the diversity of Indonesian society.</w:t>
      </w:r>
    </w:p>
    <w:p w14:paraId="1983D4DC"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7189BE6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in Indonesia as they felt their cultural and religious identity was being undermined. The ad campaign offended and created a perception that Unilever was promoting an exclusionary beauty standard that did not represent the diversity of the Indonesian population.</w:t>
      </w:r>
    </w:p>
    <w:p w14:paraId="4C5993D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238A4C3F" w14:textId="77777777" w:rsidR="002530E2" w:rsidRDefault="002530E2">
      <w:pPr>
        <w:pBdr>
          <w:top w:val="nil"/>
          <w:left w:val="nil"/>
          <w:bottom w:val="nil"/>
          <w:right w:val="nil"/>
          <w:between w:val="nil"/>
        </w:pBdr>
      </w:pPr>
      <w:r>
        <w:rPr>
          <w:rFonts w:ascii="Book Antiqua" w:eastAsia="Book Antiqua" w:hAnsi="Book Antiqua" w:cs="Book Antiqua"/>
          <w:sz w:val="20"/>
          <w:szCs w:val="20"/>
        </w:rPr>
        <w:t>Unilever</w:t>
      </w:r>
      <w:r>
        <w:t>’</w:t>
      </w:r>
      <w:r>
        <w:rPr>
          <w:rFonts w:ascii="Book Antiqua" w:eastAsia="Book Antiqua" w:hAnsi="Book Antiqua" w:cs="Book Antiqua"/>
          <w:sz w:val="20"/>
          <w:szCs w:val="20"/>
        </w:rPr>
        <w:t>s ad campaign caused controversy and damaged the company</w:t>
      </w:r>
      <w:r>
        <w:t>’</w:t>
      </w:r>
      <w:r>
        <w:rPr>
          <w:rFonts w:ascii="Book Antiqua" w:eastAsia="Book Antiqua" w:hAnsi="Book Antiqua" w:cs="Book Antiqua"/>
          <w:sz w:val="20"/>
          <w:szCs w:val="20"/>
        </w:rPr>
        <w:t>s reputation and relationship with its Muslim consumers in Indonesia. Unilever faced criticism for its insensitivity and lack of cultural awareness, losing trust and credibility among Muslim consumers.</w:t>
      </w:r>
    </w:p>
    <w:p w14:paraId="0B9BC0E4"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143A08D" w14:textId="77777777" w:rsidR="002530E2" w:rsidRDefault="002530E2">
      <w:pPr>
        <w:pBdr>
          <w:top w:val="nil"/>
          <w:left w:val="nil"/>
          <w:bottom w:val="nil"/>
          <w:right w:val="nil"/>
          <w:between w:val="nil"/>
        </w:pBdr>
      </w:pPr>
      <w:r>
        <w:rPr>
          <w:rFonts w:ascii="Book Antiqua" w:eastAsia="Book Antiqua" w:hAnsi="Book Antiqua" w:cs="Book Antiqua"/>
          <w:sz w:val="20"/>
          <w:szCs w:val="20"/>
        </w:rPr>
        <w:t>Unilever should invest in cultural research and consult with local communities when designing marketing campaigns to prevent similar incidents in the future. It is essential to have a diverse team that reflects the target market</w:t>
      </w:r>
      <w:r>
        <w:t>’</w:t>
      </w:r>
      <w:r>
        <w:rPr>
          <w:rFonts w:ascii="Book Antiqua" w:eastAsia="Book Antiqua" w:hAnsi="Book Antiqua" w:cs="Book Antiqua"/>
          <w:sz w:val="20"/>
          <w:szCs w:val="20"/>
        </w:rPr>
        <w:t xml:space="preserve">s demographics and values to ensure cultural sensitivity. When </w:t>
      </w:r>
      <w:r>
        <w:rPr>
          <w:rFonts w:ascii="Book Antiqua" w:eastAsia="Book Antiqua" w:hAnsi="Book Antiqua" w:cs="Book Antiqua"/>
          <w:sz w:val="20"/>
          <w:szCs w:val="20"/>
        </w:rPr>
        <w:lastRenderedPageBreak/>
        <w:t>developing marketing strategies, Unilever should also consider engaging with Muslim influencers and community leaders to gain insights and perspectives.</w:t>
      </w:r>
    </w:p>
    <w:p w14:paraId="4A732421"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3E3DD6D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ad campaign sparked outrage and disappointment among Muslim consumers in Indonesia. Many expressed their concerns on social media platforms, calling out Unilever for perpetuating a narrow beauty standard and failing to acknowledge the diversity of Indonesian society.</w:t>
      </w:r>
    </w:p>
    <w:p w14:paraId="6567A934"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54D32B7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Unilever issued a public apology, acknowledging the concerns raised by Muslim consumers and expressing its commitment to promoting diversity and inclusivity. The company pledged to improve its marketing practices and better engage with local communities to understand their values and preferences.</w:t>
      </w:r>
    </w:p>
    <w:p w14:paraId="4436A269"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7F01627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Unilever ad campaign controversy in Indonesia highlighted the importance of cultural sensitivity and inclusivity in marketing efforts. The incident demonstrated the need for companies to consider their target consumers</w:t>
      </w:r>
      <w:r>
        <w:t>’</w:t>
      </w:r>
      <w:r>
        <w:rPr>
          <w:rFonts w:ascii="Book Antiqua" w:eastAsia="Book Antiqua" w:hAnsi="Book Antiqua" w:cs="Book Antiqua"/>
          <w:sz w:val="20"/>
          <w:szCs w:val="20"/>
        </w:rPr>
        <w:t xml:space="preserve"> diverse backgrounds and values to avoid offending or alienating them. Unilever</w:t>
      </w:r>
      <w:r>
        <w:t>’</w:t>
      </w:r>
      <w:r>
        <w:rPr>
          <w:rFonts w:ascii="Book Antiqua" w:eastAsia="Book Antiqua" w:hAnsi="Book Antiqua" w:cs="Book Antiqua"/>
          <w:sz w:val="20"/>
          <w:szCs w:val="20"/>
        </w:rPr>
        <w:t>s response to the recent ad campaign controversy has been commendable. The apology and commitment to improvement show that the company values the concerns of all consumers, including Muslims, and is taking steps to create a more inclusive and representative marketing environment. It is reassuring to see businesses taking responsibility for their actions and striving to improve. By prioritising cultural awareness and inclusivity in their marketing strategies, Unilever can prevent future cross-cultural blunders and foster positive relationships with diverse consumer groups.</w:t>
      </w:r>
    </w:p>
    <w:p w14:paraId="732C7F7F" w14:textId="77777777" w:rsidR="002530E2" w:rsidRDefault="002530E2">
      <w:pPr>
        <w:pStyle w:val="Heading2"/>
      </w:pPr>
      <w:r>
        <w:t>IR 019 (2016: KFC, Kuwait)</w:t>
      </w:r>
    </w:p>
    <w:p w14:paraId="0D241191"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“KFC’s Ramadan Promotion Blunder“</w:t>
      </w:r>
    </w:p>
    <w:p w14:paraId="3BC2A6D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Kentucky Fried Chicken (KFC)</w:t>
      </w:r>
    </w:p>
    <w:p w14:paraId="358764A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262DB071"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Kuwait</w:t>
      </w:r>
    </w:p>
    <w:p w14:paraId="41D69AFE"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2016</w:t>
      </w:r>
    </w:p>
    <w:p w14:paraId="6104E819" w14:textId="77777777" w:rsidR="002530E2" w:rsidRDefault="002530E2">
      <w:r>
        <w:t>Source: Various media reports, social media discussions, consumer complaints, and articles (referenced in the References section of the thesis).</w:t>
      </w:r>
    </w:p>
    <w:p w14:paraId="14490185"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4FCBF726"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KFC in Kuwait 2016 related to a promotional campaign during the holy month of Ramadan. The incident sparked controversy and negative reactions among Muslim consumers in Kuwait.</w:t>
      </w:r>
    </w:p>
    <w:p w14:paraId="5ED5509C"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3882486A"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2016, KFC in Kuwait launched a promotional campaign during the holy month of Ramadan. The campaign involved offering special deals and discounts on chicken meals. However, Muslim consumers deemed the timing and nature of the campaign culturally insensitive.</w:t>
      </w:r>
    </w:p>
    <w:p w14:paraId="7920D8E1"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Type of Cross-Cultural Blunder (this addresses MRQ 1):</w:t>
      </w:r>
    </w:p>
    <w:p w14:paraId="7C2D2FCA" w14:textId="77777777" w:rsidR="002530E2" w:rsidRDefault="002530E2">
      <w:pPr>
        <w:pBdr>
          <w:top w:val="nil"/>
          <w:left w:val="nil"/>
          <w:bottom w:val="nil"/>
          <w:right w:val="nil"/>
          <w:between w:val="nil"/>
        </w:pBdr>
      </w:pPr>
      <w:r>
        <w:rPr>
          <w:rFonts w:ascii="Book Antiqua" w:eastAsia="Book Antiqua" w:hAnsi="Book Antiqua" w:cs="Book Antiqua"/>
          <w:sz w:val="20"/>
          <w:szCs w:val="20"/>
        </w:rPr>
        <w:t>Companies must be aware of cultural sensitivities and show great consideration when conducting promotional campaigns, particularly during religious holidays such as Ramadan. KFC</w:t>
      </w:r>
      <w:r>
        <w:t>’</w:t>
      </w:r>
      <w:r>
        <w:rPr>
          <w:rFonts w:ascii="Book Antiqua" w:eastAsia="Book Antiqua" w:hAnsi="Book Antiqua" w:cs="Book Antiqua"/>
          <w:sz w:val="20"/>
          <w:szCs w:val="20"/>
        </w:rPr>
        <w:t>s campaign during this holy month was deemed culturally insensitive due to the timing and nature of its advertisements. Companies must be mindful of their actions and take necessary measures to prevent offending customers.</w:t>
      </w:r>
    </w:p>
    <w:p w14:paraId="6C8F428E"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4EF92A43"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Kuwait felt that KFC’s promotional campaign during Ramadan showed a lack of understanding and respect for their religious observances. The campaign was viewed as inappropriate and offensive, as it seemed to trivialise the sanctity of the holy month.</w:t>
      </w:r>
    </w:p>
    <w:p w14:paraId="47D71CB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227654A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had significant negative implications for KFC</w:t>
      </w:r>
      <w:r>
        <w:t>’</w:t>
      </w:r>
      <w:r>
        <w:rPr>
          <w:rFonts w:ascii="Book Antiqua" w:eastAsia="Book Antiqua" w:hAnsi="Book Antiqua" w:cs="Book Antiqua"/>
          <w:sz w:val="20"/>
          <w:szCs w:val="20"/>
        </w:rPr>
        <w:t>s reputation in Kuwait. The KFC promotional campaign during Ramadan left many Muslim customers feeling disappointed and frustrated, causing a decrease in their trust and loyalty. Companies need to understand the cultural sensitivities of their customers and take appropriate measures to avoid offending. The incident also generated negative publicity for the brand, potentially impacting its market share and financial performance in Kuwait.</w:t>
      </w:r>
    </w:p>
    <w:p w14:paraId="309B5EC5"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538F70F3" w14:textId="77777777" w:rsidR="002530E2" w:rsidRDefault="002530E2">
      <w:pPr>
        <w:pBdr>
          <w:top w:val="nil"/>
          <w:left w:val="nil"/>
          <w:bottom w:val="nil"/>
          <w:right w:val="nil"/>
          <w:between w:val="nil"/>
        </w:pBdr>
      </w:pPr>
      <w:r>
        <w:rPr>
          <w:rFonts w:ascii="Book Antiqua" w:eastAsia="Book Antiqua" w:hAnsi="Book Antiqua" w:cs="Book Antiqua"/>
          <w:sz w:val="20"/>
          <w:szCs w:val="20"/>
        </w:rPr>
        <w:t>KFC should conduct thorough cultural research before launching promotional campaigns in specific regions or during religiously significant periods to prevent similar incidents in the future. This includes considering local customs, traditions, and sensitivities to ensure marketing activities align with the target audience</w:t>
      </w:r>
      <w:r>
        <w:t>’</w:t>
      </w:r>
      <w:r>
        <w:rPr>
          <w:rFonts w:ascii="Book Antiqua" w:eastAsia="Book Antiqua" w:hAnsi="Book Antiqua" w:cs="Book Antiqua"/>
          <w:sz w:val="20"/>
          <w:szCs w:val="20"/>
        </w:rPr>
        <w:t>s values. Involving cultural advisors or consultants can provide valuable insights and help avoid unintended cultural blunders.</w:t>
      </w:r>
    </w:p>
    <w:p w14:paraId="40ECFBC2"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5E832761"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Kuwait expressed their discontent and criticised KFC</w:t>
      </w:r>
      <w:r>
        <w:t>’</w:t>
      </w:r>
      <w:r>
        <w:rPr>
          <w:rFonts w:ascii="Book Antiqua" w:eastAsia="Book Antiqua" w:hAnsi="Book Antiqua" w:cs="Book Antiqua"/>
          <w:sz w:val="20"/>
          <w:szCs w:val="20"/>
        </w:rPr>
        <w:t>s promotional campaign during Ramadan. The negative reactions of Muslim consumers towards KFC</w:t>
      </w:r>
      <w:r>
        <w:t>’</w:t>
      </w:r>
      <w:r>
        <w:rPr>
          <w:rFonts w:ascii="Book Antiqua" w:eastAsia="Book Antiqua" w:hAnsi="Book Antiqua" w:cs="Book Antiqua"/>
          <w:sz w:val="20"/>
          <w:szCs w:val="20"/>
        </w:rPr>
        <w:t>s promotional campaign during Ramadan were amplified through social media platforms, leading to discussions on cultural insensitivity. Companies must be aware of the impact of their actions on different cultures and take steps to avoid offending.</w:t>
      </w:r>
    </w:p>
    <w:p w14:paraId="688A8F4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26A764D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KFC in Kuwait apologised to the Muslim community, acknowledging the cultural insensitivity of their promotional campaign. The KFC company regretted any offence or bitterness caused and pledged to be more considerate of local customs and religious observances in their future marketing efforts.</w:t>
      </w:r>
    </w:p>
    <w:p w14:paraId="7ED57CD3"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5F22A53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KFC Ramadan promotion blunder in Kuwait highlights the importance of cultural sensitivity and understanding when conducting marketing campaigns, particularly during religiously significant periods. The incident had a detrimental impact on KFC’s reputation and customer perception among Muslim consumers in Kuwait. By conducting thorough cultural research and ensuring alignment with local customs and sensitivities, KFC can prevent cross-cultural blunders, maintain positive relationships with diverse customer groups, and enhance its brand image.</w:t>
      </w:r>
    </w:p>
    <w:p w14:paraId="4F29CEEE" w14:textId="77777777" w:rsidR="002530E2" w:rsidRDefault="002530E2">
      <w:pPr>
        <w:pStyle w:val="Heading2"/>
      </w:pPr>
      <w:r>
        <w:lastRenderedPageBreak/>
        <w:t>IR 020 (2016: Uber, Michigan, USA)</w:t>
      </w:r>
    </w:p>
    <w:p w14:paraId="11F45C07"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“Uber’s Discriminatory Incident Towards Muslim Customer“</w:t>
      </w:r>
    </w:p>
    <w:p w14:paraId="667B2AA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Uber Technologies Inc.</w:t>
      </w:r>
    </w:p>
    <w:p w14:paraId="1E20CFD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6BD15BC4"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Michigan, USA</w:t>
      </w:r>
    </w:p>
    <w:p w14:paraId="59BA5C0C"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2016</w:t>
      </w:r>
    </w:p>
    <w:p w14:paraId="5D6A1D49" w14:textId="77777777" w:rsidR="002530E2" w:rsidRDefault="002530E2">
      <w:r>
        <w:t>Source: Various media reports, social media discussions, consumer complaints, and articles (referenced in the References section of the thesis).</w:t>
      </w:r>
    </w:p>
    <w:p w14:paraId="4AF26D0F"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514EB5B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Uber in 2016, involving a discriminatory incident towards a Muslim customer in Michigan, USA. The incident drew significant attention and raised concerns about discrimination and cultural sensitivity within the company.</w:t>
      </w:r>
    </w:p>
    <w:p w14:paraId="539ECC9B"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0E1C31F3"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2016, a Muslim customer in Michigan reported a discriminatory incident while using Uber’s ride-hailing service. The customer claimed that the Uber driver made derogatory remarks and refused to provide service based on the customer’s religious appearance, specifically targeting their Islamic attire.</w:t>
      </w:r>
    </w:p>
    <w:p w14:paraId="6AB4F05F"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3A76561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made by Uber was the discriminatory behaviour exhibited by an Uber driver towards a Muslim customer based on the customer</w:t>
      </w:r>
      <w:r>
        <w:t>’</w:t>
      </w:r>
      <w:r>
        <w:rPr>
          <w:rFonts w:ascii="Book Antiqua" w:eastAsia="Book Antiqua" w:hAnsi="Book Antiqua" w:cs="Book Antiqua"/>
          <w:sz w:val="20"/>
          <w:szCs w:val="20"/>
        </w:rPr>
        <w:t>s religious appearance.</w:t>
      </w:r>
    </w:p>
    <w:p w14:paraId="68D16135"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438B189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Muslim customer involved in the incident experienced emotional distress, humiliation, and discrimination due to the Uber driver</w:t>
      </w:r>
      <w:r>
        <w:t>’</w:t>
      </w:r>
      <w:r>
        <w:rPr>
          <w:rFonts w:ascii="Book Antiqua" w:eastAsia="Book Antiqua" w:hAnsi="Book Antiqua" w:cs="Book Antiqua"/>
          <w:sz w:val="20"/>
          <w:szCs w:val="20"/>
        </w:rPr>
        <w:t>s actions. This incident highlighted the impact of discrimination on individuals</w:t>
      </w:r>
      <w:r>
        <w:t>’</w:t>
      </w:r>
      <w:r>
        <w:rPr>
          <w:rFonts w:ascii="Book Antiqua" w:eastAsia="Book Antiqua" w:hAnsi="Book Antiqua" w:cs="Book Antiqua"/>
          <w:sz w:val="20"/>
          <w:szCs w:val="20"/>
        </w:rPr>
        <w:t xml:space="preserve"> well-being and sense of belonging.</w:t>
      </w:r>
    </w:p>
    <w:p w14:paraId="4A3AB5F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9629FA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discriminatory incident had significant repercussions for Uber</w:t>
      </w:r>
      <w:r>
        <w:t>’</w:t>
      </w:r>
      <w:r>
        <w:rPr>
          <w:rFonts w:ascii="Book Antiqua" w:eastAsia="Book Antiqua" w:hAnsi="Book Antiqua" w:cs="Book Antiqua"/>
          <w:sz w:val="20"/>
          <w:szCs w:val="20"/>
        </w:rPr>
        <w:t>s reputation and brand image. It raised concerns about the company</w:t>
      </w:r>
      <w:r>
        <w:t>’</w:t>
      </w:r>
      <w:r>
        <w:rPr>
          <w:rFonts w:ascii="Book Antiqua" w:eastAsia="Book Antiqua" w:hAnsi="Book Antiqua" w:cs="Book Antiqua"/>
          <w:sz w:val="20"/>
          <w:szCs w:val="20"/>
        </w:rPr>
        <w:t>s commitment to diversity, inclusivity, and cultural sensitivity. The incident also highlighted the need for Uber to address discrimination within its platform and ensure a safe and respectful environment for all customers.</w:t>
      </w:r>
    </w:p>
    <w:p w14:paraId="679410AD"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3650A779" w14:textId="77777777" w:rsidR="002530E2" w:rsidRDefault="002530E2">
      <w:pPr>
        <w:pBdr>
          <w:top w:val="nil"/>
          <w:left w:val="nil"/>
          <w:bottom w:val="nil"/>
          <w:right w:val="nil"/>
          <w:between w:val="nil"/>
        </w:pBdr>
      </w:pPr>
      <w:r>
        <w:rPr>
          <w:rFonts w:ascii="Book Antiqua" w:eastAsia="Book Antiqua" w:hAnsi="Book Antiqua" w:cs="Book Antiqua"/>
          <w:sz w:val="20"/>
          <w:szCs w:val="20"/>
        </w:rPr>
        <w:t>Uber should prioritise training and education on cultural sensitivity and non-discrimination for its drivers to prevent similar incidents in the future. This includes providing guidelines and resources to promote respectful behaviour towards customers from diverse cultural backgrounds. A robust reporting and accountability system can also help address incidents promptly and take appropriate actions against drivers involved in discriminatory behaviour.</w:t>
      </w:r>
    </w:p>
    <w:p w14:paraId="4F3592A4"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55477492"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discriminatory incident sparked outrage and disappointment among Muslim communities, both locally in Michigan and globally. Many Muslims expressed their concerns regarding safety and discrimination while using ride-hailing services. The incident also highlighted the importance of creating an inclusive environment that respects individuals’ religious and cultural identities.</w:t>
      </w:r>
    </w:p>
    <w:p w14:paraId="314FDA7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5F7C970A" w14:textId="77777777" w:rsidR="002530E2" w:rsidRDefault="002530E2">
      <w:pPr>
        <w:pBdr>
          <w:top w:val="nil"/>
          <w:left w:val="nil"/>
          <w:bottom w:val="nil"/>
          <w:right w:val="nil"/>
          <w:between w:val="nil"/>
        </w:pBdr>
      </w:pPr>
      <w:r>
        <w:rPr>
          <w:rFonts w:ascii="Book Antiqua" w:eastAsia="Book Antiqua" w:hAnsi="Book Antiqua" w:cs="Book Antiqua"/>
          <w:sz w:val="20"/>
          <w:szCs w:val="20"/>
        </w:rPr>
        <w:t>Uber responded to the incident by publicly apologising to the Muslim customer and taking immediate action against the driver involved. The company is committed to fostering a discrimination-free environment and enhancing driver training programs to address cultural sensitivity. Uber also dialogues with local community organisations to address concerns and improve its services.</w:t>
      </w:r>
    </w:p>
    <w:p w14:paraId="49BB40FC"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2FB8E20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Uber discriminatory incident in Michigan exposed the need for greater cultural sensitivity and non-discriminatory practices within the company. It emphasised the importance of fostering an inclusive environment where customers from diverse backgrounds feel safe and respected. Uber’s response, including public apologies and corrective actions, aimed to address the concerns raised and rebuild trust with Muslim customers. By implementing comprehensive training programs and establishing clear guidelines against discrimination, Uber can prevent future cross-cultural blunders and promote a more inclusive ride-hailing experience for all customers.</w:t>
      </w:r>
    </w:p>
    <w:p w14:paraId="62C4289E" w14:textId="77777777" w:rsidR="002530E2" w:rsidRDefault="002530E2">
      <w:pPr>
        <w:pStyle w:val="Heading2"/>
      </w:pPr>
      <w:r>
        <w:t>IR 021 (2017: AccorHotels, Saudi Arabia)</w:t>
      </w:r>
    </w:p>
    <w:p w14:paraId="1A571BD4"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“AccorHotels Prayer Room Controversy“</w:t>
      </w:r>
    </w:p>
    <w:p w14:paraId="1AD3531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AccorHotels</w:t>
      </w:r>
    </w:p>
    <w:p w14:paraId="38280A6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France</w:t>
      </w:r>
    </w:p>
    <w:p w14:paraId="7323D1DA"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Saudi Arabia</w:t>
      </w:r>
    </w:p>
    <w:p w14:paraId="4036A07D"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0AB7C4D6" w14:textId="77777777" w:rsidR="002530E2" w:rsidRDefault="002530E2">
      <w:r>
        <w:t>Source: Various media reports, social media discussions, consumer complaints, and articles (referenced in the References section of the thesis).</w:t>
      </w:r>
    </w:p>
    <w:p w14:paraId="47070F06"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4D82561"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AccorHotels in 2017, involving a controversy surrounding prayer rooms in their hotels in Saudi Arabia. The incident sparked significant backlash and raised concerns among Muslim consumers in the country.</w:t>
      </w:r>
    </w:p>
    <w:p w14:paraId="231EF007"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74EB04B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AccorHotels faced controversy when it was revealed that prayer rooms in some of their hotels in Saudi Arabia were being converted into storage spaces or other purposes not related to religious observance. This discovery led to anger and disappointment among Muslim consumers who expected dedicated prayer facilities aligned with their religious practices.</w:t>
      </w:r>
    </w:p>
    <w:p w14:paraId="77201DCB"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2623DBC6"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cross-cultural blunder made by AccorHotels, in this case, was the improper utilisation of prayer rooms in their hotels in Saudi Arabia, where they were converted into storage spaces or repurposed for other uses not aligned with their intended purpose.</w:t>
      </w:r>
    </w:p>
    <w:p w14:paraId="48B30B7A"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17CC2B47"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Saudi Arabia were directly affected by this blunder as it compromised their ability to fulfil their religious obligations while staying at AccorHotels. The lack of dedicated prayer facilities aligned with their expectations caused frustration and disappointment among Muslim guests.</w:t>
      </w:r>
    </w:p>
    <w:p w14:paraId="0EA5021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B4EB24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improper use of prayer rooms had implications for AccorHotels’ reputation and brand image in Saudi Arabia. Muslim consumers perceived the disregard for their religious needs as a sign of cultural insensitivity, which could lead to reputational damage and potential financial consequences for the company.</w:t>
      </w:r>
    </w:p>
    <w:p w14:paraId="451B34C6"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3FC4730F" w14:textId="77777777" w:rsidR="002530E2" w:rsidRDefault="002530E2">
      <w:pPr>
        <w:pBdr>
          <w:top w:val="nil"/>
          <w:left w:val="nil"/>
          <w:bottom w:val="nil"/>
          <w:right w:val="nil"/>
          <w:between w:val="nil"/>
        </w:pBdr>
      </w:pPr>
      <w:r>
        <w:rPr>
          <w:rFonts w:ascii="Book Antiqua" w:eastAsia="Book Antiqua" w:hAnsi="Book Antiqua" w:cs="Book Antiqua"/>
          <w:sz w:val="20"/>
          <w:szCs w:val="20"/>
        </w:rPr>
        <w:t>AccorHotels should establish clear guidelines and protocols for the proper use and maintenance of prayer rooms in their hotels, particularly in countries with a significant Muslim population, to prevent similar incidents in the future. Adequate staff training and supervision should be provided to ensure that prayer rooms are respected and utilised for their intended purpose.</w:t>
      </w:r>
    </w:p>
    <w:p w14:paraId="6E7EEC33"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163853F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discovery that prayer rooms in AccorHotels were being misused sparked outrage and disappointment among Muslim guests in Saudi Arabia. Many expressed their concerns through social media platforms and called for AccorHotels to address the issue promptly.</w:t>
      </w:r>
    </w:p>
    <w:p w14:paraId="09FB0DA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7F481D27"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AccorHotels publicly apologised to Muslim consumers and committed to ensuring the proper use of prayer rooms in their hotels. The company implemented measures to rectify the situation, including re-establishing the prayer rooms and training hotel staff on respecting religious observances.</w:t>
      </w:r>
    </w:p>
    <w:p w14:paraId="0C935EAD"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CA3CFEB"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AccorHotels prayer room controversy highlighted the significance of catering to the religious needs of Muslim consumers, especially in countries where Islam is practised widely. The incident emphasised the importance of cultural sensitivity and the proper utilisation of dedicated spaces for religious observance. AccorHotels</w:t>
      </w:r>
      <w:r>
        <w:t>’</w:t>
      </w:r>
      <w:r>
        <w:rPr>
          <w:rFonts w:ascii="Book Antiqua" w:eastAsia="Book Antiqua" w:hAnsi="Book Antiqua" w:cs="Book Antiqua"/>
          <w:sz w:val="20"/>
          <w:szCs w:val="20"/>
        </w:rPr>
        <w:t xml:space="preserve"> response, including the apology and corrective measures, aimed to address the concerns raised and rebuild trust with Muslim consumers. By implementing comprehensive guidelines, training, and supervision, AccorHotels can prevent similar blunders in the future and maintain positive relationships with their diverse customer base in Muslim-majority countries.</w:t>
      </w:r>
    </w:p>
    <w:p w14:paraId="036C1F46" w14:textId="77777777" w:rsidR="002530E2" w:rsidRDefault="002530E2">
      <w:pPr>
        <w:pStyle w:val="Heading2"/>
      </w:pPr>
      <w:r>
        <w:t>IR 022 (2017: Uber, USA)</w:t>
      </w:r>
    </w:p>
    <w:p w14:paraId="65F87D0B"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“Uber’s Discriminatory Treatment of Muslim Drivers“</w:t>
      </w:r>
    </w:p>
    <w:p w14:paraId="08E20D2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Uber Technologies Inc.</w:t>
      </w:r>
    </w:p>
    <w:p w14:paraId="63204CB0"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 Country of Origin: United States</w:t>
      </w:r>
    </w:p>
    <w:p w14:paraId="692AF7DE"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USA</w:t>
      </w:r>
    </w:p>
    <w:p w14:paraId="3073EA1F"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69E9855F" w14:textId="77777777" w:rsidR="002530E2" w:rsidRDefault="002530E2">
      <w:r>
        <w:t>Source: Various media reports, social media discussions, consumer complaints, and articles (referenced in the References section of the thesis).</w:t>
      </w:r>
    </w:p>
    <w:p w14:paraId="3EAE6CB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448EB00E"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Uber Technologies Inc. in 2017 involving allegations of discriminatory treatment towards Muslim drivers in the United States. The incident sparked controversy and raised concerns about the company</w:t>
      </w:r>
      <w:r>
        <w:t>’</w:t>
      </w:r>
      <w:r>
        <w:rPr>
          <w:rFonts w:ascii="Book Antiqua" w:eastAsia="Book Antiqua" w:hAnsi="Book Antiqua" w:cs="Book Antiqua"/>
          <w:sz w:val="20"/>
          <w:szCs w:val="20"/>
        </w:rPr>
        <w:t>s commitment to inclusivity and non-discrimination.</w:t>
      </w:r>
    </w:p>
    <w:p w14:paraId="3104ECA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24F81EF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Uber faced allegations of discriminatory treatment towards Muslim drivers in the United States. Reports emerged of drivers being subjected to discriminatory comments, racial profiling, and religious bias from passengers. Concerns about Uber</w:t>
      </w:r>
      <w:r>
        <w:t>’</w:t>
      </w:r>
      <w:r>
        <w:rPr>
          <w:rFonts w:ascii="Book Antiqua" w:eastAsia="Book Antiqua" w:hAnsi="Book Antiqua" w:cs="Book Antiqua"/>
          <w:sz w:val="20"/>
          <w:szCs w:val="20"/>
        </w:rPr>
        <w:t>s ability to provide a fair and inclusive environment for its Muslim drivers have been raised, particularly in light of recent incidents involving KFC</w:t>
      </w:r>
      <w:r>
        <w:t>’</w:t>
      </w:r>
      <w:r>
        <w:rPr>
          <w:rFonts w:ascii="Book Antiqua" w:eastAsia="Book Antiqua" w:hAnsi="Book Antiqua" w:cs="Book Antiqua"/>
          <w:sz w:val="20"/>
          <w:szCs w:val="20"/>
        </w:rPr>
        <w:t>s promotional campaign during Ramadan. Companies need to consider the impact of their actions on different cultures and take steps to avoid offending.</w:t>
      </w:r>
    </w:p>
    <w:p w14:paraId="5DC877B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6EA68C9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Uber, in this case, was the discriminatory treatment of Muslim drivers by passengers, leading to concerns about bias, religious discrimination, and racial profiling.</w:t>
      </w:r>
    </w:p>
    <w:p w14:paraId="066C4B2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038C105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drivers working for Uber experienced various negative consequences due to this discriminatory treatment. These included emotional distress, feelings of marginalisation, and feeling unfairly targeted based on their religious identity.</w:t>
      </w:r>
    </w:p>
    <w:p w14:paraId="2F5B355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591A27B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discriminatory treatment of Muslim drivers significantly affected Uber</w:t>
      </w:r>
      <w:r>
        <w:t>’</w:t>
      </w:r>
      <w:r>
        <w:rPr>
          <w:rFonts w:ascii="Book Antiqua" w:eastAsia="Book Antiqua" w:hAnsi="Book Antiqua" w:cs="Book Antiqua"/>
          <w:sz w:val="20"/>
          <w:szCs w:val="20"/>
        </w:rPr>
        <w:t>s reputation and brand image. The company faced criticism for failing to adequately address and prevent such incidents, which raised questions about its commitment to inclusivity, diversity, and non-discrimination.</w:t>
      </w:r>
    </w:p>
    <w:p w14:paraId="5B73756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776B8791" w14:textId="77777777" w:rsidR="002530E2" w:rsidRDefault="002530E2">
      <w:pPr>
        <w:pBdr>
          <w:top w:val="nil"/>
          <w:left w:val="nil"/>
          <w:bottom w:val="nil"/>
          <w:right w:val="nil"/>
          <w:between w:val="nil"/>
        </w:pBdr>
      </w:pPr>
      <w:r>
        <w:rPr>
          <w:rFonts w:ascii="Book Antiqua" w:eastAsia="Book Antiqua" w:hAnsi="Book Antiqua" w:cs="Book Antiqua"/>
          <w:sz w:val="20"/>
          <w:szCs w:val="20"/>
        </w:rPr>
        <w:t>Uber should implement comprehensive anti-discrimination policies and procedures to prevent similar incidents in the future. This includes training drivers and passengers on cultural sensitivity, religious tolerance, and non-discrimination. Uber should also establish mechanisms for reporting and addressing incidents of discrimination promptly.</w:t>
      </w:r>
    </w:p>
    <w:p w14:paraId="733CCAB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7E3AF200"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drivers and advocacy groups expressed frustration, anger, and disappointment over the discriminatory treatment they experienced. Companies must prioritise all employees</w:t>
      </w:r>
      <w:r>
        <w:t>’</w:t>
      </w:r>
      <w:r>
        <w:rPr>
          <w:rFonts w:ascii="Book Antiqua" w:eastAsia="Book Antiqua" w:hAnsi="Book Antiqua" w:cs="Book Antiqua"/>
          <w:sz w:val="20"/>
          <w:szCs w:val="20"/>
        </w:rPr>
        <w:t xml:space="preserve"> safety and inclusivity, regardless of their religious background. Hopefully, Uber will take the concerns raised by their Muslim drivers seriously and take appropriate steps to address them.</w:t>
      </w:r>
    </w:p>
    <w:p w14:paraId="3662EA81"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MNC’s Post-Blunder Response to Address the Consequences: </w:t>
      </w:r>
    </w:p>
    <w:p w14:paraId="0BCB1E20"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allegations, Uber publicly condemned discrimination and pledged to address the issue. The company implemented additional training programs for drivers and introduced a feature within the app to report incidents of discrimination. Uber prioritises inclusivity and respect in its community guidelines, a crucial step towards employee safety and well-being.</w:t>
      </w:r>
    </w:p>
    <w:p w14:paraId="0A4F5B2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21681952"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Uber discriminatory treatment of Muslim drivers incident highlighted the importance of fostering inclusivity, non-discrimination, and cultural sensitivity within the organisation. The incident raised concerns about Muslim drivers</w:t>
      </w:r>
      <w:r>
        <w:t>’</w:t>
      </w:r>
      <w:r>
        <w:rPr>
          <w:rFonts w:ascii="Book Antiqua" w:eastAsia="Book Antiqua" w:hAnsi="Book Antiqua" w:cs="Book Antiqua"/>
          <w:sz w:val="20"/>
          <w:szCs w:val="20"/>
        </w:rPr>
        <w:t xml:space="preserve"> experiences and Uber</w:t>
      </w:r>
      <w:r>
        <w:t>’</w:t>
      </w:r>
      <w:r>
        <w:rPr>
          <w:rFonts w:ascii="Book Antiqua" w:eastAsia="Book Antiqua" w:hAnsi="Book Antiqua" w:cs="Book Antiqua"/>
          <w:sz w:val="20"/>
          <w:szCs w:val="20"/>
        </w:rPr>
        <w:t>s steps to ensure their safety and well-being. Uber</w:t>
      </w:r>
      <w:r>
        <w:t>’</w:t>
      </w:r>
      <w:r>
        <w:rPr>
          <w:rFonts w:ascii="Book Antiqua" w:eastAsia="Book Antiqua" w:hAnsi="Book Antiqua" w:cs="Book Antiqua"/>
          <w:sz w:val="20"/>
          <w:szCs w:val="20"/>
        </w:rPr>
        <w:t>s response to the issue with Muslim drivers has been admirable. The commitment to rebuilding trust and creating a safer and more inclusive environment for all is shown through their efforts to enhance training and reporting mechanisms. It is encouraging to see companies proactively address concerns and work towards better solutions. By implementing robust anti-discrimination measures and fostering a culture of respect, Uber can prevent future cross-cultural blunders and promote inclusivity within its workforce and customer base.</w:t>
      </w:r>
    </w:p>
    <w:p w14:paraId="31A01CD5" w14:textId="77777777" w:rsidR="002530E2" w:rsidRDefault="002530E2">
      <w:pPr>
        <w:pBdr>
          <w:top w:val="nil"/>
          <w:left w:val="nil"/>
          <w:bottom w:val="nil"/>
          <w:right w:val="nil"/>
          <w:between w:val="nil"/>
        </w:pBdr>
      </w:pPr>
    </w:p>
    <w:p w14:paraId="667EDA23"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7C73333D"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B836AD9" w14:textId="77777777" w:rsidR="002530E2" w:rsidRDefault="002530E2">
            <w:pPr>
              <w:widowControl w:val="0"/>
              <w:spacing w:after="200" w:line="276" w:lineRule="auto"/>
              <w:jc w:val="center"/>
              <w:rPr>
                <w:color w:val="0E101A"/>
                <w:sz w:val="28"/>
                <w:szCs w:val="28"/>
              </w:rPr>
            </w:pPr>
            <w:r>
              <w:rPr>
                <w:color w:val="0E101A"/>
                <w:sz w:val="28"/>
                <w:szCs w:val="28"/>
              </w:rPr>
              <w:t>CHAPTER 3: LITERATURE REVIEW</w:t>
            </w:r>
          </w:p>
          <w:p w14:paraId="6BA6E384" w14:textId="77777777" w:rsidR="002530E2" w:rsidRDefault="002530E2">
            <w:pPr>
              <w:widowControl w:val="0"/>
              <w:spacing w:after="200" w:line="276" w:lineRule="auto"/>
              <w:jc w:val="center"/>
              <w:rPr>
                <w:color w:val="0E101A"/>
                <w:sz w:val="28"/>
                <w:szCs w:val="28"/>
              </w:rPr>
            </w:pPr>
            <w:r>
              <w:rPr>
                <w:color w:val="0E101A"/>
                <w:sz w:val="28"/>
                <w:szCs w:val="28"/>
              </w:rPr>
              <w:t>(</w:t>
            </w:r>
            <w:r>
              <w:rPr>
                <w:i/>
                <w:color w:val="0E101A"/>
                <w:sz w:val="28"/>
                <w:szCs w:val="28"/>
              </w:rPr>
              <w:t>Part—5)</w:t>
            </w:r>
          </w:p>
        </w:tc>
      </w:tr>
    </w:tbl>
    <w:p w14:paraId="6A81A7C3" w14:textId="77777777" w:rsidR="002530E2" w:rsidRDefault="002530E2">
      <w:pPr>
        <w:spacing w:after="0"/>
        <w:jc w:val="center"/>
      </w:pPr>
    </w:p>
    <w:p w14:paraId="0B0DE6BE" w14:textId="77777777" w:rsidR="002530E2" w:rsidRDefault="002530E2">
      <w:pPr>
        <w:spacing w:after="0" w:line="240" w:lineRule="auto"/>
        <w:jc w:val="center"/>
      </w:pPr>
    </w:p>
    <w:p w14:paraId="2F59C703" w14:textId="77777777" w:rsidR="002530E2" w:rsidRDefault="002530E2">
      <w:pPr>
        <w:pStyle w:val="Heading4"/>
        <w:spacing w:before="0"/>
        <w:rPr>
          <w:color w:val="FFFFFF"/>
        </w:rPr>
      </w:pPr>
      <w:r>
        <w:rPr>
          <w:color w:val="FFFFFF"/>
        </w:rPr>
        <w:t>TABLE OF CONTENT</w:t>
      </w:r>
    </w:p>
    <w:p w14:paraId="22349C94" w14:textId="77777777" w:rsidR="002530E2" w:rsidRDefault="002530E2">
      <w:r>
        <w:rPr>
          <w:sz w:val="28"/>
          <w:szCs w:val="28"/>
        </w:rPr>
        <w:t xml:space="preserve">TABLE OF CONTENT FOR CHAPTER 3 </w:t>
      </w:r>
      <w:r>
        <w:rPr>
          <w:i/>
          <w:sz w:val="28"/>
          <w:szCs w:val="28"/>
        </w:rPr>
        <w:t>(Part 5)</w:t>
      </w:r>
    </w:p>
    <w:sdt>
      <w:sdtPr>
        <w:id w:val="1940489482"/>
        <w:docPartObj>
          <w:docPartGallery w:val="Table of Contents"/>
          <w:docPartUnique/>
        </w:docPartObj>
      </w:sdtPr>
      <w:sdtContent>
        <w:p w14:paraId="57678F1D" w14:textId="77777777" w:rsidR="002530E2" w:rsidRDefault="002530E2">
          <w:pPr>
            <w:widowControl w:val="0"/>
            <w:tabs>
              <w:tab w:val="right" w:leader="dot" w:pos="12000"/>
            </w:tabs>
            <w:spacing w:before="60" w:after="0" w:line="360" w:lineRule="auto"/>
            <w:rPr>
              <w:color w:val="1155CC"/>
              <w:u w:val="single"/>
            </w:rPr>
          </w:pPr>
          <w:r>
            <w:fldChar w:fldCharType="begin"/>
          </w:r>
          <w:r>
            <w:instrText xml:space="preserve"> TOC \h \u \z \t "Heading 1,1,Heading 2,1,Heading 3,3,Heading 5,5,Heading 6,6,"</w:instrText>
          </w:r>
          <w:r>
            <w:fldChar w:fldCharType="separate"/>
          </w:r>
          <w:hyperlink w:anchor="_heading=h.gjdgxs">
            <w:r>
              <w:rPr>
                <w:rFonts w:ascii="Book Antiqua" w:eastAsia="Book Antiqua" w:hAnsi="Book Antiqua" w:cs="Book Antiqua"/>
                <w:color w:val="1155CC"/>
              </w:rPr>
              <w:t>IR 023 (2017: American Eagle Outfitters, Global)</w:t>
            </w:r>
            <w:r>
              <w:rPr>
                <w:rFonts w:ascii="Book Antiqua" w:eastAsia="Book Antiqua" w:hAnsi="Book Antiqua" w:cs="Book Antiqua"/>
                <w:color w:val="1155CC"/>
              </w:rPr>
              <w:tab/>
              <w:t>214</w:t>
            </w:r>
          </w:hyperlink>
        </w:p>
        <w:p w14:paraId="3AEA31F6" w14:textId="77777777" w:rsidR="002530E2" w:rsidRDefault="002530E2">
          <w:pPr>
            <w:widowControl w:val="0"/>
            <w:tabs>
              <w:tab w:val="right" w:leader="dot" w:pos="12000"/>
            </w:tabs>
            <w:spacing w:before="60" w:after="0" w:line="360" w:lineRule="auto"/>
            <w:rPr>
              <w:color w:val="1155CC"/>
              <w:u w:val="single"/>
            </w:rPr>
          </w:pPr>
          <w:hyperlink w:anchor="_heading=h.30j0zll">
            <w:r>
              <w:rPr>
                <w:rFonts w:ascii="Book Antiqua" w:eastAsia="Book Antiqua" w:hAnsi="Book Antiqua" w:cs="Book Antiqua"/>
                <w:color w:val="1155CC"/>
              </w:rPr>
              <w:t>IR 024 (2017: L’Oreal, Global)</w:t>
            </w:r>
            <w:r>
              <w:rPr>
                <w:rFonts w:ascii="Book Antiqua" w:eastAsia="Book Antiqua" w:hAnsi="Book Antiqua" w:cs="Book Antiqua"/>
                <w:color w:val="1155CC"/>
              </w:rPr>
              <w:tab/>
              <w:t>216</w:t>
            </w:r>
          </w:hyperlink>
        </w:p>
        <w:p w14:paraId="458B8FD2" w14:textId="77777777" w:rsidR="002530E2" w:rsidRDefault="002530E2">
          <w:pPr>
            <w:widowControl w:val="0"/>
            <w:tabs>
              <w:tab w:val="right" w:leader="dot" w:pos="12000"/>
            </w:tabs>
            <w:spacing w:before="60" w:after="0" w:line="360" w:lineRule="auto"/>
            <w:rPr>
              <w:color w:val="1155CC"/>
              <w:u w:val="single"/>
            </w:rPr>
          </w:pPr>
          <w:hyperlink w:anchor="_heading=h.1fob9te">
            <w:r>
              <w:rPr>
                <w:rFonts w:ascii="Book Antiqua" w:eastAsia="Book Antiqua" w:hAnsi="Book Antiqua" w:cs="Book Antiqua"/>
                <w:color w:val="1155CC"/>
              </w:rPr>
              <w:t>IR 025 (2017: Dove, Global)</w:t>
            </w:r>
            <w:r>
              <w:rPr>
                <w:rFonts w:ascii="Book Antiqua" w:eastAsia="Book Antiqua" w:hAnsi="Book Antiqua" w:cs="Book Antiqua"/>
                <w:color w:val="1155CC"/>
              </w:rPr>
              <w:tab/>
              <w:t>218</w:t>
            </w:r>
          </w:hyperlink>
        </w:p>
        <w:p w14:paraId="161942E2" w14:textId="77777777" w:rsidR="002530E2" w:rsidRDefault="002530E2">
          <w:pPr>
            <w:widowControl w:val="0"/>
            <w:tabs>
              <w:tab w:val="right" w:leader="dot" w:pos="12000"/>
            </w:tabs>
            <w:spacing w:before="60" w:after="0" w:line="360" w:lineRule="auto"/>
            <w:rPr>
              <w:color w:val="1155CC"/>
              <w:u w:val="single"/>
            </w:rPr>
          </w:pPr>
          <w:hyperlink w:anchor="_heading=h.3znysh7">
            <w:r>
              <w:rPr>
                <w:rFonts w:ascii="Book Antiqua" w:eastAsia="Book Antiqua" w:hAnsi="Book Antiqua" w:cs="Book Antiqua"/>
                <w:color w:val="1155CC"/>
              </w:rPr>
              <w:t>IR 026 (2017: Pepsi, Global)</w:t>
            </w:r>
            <w:r>
              <w:rPr>
                <w:rFonts w:ascii="Book Antiqua" w:eastAsia="Book Antiqua" w:hAnsi="Book Antiqua" w:cs="Book Antiqua"/>
                <w:color w:val="1155CC"/>
              </w:rPr>
              <w:tab/>
              <w:t>221</w:t>
            </w:r>
          </w:hyperlink>
        </w:p>
        <w:p w14:paraId="6227988A" w14:textId="77777777" w:rsidR="002530E2" w:rsidRDefault="002530E2">
          <w:pPr>
            <w:widowControl w:val="0"/>
            <w:tabs>
              <w:tab w:val="right" w:leader="dot" w:pos="12000"/>
            </w:tabs>
            <w:spacing w:before="60" w:after="0" w:line="360" w:lineRule="auto"/>
            <w:rPr>
              <w:color w:val="1155CC"/>
              <w:u w:val="single"/>
            </w:rPr>
          </w:pPr>
          <w:hyperlink w:anchor="_heading=h.2et92p0">
            <w:r>
              <w:rPr>
                <w:rFonts w:ascii="Book Antiqua" w:eastAsia="Book Antiqua" w:hAnsi="Book Antiqua" w:cs="Book Antiqua"/>
                <w:color w:val="1155CC"/>
              </w:rPr>
              <w:t>IR 027 (2017: Starbucks, Philadelphia, USA)</w:t>
            </w:r>
            <w:r>
              <w:rPr>
                <w:rFonts w:ascii="Book Antiqua" w:eastAsia="Book Antiqua" w:hAnsi="Book Antiqua" w:cs="Book Antiqua"/>
                <w:color w:val="1155CC"/>
              </w:rPr>
              <w:tab/>
              <w:t>223</w:t>
            </w:r>
          </w:hyperlink>
        </w:p>
        <w:p w14:paraId="2413C811" w14:textId="77777777" w:rsidR="002530E2" w:rsidRDefault="002530E2">
          <w:pPr>
            <w:widowControl w:val="0"/>
            <w:tabs>
              <w:tab w:val="right" w:leader="dot" w:pos="12000"/>
            </w:tabs>
            <w:spacing w:before="60" w:after="0" w:line="360" w:lineRule="auto"/>
            <w:rPr>
              <w:color w:val="1155CC"/>
              <w:u w:val="single"/>
            </w:rPr>
          </w:pPr>
          <w:hyperlink w:anchor="_heading=h.tyjcwt">
            <w:r>
              <w:rPr>
                <w:rFonts w:ascii="Book Antiqua" w:eastAsia="Book Antiqua" w:hAnsi="Book Antiqua" w:cs="Book Antiqua"/>
                <w:color w:val="1155CC"/>
              </w:rPr>
              <w:t>IR 028 (2017: McDonald’s, France)</w:t>
            </w:r>
            <w:r>
              <w:rPr>
                <w:rFonts w:ascii="Book Antiqua" w:eastAsia="Book Antiqua" w:hAnsi="Book Antiqua" w:cs="Book Antiqua"/>
                <w:color w:val="1155CC"/>
              </w:rPr>
              <w:tab/>
              <w:t>225</w:t>
            </w:r>
          </w:hyperlink>
        </w:p>
        <w:p w14:paraId="25EEF72A" w14:textId="77777777" w:rsidR="002530E2" w:rsidRDefault="002530E2">
          <w:pPr>
            <w:widowControl w:val="0"/>
            <w:tabs>
              <w:tab w:val="right" w:leader="dot" w:pos="12000"/>
            </w:tabs>
            <w:spacing w:before="60" w:after="0" w:line="360" w:lineRule="auto"/>
            <w:rPr>
              <w:color w:val="1155CC"/>
              <w:u w:val="single"/>
            </w:rPr>
          </w:pPr>
          <w:hyperlink w:anchor="_heading=h.3dy6vkm">
            <w:r>
              <w:rPr>
                <w:rFonts w:ascii="Book Antiqua" w:eastAsia="Book Antiqua" w:hAnsi="Book Antiqua" w:cs="Book Antiqua"/>
                <w:color w:val="1155CC"/>
              </w:rPr>
              <w:t>IR 029 (2017: McDonald’s, Singapore)</w:t>
            </w:r>
            <w:r>
              <w:rPr>
                <w:rFonts w:ascii="Book Antiqua" w:eastAsia="Book Antiqua" w:hAnsi="Book Antiqua" w:cs="Book Antiqua"/>
                <w:color w:val="1155CC"/>
              </w:rPr>
              <w:tab/>
              <w:t>228</w:t>
            </w:r>
          </w:hyperlink>
        </w:p>
        <w:p w14:paraId="5B8CC891" w14:textId="77777777" w:rsidR="002530E2" w:rsidRDefault="002530E2">
          <w:pPr>
            <w:widowControl w:val="0"/>
            <w:tabs>
              <w:tab w:val="right" w:leader="dot" w:pos="12000"/>
            </w:tabs>
            <w:spacing w:before="60" w:after="0" w:line="360" w:lineRule="auto"/>
            <w:rPr>
              <w:color w:val="1155CC"/>
              <w:u w:val="single"/>
            </w:rPr>
          </w:pPr>
          <w:hyperlink w:anchor="_heading=h.1t3h5sf">
            <w:r>
              <w:rPr>
                <w:rFonts w:ascii="Book Antiqua" w:eastAsia="Book Antiqua" w:hAnsi="Book Antiqua" w:cs="Book Antiqua"/>
                <w:color w:val="1155CC"/>
              </w:rPr>
              <w:t>IR 030 (2018: H&amp;M, Global)</w:t>
            </w:r>
            <w:r>
              <w:rPr>
                <w:rFonts w:ascii="Book Antiqua" w:eastAsia="Book Antiqua" w:hAnsi="Book Antiqua" w:cs="Book Antiqua"/>
                <w:color w:val="1155CC"/>
              </w:rPr>
              <w:tab/>
              <w:t>230</w:t>
            </w:r>
          </w:hyperlink>
        </w:p>
        <w:p w14:paraId="42F7595D" w14:textId="77777777" w:rsidR="002530E2" w:rsidRDefault="002530E2">
          <w:pPr>
            <w:widowControl w:val="0"/>
            <w:tabs>
              <w:tab w:val="right" w:leader="dot" w:pos="12000"/>
            </w:tabs>
            <w:spacing w:before="60" w:after="0" w:line="360" w:lineRule="auto"/>
            <w:rPr>
              <w:color w:val="1155CC"/>
              <w:u w:val="single"/>
            </w:rPr>
          </w:pPr>
          <w:hyperlink w:anchor="_heading=h.4d34og8">
            <w:r>
              <w:rPr>
                <w:rFonts w:ascii="Book Antiqua" w:eastAsia="Book Antiqua" w:hAnsi="Book Antiqua" w:cs="Book Antiqua"/>
                <w:color w:val="1155CC"/>
              </w:rPr>
              <w:t>IR 031 (2018: Google, Global)</w:t>
            </w:r>
            <w:r>
              <w:rPr>
                <w:rFonts w:ascii="Book Antiqua" w:eastAsia="Book Antiqua" w:hAnsi="Book Antiqua" w:cs="Book Antiqua"/>
                <w:color w:val="1155CC"/>
              </w:rPr>
              <w:tab/>
              <w:t>233</w:t>
            </w:r>
          </w:hyperlink>
        </w:p>
        <w:p w14:paraId="262C13D6" w14:textId="77777777" w:rsidR="002530E2" w:rsidRDefault="002530E2">
          <w:pPr>
            <w:widowControl w:val="0"/>
            <w:tabs>
              <w:tab w:val="right" w:leader="dot" w:pos="12000"/>
            </w:tabs>
            <w:spacing w:before="60" w:after="0" w:line="360" w:lineRule="auto"/>
            <w:rPr>
              <w:color w:val="1155CC"/>
              <w:u w:val="single"/>
            </w:rPr>
          </w:pPr>
          <w:hyperlink w:anchor="_heading=h.2s8eyo1">
            <w:r>
              <w:rPr>
                <w:rFonts w:ascii="Book Antiqua" w:eastAsia="Book Antiqua" w:hAnsi="Book Antiqua" w:cs="Book Antiqua"/>
                <w:color w:val="1155CC"/>
              </w:rPr>
              <w:t>IR 032 (2018: Dolce &amp; Gabbana, China)</w:t>
            </w:r>
            <w:r>
              <w:rPr>
                <w:rFonts w:ascii="Book Antiqua" w:eastAsia="Book Antiqua" w:hAnsi="Book Antiqua" w:cs="Book Antiqua"/>
                <w:color w:val="1155CC"/>
              </w:rPr>
              <w:tab/>
              <w:t>235</w:t>
            </w:r>
          </w:hyperlink>
        </w:p>
        <w:p w14:paraId="0401C46C" w14:textId="77777777" w:rsidR="002530E2" w:rsidRDefault="002530E2">
          <w:pPr>
            <w:widowControl w:val="0"/>
            <w:tabs>
              <w:tab w:val="right" w:leader="dot" w:pos="12000"/>
            </w:tabs>
            <w:spacing w:before="60" w:after="0" w:line="360" w:lineRule="auto"/>
            <w:rPr>
              <w:color w:val="1155CC"/>
              <w:u w:val="single"/>
            </w:rPr>
          </w:pPr>
          <w:hyperlink w:anchor="_heading=h.17dp8vu">
            <w:r>
              <w:rPr>
                <w:rFonts w:ascii="Book Antiqua" w:eastAsia="Book Antiqua" w:hAnsi="Book Antiqua" w:cs="Book Antiqua"/>
                <w:color w:val="1155CC"/>
              </w:rPr>
              <w:t>IR 033 (2018 Mercedes-Benz, Unspecified)</w:t>
            </w:r>
            <w:r>
              <w:rPr>
                <w:rFonts w:ascii="Book Antiqua" w:eastAsia="Book Antiqua" w:hAnsi="Book Antiqua" w:cs="Book Antiqua"/>
                <w:color w:val="1155CC"/>
              </w:rPr>
              <w:tab/>
              <w:t>238</w:t>
            </w:r>
          </w:hyperlink>
        </w:p>
        <w:p w14:paraId="52D9283E" w14:textId="77777777" w:rsidR="002530E2" w:rsidRDefault="002530E2">
          <w:pPr>
            <w:widowControl w:val="0"/>
            <w:tabs>
              <w:tab w:val="right" w:leader="dot" w:pos="12000"/>
            </w:tabs>
            <w:spacing w:before="60" w:after="0" w:line="360" w:lineRule="auto"/>
            <w:rPr>
              <w:color w:val="1155CC"/>
              <w:u w:val="single"/>
            </w:rPr>
          </w:pPr>
          <w:hyperlink w:anchor="_heading=h.3rdcrjn">
            <w:r>
              <w:rPr>
                <w:rFonts w:ascii="Book Antiqua" w:eastAsia="Book Antiqua" w:hAnsi="Book Antiqua" w:cs="Book Antiqua"/>
                <w:color w:val="1155CC"/>
              </w:rPr>
              <w:t>IR 034 (2018: WestJet, Unspecified)</w:t>
            </w:r>
            <w:r>
              <w:rPr>
                <w:rFonts w:ascii="Book Antiqua" w:eastAsia="Book Antiqua" w:hAnsi="Book Antiqua" w:cs="Book Antiqua"/>
                <w:color w:val="1155CC"/>
              </w:rPr>
              <w:tab/>
              <w:t>240</w:t>
            </w:r>
          </w:hyperlink>
        </w:p>
        <w:p w14:paraId="6FE9B786" w14:textId="77777777" w:rsidR="002530E2" w:rsidRDefault="002530E2">
          <w:pPr>
            <w:widowControl w:val="0"/>
            <w:tabs>
              <w:tab w:val="right" w:leader="dot" w:pos="12000"/>
            </w:tabs>
            <w:spacing w:before="60" w:after="0" w:line="360" w:lineRule="auto"/>
            <w:rPr>
              <w:color w:val="1155CC"/>
              <w:u w:val="single"/>
            </w:rPr>
          </w:pPr>
          <w:hyperlink w:anchor="_heading=h.26in1rg">
            <w:r>
              <w:rPr>
                <w:rFonts w:ascii="Book Antiqua" w:eastAsia="Book Antiqua" w:hAnsi="Book Antiqua" w:cs="Book Antiqua"/>
                <w:color w:val="1155CC"/>
              </w:rPr>
              <w:t>IR 035 (2018: Nestle, Malaysia)</w:t>
            </w:r>
            <w:r>
              <w:rPr>
                <w:rFonts w:ascii="Book Antiqua" w:eastAsia="Book Antiqua" w:hAnsi="Book Antiqua" w:cs="Book Antiqua"/>
                <w:color w:val="1155CC"/>
              </w:rPr>
              <w:tab/>
              <w:t>242</w:t>
            </w:r>
          </w:hyperlink>
        </w:p>
        <w:p w14:paraId="74328A2F" w14:textId="77777777" w:rsidR="002530E2" w:rsidRDefault="002530E2">
          <w:pPr>
            <w:widowControl w:val="0"/>
            <w:tabs>
              <w:tab w:val="right" w:leader="dot" w:pos="12000"/>
            </w:tabs>
            <w:spacing w:before="60" w:after="0" w:line="360" w:lineRule="auto"/>
            <w:rPr>
              <w:color w:val="1155CC"/>
              <w:u w:val="single"/>
            </w:rPr>
          </w:pPr>
          <w:hyperlink w:anchor="_heading=h.lnxbz9">
            <w:r>
              <w:rPr>
                <w:rFonts w:ascii="Book Antiqua" w:eastAsia="Book Antiqua" w:hAnsi="Book Antiqua" w:cs="Book Antiqua"/>
                <w:color w:val="1155CC"/>
              </w:rPr>
              <w:t>IR 036 (2018: KFC, UK)</w:t>
            </w:r>
            <w:r>
              <w:rPr>
                <w:rFonts w:ascii="Book Antiqua" w:eastAsia="Book Antiqua" w:hAnsi="Book Antiqua" w:cs="Book Antiqua"/>
                <w:color w:val="1155CC"/>
              </w:rPr>
              <w:tab/>
              <w:t>245</w:t>
            </w:r>
          </w:hyperlink>
        </w:p>
        <w:p w14:paraId="51EC2CAD" w14:textId="77777777" w:rsidR="002530E2" w:rsidRDefault="002530E2">
          <w:pPr>
            <w:widowControl w:val="0"/>
            <w:tabs>
              <w:tab w:val="right" w:leader="dot" w:pos="12000"/>
            </w:tabs>
            <w:spacing w:before="60" w:after="0" w:line="360" w:lineRule="auto"/>
            <w:rPr>
              <w:color w:val="1155CC"/>
              <w:u w:val="single"/>
            </w:rPr>
          </w:pPr>
          <w:hyperlink w:anchor="_heading=h.35nkun2">
            <w:r>
              <w:rPr>
                <w:rFonts w:ascii="Book Antiqua" w:eastAsia="Book Antiqua" w:hAnsi="Book Antiqua" w:cs="Book Antiqua"/>
                <w:color w:val="1155CC"/>
              </w:rPr>
              <w:t>IR 037 (2018: McDonald’s, Birmingham, UK)</w:t>
            </w:r>
            <w:r>
              <w:rPr>
                <w:rFonts w:ascii="Book Antiqua" w:eastAsia="Book Antiqua" w:hAnsi="Book Antiqua" w:cs="Book Antiqua"/>
                <w:color w:val="1155CC"/>
              </w:rPr>
              <w:tab/>
              <w:t>247</w:t>
            </w:r>
          </w:hyperlink>
        </w:p>
        <w:p w14:paraId="6C7ACF92" w14:textId="77777777" w:rsidR="002530E2" w:rsidRDefault="002530E2">
          <w:pPr>
            <w:widowControl w:val="0"/>
            <w:tabs>
              <w:tab w:val="right" w:leader="dot" w:pos="12000"/>
            </w:tabs>
            <w:spacing w:before="60" w:after="0" w:line="360" w:lineRule="auto"/>
            <w:rPr>
              <w:color w:val="1155CC"/>
              <w:u w:val="single"/>
            </w:rPr>
          </w:pPr>
          <w:hyperlink w:anchor="_heading=h.1ksv4uv">
            <w:r>
              <w:rPr>
                <w:rFonts w:ascii="Book Antiqua" w:eastAsia="Book Antiqua" w:hAnsi="Book Antiqua" w:cs="Book Antiqua"/>
                <w:color w:val="1155CC"/>
              </w:rPr>
              <w:t>IR 038 (2018: Eichbaum, Saudi Arabia)</w:t>
            </w:r>
            <w:r>
              <w:rPr>
                <w:rFonts w:ascii="Book Antiqua" w:eastAsia="Book Antiqua" w:hAnsi="Book Antiqua" w:cs="Book Antiqua"/>
                <w:color w:val="1155CC"/>
              </w:rPr>
              <w:tab/>
              <w:t>250</w:t>
            </w:r>
          </w:hyperlink>
          <w:r>
            <w:fldChar w:fldCharType="end"/>
          </w:r>
        </w:p>
      </w:sdtContent>
    </w:sdt>
    <w:p w14:paraId="3E7A155E" w14:textId="77777777" w:rsidR="002530E2" w:rsidRDefault="002530E2"/>
    <w:p w14:paraId="6C927E67" w14:textId="77777777" w:rsidR="002530E2" w:rsidRDefault="002530E2">
      <w:pPr>
        <w:pStyle w:val="Heading2"/>
      </w:pPr>
      <w:bookmarkStart w:id="31" w:name="_heading=h.g3mhik3b72ae" w:colFirst="0" w:colLast="0"/>
      <w:bookmarkEnd w:id="31"/>
      <w:r>
        <w:br w:type="page"/>
      </w:r>
    </w:p>
    <w:p w14:paraId="4B082BA8" w14:textId="77777777" w:rsidR="002530E2" w:rsidRDefault="002530E2">
      <w:pPr>
        <w:pStyle w:val="Heading2"/>
      </w:pPr>
      <w:r>
        <w:lastRenderedPageBreak/>
        <w:t>IR 023 (2017: American Eagle Outfitters, Global)</w:t>
      </w:r>
    </w:p>
    <w:p w14:paraId="137F97C9"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“American Eagle Outfitters’ Hijab Controversy“</w:t>
      </w:r>
    </w:p>
    <w:p w14:paraId="20EEC60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American Eagle Outfitters</w:t>
      </w:r>
    </w:p>
    <w:p w14:paraId="032EA88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3003CAD6"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1C894964"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59D13D0B" w14:textId="77777777" w:rsidR="002530E2" w:rsidRDefault="002530E2">
      <w:r>
        <w:t>Source: Various media reports, social media discussions, consumer complaints, and articles (referenced in the References section of the thesis).</w:t>
      </w:r>
    </w:p>
    <w:p w14:paraId="4B1FC64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1D069897"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American Eagle Outfitters in 2017, involving a controversy surrounding the design and marketing of a hijab. The incident sparked significant backlash and raised concerns among Muslim consumers globally.</w:t>
      </w:r>
    </w:p>
    <w:p w14:paraId="2118A9E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4A3BD777"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American Eagle Outfitters faced controversy when it launched a denim hijab as part of its product line. The design and marketing of the hijab received criticism for appropriating Muslim culture and commodifying a religious symbol.</w:t>
      </w:r>
    </w:p>
    <w:p w14:paraId="74C5DF6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6619215A"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American Eagle Outfitters</w:t>
      </w:r>
      <w:r>
        <w:t>’</w:t>
      </w:r>
      <w:r>
        <w:rPr>
          <w:rFonts w:ascii="Book Antiqua" w:eastAsia="Book Antiqua" w:hAnsi="Book Antiqua" w:cs="Book Antiqua"/>
          <w:sz w:val="20"/>
          <w:szCs w:val="20"/>
        </w:rPr>
        <w:t xml:space="preserve"> cross-cultural blunder was designing and marketing a denim hijab that sparked cultural appropriation concerns among Muslim consumers.</w:t>
      </w:r>
    </w:p>
    <w:p w14:paraId="6D2161E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34B6679D"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as they felt their religious symbol, the hijab, was being commodified and stripped of its religious and cultural significance. The incident raised concerns about the appropriation and commercialisation of Muslim culture.</w:t>
      </w:r>
    </w:p>
    <w:p w14:paraId="54B1B39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043CBF3"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denim hijab had implications for American Eagle Outfitters’ reputation and brand image, particularly among Muslim consumers. The design and marketing of the hijab raised questions about the company’s understanding of cultural sensitivity and respect for religious symbols.</w:t>
      </w:r>
    </w:p>
    <w:p w14:paraId="03F3FB2E"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41F7B547" w14:textId="77777777" w:rsidR="002530E2" w:rsidRDefault="002530E2">
      <w:pPr>
        <w:pBdr>
          <w:top w:val="nil"/>
          <w:left w:val="nil"/>
          <w:bottom w:val="nil"/>
          <w:right w:val="nil"/>
          <w:between w:val="nil"/>
        </w:pBdr>
      </w:pPr>
      <w:r>
        <w:rPr>
          <w:rFonts w:ascii="Book Antiqua" w:eastAsia="Book Antiqua" w:hAnsi="Book Antiqua" w:cs="Book Antiqua"/>
          <w:sz w:val="20"/>
          <w:szCs w:val="20"/>
        </w:rPr>
        <w:t>American Eagle Outfitters should prioritise cultural sensitivity and inclusivity in its product development and marketing processes to prevent similar incidents in the future. Connecting with various communities and listening to their feedback to accurately represent them is important. American Eagle Outfitters should also consider forming partnerships or collaborations with Muslim designers to ensure authentic and respectful designs.</w:t>
      </w:r>
    </w:p>
    <w:p w14:paraId="56F24D0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288185B2"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launch of the denim hijab sparked outrage and disappointment among Muslim consumers. Many expressed concerns about the company’s lack of understanding and respect for the religious and cultural significance of the hijab. Muslim consumers called for American Eagle Outfitters to acknowledge the issue and take corrective action.</w:t>
      </w:r>
    </w:p>
    <w:p w14:paraId="0BF2BF1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7A992BB1"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American Eagle Outfitters issued a public apology and promptly withdrew the denim hijab from its product line. The company acknowledged the concerns raised by Muslim consumers and committed to improving its cultural sensitivity and inclusivity in product development. American Eagle Outfitters also expressed its commitment to better understanding the needs and preferences of diverse customer groups.</w:t>
      </w:r>
    </w:p>
    <w:p w14:paraId="612E25C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426D171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American Eagle Outfitters’ hijab controversy highlighted the importance of cultural sensitivity and respect when designing and marketing products related to religious symbols. The incident underscored the need for companies to consult and collaborate with relevant communities to ensure accurate representation and avoid cultural appropriation. American Eagle Outfitters’ response, including the apology and withdrawal of the denim hijab, aimed to address the concerns raised and rebuild trust with Muslim consumers. By implementing more robust cultural sensitivity practices and engaging with diverse communities, American Eagle Outfitters can avoid cross-cultural blunders and foster positive relationships with its customer base.</w:t>
      </w:r>
    </w:p>
    <w:p w14:paraId="6E1BC397" w14:textId="77777777" w:rsidR="002530E2" w:rsidRDefault="002530E2">
      <w:pPr>
        <w:pStyle w:val="Heading2"/>
      </w:pPr>
      <w:r>
        <w:t>IR 024 (2017: L’Oreal, Global)</w:t>
      </w:r>
    </w:p>
    <w:p w14:paraId="3A2B69D2"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“L’Oreal’s Hijab Controversy“</w:t>
      </w:r>
    </w:p>
    <w:p w14:paraId="2E8781C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L’Oreal</w:t>
      </w:r>
    </w:p>
    <w:p w14:paraId="1F8A2C4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France</w:t>
      </w:r>
    </w:p>
    <w:p w14:paraId="12D22F43"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246BD40A"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57B24E09"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6E68974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3D801067"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L’Oreal in 2017, which involved a controversy surrounding the participation of a hijabi model in a haircare campaign. The incident sparked significant backlash and raised concerns among Muslim consumers globally.</w:t>
      </w:r>
    </w:p>
    <w:p w14:paraId="75020D4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6AC3DF57"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L’Oreal faced controversy when it featured a hijabi model, Amena Khan, in a hair care advertisement as part of its “True Match“ campaign. While the campaign aimed to promote diversity and inclusivity, it generated backlash due to L’Oreal’s previous involvement in campaigns featuring models who had made controversial statements against the Muslim community.</w:t>
      </w:r>
    </w:p>
    <w:p w14:paraId="775BED56"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1CACE931"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cross-cultural blunder made by L’Oreal, in this case, was the perceived contradiction between featuring a hijabi model in a haircare campaign while previously associating with models who had expressed controversial views towards the Muslim community.</w:t>
      </w:r>
    </w:p>
    <w:p w14:paraId="307AB47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6E6A5E38"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as they felt conflicted about L</w:t>
      </w:r>
      <w:r>
        <w:t>’</w:t>
      </w:r>
      <w:r>
        <w:rPr>
          <w:rFonts w:ascii="Book Antiqua" w:eastAsia="Book Antiqua" w:hAnsi="Book Antiqua" w:cs="Book Antiqua"/>
          <w:sz w:val="20"/>
          <w:szCs w:val="20"/>
        </w:rPr>
        <w:t>Oreal</w:t>
      </w:r>
      <w:r>
        <w:t>’</w:t>
      </w:r>
      <w:r>
        <w:rPr>
          <w:rFonts w:ascii="Book Antiqua" w:eastAsia="Book Antiqua" w:hAnsi="Book Antiqua" w:cs="Book Antiqua"/>
          <w:sz w:val="20"/>
          <w:szCs w:val="20"/>
        </w:rPr>
        <w:t>s intentions. While some appreciated the representation of a hijabi model, others expressed concerns about L</w:t>
      </w:r>
      <w:r>
        <w:t>’</w:t>
      </w:r>
      <w:r>
        <w:rPr>
          <w:rFonts w:ascii="Book Antiqua" w:eastAsia="Book Antiqua" w:hAnsi="Book Antiqua" w:cs="Book Antiqua"/>
          <w:sz w:val="20"/>
          <w:szCs w:val="20"/>
        </w:rPr>
        <w:t>Oreal</w:t>
      </w:r>
      <w:r>
        <w:t>’</w:t>
      </w:r>
      <w:r>
        <w:rPr>
          <w:rFonts w:ascii="Book Antiqua" w:eastAsia="Book Antiqua" w:hAnsi="Book Antiqua" w:cs="Book Antiqua"/>
          <w:sz w:val="20"/>
          <w:szCs w:val="20"/>
        </w:rPr>
        <w:t>s sincerity and questioned the authenticity of its commitment to diversity and inclusion.</w:t>
      </w:r>
    </w:p>
    <w:p w14:paraId="01AD898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7980B06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L</w:t>
      </w:r>
      <w:r>
        <w:t>’</w:t>
      </w:r>
      <w:r>
        <w:rPr>
          <w:rFonts w:ascii="Book Antiqua" w:eastAsia="Book Antiqua" w:hAnsi="Book Antiqua" w:cs="Book Antiqua"/>
          <w:sz w:val="20"/>
          <w:szCs w:val="20"/>
        </w:rPr>
        <w:t>Oreal</w:t>
      </w:r>
      <w:r>
        <w:t>’</w:t>
      </w:r>
      <w:r>
        <w:rPr>
          <w:rFonts w:ascii="Book Antiqua" w:eastAsia="Book Antiqua" w:hAnsi="Book Antiqua" w:cs="Book Antiqua"/>
          <w:sz w:val="20"/>
          <w:szCs w:val="20"/>
        </w:rPr>
        <w:t>s hijab campaign affected the brand</w:t>
      </w:r>
      <w:r>
        <w:t>’</w:t>
      </w:r>
      <w:r>
        <w:rPr>
          <w:rFonts w:ascii="Book Antiqua" w:eastAsia="Book Antiqua" w:hAnsi="Book Antiqua" w:cs="Book Antiqua"/>
          <w:sz w:val="20"/>
          <w:szCs w:val="20"/>
        </w:rPr>
        <w:t>s reputation and trust among Muslim consumers. The perceived contradiction in L</w:t>
      </w:r>
      <w:r>
        <w:t>’</w:t>
      </w:r>
      <w:r>
        <w:rPr>
          <w:rFonts w:ascii="Book Antiqua" w:eastAsia="Book Antiqua" w:hAnsi="Book Antiqua" w:cs="Book Antiqua"/>
          <w:sz w:val="20"/>
          <w:szCs w:val="20"/>
        </w:rPr>
        <w:t>Oreal</w:t>
      </w:r>
      <w:r>
        <w:t>’</w:t>
      </w:r>
      <w:r>
        <w:rPr>
          <w:rFonts w:ascii="Book Antiqua" w:eastAsia="Book Antiqua" w:hAnsi="Book Antiqua" w:cs="Book Antiqua"/>
          <w:sz w:val="20"/>
          <w:szCs w:val="20"/>
        </w:rPr>
        <w:t>s previous actions raised doubts about its values and genuine commitment to inclusivity and cultural sensitivity.</w:t>
      </w:r>
    </w:p>
    <w:p w14:paraId="58FCC63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744C6E76" w14:textId="77777777" w:rsidR="002530E2" w:rsidRDefault="002530E2">
      <w:pPr>
        <w:pBdr>
          <w:top w:val="nil"/>
          <w:left w:val="nil"/>
          <w:bottom w:val="nil"/>
          <w:right w:val="nil"/>
          <w:between w:val="nil"/>
        </w:pBdr>
      </w:pPr>
      <w:r>
        <w:rPr>
          <w:rFonts w:ascii="Book Antiqua" w:eastAsia="Book Antiqua" w:hAnsi="Book Antiqua" w:cs="Book Antiqua"/>
          <w:sz w:val="20"/>
          <w:szCs w:val="20"/>
        </w:rPr>
        <w:t>L’Oreal should carefully consider the backgrounds and statements of individuals associated with their campaigns to prevent similar incidents in the future. Conducting thorough research on the models and ensuring their alignment with the brand’s values can help mitigate potential controversies and maintain consistency in messaging.</w:t>
      </w:r>
    </w:p>
    <w:p w14:paraId="3336A03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51AC9DC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L’Oreal hijab controversy elicited mixed reactions among Muslim consumers. While some appreciated the representation of a hijabi model, others raised concerns about the authenticity and sincerity of L’Oreal’s commitment to diversity and inclusivity.</w:t>
      </w:r>
    </w:p>
    <w:p w14:paraId="662D4EDA" w14:textId="77777777" w:rsidR="002530E2" w:rsidRDefault="002530E2">
      <w:pPr>
        <w:pBdr>
          <w:top w:val="nil"/>
          <w:left w:val="nil"/>
          <w:bottom w:val="nil"/>
          <w:right w:val="nil"/>
          <w:between w:val="nil"/>
        </w:pBdr>
      </w:pPr>
      <w:r>
        <w:br w:type="page"/>
      </w:r>
    </w:p>
    <w:p w14:paraId="7336FB8D"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MNC’s Post-Blunder Response to Address the Consequences: </w:t>
      </w:r>
    </w:p>
    <w:p w14:paraId="1F5D41D1"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L’Oreal issued a statement acknowledging the concerns raised by Muslim consumers. The company expressed its commitment to diversity and apologised for any offence caused. L’Oreal emphasised its dedication to promoting inclusivity and intended to learn from the incident.</w:t>
      </w:r>
    </w:p>
    <w:p w14:paraId="57B2B07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7D2982C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L’Oreal hijab controversy highlighted the importance of consistency, authenticity, and thorough research in promoting diversity and inclusion. The incident underlined the need for brands to align their actions with their messaging to maintain trust and credibility among diverse consumer groups. L’Oreal’s response, including an apology and reaffirming its commitment to inclusivity, aimed to address the concerns raised and rebuild trust with Muslim consumers. By exercising caution in their campaign choices and ensuring alignment with their values, brands can avoid potential cross-cultural blunders and foster positive relationships with diverse communities.</w:t>
      </w:r>
    </w:p>
    <w:p w14:paraId="3C8ADE31" w14:textId="77777777" w:rsidR="002530E2" w:rsidRDefault="002530E2">
      <w:pPr>
        <w:pStyle w:val="Heading2"/>
      </w:pPr>
      <w:r>
        <w:t>IR 025 (2017: Dove, Global)</w:t>
      </w:r>
    </w:p>
    <w:p w14:paraId="367AC5CF"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“Dove’s Racial Insensitivity in Advertisement“</w:t>
      </w:r>
    </w:p>
    <w:p w14:paraId="1F035F08"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Dove (Unilever)</w:t>
      </w:r>
    </w:p>
    <w:p w14:paraId="5F617EA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Kingdom/Netherlands</w:t>
      </w:r>
    </w:p>
    <w:p w14:paraId="3A45018C"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04591DC5"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69D7D419"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17F0B28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07FCB62A"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Dove, a brand owned by Unilever, in 2017, involving a racially insensitive advertisement. The incident sparked significant backlash and raised concerns among Muslim consumers and other minority groups globally.</w:t>
      </w:r>
    </w:p>
    <w:p w14:paraId="04E51EB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64D6E69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Dove faced controversy when an advertisement that portrayed a racially insensitive narrative was released. The advertisement showed a black woman removing her top to reveal a white woman underneath, implying that using Dove</w:t>
      </w:r>
      <w:r>
        <w:t>’</w:t>
      </w:r>
      <w:r>
        <w:rPr>
          <w:rFonts w:ascii="Book Antiqua" w:eastAsia="Book Antiqua" w:hAnsi="Book Antiqua" w:cs="Book Antiqua"/>
          <w:sz w:val="20"/>
          <w:szCs w:val="20"/>
        </w:rPr>
        <w:t>s products could transform a person</w:t>
      </w:r>
      <w:r>
        <w:t>’</w:t>
      </w:r>
      <w:r>
        <w:rPr>
          <w:rFonts w:ascii="Book Antiqua" w:eastAsia="Book Antiqua" w:hAnsi="Book Antiqua" w:cs="Book Antiqua"/>
          <w:sz w:val="20"/>
          <w:szCs w:val="20"/>
        </w:rPr>
        <w:t>s race. The advertisement sparked outrage and accusations of racial insensitivity and perpetuating racist stereotypes.</w:t>
      </w:r>
    </w:p>
    <w:p w14:paraId="2359A9A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41CDD08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made by Dove was the release of a racially insensitive advertisement that implied a correlation between using Dove</w:t>
      </w:r>
      <w:r>
        <w:t>’</w:t>
      </w:r>
      <w:r>
        <w:rPr>
          <w:rFonts w:ascii="Book Antiqua" w:eastAsia="Book Antiqua" w:hAnsi="Book Antiqua" w:cs="Book Antiqua"/>
          <w:sz w:val="20"/>
          <w:szCs w:val="20"/>
        </w:rPr>
        <w:t>s products and changing one</w:t>
      </w:r>
      <w:r>
        <w:t>’</w:t>
      </w:r>
      <w:r>
        <w:rPr>
          <w:rFonts w:ascii="Book Antiqua" w:eastAsia="Book Antiqua" w:hAnsi="Book Antiqua" w:cs="Book Antiqua"/>
          <w:sz w:val="20"/>
          <w:szCs w:val="20"/>
        </w:rPr>
        <w:t>s race.</w:t>
      </w:r>
    </w:p>
    <w:p w14:paraId="0FC647C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44BC6A9E"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alongside other minority groups, were directly impacted by this blunder. The advertisement was seen as offensive and perpetuating racial stereotypes, causing disappointment, anger, and cultural disrespect among Muslim consumers.</w:t>
      </w:r>
    </w:p>
    <w:p w14:paraId="0B531AA0"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Impact and Ramifications on MNC (this addresses MRQ 3):  </w:t>
      </w:r>
    </w:p>
    <w:p w14:paraId="0E311CD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racially insensitive advertisement controversy severely affected Dove</w:t>
      </w:r>
      <w:r>
        <w:t>’</w:t>
      </w:r>
      <w:r>
        <w:rPr>
          <w:rFonts w:ascii="Book Antiqua" w:eastAsia="Book Antiqua" w:hAnsi="Book Antiqua" w:cs="Book Antiqua"/>
          <w:sz w:val="20"/>
          <w:szCs w:val="20"/>
        </w:rPr>
        <w:t>s reputation and brand image. The incident raised questions about Dove</w:t>
      </w:r>
      <w:r>
        <w:t>’</w:t>
      </w:r>
      <w:r>
        <w:rPr>
          <w:rFonts w:ascii="Book Antiqua" w:eastAsia="Book Antiqua" w:hAnsi="Book Antiqua" w:cs="Book Antiqua"/>
          <w:sz w:val="20"/>
          <w:szCs w:val="20"/>
        </w:rPr>
        <w:t>s understanding of cultural diversity and its commitment to inclusivity and sensitivity towards racial and ethnic minorities.</w:t>
      </w:r>
    </w:p>
    <w:p w14:paraId="0D2BCD6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6473C0D5" w14:textId="77777777" w:rsidR="002530E2" w:rsidRDefault="002530E2">
      <w:pPr>
        <w:pBdr>
          <w:top w:val="nil"/>
          <w:left w:val="nil"/>
          <w:bottom w:val="nil"/>
          <w:right w:val="nil"/>
          <w:between w:val="nil"/>
        </w:pBdr>
      </w:pPr>
      <w:r>
        <w:rPr>
          <w:rFonts w:ascii="Book Antiqua" w:eastAsia="Book Antiqua" w:hAnsi="Book Antiqua" w:cs="Book Antiqua"/>
          <w:sz w:val="20"/>
          <w:szCs w:val="20"/>
        </w:rPr>
        <w:t>Dove and Unilever should prioritise diversity and inclusion in their marketing and advertising teams to prevent similar incidents in the future. This includes ensuring representation from different cultural backgrounds and engaging diverse perspectives in the creative process. Comprehensive cultural sensitivity training should be implemented to enhance understanding and avoid the perpetuation of stereotypes. Additionally, conducting thorough consumer research and testing before launching campaigns can help identify potential issues and avoid unintended consequences.</w:t>
      </w:r>
    </w:p>
    <w:p w14:paraId="47B9921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3526F0C6"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and other communities expressed disappointment and anger towards Dove</w:t>
      </w:r>
      <w:r>
        <w:t>’</w:t>
      </w:r>
      <w:r>
        <w:rPr>
          <w:rFonts w:ascii="Book Antiqua" w:eastAsia="Book Antiqua" w:hAnsi="Book Antiqua" w:cs="Book Antiqua"/>
          <w:sz w:val="20"/>
          <w:szCs w:val="20"/>
        </w:rPr>
        <w:t>s racially insensitive advertisement. Many individuals took to social media to voice their concerns, calling for a boycott of Dove</w:t>
      </w:r>
      <w:r>
        <w:t>’</w:t>
      </w:r>
      <w:r>
        <w:rPr>
          <w:rFonts w:ascii="Book Antiqua" w:eastAsia="Book Antiqua" w:hAnsi="Book Antiqua" w:cs="Book Antiqua"/>
          <w:sz w:val="20"/>
          <w:szCs w:val="20"/>
        </w:rPr>
        <w:t>s products and demanding a public apology.</w:t>
      </w:r>
    </w:p>
    <w:p w14:paraId="31EFA30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514E7892" w14:textId="77777777" w:rsidR="002530E2" w:rsidRDefault="002530E2">
      <w:pPr>
        <w:pBdr>
          <w:top w:val="nil"/>
          <w:left w:val="nil"/>
          <w:bottom w:val="nil"/>
          <w:right w:val="nil"/>
          <w:between w:val="nil"/>
        </w:pBdr>
      </w:pPr>
      <w:r>
        <w:rPr>
          <w:rFonts w:ascii="Book Antiqua" w:eastAsia="Book Antiqua" w:hAnsi="Book Antiqua" w:cs="Book Antiqua"/>
          <w:sz w:val="20"/>
          <w:szCs w:val="20"/>
        </w:rPr>
        <w:t>Dove issued a public apology in response to the controversy and promptly removed the advertisement. The company acknowledged the offence caused and committed to conducting an internal investigation to prevent similar incidents in the future. Dove emphasised its commitment to diversity and inclusion and pledged to work on improving its advertising processes to ensure cultural sensitivity.</w:t>
      </w:r>
    </w:p>
    <w:p w14:paraId="4A744CE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6AB65DC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Dove advertisement controversy demonstrated the importance of cultural sensitivity and diversity in marketing and advertising. The incident highlighted the need for thorough review processes and diverse perspectives in creating advertisements to avoid perpetuating stereotypes and offending minority communities. </w:t>
      </w:r>
    </w:p>
    <w:p w14:paraId="7137A547" w14:textId="77777777" w:rsidR="002530E2" w:rsidRDefault="002530E2">
      <w:pPr>
        <w:pBdr>
          <w:top w:val="nil"/>
          <w:left w:val="nil"/>
          <w:bottom w:val="nil"/>
          <w:right w:val="nil"/>
          <w:between w:val="nil"/>
        </w:pBdr>
      </w:pPr>
      <w:r>
        <w:rPr>
          <w:rFonts w:ascii="Book Antiqua" w:eastAsia="Book Antiqua" w:hAnsi="Book Antiqua" w:cs="Book Antiqua"/>
          <w:sz w:val="20"/>
          <w:szCs w:val="20"/>
        </w:rPr>
        <w:t>Dove addressed the concerns of Muslim consumers and other affected communities by removing the advertisement and committing to improvement. Their response aimed at rebuilding trust. Dove can prevent future cross-cultural blunders and maintain positive relationships with diverse customer groups by fostering a more inclusive and culturally sensitive approach.</w:t>
      </w:r>
    </w:p>
    <w:p w14:paraId="7ECC91C5" w14:textId="77777777" w:rsidR="002530E2" w:rsidRDefault="002530E2">
      <w:pPr>
        <w:pStyle w:val="Heading2"/>
      </w:pPr>
      <w:r>
        <w:t>IR 026 (2017: Pepsi, Global)</w:t>
      </w:r>
    </w:p>
    <w:p w14:paraId="090131E0"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“Pepsi’s Ad Controversy“</w:t>
      </w:r>
    </w:p>
    <w:p w14:paraId="0DE302D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PepsiCo Inc.</w:t>
      </w:r>
    </w:p>
    <w:p w14:paraId="58F1C3B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4DEEC8E8"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5C9E3C4E"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3D7C55E0" w14:textId="77777777" w:rsidR="002530E2" w:rsidRDefault="002530E2">
      <w:pPr>
        <w:pBdr>
          <w:top w:val="nil"/>
          <w:left w:val="nil"/>
          <w:bottom w:val="nil"/>
          <w:right w:val="nil"/>
          <w:between w:val="nil"/>
        </w:pBdr>
      </w:pPr>
      <w:r>
        <w:lastRenderedPageBreak/>
        <w:t>Source: Various media reports, social media discussions, consumer complaints, and articles (referenced in the References section of the thesis).</w:t>
      </w:r>
    </w:p>
    <w:p w14:paraId="65F74E8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5B8CC7A4"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PepsiCo Inc. in 2017 involving a controversial advertisement that sparked significant backlash and criticism, particularly among Muslim consumers globally.</w:t>
      </w:r>
    </w:p>
    <w:p w14:paraId="42D3D1A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531F66F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Pepsi faced controversy when it released a television advertisement depicting a protest scene featuring model Kendall Jenner offering a can of Pepsi to a police officer. The ad was criticised for trivialising social justice movements and co-opting the imagery of protests, significantly impacting Muslim consumers as protests are often associated with social justice causes in many Muslim-majority countries.</w:t>
      </w:r>
    </w:p>
    <w:p w14:paraId="76BDBD0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680A020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PepsiCo, in this case, was the release of an advertisement that was perceived as trivialising social justice movements and protests, which had a significant impact on Muslim consumers’ perception of the brand.</w:t>
      </w:r>
    </w:p>
    <w:p w14:paraId="62FC6E7A" w14:textId="77777777" w:rsidR="002530E2" w:rsidRDefault="002530E2">
      <w:pPr>
        <w:pBdr>
          <w:top w:val="nil"/>
          <w:left w:val="nil"/>
          <w:bottom w:val="nil"/>
          <w:right w:val="nil"/>
          <w:between w:val="nil"/>
        </w:pBdr>
      </w:pPr>
      <w:r>
        <w:br w:type="page"/>
      </w:r>
    </w:p>
    <w:p w14:paraId="09273768"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Consequences for Muslims (this addresses MRQ 2): </w:t>
      </w:r>
    </w:p>
    <w:p w14:paraId="408558A3"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as they perceived the advertisement as insensitive and appropriating the imagery of protests. The trivialisation of social justice movements and protests led to disappointment and frustration among Muslim consumers, who felt their causes were commercialised for corporate gain.</w:t>
      </w:r>
    </w:p>
    <w:p w14:paraId="56A6467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3EA60F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advertisement controversy severely affected Pepsi</w:t>
      </w:r>
      <w:r>
        <w:t>’</w:t>
      </w:r>
      <w:r>
        <w:rPr>
          <w:rFonts w:ascii="Book Antiqua" w:eastAsia="Book Antiqua" w:hAnsi="Book Antiqua" w:cs="Book Antiqua"/>
          <w:sz w:val="20"/>
          <w:szCs w:val="20"/>
        </w:rPr>
        <w:t>s reputation and brand image, particularly among Muslim consumers. The insensitivity towards social justice issues and protests raised questions about Pepsi</w:t>
      </w:r>
      <w:r>
        <w:t>’</w:t>
      </w:r>
      <w:r>
        <w:rPr>
          <w:rFonts w:ascii="Book Antiqua" w:eastAsia="Book Antiqua" w:hAnsi="Book Antiqua" w:cs="Book Antiqua"/>
          <w:sz w:val="20"/>
          <w:szCs w:val="20"/>
        </w:rPr>
        <w:t>s understanding of cultural sensitivities and the authenticity of its engagement with social issues.</w:t>
      </w:r>
    </w:p>
    <w:p w14:paraId="1196580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4FBC6AF2" w14:textId="77777777" w:rsidR="002530E2" w:rsidRDefault="002530E2">
      <w:pPr>
        <w:pBdr>
          <w:top w:val="nil"/>
          <w:left w:val="nil"/>
          <w:bottom w:val="nil"/>
          <w:right w:val="nil"/>
          <w:between w:val="nil"/>
        </w:pBdr>
      </w:pPr>
      <w:r>
        <w:rPr>
          <w:rFonts w:ascii="Book Antiqua" w:eastAsia="Book Antiqua" w:hAnsi="Book Antiqua" w:cs="Book Antiqua"/>
          <w:sz w:val="20"/>
          <w:szCs w:val="20"/>
        </w:rPr>
        <w:t>Pepsi should prioritise diversity and inclusion in its marketing and advertising strategies to prevent similar incidents in the future. This includes ensuring diverse perspectives are represented in decision-making processes and conducting thorough cultural research to avoid misinterpreting or trivialising important social issues. Engaging with diverse communities, including Muslim consumers, for feedback and input during the creative development process can help ensure cultural sensitivity and relevance.</w:t>
      </w:r>
    </w:p>
    <w:p w14:paraId="0A5FB4A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14A27CB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with the Pepsi ad, highlighting the insensitivity towards social justice movements and the co-opting of protest imagery. Many Muslims called for a boycott of Pepsi products and took to social media to voice their concerns and criticise the brand’s approach to addressing important social issues.</w:t>
      </w:r>
    </w:p>
    <w:p w14:paraId="3896DFE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0F188AF2" w14:textId="77777777" w:rsidR="002530E2" w:rsidRDefault="002530E2">
      <w:pPr>
        <w:pBdr>
          <w:top w:val="nil"/>
          <w:left w:val="nil"/>
          <w:bottom w:val="nil"/>
          <w:right w:val="nil"/>
          <w:between w:val="nil"/>
        </w:pBdr>
      </w:pPr>
      <w:r>
        <w:rPr>
          <w:rFonts w:ascii="Book Antiqua" w:eastAsia="Book Antiqua" w:hAnsi="Book Antiqua" w:cs="Book Antiqua"/>
          <w:sz w:val="20"/>
          <w:szCs w:val="20"/>
        </w:rPr>
        <w:t>Responding to the controversy, Pepsi quickly pulled the advertisement and issued a public apology. The company acknowledged the concerns raised by Muslim consumers and recognised the need for better cultural understanding and sensitivity in their advertising campaigns. Pepsi is committed to reviewing its internal processes and engaging with external stakeholders to ensure more responsible and culturally sensitive marketing practices in the future.</w:t>
      </w:r>
    </w:p>
    <w:p w14:paraId="3B971A3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2ED5819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Pepsi ad controversy demonstrated the importance of cultural sensitivity and responsible marketing practices. The incident highlighted the need for MNCs like PepsiCo to understand and respect the cultural nuances of various communities, including Muslim consumers. By prioritising diversity and inclusion, conducting thorough cultural research, and engaging with diverse communities for feedback, MNCs can prevent cross-cultural blunders and foster positive relationships with their target audience. Pepsi quickly responded to the concerns raised by Muslim consumers by withdrawing the advertisement and promising to make improvements. Their goal was to rebuild trust with this group of consumers.</w:t>
      </w:r>
    </w:p>
    <w:p w14:paraId="4FD8DD30" w14:textId="77777777" w:rsidR="002530E2" w:rsidRDefault="002530E2">
      <w:pPr>
        <w:pStyle w:val="Heading2"/>
      </w:pPr>
      <w:r>
        <w:t>IR 027 (2017: Starbucks, Philadelphia, USA)</w:t>
      </w:r>
    </w:p>
    <w:p w14:paraId="4DAA4CC8"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“Starbucks’ Racial Profiling Incident in Philadelphia“</w:t>
      </w:r>
    </w:p>
    <w:p w14:paraId="19508666"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 Name: Starbucks Corporation</w:t>
      </w:r>
    </w:p>
    <w:p w14:paraId="4140C68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6D0E04B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Philadelphia, Pennsylvania, United States</w:t>
      </w:r>
    </w:p>
    <w:p w14:paraId="4DD78CC3"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613FFC2A"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6EB9C39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Introduction: </w:t>
      </w:r>
    </w:p>
    <w:p w14:paraId="6791DDCF"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Starbucks in 2017 involving a racial profiling incident at one of its stores in Philadelphia. The incident sparked widespread outrage and raised concerns about racial discrimination within the company.</w:t>
      </w:r>
    </w:p>
    <w:p w14:paraId="61F7399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64687B0A"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Starbucks faced a major controversy when two black men were arrested at one of its stores in Philadelphia. The incident occurred when the men were waiting for a friend and were asked to leave by the store manager, leading to their arrest by the police. The video of the incident has become popular on social media, leading to public criticism and increased attention on the issue.</w:t>
      </w:r>
    </w:p>
    <w:p w14:paraId="1745292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5348233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Starbucks, in this case, was racial profiling and discrimination against two black men at one of its stores in Philadelphia.</w:t>
      </w:r>
    </w:p>
    <w:p w14:paraId="117CE136"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 While the incident did not directly impact Muslims, it raised concerns among diverse communities, including Muslims, about the potential for racial profiling and discrimination in public spaces. It highlighted the importance of inclusivity, diversity, and fair customer treatment.</w:t>
      </w:r>
    </w:p>
    <w:p w14:paraId="7ED8865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53A7B55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racial profiling incident severely affected Starbucks</w:t>
      </w:r>
      <w:r>
        <w:t>’</w:t>
      </w:r>
      <w:r>
        <w:rPr>
          <w:rFonts w:ascii="Book Antiqua" w:eastAsia="Book Antiqua" w:hAnsi="Book Antiqua" w:cs="Book Antiqua"/>
          <w:sz w:val="20"/>
          <w:szCs w:val="20"/>
        </w:rPr>
        <w:t xml:space="preserve"> reputation and brand image. The incident received extensive media coverage, leading to public backlash, protests, and calls for a brand boycott. The incident also raised questions about Starbucks</w:t>
      </w:r>
      <w:r>
        <w:t>’</w:t>
      </w:r>
      <w:r>
        <w:rPr>
          <w:rFonts w:ascii="Book Antiqua" w:eastAsia="Book Antiqua" w:hAnsi="Book Antiqua" w:cs="Book Antiqua"/>
          <w:sz w:val="20"/>
          <w:szCs w:val="20"/>
        </w:rPr>
        <w:t xml:space="preserve"> commitment to diversity and equality, impacting its relationships with customers and communities.</w:t>
      </w:r>
    </w:p>
    <w:p w14:paraId="63E59C4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Lessons Learned and Future Prevention Strategies (this addresses MRQ 4): </w:t>
      </w:r>
    </w:p>
    <w:p w14:paraId="7AAA4F46" w14:textId="77777777" w:rsidR="002530E2" w:rsidRDefault="002530E2">
      <w:pPr>
        <w:pBdr>
          <w:top w:val="nil"/>
          <w:left w:val="nil"/>
          <w:bottom w:val="nil"/>
          <w:right w:val="nil"/>
          <w:between w:val="nil"/>
        </w:pBdr>
      </w:pPr>
      <w:r>
        <w:rPr>
          <w:rFonts w:ascii="Book Antiqua" w:eastAsia="Book Antiqua" w:hAnsi="Book Antiqua" w:cs="Book Antiqua"/>
          <w:sz w:val="20"/>
          <w:szCs w:val="20"/>
        </w:rPr>
        <w:t>Starbucks took several measures. The company initiated unconscious bias training for its employees across all stores in the United States to raise awareness and promote fair treatment. Starbucks also revised its store policies to ensure greater inclusivity and non-discrimination, emphasising that its stores should be welcoming spaces for all customers.</w:t>
      </w:r>
    </w:p>
    <w:p w14:paraId="72B022B1" w14:textId="77777777" w:rsidR="002530E2" w:rsidRDefault="002530E2">
      <w:pPr>
        <w:pBdr>
          <w:top w:val="nil"/>
          <w:left w:val="nil"/>
          <w:bottom w:val="nil"/>
          <w:right w:val="nil"/>
          <w:between w:val="nil"/>
        </w:pBdr>
      </w:pPr>
      <w:r>
        <w:br w:type="page"/>
      </w:r>
    </w:p>
    <w:p w14:paraId="6A2FE0A7"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Reactions by Muslims: </w:t>
      </w:r>
    </w:p>
    <w:p w14:paraId="49CA465A" w14:textId="77777777" w:rsidR="002530E2" w:rsidRDefault="002530E2">
      <w:pPr>
        <w:pBdr>
          <w:top w:val="nil"/>
          <w:left w:val="nil"/>
          <w:bottom w:val="nil"/>
          <w:right w:val="nil"/>
          <w:between w:val="nil"/>
        </w:pBdr>
      </w:pPr>
      <w:r>
        <w:rPr>
          <w:rFonts w:ascii="Book Antiqua" w:eastAsia="Book Antiqua" w:hAnsi="Book Antiqua" w:cs="Book Antiqua"/>
          <w:sz w:val="20"/>
          <w:szCs w:val="20"/>
        </w:rPr>
        <w:t>While the incident primarily concerned racial profiling rather than specific consequences for Muslims, many Muslims expressed solidarity with the affected individuals and participated in protests against racial discrimination. The incident highlighted the importance of supporting inclusivity and equality for all individuals, regardless of their background.</w:t>
      </w:r>
    </w:p>
    <w:p w14:paraId="6FF9C2C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5BB3706A" w14:textId="77777777" w:rsidR="002530E2" w:rsidRDefault="002530E2">
      <w:pPr>
        <w:pBdr>
          <w:top w:val="nil"/>
          <w:left w:val="nil"/>
          <w:bottom w:val="nil"/>
          <w:right w:val="nil"/>
          <w:between w:val="nil"/>
        </w:pBdr>
      </w:pPr>
      <w:r>
        <w:rPr>
          <w:rFonts w:ascii="Book Antiqua" w:eastAsia="Book Antiqua" w:hAnsi="Book Antiqua" w:cs="Book Antiqua"/>
          <w:sz w:val="20"/>
          <w:szCs w:val="20"/>
        </w:rPr>
        <w:t>Starbucks responded to the incident by apologising to the two arrested men and engaging in direct dialogue with community leaders and activists. The company committed to implementing unconscious bias training and pledged to prevent similar incidents. Starbucks also announced plans to close its stores for a day to conduct racial-bias education for its employees.</w:t>
      </w:r>
    </w:p>
    <w:p w14:paraId="0DEC7E0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44ABC57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Starbucks racial profiling incident in Philadelphia underscored the need for companies to prioritise diversity, inclusivity, and fair treatment of customers. The incident significantly impacted Starbucks</w:t>
      </w:r>
      <w:r>
        <w:t>’</w:t>
      </w:r>
      <w:r>
        <w:rPr>
          <w:rFonts w:ascii="Book Antiqua" w:eastAsia="Book Antiqua" w:hAnsi="Book Antiqua" w:cs="Book Antiqua"/>
          <w:sz w:val="20"/>
          <w:szCs w:val="20"/>
        </w:rPr>
        <w:t xml:space="preserve"> reputation and highlighted the importance of addressing unconscious bias and promoting equality within the organisation. By taking swift action, implementing training programs, and fostering open dialogue, Starbucks aimed to learn from the incident and rebuild trust with its customers and communities. This incident highlights the importance of companies taking proactive steps towards addressing cultural differences, biases, and discrimination to create a welcoming and inclusive environment for all customers, including Muslims.</w:t>
      </w:r>
    </w:p>
    <w:p w14:paraId="0CC3F1F4" w14:textId="77777777" w:rsidR="002530E2" w:rsidRDefault="002530E2">
      <w:pPr>
        <w:pStyle w:val="Heading2"/>
      </w:pPr>
      <w:r>
        <w:t>IR 028 (2017: McDonald’s, France)</w:t>
      </w:r>
    </w:p>
    <w:p w14:paraId="5425D131"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Halal Menu Removal Controversy and Backlash from Muslim Consumers“</w:t>
      </w:r>
    </w:p>
    <w:p w14:paraId="49D71D71"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 Corporation</w:t>
      </w:r>
    </w:p>
    <w:p w14:paraId="5C914D51"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4D501163"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France</w:t>
      </w:r>
    </w:p>
    <w:p w14:paraId="13B7F190"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12BAD8B0"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5179455"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14A243CB"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the controversy faced by McDonald’s in 2017 when a franchise in France decided to remove halal-certified items from its menu. Removing these items sparked accusations of discrimination from Muslim consumers, leading to a boycott of the fast-food chain.</w:t>
      </w:r>
    </w:p>
    <w:p w14:paraId="300F7E17"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5D650CCC"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a McDonald</w:t>
      </w:r>
      <w:r>
        <w:t>’</w:t>
      </w:r>
      <w:r>
        <w:rPr>
          <w:rFonts w:ascii="Book Antiqua" w:eastAsia="Book Antiqua" w:hAnsi="Book Antiqua" w:cs="Book Antiqua"/>
          <w:sz w:val="20"/>
          <w:szCs w:val="20"/>
        </w:rPr>
        <w:t>s franchise in France no longer offered halal-certified items. The franchise cited business reasons for the change, including the complexity of ensuring proper halal certification across all products. However, the decision was met with criticism and backlash from Muslim consumers.</w:t>
      </w:r>
    </w:p>
    <w:p w14:paraId="08A8E327"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521EF801"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In this case, the blunder can be categorised as a cross-cultural blunder resulting from removing halal-certified items without proper consideration for Muslim consumers</w:t>
      </w:r>
      <w:r>
        <w:t>’</w:t>
      </w:r>
      <w:r>
        <w:rPr>
          <w:rFonts w:ascii="Book Antiqua" w:eastAsia="Book Antiqua" w:hAnsi="Book Antiqua" w:cs="Book Antiqua"/>
          <w:sz w:val="20"/>
          <w:szCs w:val="20"/>
        </w:rPr>
        <w:t xml:space="preserve"> dietary and cultural needs.</w:t>
      </w:r>
    </w:p>
    <w:p w14:paraId="091D17FB"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3C2DB4F3"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who had relied on McDonald</w:t>
      </w:r>
      <w:r>
        <w:t>’</w:t>
      </w:r>
      <w:r>
        <w:rPr>
          <w:rFonts w:ascii="Book Antiqua" w:eastAsia="Book Antiqua" w:hAnsi="Book Antiqua" w:cs="Book Antiqua"/>
          <w:sz w:val="20"/>
          <w:szCs w:val="20"/>
        </w:rPr>
        <w:t>s for halal-certified food options felt excluded and discriminated against by removing these items. They believed the change deprived them of suitable dietary choices and called for a boycott of the fast-food chain to raise awareness.</w:t>
      </w:r>
    </w:p>
    <w:p w14:paraId="4083B408" w14:textId="77777777" w:rsidR="002530E2" w:rsidRDefault="002530E2">
      <w:pPr>
        <w:pBdr>
          <w:top w:val="nil"/>
          <w:left w:val="nil"/>
          <w:bottom w:val="nil"/>
          <w:right w:val="nil"/>
          <w:between w:val="nil"/>
        </w:pBdr>
      </w:pPr>
      <w:r>
        <w:rPr>
          <w:rFonts w:ascii="Book Antiqua" w:eastAsia="Book Antiqua" w:hAnsi="Book Antiqua" w:cs="Book Antiqua"/>
          <w:sz w:val="20"/>
          <w:szCs w:val="20"/>
        </w:rPr>
        <w:t>Impact and Ramifications on MNC (this addresses MRQ 3):</w:t>
      </w:r>
    </w:p>
    <w:p w14:paraId="179E6403"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faced reputational damage and negative publicity due to the controversy. The decision to remove halal-certified items from the menu led to accusations of discrimination and insensitivity towards Muslim consumers. The boycott calls and negative sentiment surrounding the incident highlighted the importance of understanding and addressing the needs of diverse customer bases.</w:t>
      </w:r>
    </w:p>
    <w:p w14:paraId="326F770C"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936C46C"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should prioritise inclusivity and diversity in its decision-making processes to prevent similar incidents. This includes consulting with relevant communities, conducting thorough market research, and understanding different customer segments</w:t>
      </w:r>
      <w:r>
        <w:t>’</w:t>
      </w:r>
      <w:r>
        <w:rPr>
          <w:rFonts w:ascii="Book Antiqua" w:eastAsia="Book Antiqua" w:hAnsi="Book Antiqua" w:cs="Book Antiqua"/>
          <w:sz w:val="20"/>
          <w:szCs w:val="20"/>
        </w:rPr>
        <w:t xml:space="preserve"> specific needs and preferences. McDonald</w:t>
      </w:r>
      <w:r>
        <w:t>’</w:t>
      </w:r>
      <w:r>
        <w:rPr>
          <w:rFonts w:ascii="Book Antiqua" w:eastAsia="Book Antiqua" w:hAnsi="Book Antiqua" w:cs="Book Antiqua"/>
          <w:sz w:val="20"/>
          <w:szCs w:val="20"/>
        </w:rPr>
        <w:t>s should also ensure effective communication and transparency when making changes that impact dietary options.</w:t>
      </w:r>
    </w:p>
    <w:p w14:paraId="451A64DC"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criticism and boycott calls, McDonald’s acknowledged the concerns raised by Muslim consumers and expressed its commitment to addressing the issue. The company stated its willingness to work with suppliers and Islamic organisations to ensure appropriate halal options were available in its restaurants.</w:t>
      </w:r>
    </w:p>
    <w:p w14:paraId="209C2F0E"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22C5EB7A"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their dissatisfaction and called for a boycott of McDonald’s to protest removing halal-certified items. Their reactions highlighted the importance of catering to diverse dietary and cultural needs.</w:t>
      </w:r>
    </w:p>
    <w:p w14:paraId="1DE7746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536A298D"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McDonald’s acknowledged the concerns raised by Muslim consumers and expressed its commitment to working towards providing suitable options for them. The company stated its willingness to collaborate with suppliers and Islamic organisations to ensure appropriate halal choices were available in its restaurants.</w:t>
      </w:r>
    </w:p>
    <w:p w14:paraId="2AC8E9A7"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78B886ED"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McDonald</w:t>
      </w:r>
      <w:r>
        <w:t>’</w:t>
      </w:r>
      <w:r>
        <w:rPr>
          <w:rFonts w:ascii="Book Antiqua" w:eastAsia="Book Antiqua" w:hAnsi="Book Antiqua" w:cs="Book Antiqua"/>
          <w:sz w:val="20"/>
          <w:szCs w:val="20"/>
        </w:rPr>
        <w:t>s faced backlash from Muslim consumers in France after a franchise removed halal-certified items from its menu. The incident sparked controversy and accusations of discrimination, leading to a boycott of the fast-food chain. The incident highlighted the importance of considering and respecting diverse customer bases</w:t>
      </w:r>
      <w:r>
        <w:t>’</w:t>
      </w:r>
      <w:r>
        <w:rPr>
          <w:rFonts w:ascii="Book Antiqua" w:eastAsia="Book Antiqua" w:hAnsi="Book Antiqua" w:cs="Book Antiqua"/>
          <w:sz w:val="20"/>
          <w:szCs w:val="20"/>
        </w:rPr>
        <w:t xml:space="preserve"> dietary and cultural needs. McDonald</w:t>
      </w:r>
      <w:r>
        <w:t>’</w:t>
      </w:r>
      <w:r>
        <w:rPr>
          <w:rFonts w:ascii="Book Antiqua" w:eastAsia="Book Antiqua" w:hAnsi="Book Antiqua" w:cs="Book Antiqua"/>
          <w:sz w:val="20"/>
          <w:szCs w:val="20"/>
        </w:rPr>
        <w:t>s responded by acknowledging the concerns and expressing its commitment to addressing the issue, including working towards providing suitable options for Muslim consumers.</w:t>
      </w:r>
    </w:p>
    <w:p w14:paraId="5A1D3B71" w14:textId="77777777" w:rsidR="002530E2" w:rsidRDefault="002530E2">
      <w:pPr>
        <w:pStyle w:val="Heading2"/>
      </w:pPr>
      <w:r>
        <w:lastRenderedPageBreak/>
        <w:t>IR 029 (2017: McDonald’s, Singapore)</w:t>
      </w:r>
    </w:p>
    <w:p w14:paraId="2E7E35F1"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Halal-Certified Prosperity Burgers Controversy in Singapore“</w:t>
      </w:r>
    </w:p>
    <w:p w14:paraId="3AE83AD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 Corporation</w:t>
      </w:r>
    </w:p>
    <w:p w14:paraId="7A2701B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457A4DC8"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Singapore</w:t>
      </w:r>
    </w:p>
    <w:p w14:paraId="0006CC66"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2017</w:t>
      </w:r>
    </w:p>
    <w:p w14:paraId="1FDC1742"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59750D47"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A8B3D26"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focuses on the controversy faced by a McDonald’s outlet in Singapore in 2017. The outlet sold halal-certified Prosperity Burgers that were later found to contain pork. Muslim consumers accused the company of negligence and disrespect towards their religious beliefs.</w:t>
      </w:r>
    </w:p>
    <w:p w14:paraId="4AB5CB46"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3B4408A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a McDonald’s outlet in Singapore faced backlash after it was revealed that the halal-certified Prosperity Burgers sold at the outlet contained pork. This discovery led to accusations of negligence and disrespect towards the religious beliefs of Muslim consumers.</w:t>
      </w:r>
    </w:p>
    <w:p w14:paraId="3C0BFE47"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3326B1F3"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blunder was the presence of pork in the halal-certified Prosperity Burgers. Through its Singapore outlet, McDonald</w:t>
      </w:r>
      <w:r>
        <w:t>’</w:t>
      </w:r>
      <w:r>
        <w:rPr>
          <w:rFonts w:ascii="Book Antiqua" w:eastAsia="Book Antiqua" w:hAnsi="Book Antiqua" w:cs="Book Antiqua"/>
          <w:sz w:val="20"/>
          <w:szCs w:val="20"/>
        </w:rPr>
        <w:t>s failed to uphold the integrity of its halal certification, violating Muslim consumers</w:t>
      </w:r>
      <w:r>
        <w:t>’</w:t>
      </w:r>
      <w:r>
        <w:rPr>
          <w:rFonts w:ascii="Book Antiqua" w:eastAsia="Book Antiqua" w:hAnsi="Book Antiqua" w:cs="Book Antiqua"/>
          <w:sz w:val="20"/>
          <w:szCs w:val="20"/>
        </w:rPr>
        <w:t xml:space="preserve"> dietary restrictions and religious beliefs.</w:t>
      </w:r>
    </w:p>
    <w:p w14:paraId="6E858E0B"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14A722E0"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Singapore were the primary group affected by this controversy. They discovered the presence of pork in the halal-certified Prosperity Burgers and raised concerns about the company’s negligence and disrespect. This incident violated their religious dietary restrictions and caused emotional distress, eroding their trust in McDonald’s.</w:t>
      </w:r>
    </w:p>
    <w:p w14:paraId="6AF1ADF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54AC88B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had a negative effect on McDonald’s reputation, particularly in the context of halal food certification. McDonald’s faced public outrage and backlash from Muslim consumers in Singapore. The incident raised questions about the company’s commitment to upholding halal standards and maintaining the trust of its customers.</w:t>
      </w:r>
    </w:p>
    <w:p w14:paraId="7A06C5F3"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0E4EED0"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should prioritise strict quality control measures to prevent similar incidents, particularly for halal-certified products. This includes implementing robust processes to ensure the accuracy and integrity of halal labelling. McDonald</w:t>
      </w:r>
      <w:r>
        <w:t>’</w:t>
      </w:r>
      <w:r>
        <w:rPr>
          <w:rFonts w:ascii="Book Antiqua" w:eastAsia="Book Antiqua" w:hAnsi="Book Antiqua" w:cs="Book Antiqua"/>
          <w:sz w:val="20"/>
          <w:szCs w:val="20"/>
        </w:rPr>
        <w:t>s should invest in training programs and conduct regular audits to verify compliance with halal standards. Engaging with relevant halal certification bodies and seeking their expertise can help strengthen McDonald</w:t>
      </w:r>
      <w:r>
        <w:t>’</w:t>
      </w:r>
      <w:r>
        <w:rPr>
          <w:rFonts w:ascii="Book Antiqua" w:eastAsia="Book Antiqua" w:hAnsi="Book Antiqua" w:cs="Book Antiqua"/>
          <w:sz w:val="20"/>
          <w:szCs w:val="20"/>
        </w:rPr>
        <w:t>s processes and prevent such incidents from occurring in the future.</w:t>
      </w:r>
    </w:p>
    <w:p w14:paraId="19AAA55D"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Reactions by Muslims:</w:t>
      </w:r>
    </w:p>
    <w:p w14:paraId="4296A7BE"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frustration, and outrage on social media platforms and in community discussions. They highlighted the violation of their religious beliefs and called for McDonald’s to take immediate action to rectify the situation and prevent future occurrences.</w:t>
      </w:r>
    </w:p>
    <w:p w14:paraId="28ADFE64"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3604F80D"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Singapore responded to the controversy by apologising and acknowledging the mistake. The company assured Muslim consumers that it would take immediate action to rectify the situation, including improving its quality control processes and reinforcing the importance of halal integrity. McDonald</w:t>
      </w:r>
      <w:r>
        <w:t>’</w:t>
      </w:r>
      <w:r>
        <w:rPr>
          <w:rFonts w:ascii="Book Antiqua" w:eastAsia="Book Antiqua" w:hAnsi="Book Antiqua" w:cs="Book Antiqua"/>
          <w:sz w:val="20"/>
          <w:szCs w:val="20"/>
        </w:rPr>
        <w:t>s Singapore also engaged with Muslim organisations and sought their input to ensure better compliance with halal standards.</w:t>
      </w:r>
    </w:p>
    <w:p w14:paraId="77ACEDA0"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40250A5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2017, a McDonald</w:t>
      </w:r>
      <w:r>
        <w:t>’</w:t>
      </w:r>
      <w:r>
        <w:rPr>
          <w:rFonts w:ascii="Book Antiqua" w:eastAsia="Book Antiqua" w:hAnsi="Book Antiqua" w:cs="Book Antiqua"/>
          <w:sz w:val="20"/>
          <w:szCs w:val="20"/>
        </w:rPr>
        <w:t>s outlet in Singapore faced controversy when it was discovered that the halal-certified Prosperity Burgers sold at the outlet contained pork. Muslim consumers accused the company of negligence and disrespect for their religious beliefs. McDonald</w:t>
      </w:r>
      <w:r>
        <w:t>’</w:t>
      </w:r>
      <w:r>
        <w:rPr>
          <w:rFonts w:ascii="Book Antiqua" w:eastAsia="Book Antiqua" w:hAnsi="Book Antiqua" w:cs="Book Antiqua"/>
          <w:sz w:val="20"/>
          <w:szCs w:val="20"/>
        </w:rPr>
        <w:t>s Singapore responded by apologising and taking measures to rectify the situation. The incident highlighted the importance of upholding halal standards and maintaining the trust of Muslim consumers. McDonald</w:t>
      </w:r>
      <w:r>
        <w:t>’</w:t>
      </w:r>
      <w:r>
        <w:rPr>
          <w:rFonts w:ascii="Book Antiqua" w:eastAsia="Book Antiqua" w:hAnsi="Book Antiqua" w:cs="Book Antiqua"/>
          <w:sz w:val="20"/>
          <w:szCs w:val="20"/>
        </w:rPr>
        <w:t>s must learn from this incident and implement robust quality control measures to ensure the accuracy and integrity of its halal-certified products. By doing so, the company can rebuild trust with its Muslim customers and reinforce its commitment to meeting their dietary and religious needs.</w:t>
      </w:r>
    </w:p>
    <w:p w14:paraId="680A5EC8" w14:textId="77777777" w:rsidR="002530E2" w:rsidRDefault="002530E2">
      <w:pPr>
        <w:pStyle w:val="Heading2"/>
        <w:spacing w:before="300"/>
      </w:pPr>
      <w:r>
        <w:t>IR 030 (2018: H&amp;M, Global)</w:t>
      </w:r>
    </w:p>
    <w:p w14:paraId="70E2FAD1"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Incident report title: </w:t>
      </w:r>
      <w:r>
        <w:t>“</w:t>
      </w:r>
      <w:r>
        <w:rPr>
          <w:rFonts w:ascii="Book Antiqua" w:eastAsia="Book Antiqua" w:hAnsi="Book Antiqua" w:cs="Book Antiqua"/>
          <w:sz w:val="20"/>
          <w:szCs w:val="20"/>
        </w:rPr>
        <w:t>H&amp;M</w:t>
      </w:r>
      <w:r>
        <w:t>’</w:t>
      </w:r>
      <w:r>
        <w:rPr>
          <w:rFonts w:ascii="Book Antiqua" w:eastAsia="Book Antiqua" w:hAnsi="Book Antiqua" w:cs="Book Antiqua"/>
          <w:sz w:val="20"/>
          <w:szCs w:val="20"/>
        </w:rPr>
        <w:t xml:space="preserve">s </w:t>
      </w:r>
      <w:r>
        <w:t>’</w:t>
      </w:r>
      <w:r>
        <w:rPr>
          <w:rFonts w:ascii="Book Antiqua" w:eastAsia="Book Antiqua" w:hAnsi="Book Antiqua" w:cs="Book Antiqua"/>
          <w:sz w:val="20"/>
          <w:szCs w:val="20"/>
        </w:rPr>
        <w:t>Coolest Monkey in the Jungle</w:t>
      </w:r>
      <w:r>
        <w:t>’</w:t>
      </w:r>
      <w:r>
        <w:rPr>
          <w:rFonts w:ascii="Book Antiqua" w:eastAsia="Book Antiqua" w:hAnsi="Book Antiqua" w:cs="Book Antiqua"/>
          <w:sz w:val="20"/>
          <w:szCs w:val="20"/>
        </w:rPr>
        <w:t xml:space="preserve"> Ad.</w:t>
      </w:r>
      <w:r>
        <w:t>“</w:t>
      </w:r>
    </w:p>
    <w:p w14:paraId="4EBD0DCD" w14:textId="77777777" w:rsidR="002530E2" w:rsidRPr="002530E2" w:rsidRDefault="002530E2">
      <w:pPr>
        <w:pBdr>
          <w:top w:val="nil"/>
          <w:left w:val="nil"/>
          <w:bottom w:val="nil"/>
          <w:right w:val="nil"/>
          <w:between w:val="nil"/>
        </w:pBdr>
        <w:rPr>
          <w:lang w:val="de-DE"/>
        </w:rPr>
      </w:pPr>
      <w:r w:rsidRPr="002530E2">
        <w:rPr>
          <w:rFonts w:ascii="Book Antiqua" w:eastAsia="Book Antiqua" w:hAnsi="Book Antiqua" w:cs="Book Antiqua"/>
          <w:sz w:val="20"/>
          <w:szCs w:val="20"/>
          <w:lang w:val="de-DE"/>
        </w:rPr>
        <w:t>MNC Name: H&amp;M Hennes &amp; Mauritz AB</w:t>
      </w:r>
    </w:p>
    <w:p w14:paraId="45C73E4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Sweden</w:t>
      </w:r>
    </w:p>
    <w:p w14:paraId="07ACE43E"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0EBCC5B7"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7AF9B0E1"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580398CE"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1D09F46D"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a cross-cultural blunder by H&amp;M in 2018 involving an advertisement that sparked controversy and backlash from Muslim consumers. The report delves into the consequences of H&amp;M’s ad featuring a young boy wearing a hoodie with the text “coolest monkey in the jungle,“ highlighting the responses from various stakeholders and addressing the need for cultural sensitivity in marketing campaigns.</w:t>
      </w:r>
    </w:p>
    <w:p w14:paraId="21F2A80E"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7525EC3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 2018, H&amp;M released an advertisement featuring a young boy wearing a hoodie titled </w:t>
      </w:r>
      <w:r>
        <w:t>“</w:t>
      </w:r>
      <w:r>
        <w:rPr>
          <w:rFonts w:ascii="Book Antiqua" w:eastAsia="Book Antiqua" w:hAnsi="Book Antiqua" w:cs="Book Antiqua"/>
          <w:sz w:val="20"/>
          <w:szCs w:val="20"/>
        </w:rPr>
        <w:t>Coolest Monkey in the Jungle.</w:t>
      </w:r>
      <w:r>
        <w:t>“</w:t>
      </w:r>
      <w:r>
        <w:rPr>
          <w:rFonts w:ascii="Book Antiqua" w:eastAsia="Book Antiqua" w:hAnsi="Book Antiqua" w:cs="Book Antiqua"/>
          <w:sz w:val="20"/>
          <w:szCs w:val="20"/>
        </w:rPr>
        <w:t xml:space="preserve"> The ad generated significant criticism from Muslim consumers, who found it racially insensitive and believed it reinforced negative stereotypes about black people.</w:t>
      </w:r>
    </w:p>
    <w:p w14:paraId="4AE4C11E"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Type of Cross-Cultural Blunder (this addresses MRQ 1):</w:t>
      </w:r>
    </w:p>
    <w:p w14:paraId="44D17789"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can be classified as a cross-cultural blunder, as the ad inadvertently perpetuated racial stereotypes and offended Muslim consumers who recognised the negative impact of such portrayals.</w:t>
      </w:r>
    </w:p>
    <w:p w14:paraId="32E3A23B"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61D374A4"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particularly racially conscious consumers, expressed disappointment and frustration with H&amp;M’s ad. They believed that it perpetuated harmful stereotypes and negatively affected the perception of black individuals. Muslim consumers expressed discontent on social media platforms and called for a boycott of H&amp;M products.</w:t>
      </w:r>
    </w:p>
    <w:p w14:paraId="082EB52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2E8A9DC" w14:textId="77777777" w:rsidR="002530E2" w:rsidRDefault="002530E2">
      <w:pPr>
        <w:pBdr>
          <w:top w:val="nil"/>
          <w:left w:val="nil"/>
          <w:bottom w:val="nil"/>
          <w:right w:val="nil"/>
          <w:between w:val="nil"/>
        </w:pBdr>
      </w:pPr>
      <w:r>
        <w:rPr>
          <w:rFonts w:ascii="Book Antiqua" w:eastAsia="Book Antiqua" w:hAnsi="Book Antiqua" w:cs="Book Antiqua"/>
          <w:sz w:val="20"/>
          <w:szCs w:val="20"/>
        </w:rPr>
        <w:t>H&amp;M faced substantial backlash and reputational damage due to the controversy. The negative sentiment of Muslim consumers and the broader public on social media platforms could impact the brand</w:t>
      </w:r>
      <w:r>
        <w:t>’</w:t>
      </w:r>
      <w:r>
        <w:rPr>
          <w:rFonts w:ascii="Book Antiqua" w:eastAsia="Book Antiqua" w:hAnsi="Book Antiqua" w:cs="Book Antiqua"/>
          <w:sz w:val="20"/>
          <w:szCs w:val="20"/>
        </w:rPr>
        <w:t>s sales and customer perception. The incident also attracted media attention, further amplifying the negative effect on H&amp;M</w:t>
      </w:r>
      <w:r>
        <w:t>’</w:t>
      </w:r>
      <w:r>
        <w:rPr>
          <w:rFonts w:ascii="Book Antiqua" w:eastAsia="Book Antiqua" w:hAnsi="Book Antiqua" w:cs="Book Antiqua"/>
          <w:sz w:val="20"/>
          <w:szCs w:val="20"/>
        </w:rPr>
        <w:t>s image.</w:t>
      </w:r>
    </w:p>
    <w:p w14:paraId="32C906BC"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65141B69" w14:textId="77777777" w:rsidR="002530E2" w:rsidRDefault="002530E2">
      <w:pPr>
        <w:pBdr>
          <w:top w:val="nil"/>
          <w:left w:val="nil"/>
          <w:bottom w:val="nil"/>
          <w:right w:val="nil"/>
          <w:between w:val="nil"/>
        </w:pBdr>
      </w:pPr>
      <w:r>
        <w:rPr>
          <w:rFonts w:ascii="Book Antiqua" w:eastAsia="Book Antiqua" w:hAnsi="Book Antiqua" w:cs="Book Antiqua"/>
          <w:sz w:val="20"/>
          <w:szCs w:val="20"/>
        </w:rPr>
        <w:t>Companies like H&amp;M should prioritise diversity and inclusion within their marketing teams to prevent similar cross-cultural blunders. This includes having diverse perspectives and backgrounds represented within decision-making roles to mitigate the risk of overlooking potential cultural sensitivities.</w:t>
      </w:r>
    </w:p>
    <w:p w14:paraId="4F6C7611"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the future, businesses operating in various markets should establish clear guidelines and protocols for reviewing and approving marketing materials. Conducting cultural impact assessments and seeking input from multiple stakeholders, including Muslim communities, can help identify potential issues and avoid cultural blunders.</w:t>
      </w:r>
    </w:p>
    <w:p w14:paraId="0EFA4BBC"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333831CE"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with H&amp;M</w:t>
      </w:r>
      <w:r>
        <w:t>’</w:t>
      </w:r>
      <w:r>
        <w:rPr>
          <w:rFonts w:ascii="Book Antiqua" w:eastAsia="Book Antiqua" w:hAnsi="Book Antiqua" w:cs="Book Antiqua"/>
          <w:sz w:val="20"/>
          <w:szCs w:val="20"/>
        </w:rPr>
        <w:t>s ads on various social media platforms. They argued that the ad reinforced harmful stereotypes and called for an apology and accountability from H&amp;M.</w:t>
      </w:r>
    </w:p>
    <w:p w14:paraId="0DDB82C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3933F490"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backlash, H&amp;M apologised and promptly removed the ad from all channels. The company acknowledged the concerns raised by Muslim consumers and pledged to review its internal processes to ensure greater cultural sensitivity in future marketing campaigns.</w:t>
      </w:r>
    </w:p>
    <w:p w14:paraId="193A18F9"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64DCC81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This case highlighted the backlash faced by H&amp;M in 2018 for its </w:t>
      </w:r>
      <w:r>
        <w:t>“</w:t>
      </w:r>
      <w:r>
        <w:rPr>
          <w:rFonts w:ascii="Book Antiqua" w:eastAsia="Book Antiqua" w:hAnsi="Book Antiqua" w:cs="Book Antiqua"/>
          <w:sz w:val="20"/>
          <w:szCs w:val="20"/>
        </w:rPr>
        <w:t>Coolest Monkey in the Jungle</w:t>
      </w:r>
      <w:r>
        <w:t>“</w:t>
      </w:r>
      <w:r>
        <w:rPr>
          <w:rFonts w:ascii="Book Antiqua" w:eastAsia="Book Antiqua" w:hAnsi="Book Antiqua" w:cs="Book Antiqua"/>
          <w:sz w:val="20"/>
          <w:szCs w:val="20"/>
        </w:rPr>
        <w:t xml:space="preserve"> ad. The incident emphasised the need for cultural sensitivity and inclusivity in marketing campaigns, particularly concerning racial and ethnic stereotypes. Companies must prioritise diversity, cultural understanding, and stakeholder engagement in their marketing strategies to avoid cross-cultural blunders.</w:t>
      </w:r>
    </w:p>
    <w:p w14:paraId="04F43C8D" w14:textId="77777777" w:rsidR="002530E2" w:rsidRDefault="002530E2">
      <w:pPr>
        <w:pStyle w:val="Heading2"/>
      </w:pPr>
      <w:r>
        <w:t>IR 031 (2018: Google, Global)</w:t>
      </w:r>
    </w:p>
    <w:p w14:paraId="28C390D1"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“Google’s Controversial Search Results for Muslims“</w:t>
      </w:r>
    </w:p>
    <w:p w14:paraId="7197601D"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 Name: Google</w:t>
      </w:r>
    </w:p>
    <w:p w14:paraId="574F2F98"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13E1CC30"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58630B7A"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6ABC3071"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509B592F"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2B93CC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This incident report examines the controversy faced by Google in 2018 due to its search results for the keyword </w:t>
      </w:r>
      <w:r>
        <w:t>“</w:t>
      </w:r>
      <w:r>
        <w:rPr>
          <w:rFonts w:ascii="Book Antiqua" w:eastAsia="Book Antiqua" w:hAnsi="Book Antiqua" w:cs="Book Antiqua"/>
          <w:sz w:val="20"/>
          <w:szCs w:val="20"/>
        </w:rPr>
        <w:t>Muslims</w:t>
      </w:r>
      <w:r>
        <w:t>“</w:t>
      </w:r>
      <w:r>
        <w:rPr>
          <w:rFonts w:ascii="Book Antiqua" w:eastAsia="Book Antiqua" w:hAnsi="Book Antiqua" w:cs="Book Antiqua"/>
          <w:sz w:val="20"/>
          <w:szCs w:val="20"/>
        </w:rPr>
        <w:t xml:space="preserve"> being dominated by negative and derogatory content. The report highlights the consequences of this biased representation and the calls from Muslim consumers for Google to address the issue to ensure accurate and respectful information about their community.</w:t>
      </w:r>
    </w:p>
    <w:p w14:paraId="475CD2C4"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4F0E7F7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it was reported that Google</w:t>
      </w:r>
      <w:r>
        <w:t>’</w:t>
      </w:r>
      <w:r>
        <w:rPr>
          <w:rFonts w:ascii="Book Antiqua" w:eastAsia="Book Antiqua" w:hAnsi="Book Antiqua" w:cs="Book Antiqua"/>
          <w:sz w:val="20"/>
          <w:szCs w:val="20"/>
        </w:rPr>
        <w:t xml:space="preserve">s search results for the keyword </w:t>
      </w:r>
      <w:r>
        <w:t>“</w:t>
      </w:r>
      <w:r>
        <w:rPr>
          <w:rFonts w:ascii="Book Antiqua" w:eastAsia="Book Antiqua" w:hAnsi="Book Antiqua" w:cs="Book Antiqua"/>
          <w:sz w:val="20"/>
          <w:szCs w:val="20"/>
        </w:rPr>
        <w:t>Muslims</w:t>
      </w:r>
      <w:r>
        <w:t>“</w:t>
      </w:r>
      <w:r>
        <w:rPr>
          <w:rFonts w:ascii="Book Antiqua" w:eastAsia="Book Antiqua" w:hAnsi="Book Antiqua" w:cs="Book Antiqua"/>
          <w:sz w:val="20"/>
          <w:szCs w:val="20"/>
        </w:rPr>
        <w:t xml:space="preserve"> prominently displayed negative and derogatory content. Muslim consumers searching for information about their community encountered many biased and potentially harmful content. This raised concerns about the accuracy and fairness of Google</w:t>
      </w:r>
      <w:r>
        <w:t>’</w:t>
      </w:r>
      <w:r>
        <w:rPr>
          <w:rFonts w:ascii="Book Antiqua" w:eastAsia="Book Antiqua" w:hAnsi="Book Antiqua" w:cs="Book Antiqua"/>
          <w:sz w:val="20"/>
          <w:szCs w:val="20"/>
        </w:rPr>
        <w:t>s algorithms.</w:t>
      </w:r>
    </w:p>
    <w:p w14:paraId="7A3C14DF"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6DF9B4C2" w14:textId="77777777" w:rsidR="002530E2" w:rsidRDefault="002530E2">
      <w:pPr>
        <w:pBdr>
          <w:top w:val="nil"/>
          <w:left w:val="nil"/>
          <w:bottom w:val="nil"/>
          <w:right w:val="nil"/>
          <w:between w:val="nil"/>
        </w:pBdr>
      </w:pPr>
      <w:r>
        <w:rPr>
          <w:rFonts w:ascii="Book Antiqua" w:eastAsia="Book Antiqua" w:hAnsi="Book Antiqua" w:cs="Book Antiqua"/>
          <w:sz w:val="20"/>
          <w:szCs w:val="20"/>
        </w:rPr>
        <w:t>Google</w:t>
      </w:r>
      <w:r>
        <w:t>’</w:t>
      </w:r>
      <w:r>
        <w:rPr>
          <w:rFonts w:ascii="Book Antiqua" w:eastAsia="Book Antiqua" w:hAnsi="Book Antiqua" w:cs="Book Antiqua"/>
          <w:sz w:val="20"/>
          <w:szCs w:val="20"/>
        </w:rPr>
        <w:t xml:space="preserve">s biased search results for the keyword </w:t>
      </w:r>
      <w:r>
        <w:t>“</w:t>
      </w:r>
      <w:r>
        <w:rPr>
          <w:rFonts w:ascii="Book Antiqua" w:eastAsia="Book Antiqua" w:hAnsi="Book Antiqua" w:cs="Book Antiqua"/>
          <w:sz w:val="20"/>
          <w:szCs w:val="20"/>
        </w:rPr>
        <w:t>Muslims</w:t>
      </w:r>
      <w:r>
        <w:t>“</w:t>
      </w:r>
      <w:r>
        <w:rPr>
          <w:rFonts w:ascii="Book Antiqua" w:eastAsia="Book Antiqua" w:hAnsi="Book Antiqua" w:cs="Book Antiqua"/>
          <w:sz w:val="20"/>
          <w:szCs w:val="20"/>
        </w:rPr>
        <w:t xml:space="preserve"> can be classified as a cross-cultural blunder. The biased representation of Muslims in search results perpetuates negative stereotypes and misinformation about the community.</w:t>
      </w:r>
    </w:p>
    <w:p w14:paraId="1F985929"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32A135EA"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cross-cultural blunder directly affected Muslim consumers. They expressed disappointment and frustration with Google</w:t>
      </w:r>
      <w:r>
        <w:t>’</w:t>
      </w:r>
      <w:r>
        <w:rPr>
          <w:rFonts w:ascii="Book Antiqua" w:eastAsia="Book Antiqua" w:hAnsi="Book Antiqua" w:cs="Book Antiqua"/>
          <w:sz w:val="20"/>
          <w:szCs w:val="20"/>
        </w:rPr>
        <w:t>s search results, as they felt that the biased representation reinforced negative stereotypes and misinformation about their community. Many Muslims voiced their concerns and demanded that Google take action to rectify the situation.</w:t>
      </w:r>
    </w:p>
    <w:p w14:paraId="6D9E187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51C76F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Google</w:t>
      </w:r>
      <w:r>
        <w:t>’</w:t>
      </w:r>
      <w:r>
        <w:rPr>
          <w:rFonts w:ascii="Book Antiqua" w:eastAsia="Book Antiqua" w:hAnsi="Book Antiqua" w:cs="Book Antiqua"/>
          <w:sz w:val="20"/>
          <w:szCs w:val="20"/>
        </w:rPr>
        <w:t>s biased search results had significant consequences for the company. The negative sentiment expressed by Muslim consumers and the broader public on social media affected Google</w:t>
      </w:r>
      <w:r>
        <w:t>’</w:t>
      </w:r>
      <w:r>
        <w:rPr>
          <w:rFonts w:ascii="Book Antiqua" w:eastAsia="Book Antiqua" w:hAnsi="Book Antiqua" w:cs="Book Antiqua"/>
          <w:sz w:val="20"/>
          <w:szCs w:val="20"/>
        </w:rPr>
        <w:t>s reputation as a reliable source of information. The incident raised questions about the fairness and objectivity of Google</w:t>
      </w:r>
      <w:r>
        <w:t>’</w:t>
      </w:r>
      <w:r>
        <w:rPr>
          <w:rFonts w:ascii="Book Antiqua" w:eastAsia="Book Antiqua" w:hAnsi="Book Antiqua" w:cs="Book Antiqua"/>
          <w:sz w:val="20"/>
          <w:szCs w:val="20"/>
        </w:rPr>
        <w:t>s algorithms, potentially resulting in a loss of trust from Muslim consumers and the broader user base.</w:t>
      </w:r>
    </w:p>
    <w:p w14:paraId="100E0DA6"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062E5A3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criticism, Google acknowledged the concerns of Muslim consumers and pledged to improve the accuracy and fairness of its search results. Google should invest in ongoing algorithmic bias training and diversity initiatives to prevent similar cross-cultural blunders. This includes actively seeking input from diverse communities, experts, and organisations to ensure a more inclusive and comprehensive representation of search results. Regular audits and evaluations of search algorithms can also help identify and rectify biases. Ensuring search results are accurate and fair and adopting transparent and accountable practices that address algorithmic biases is important.</w:t>
      </w:r>
    </w:p>
    <w:p w14:paraId="3B46EF2E"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Reactions by Muslims:</w:t>
      </w:r>
    </w:p>
    <w:p w14:paraId="2B528856"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with Google</w:t>
      </w:r>
      <w:r>
        <w:t>’</w:t>
      </w:r>
      <w:r>
        <w:rPr>
          <w:rFonts w:ascii="Book Antiqua" w:eastAsia="Book Antiqua" w:hAnsi="Book Antiqua" w:cs="Book Antiqua"/>
          <w:sz w:val="20"/>
          <w:szCs w:val="20"/>
        </w:rPr>
        <w:t xml:space="preserve">s biased search results for the keyword </w:t>
      </w:r>
      <w:r>
        <w:t>“</w:t>
      </w:r>
      <w:r>
        <w:rPr>
          <w:rFonts w:ascii="Book Antiqua" w:eastAsia="Book Antiqua" w:hAnsi="Book Antiqua" w:cs="Book Antiqua"/>
          <w:sz w:val="20"/>
          <w:szCs w:val="20"/>
        </w:rPr>
        <w:t>Muslims.</w:t>
      </w:r>
      <w:r>
        <w:t>“</w:t>
      </w:r>
      <w:r>
        <w:rPr>
          <w:rFonts w:ascii="Book Antiqua" w:eastAsia="Book Antiqua" w:hAnsi="Book Antiqua" w:cs="Book Antiqua"/>
          <w:sz w:val="20"/>
          <w:szCs w:val="20"/>
        </w:rPr>
        <w:t xml:space="preserve"> They highlighted the need for more accurate and respectful representation in search results and called for Google to address the issue.</w:t>
      </w:r>
    </w:p>
    <w:p w14:paraId="18450FCE" w14:textId="77777777" w:rsidR="002530E2" w:rsidRDefault="002530E2">
      <w:pPr>
        <w:pBdr>
          <w:top w:val="nil"/>
          <w:left w:val="nil"/>
          <w:bottom w:val="nil"/>
          <w:right w:val="nil"/>
          <w:between w:val="nil"/>
        </w:pBdr>
      </w:pPr>
      <w:r>
        <w:br w:type="page"/>
      </w:r>
    </w:p>
    <w:p w14:paraId="2C7C0D08"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MNC’s Post-Blunder Response to Address the Consequences:</w:t>
      </w:r>
    </w:p>
    <w:p w14:paraId="2E0CB26A" w14:textId="77777777" w:rsidR="002530E2" w:rsidRDefault="002530E2">
      <w:pPr>
        <w:pBdr>
          <w:top w:val="nil"/>
          <w:left w:val="nil"/>
          <w:bottom w:val="nil"/>
          <w:right w:val="nil"/>
          <w:between w:val="nil"/>
        </w:pBdr>
      </w:pPr>
      <w:r>
        <w:rPr>
          <w:rFonts w:ascii="Book Antiqua" w:eastAsia="Book Antiqua" w:hAnsi="Book Antiqua" w:cs="Book Antiqua"/>
          <w:sz w:val="20"/>
          <w:szCs w:val="20"/>
        </w:rPr>
        <w:t>Google acknowledged the concerns of Muslim consumers and pledged to improve the accuracy and fairness of its search results. The company is committed to addressing algorithmic biases and ensuring that search results provide reliable and respectful information about diverse communities.</w:t>
      </w:r>
    </w:p>
    <w:p w14:paraId="3825636D"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D641B0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Google</w:t>
      </w:r>
      <w:r>
        <w:t>’</w:t>
      </w:r>
      <w:r>
        <w:rPr>
          <w:rFonts w:ascii="Book Antiqua" w:eastAsia="Book Antiqua" w:hAnsi="Book Antiqua" w:cs="Book Antiqua"/>
          <w:sz w:val="20"/>
          <w:szCs w:val="20"/>
        </w:rPr>
        <w:t xml:space="preserve">s search results for the keyword </w:t>
      </w:r>
      <w:r>
        <w:t>“</w:t>
      </w:r>
      <w:r>
        <w:rPr>
          <w:rFonts w:ascii="Book Antiqua" w:eastAsia="Book Antiqua" w:hAnsi="Book Antiqua" w:cs="Book Antiqua"/>
          <w:sz w:val="20"/>
          <w:szCs w:val="20"/>
        </w:rPr>
        <w:t>Muslims</w:t>
      </w:r>
      <w:r>
        <w:t>“</w:t>
      </w:r>
      <w:r>
        <w:rPr>
          <w:rFonts w:ascii="Book Antiqua" w:eastAsia="Book Antiqua" w:hAnsi="Book Antiqua" w:cs="Book Antiqua"/>
          <w:sz w:val="20"/>
          <w:szCs w:val="20"/>
        </w:rPr>
        <w:t xml:space="preserve"> in 2018 highlighted the impact of biased algorithms on cross-cultural interactions. Muslim consumers experienced the consequences of negative and derogatory content. This led to calls for Google to improve its search algorithms and provide more accurate and respectful information about the Muslim community. The incident emphasises the need for technology companies like Google to prioritise diversity, inclusion, and algorithmic fairness to foster positive cross-cultural understanding.</w:t>
      </w:r>
    </w:p>
    <w:p w14:paraId="546E7C04" w14:textId="77777777" w:rsidR="002530E2" w:rsidRDefault="002530E2">
      <w:pPr>
        <w:pStyle w:val="Heading2"/>
      </w:pPr>
      <w:r>
        <w:t>IR 032 (2018: Dolce &amp; Gabbana, China)</w:t>
      </w:r>
    </w:p>
    <w:p w14:paraId="2D988B6F" w14:textId="77777777" w:rsidR="002530E2" w:rsidRPr="002530E2" w:rsidRDefault="002530E2">
      <w:pPr>
        <w:pBdr>
          <w:top w:val="nil"/>
          <w:left w:val="nil"/>
          <w:bottom w:val="nil"/>
          <w:right w:val="nil"/>
          <w:between w:val="nil"/>
        </w:pBdr>
        <w:rPr>
          <w:lang w:val="it-IT"/>
        </w:rPr>
      </w:pPr>
      <w:r w:rsidRPr="002530E2">
        <w:rPr>
          <w:rFonts w:ascii="Book Antiqua" w:eastAsia="Book Antiqua" w:hAnsi="Book Antiqua" w:cs="Book Antiqua"/>
          <w:sz w:val="20"/>
          <w:szCs w:val="20"/>
          <w:lang w:val="it-IT"/>
        </w:rPr>
        <w:t>Incident report title: “Dolce &amp; Gabbana’s Controversial China Campaign“</w:t>
      </w:r>
    </w:p>
    <w:p w14:paraId="5029DCF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Dolce &amp; Gabbana</w:t>
      </w:r>
    </w:p>
    <w:p w14:paraId="710EE00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Italy</w:t>
      </w:r>
    </w:p>
    <w:p w14:paraId="62B610E9"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China</w:t>
      </w:r>
    </w:p>
    <w:p w14:paraId="7DB3B1DA"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71BAF805"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CC9D386" w14:textId="77777777" w:rsidR="002530E2" w:rsidRDefault="002530E2">
      <w:pPr>
        <w:pBdr>
          <w:top w:val="nil"/>
          <w:left w:val="nil"/>
          <w:bottom w:val="nil"/>
          <w:right w:val="nil"/>
          <w:between w:val="nil"/>
        </w:pBdr>
      </w:pPr>
      <w:r>
        <w:br w:type="page"/>
      </w:r>
    </w:p>
    <w:p w14:paraId="55C49152"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Introduction: </w:t>
      </w:r>
    </w:p>
    <w:p w14:paraId="7107E83A"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Dolce &amp; Gabbana in 2018 involving a controversial advertising campaign in China. The incident led to significant backlash from Chinese consumers, including Muslims, and negatively impacted the brand’s reputation.</w:t>
      </w:r>
    </w:p>
    <w:p w14:paraId="5764F96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Background: </w:t>
      </w:r>
    </w:p>
    <w:p w14:paraId="57C183E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2018 Dolce &amp; Gabbana faced controversy when it launched a series of promotional videos and social media posts for its </w:t>
      </w:r>
      <w:r>
        <w:t>“</w:t>
      </w:r>
      <w:r>
        <w:rPr>
          <w:rFonts w:ascii="Book Antiqua" w:eastAsia="Book Antiqua" w:hAnsi="Book Antiqua" w:cs="Book Antiqua"/>
          <w:sz w:val="20"/>
          <w:szCs w:val="20"/>
        </w:rPr>
        <w:t>DG Loves China</w:t>
      </w:r>
      <w:r>
        <w:t>“</w:t>
      </w:r>
      <w:r>
        <w:rPr>
          <w:rFonts w:ascii="Book Antiqua" w:eastAsia="Book Antiqua" w:hAnsi="Book Antiqua" w:cs="Book Antiqua"/>
          <w:sz w:val="20"/>
          <w:szCs w:val="20"/>
        </w:rPr>
        <w:t xml:space="preserve"> campaign. The campaign featured a Chinese model attempting to eat Italian dishes using chopsticks, accompanied by stereotypical and offensive captions. The campaign</w:t>
      </w:r>
      <w:r>
        <w:t>’</w:t>
      </w:r>
      <w:r>
        <w:rPr>
          <w:rFonts w:ascii="Book Antiqua" w:eastAsia="Book Antiqua" w:hAnsi="Book Antiqua" w:cs="Book Antiqua"/>
          <w:sz w:val="20"/>
          <w:szCs w:val="20"/>
        </w:rPr>
        <w:t>s content received widespread criticism for its cultural insensitivity and racial stereotypes.</w:t>
      </w:r>
    </w:p>
    <w:p w14:paraId="35EEA67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Type of Cross-Cultural Blunder (this addresses MRQ 1): </w:t>
      </w:r>
    </w:p>
    <w:p w14:paraId="1F75D444"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Dolce &amp; Gabbana</w:t>
      </w:r>
      <w:r>
        <w:t>’</w:t>
      </w:r>
      <w:r>
        <w:rPr>
          <w:rFonts w:ascii="Book Antiqua" w:eastAsia="Book Antiqua" w:hAnsi="Book Antiqua" w:cs="Book Antiqua"/>
          <w:sz w:val="20"/>
          <w:szCs w:val="20"/>
        </w:rPr>
        <w:t>s cross-cultural blunder was creating and disseminating a culturally insensitive advertising campaign in China that perpetuated stereotypes.</w:t>
      </w:r>
    </w:p>
    <w:p w14:paraId="065CF9C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Consequences for Muslims (this addresses MRQ 2): </w:t>
      </w:r>
    </w:p>
    <w:p w14:paraId="37E77FF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campaign</w:t>
      </w:r>
      <w:r>
        <w:t>’</w:t>
      </w:r>
      <w:r>
        <w:rPr>
          <w:rFonts w:ascii="Book Antiqua" w:eastAsia="Book Antiqua" w:hAnsi="Book Antiqua" w:cs="Book Antiqua"/>
          <w:sz w:val="20"/>
          <w:szCs w:val="20"/>
        </w:rPr>
        <w:t>s offensive content directly affected Muslim consumers in China, and other Chinese consumers were directly affected by the campaign’s offensive content. The portrayal of chopsticks and the accompanying captions perpetuated stereotypes and offended the cultural sensitivities of many Chinese, including Muslim consumers.</w:t>
      </w:r>
    </w:p>
    <w:p w14:paraId="4726034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18595427" w14:textId="77777777" w:rsidR="002530E2" w:rsidRDefault="002530E2">
      <w:pPr>
        <w:pBdr>
          <w:top w:val="nil"/>
          <w:left w:val="nil"/>
          <w:bottom w:val="nil"/>
          <w:right w:val="nil"/>
          <w:between w:val="nil"/>
        </w:pBdr>
      </w:pPr>
      <w:r>
        <w:rPr>
          <w:rFonts w:ascii="Book Antiqua" w:eastAsia="Book Antiqua" w:hAnsi="Book Antiqua" w:cs="Book Antiqua"/>
          <w:sz w:val="20"/>
          <w:szCs w:val="20"/>
        </w:rPr>
        <w:t>Dolce &amp; Gabbana’s China campaign severely affected the brand’s reputation and financial performance. The backlash from Chinese consumers, including Muslims, resulted in widespread boycotts, cancellation of brand endorsements, and withdrawal of products from major e-commerce platforms. The incident caused significant reputational damage and potential financial losses for Dolce &amp; Gabbana.</w:t>
      </w:r>
    </w:p>
    <w:p w14:paraId="35FE11F8" w14:textId="77777777" w:rsidR="002530E2" w:rsidRDefault="002530E2">
      <w:pPr>
        <w:pBdr>
          <w:top w:val="nil"/>
          <w:left w:val="nil"/>
          <w:bottom w:val="nil"/>
          <w:right w:val="nil"/>
          <w:between w:val="nil"/>
        </w:pBdr>
      </w:pPr>
      <w:r>
        <w:br w:type="page"/>
      </w:r>
    </w:p>
    <w:p w14:paraId="6F041A9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 xml:space="preserve">Lessons Learned and Future Prevention Strategies (this addresses MRQ 4): </w:t>
      </w:r>
    </w:p>
    <w:p w14:paraId="0B7D790A" w14:textId="77777777" w:rsidR="002530E2" w:rsidRDefault="002530E2">
      <w:pPr>
        <w:pBdr>
          <w:top w:val="nil"/>
          <w:left w:val="nil"/>
          <w:bottom w:val="nil"/>
          <w:right w:val="nil"/>
          <w:between w:val="nil"/>
        </w:pBdr>
      </w:pPr>
      <w:r>
        <w:rPr>
          <w:rFonts w:ascii="Book Antiqua" w:eastAsia="Book Antiqua" w:hAnsi="Book Antiqua" w:cs="Book Antiqua"/>
          <w:sz w:val="20"/>
          <w:szCs w:val="20"/>
        </w:rPr>
        <w:t>Dolce &amp; Gabbana should prioritise cultural sensitivity and diversity in their marketing campaigns to prevent similar incidents in the future. This includes conducting thorough research on the target audience, engaging local cultural experts, and implementing rigorous review processes to avoid offensive content. Additionally, fostering diversity within the organisation can help ensure a broader perspective and understanding of cultural nuances.</w:t>
      </w:r>
    </w:p>
    <w:p w14:paraId="6799281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Reactions by Muslims: </w:t>
      </w:r>
    </w:p>
    <w:p w14:paraId="79A48BD7"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and the wider Chinese community expressed outrage and disappointment at DolcThe campaign</w:t>
      </w:r>
      <w:r>
        <w:t>’</w:t>
      </w:r>
      <w:r>
        <w:rPr>
          <w:rFonts w:ascii="Book Antiqua" w:eastAsia="Book Antiqua" w:hAnsi="Book Antiqua" w:cs="Book Antiqua"/>
          <w:sz w:val="20"/>
          <w:szCs w:val="20"/>
        </w:rPr>
        <w:t>s offensive content directly affected e &amp; Gabbana’s campaign. Many took to social media to call for a brand boycott. The campaign’s insensitivity was seen as disrespectful to their cultural and religious beliefs.</w:t>
      </w:r>
    </w:p>
    <w:p w14:paraId="3895B6D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MNC’s Post-Blunder Response to Address the Consequences: </w:t>
      </w:r>
    </w:p>
    <w:p w14:paraId="6294E43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backlash, Dolce &amp; Gabbana initially dismissed the criticism and faced further backlash for their defensive and dismissive attitude. However, the company later apologised, removed the campaign, and expressed its commitment to cultural sensitivity. They also communicated directly with Chinese consumers, organised public events to rebuild trust, and collaborated with Chinese celebrities and influencers to restore their brand image.</w:t>
      </w:r>
    </w:p>
    <w:p w14:paraId="0504316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Conclusion: </w:t>
      </w:r>
    </w:p>
    <w:p w14:paraId="0CE910D2"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Dolce &amp; Gabbana China campaign controversy serves as a reminder of the importance of cultural sensitivity and inclusivity in global marketing efforts. The incident highlighted the potential consequences of cultural insensitivity and offensive content, leading to reputational damage and financial losses for the brand. By prioritising cultural understanding, engaging local experts, and fostering diversity within their organisation, Dolce &amp; Gabbana can work towards preventing cross-cultural blunders and building stronger relationships with their global customer base, including Muslim consumers.</w:t>
      </w:r>
    </w:p>
    <w:p w14:paraId="6437032E" w14:textId="77777777" w:rsidR="002530E2" w:rsidRDefault="002530E2">
      <w:pPr>
        <w:pStyle w:val="Heading2"/>
      </w:pPr>
      <w:r>
        <w:t>IR 033 (2018 Mercedes-Benz, Unspecified)</w:t>
      </w:r>
    </w:p>
    <w:p w14:paraId="2D81F313"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Incideto understand their perspectives better Ad Controversy.</w:t>
      </w:r>
      <w:r>
        <w:t>“</w:t>
      </w:r>
    </w:p>
    <w:p w14:paraId="6D56E0F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Mercedes-Benz</w:t>
      </w:r>
    </w:p>
    <w:p w14:paraId="39004A81"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Germany</w:t>
      </w:r>
    </w:p>
    <w:p w14:paraId="5B36FF51"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67EDB910"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25E19792"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5A808013"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0EBE300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Mercedes-Benz in 2018 involving a controversial Ramadan advertisement. The incident generated significant backlash and raised concerns among Muslim consumers globally.</w:t>
      </w:r>
    </w:p>
    <w:p w14:paraId="3145F95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Background:</w:t>
      </w:r>
    </w:p>
    <w:p w14:paraId="647BC5FD"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Mercedes-Benz released an ad targeting Muslim consumers during the holy month of Ramadan. The advertisement featured a luxury car driving through a desert landscape accompanied by a voiceover reciting verses from the Quran. The ad sparked controversy and accusations of cultural appropriation and insensitivity towards religious sentiments.</w:t>
      </w:r>
    </w:p>
    <w:p w14:paraId="7B676202"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4827E48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made by Mercedes-Benz was the release of a Ramadan advertisement seen as culturally appropriative and insensitive towards religious sentiments.</w:t>
      </w:r>
    </w:p>
    <w:p w14:paraId="3D770E59" w14:textId="77777777" w:rsidR="002530E2" w:rsidRDefault="002530E2">
      <w:pPr>
        <w:pBdr>
          <w:top w:val="nil"/>
          <w:left w:val="nil"/>
          <w:bottom w:val="nil"/>
          <w:right w:val="nil"/>
          <w:between w:val="nil"/>
        </w:pBdr>
      </w:pPr>
      <w:r>
        <w:br w:type="page"/>
      </w:r>
    </w:p>
    <w:p w14:paraId="1B6E371D"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Consequences for Muslims (this addresses MRQ 2):</w:t>
      </w:r>
    </w:p>
    <w:p w14:paraId="6E4511A6"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who felt their sacred texts and practices were exploited commercially. The advertisement raised concerns about cultural appropriation, insensitivity, and the commercialisation of religious traditions.</w:t>
      </w:r>
    </w:p>
    <w:p w14:paraId="6AC2FD65"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558001B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Ramadan advertisement controversy significantly affected Mercedes-Benz</w:t>
      </w:r>
      <w:r>
        <w:t>’</w:t>
      </w:r>
      <w:r>
        <w:rPr>
          <w:rFonts w:ascii="Book Antiqua" w:eastAsia="Book Antiqua" w:hAnsi="Book Antiqua" w:cs="Book Antiqua"/>
          <w:sz w:val="20"/>
          <w:szCs w:val="20"/>
        </w:rPr>
        <w:t>s reputation and brand image, particularly among Muslim consumers. The ad was criticised for lacking cultural sensitivity and respect for religion, potentially damaging the company</w:t>
      </w:r>
      <w:r>
        <w:t>’</w:t>
      </w:r>
      <w:r>
        <w:rPr>
          <w:rFonts w:ascii="Book Antiqua" w:eastAsia="Book Antiqua" w:hAnsi="Book Antiqua" w:cs="Book Antiqua"/>
          <w:sz w:val="20"/>
          <w:szCs w:val="20"/>
        </w:rPr>
        <w:t>s credibility and customer trust.</w:t>
      </w:r>
    </w:p>
    <w:p w14:paraId="2ACE3374"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4398B38B" w14:textId="77777777" w:rsidR="002530E2" w:rsidRDefault="002530E2">
      <w:pPr>
        <w:pBdr>
          <w:top w:val="nil"/>
          <w:left w:val="nil"/>
          <w:bottom w:val="nil"/>
          <w:right w:val="nil"/>
          <w:between w:val="nil"/>
        </w:pBdr>
      </w:pPr>
      <w:r>
        <w:rPr>
          <w:rFonts w:ascii="Book Antiqua" w:eastAsia="Book Antiqua" w:hAnsi="Book Antiqua" w:cs="Book Antiqua"/>
          <w:sz w:val="20"/>
          <w:szCs w:val="20"/>
        </w:rPr>
        <w:t>Mercedes-Benz should prioritise cultural sensitivity and religious respect in its marketing campaigns to prevent similar incidents in the future. This includes engaging with cultural and religious advisors during the concept development stage to ensure accurate representation and avoid potential pitfalls. Additionally, the company should establish robust internal review processes to identify and address potential cultural and religious insensitivities before releasing advertisements.</w:t>
      </w:r>
    </w:p>
    <w:p w14:paraId="542CC37F"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5454BD7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Mercedes-Benz Ramadan advertisement sparked widespread criticism and outrage among Muslim consumers. Many felt that the ad trivialised their religious practices and accused the company of cultural appropriation. Muslim communities and social media platforms played a significant role in amplifying the negative reactions and calling for accountability.</w:t>
      </w:r>
    </w:p>
    <w:p w14:paraId="51F598B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55F12C9A"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Mercedes-Benz issued a public apology and removed the advertisement from circulation. The company acknowledged the concerns raised by Muslim consumers and committed to improving its cultural sensitivity in future marketing campaigns. Mercedes-Benz also pledged to engage in dialogue with Muslim communities to understand their perspectives better and avoid similar missteps in the future.</w:t>
      </w:r>
    </w:p>
    <w:p w14:paraId="2048F4A7"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29DE62F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Mercedes-Benz Ramadan advertisement controversy highlighted the importance of cultural sensitivity and religious respect in marketing campaigns. The incident underscored the need for companies to engage with cultural advisors and communities to ensure accurate representation and avoid offending religious sentiments. Mercedes-Benz took action to address concerns raised by Muslim consumers by removing the ad and committing to improvement in order to rebuild trust. By implementing more robust internal review processes and fostering cultural understanding, Mercedes-Benz can mitigate the risk of cross-cultural blunders and maintain positive relationships with diverse customer groups.</w:t>
      </w:r>
    </w:p>
    <w:p w14:paraId="53867AD6" w14:textId="77777777" w:rsidR="002530E2" w:rsidRDefault="002530E2">
      <w:pPr>
        <w:pStyle w:val="Heading2"/>
      </w:pPr>
      <w:r>
        <w:t>IR 034 (2018: WestJet, Unspecified)</w:t>
      </w:r>
    </w:p>
    <w:p w14:paraId="692341ED"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“WestJet’s Inappropriate Ramadan Meal Incident“</w:t>
      </w:r>
    </w:p>
    <w:p w14:paraId="08A5074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WestJet Airlines Ltd.</w:t>
      </w:r>
    </w:p>
    <w:p w14:paraId="3E15E58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 Country of Origin: Canada</w:t>
      </w:r>
    </w:p>
    <w:p w14:paraId="6913034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Canada</w:t>
      </w:r>
    </w:p>
    <w:p w14:paraId="197153BF"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2BA68C85"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F69A4C2"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02E2632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a cross-cultural blunder by WestJet Airlines in 2018 involving an inappropriate Ramadan meal offering that sparked controversy among Muslim passengers. The incident raised concerns about cultural sensitivity and appropriate representation of religious practices.</w:t>
      </w:r>
    </w:p>
    <w:p w14:paraId="42034768"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12D7320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WestJet Airlines faced criticism when offering a Ramadan meal deemed inappropriate and offensive to Muslim passengers. The meal, which consisted of pork and alcohol, violated Islamic dietary restrictions and raised questions about the airline</w:t>
      </w:r>
      <w:r>
        <w:t>’</w:t>
      </w:r>
      <w:r>
        <w:rPr>
          <w:rFonts w:ascii="Book Antiqua" w:eastAsia="Book Antiqua" w:hAnsi="Book Antiqua" w:cs="Book Antiqua"/>
          <w:sz w:val="20"/>
          <w:szCs w:val="20"/>
        </w:rPr>
        <w:t>s understanding of and respect for religious practices.</w:t>
      </w:r>
    </w:p>
    <w:p w14:paraId="64A63D4F"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588ADD9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WestJet Airlines, in this case, was the offering of an inappropriate Ramadan meal that included pork and alcohol, contradicting Islamic dietary restrictions.</w:t>
      </w:r>
    </w:p>
    <w:p w14:paraId="62638DD2"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20449253"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affected Muslim passengers as offering an inappropriate Ramadan meal violated their religious dietary requirements. The incident led to feelings of disappointment, offence, and a sense of disrespect towards their religious beliefs.</w:t>
      </w:r>
    </w:p>
    <w:p w14:paraId="01AE364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1363DC4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inappropriate Ramadan meal incident had significant consequences for WestJet Airlines. It resulted in reputational damage, loss of customer trust, and potential financial implications. The incident raised questions about the airline’s cultural sensitivity and understanding of diverse religious practices.</w:t>
      </w:r>
    </w:p>
    <w:p w14:paraId="7906CEB6"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15350612" w14:textId="77777777" w:rsidR="002530E2" w:rsidRDefault="002530E2">
      <w:pPr>
        <w:pBdr>
          <w:top w:val="nil"/>
          <w:left w:val="nil"/>
          <w:bottom w:val="nil"/>
          <w:right w:val="nil"/>
          <w:between w:val="nil"/>
        </w:pBdr>
      </w:pPr>
      <w:r>
        <w:rPr>
          <w:rFonts w:ascii="Book Antiqua" w:eastAsia="Book Antiqua" w:hAnsi="Book Antiqua" w:cs="Book Antiqua"/>
          <w:sz w:val="20"/>
          <w:szCs w:val="20"/>
        </w:rPr>
        <w:t>WestJet Airlines should implement comprehensive cultural training programs for employees, specifically addressing religious practices and dietary restrictions to prevent similar incidents. The airline should also establish clear guidelines for menu offerings during religious observances to ensure appropriate and respectful options are available.</w:t>
      </w:r>
    </w:p>
    <w:p w14:paraId="2E368E06" w14:textId="77777777" w:rsidR="002530E2" w:rsidRDefault="002530E2">
      <w:pPr>
        <w:pBdr>
          <w:top w:val="nil"/>
          <w:left w:val="nil"/>
          <w:bottom w:val="nil"/>
          <w:right w:val="nil"/>
          <w:between w:val="nil"/>
        </w:pBdr>
      </w:pPr>
      <w:r>
        <w:br w:type="page"/>
      </w:r>
    </w:p>
    <w:p w14:paraId="7DF33978"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Reactions by Muslims:</w:t>
      </w:r>
    </w:p>
    <w:p w14:paraId="76F0A0C2"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passengers expressed disappointment and offence at WestJet Airlines</w:t>
      </w:r>
      <w:r>
        <w:t>’</w:t>
      </w:r>
      <w:r>
        <w:rPr>
          <w:rFonts w:ascii="Book Antiqua" w:eastAsia="Book Antiqua" w:hAnsi="Book Antiqua" w:cs="Book Antiqua"/>
          <w:sz w:val="20"/>
          <w:szCs w:val="20"/>
        </w:rPr>
        <w:t xml:space="preserve"> inappropriate Ramadan meal offering through social media platforms, sharing their experiences and calling for the airline to address the issue. The incident sparked discussions on cultural sensitivity and understanding diverse religious practices better.</w:t>
      </w:r>
    </w:p>
    <w:p w14:paraId="08542F8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20B05464"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WestJet Airlines issued a public apology and acknowledged the mistake of offering an inappropriate Ramadan meal. The airline committed to reviewing and revising its menu offerings to ensure they align with cultural and religious sensitivities, particularly during religious observances like Ramadan. WestJet Airlines also implemented additional training programs for its staff to enhance their cultural awareness and understanding.</w:t>
      </w:r>
    </w:p>
    <w:p w14:paraId="27A24DF5"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18956A60"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WestJet Airlines’ inappropriate Ramadan meal incident highlighted the importance of cultural sensitivity and understanding when catering to diverse customer groups, especially during religious observances. The incident had negative ramifications for the airline, including reputational damage and a loss of customer trust. By implementing comprehensive cultural training programs and establishing clear guidelines for menu offerings, WestJet Airlines can prevent similar cross-cultural blunders in the future and foster positive relationships with its diverse customer base.</w:t>
      </w:r>
    </w:p>
    <w:p w14:paraId="371EAB75" w14:textId="77777777" w:rsidR="002530E2" w:rsidRDefault="002530E2">
      <w:pPr>
        <w:pStyle w:val="Heading2"/>
      </w:pPr>
      <w:r>
        <w:t>IR 035 (2018: Nestle, Malaysia)</w:t>
      </w:r>
    </w:p>
    <w:p w14:paraId="2EA48564"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“Nestle’s Pork Contamination Issue“</w:t>
      </w:r>
    </w:p>
    <w:p w14:paraId="789E17A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Nestle</w:t>
      </w:r>
    </w:p>
    <w:p w14:paraId="63FE691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Switzerland</w:t>
      </w:r>
    </w:p>
    <w:p w14:paraId="32116D58"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Malaysia</w:t>
      </w:r>
    </w:p>
    <w:p w14:paraId="619C9D56"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504CDA50"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F600262"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114842D8"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Nestle in 2018, which involved a pork contamination issue in Malaysia. The incident led to significant outrage and concerns among Muslim consumers in the country.</w:t>
      </w:r>
    </w:p>
    <w:p w14:paraId="1C3918C2"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55779E7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Nestle faced controversy in Malaysia when pork DNA was detected in some of its food products. This discovery raised concerns among Muslim consumers, as pork is considered haram (forbidden) in Islam. The incident highlighted a lack of proper control measures and raised questions about Nestle’s adherence to halal standards.</w:t>
      </w:r>
    </w:p>
    <w:p w14:paraId="6907532F"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590F1A00"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The cross-cultural blunder made by Nestle, in this case, was the presence of pork DNA in its food products, which is prohibited in Islam and raised concerns among Muslim consumers.</w:t>
      </w:r>
    </w:p>
    <w:p w14:paraId="3365495E"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4FBC6D0B"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in Malaysia were directly affected by this blunder as the presence of pork DNA in Nestle’s products went against their religious dietary restrictions. The contamination issue raised concerns about the integrity of halal certification and caused distress and mistrust among Muslim consumers.</w:t>
      </w:r>
    </w:p>
    <w:p w14:paraId="0AB02D4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23C6581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pork contamination issue severely affected Nestle’s reputation and brand image in Malaysia, particularly among Muslim consumers. The incident highlighted potential lapses in Nestle’s quality control and supply chain processes, leading to questions about its commitment to halal standards.</w:t>
      </w:r>
    </w:p>
    <w:p w14:paraId="0B2EF70D"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3C86F23" w14:textId="77777777" w:rsidR="002530E2" w:rsidRDefault="002530E2">
      <w:pPr>
        <w:pBdr>
          <w:top w:val="nil"/>
          <w:left w:val="nil"/>
          <w:bottom w:val="nil"/>
          <w:right w:val="nil"/>
          <w:between w:val="nil"/>
        </w:pBdr>
      </w:pPr>
      <w:r>
        <w:rPr>
          <w:rFonts w:ascii="Book Antiqua" w:eastAsia="Book Antiqua" w:hAnsi="Book Antiqua" w:cs="Book Antiqua"/>
          <w:sz w:val="20"/>
          <w:szCs w:val="20"/>
        </w:rPr>
        <w:t>Nestle should strengthen its quality control measures and ensure proper segregation of ingredients throughout the supply chain to prevent similar incidents in the future. Implementing rigorous testing procedures and engaging reputable halal certification bodies can help maintain the integrity of halal products. Additionally, Nestle should improve communication channels with Muslim consumers to promptly address any concerns related to halal compliance.</w:t>
      </w:r>
    </w:p>
    <w:p w14:paraId="5B5C5B25"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0121749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discovery of pork DNA in Nestle’s products sparked outrage and disappointment among Muslim consumers in Malaysia. Many expressed their concerns on social media platforms and called for Nestle to take immediate action to rectify the situation and enhance its commitment to halal compliance.</w:t>
      </w:r>
    </w:p>
    <w:p w14:paraId="7B823F4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4EC3A8F8"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Nestle investigated to identify the source of the contamination and promptly recalled the affected products from the market. The company apologised publicly and reassured Muslim consumers of its commitment to halal standards. Nestle also implemented enhanced quality control measures and collaborated with halal certification bodies to restore trust.</w:t>
      </w:r>
    </w:p>
    <w:p w14:paraId="43360D6E"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BAE1EE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Nestle pork contamination issue in Malaysia highlighted the importance of maintaining strict adherence to halal standards and ensuring the integrity of food products for Muslim consumers. The incident underscored the need for robust quality control processes and transparency throughout the supply chain. Nestle’s response, including product recall, public apologies, and strengthened quality control measures, aimed to address the concerns raised and rebuild trust with Muslim consumers. By prioritising halal compliance and engaging in open dialogue with customers, Nestle can prevent future cross-cultural blunders and maintain a positive reputation among diverse consumer groups.</w:t>
      </w:r>
    </w:p>
    <w:p w14:paraId="31E4A457" w14:textId="77777777" w:rsidR="002530E2" w:rsidRDefault="002530E2">
      <w:pPr>
        <w:pStyle w:val="Heading2"/>
      </w:pPr>
      <w:r>
        <w:t>IR 036 (2018: KFC, UK)</w:t>
      </w:r>
    </w:p>
    <w:p w14:paraId="2B817353"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“KFC’s Bacon Mishap“</w:t>
      </w:r>
    </w:p>
    <w:p w14:paraId="20320933"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Kentucky Fried Chicken (KFC)</w:t>
      </w:r>
    </w:p>
    <w:p w14:paraId="3A97BF6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 Country of Origin: United States</w:t>
      </w:r>
    </w:p>
    <w:p w14:paraId="6A9665AC"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United Kingdom</w:t>
      </w:r>
    </w:p>
    <w:p w14:paraId="26C76B7A"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4B72E1B0"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114909E3"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3A0D00FD"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Kentucky Fried Chicken (KFC) in the United Kingdom in 2018 which caused controversy among Muslim consumers. The incident involved the improper handling and presence of bacon in certain KFC products, leading to concerns and disappointment among Muslim customers.</w:t>
      </w:r>
    </w:p>
    <w:p w14:paraId="1FEBB43E"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306E693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KFC faced criticism when it was discovered that bacon, a non-halal ingredient, was present in some of its products marketed as halal-friendly. This revelation raised concerns among Muslim consumers who adhered to halal dietary restrictions and expected KFC</w:t>
      </w:r>
      <w:r>
        <w:t>’</w:t>
      </w:r>
      <w:r>
        <w:rPr>
          <w:rFonts w:ascii="Book Antiqua" w:eastAsia="Book Antiqua" w:hAnsi="Book Antiqua" w:cs="Book Antiqua"/>
          <w:sz w:val="20"/>
          <w:szCs w:val="20"/>
        </w:rPr>
        <w:t>s halal-certified products to meet their religious dietary requirements.</w:t>
      </w:r>
    </w:p>
    <w:p w14:paraId="16C65F42" w14:textId="77777777" w:rsidR="002530E2" w:rsidRDefault="002530E2">
      <w:pPr>
        <w:pBdr>
          <w:top w:val="nil"/>
          <w:left w:val="nil"/>
          <w:bottom w:val="nil"/>
          <w:right w:val="nil"/>
          <w:between w:val="nil"/>
        </w:pBdr>
      </w:pPr>
      <w:r>
        <w:br w:type="page"/>
      </w:r>
    </w:p>
    <w:p w14:paraId="53413460"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Type of Cross-Cultural Blunder (this addresses MRQ 1):</w:t>
      </w:r>
    </w:p>
    <w:p w14:paraId="07833912"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KFC, in this case, was the presence of bacon, a non-halal ingredient, in products marketed as halal-friendly.</w:t>
      </w:r>
    </w:p>
    <w:p w14:paraId="5031141F"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5DDC607"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as it violated their dietary restrictions. There were concerns about the credibility of KFC</w:t>
      </w:r>
      <w:r>
        <w:t>’</w:t>
      </w:r>
      <w:r>
        <w:rPr>
          <w:rFonts w:ascii="Book Antiqua" w:eastAsia="Book Antiqua" w:hAnsi="Book Antiqua" w:cs="Book Antiqua"/>
          <w:sz w:val="20"/>
          <w:szCs w:val="20"/>
        </w:rPr>
        <w:t>s halal-certified products when it was discovered that some contained bacon. This caused worry among consumers who rely on halal-friendly products. It caused disappointment among Muslim customers who had consumed these products unknowingly.</w:t>
      </w:r>
    </w:p>
    <w:p w14:paraId="2802A91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91D1007"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negatively affected KFC’s reputation and brand image, particularly among Muslim consumers. The discovery of non-halal ingredients in products marketed as halal-friendly called into question KFC’s adherence to proper halal certification standards and its understanding of its Muslim customers</w:t>
      </w:r>
      <w:r>
        <w:t>’</w:t>
      </w:r>
      <w:r>
        <w:rPr>
          <w:rFonts w:ascii="Book Antiqua" w:eastAsia="Book Antiqua" w:hAnsi="Book Antiqua" w:cs="Book Antiqua"/>
          <w:sz w:val="20"/>
          <w:szCs w:val="20"/>
        </w:rPr>
        <w:t xml:space="preserve"> dietary needs and sensitivities.</w:t>
      </w:r>
    </w:p>
    <w:p w14:paraId="3AFC9304"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06A0DC52" w14:textId="77777777" w:rsidR="002530E2" w:rsidRDefault="002530E2">
      <w:pPr>
        <w:pBdr>
          <w:top w:val="nil"/>
          <w:left w:val="nil"/>
          <w:bottom w:val="nil"/>
          <w:right w:val="nil"/>
          <w:between w:val="nil"/>
        </w:pBdr>
      </w:pPr>
      <w:r>
        <w:rPr>
          <w:rFonts w:ascii="Book Antiqua" w:eastAsia="Book Antiqua" w:hAnsi="Book Antiqua" w:cs="Book Antiqua"/>
          <w:sz w:val="20"/>
          <w:szCs w:val="20"/>
        </w:rPr>
        <w:t>KFC should establish robust quality control measures to ensure the proper handling and separation of halal and non-halal ingredients in their production processes to prevent similar incidents in the future. Clear communication channels should be established to provide Muslim consumers with accurate and transparent information about halal certification and product ingredients to Muslim consumers. KFC should also consider seeking external halal certification from reputable Islamic organisations to strengthen the trust and confidence of Muslim customers.</w:t>
      </w:r>
    </w:p>
    <w:p w14:paraId="6430DD6D"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41AB7BC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discovery of bacon in KFC’s halal-friendly products sparked disappointment and frustration among Muslim consumers. Many expressed concerns about the reliability and accuracy of KFC’s halal certification process. Some customers voiced dissatisfaction on social media platforms and called for KFC to take corrective actions.</w:t>
      </w:r>
    </w:p>
    <w:p w14:paraId="6AB98C8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6B5169E4" w14:textId="77777777" w:rsidR="002530E2" w:rsidRDefault="002530E2">
      <w:pPr>
        <w:pBdr>
          <w:top w:val="nil"/>
          <w:left w:val="nil"/>
          <w:bottom w:val="nil"/>
          <w:right w:val="nil"/>
          <w:between w:val="nil"/>
        </w:pBdr>
      </w:pPr>
      <w:r>
        <w:rPr>
          <w:rFonts w:ascii="Book Antiqua" w:eastAsia="Book Antiqua" w:hAnsi="Book Antiqua" w:cs="Book Antiqua"/>
          <w:sz w:val="20"/>
          <w:szCs w:val="20"/>
        </w:rPr>
        <w:t>KFC apologised to Muslim consumers and immediately rectified the situation in response to the controversy. The company conducted an internal investigation and implemented stricter protocols to handle halal and non-halal ingredients properly. KFC also strengthened its communication efforts by providing clear and accurate information about its halal-certified products.</w:t>
      </w:r>
    </w:p>
    <w:p w14:paraId="2D582EEA"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2B0C8DD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KFC bacon mishap highlighted the importance of upholding the integrity of halal certification and meeting the dietary expectations of Muslim consumers. The incident emphasised the need for stringent quality control measures, clear communication, and external halal certification to ensure the trust and satisfaction of Muslim customers. KFC’s swift response and efforts to rectify the situation demonstrated its commitment to addressing the concerns raised and maintaining positive relationships with the Muslim community. By implementing robust protocols and fostering transparency, KFC can prevent cross-cultural blunders and strengthen its reputation among diverse customer groups.</w:t>
      </w:r>
    </w:p>
    <w:p w14:paraId="1BA9575B" w14:textId="77777777" w:rsidR="002530E2" w:rsidRDefault="002530E2">
      <w:pPr>
        <w:pStyle w:val="Heading2"/>
      </w:pPr>
      <w:bookmarkStart w:id="32" w:name="_heading=h.35nkun2" w:colFirst="0" w:colLast="0"/>
      <w:bookmarkEnd w:id="32"/>
      <w:r>
        <w:lastRenderedPageBreak/>
        <w:t>IR 037 (2018: McDonald’s, Birmingham, UK)</w:t>
      </w:r>
    </w:p>
    <w:p w14:paraId="4A88FC06"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Halal Meat Handling Issue“</w:t>
      </w:r>
    </w:p>
    <w:p w14:paraId="0439545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 Corporation</w:t>
      </w:r>
    </w:p>
    <w:p w14:paraId="26653F23"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1533D7AB"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Birmingham, United Kingdom</w:t>
      </w:r>
    </w:p>
    <w:p w14:paraId="00E56636"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7B8EC3BC"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2EF80440"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BC7E17D"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McDonald</w:t>
      </w:r>
      <w:r>
        <w:t>’</w:t>
      </w:r>
      <w:r>
        <w:rPr>
          <w:rFonts w:ascii="Book Antiqua" w:eastAsia="Book Antiqua" w:hAnsi="Book Antiqua" w:cs="Book Antiqua"/>
          <w:sz w:val="20"/>
          <w:szCs w:val="20"/>
        </w:rPr>
        <w:t>s in 2018 involving a controversy about halal meat handling in one of their restaurants in Birmingham, UK. The incident resulted in significant backlash and raised concerns among Muslim consumers.</w:t>
      </w:r>
    </w:p>
    <w:p w14:paraId="3E227B3C"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4BDE8C54"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McDonald</w:t>
      </w:r>
      <w:r>
        <w:t>’</w:t>
      </w:r>
      <w:r>
        <w:rPr>
          <w:rFonts w:ascii="Book Antiqua" w:eastAsia="Book Antiqua" w:hAnsi="Book Antiqua" w:cs="Book Antiqua"/>
          <w:sz w:val="20"/>
          <w:szCs w:val="20"/>
        </w:rPr>
        <w:t>s faced controversy when it was revealed that one of its restaurants in Birmingham, UK, had not been handling halal meat appropriately. Halal meat is prepared according to Islamic dietary guidelines, and the mishandling of such meat raised concerns about adherence to religious practices.</w:t>
      </w:r>
    </w:p>
    <w:p w14:paraId="33BA630F"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1077098C"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by McDonald</w:t>
      </w:r>
      <w:r>
        <w:t>’</w:t>
      </w:r>
      <w:r>
        <w:rPr>
          <w:rFonts w:ascii="Book Antiqua" w:eastAsia="Book Antiqua" w:hAnsi="Book Antiqua" w:cs="Book Antiqua"/>
          <w:sz w:val="20"/>
          <w:szCs w:val="20"/>
        </w:rPr>
        <w:t>s was the mishandling of halal meat in one of its restaurants, which resulted in concerns among Muslim consumers about adherence to religious dietary practices.</w:t>
      </w:r>
    </w:p>
    <w:p w14:paraId="41B60432"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7ECBBED0"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raising concerns about the authenticity and proper handling of halal meat at McDonald</w:t>
      </w:r>
      <w:r>
        <w:t>’</w:t>
      </w:r>
      <w:r>
        <w:rPr>
          <w:rFonts w:ascii="Book Antiqua" w:eastAsia="Book Antiqua" w:hAnsi="Book Antiqua" w:cs="Book Antiqua"/>
          <w:sz w:val="20"/>
          <w:szCs w:val="20"/>
        </w:rPr>
        <w:t>s. The mishandling of halal meat created doubts about the restaurant</w:t>
      </w:r>
      <w:r>
        <w:t>’</w:t>
      </w:r>
      <w:r>
        <w:rPr>
          <w:rFonts w:ascii="Book Antiqua" w:eastAsia="Book Antiqua" w:hAnsi="Book Antiqua" w:cs="Book Antiqua"/>
          <w:sz w:val="20"/>
          <w:szCs w:val="20"/>
        </w:rPr>
        <w:t>s commitment to adhering to Islamic dietary guidelines and respecting the religious beliefs of Muslim consumers.</w:t>
      </w:r>
    </w:p>
    <w:p w14:paraId="69642AC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2CAAA0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mishandling of halal meat had significant ramifications for McDonald’s. It led to reputational damage and potential financial consequences for the brand. The incident highlighted the importance of proper training and adherence to religious dietary requirements in regions with diverse consumer bases.</w:t>
      </w:r>
    </w:p>
    <w:p w14:paraId="73EA9BAC"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0A63055B"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should implement comprehensive training programs for employees to ensure proper handling of halal meat and adherence to religious dietary guidelines to prevent similar incidents. To maintain compliance, the company should establish clear protocols and guidelines for halal meat handling, including regular audits and inspections. Additionally, McDonald</w:t>
      </w:r>
      <w:r>
        <w:t>’</w:t>
      </w:r>
      <w:r>
        <w:rPr>
          <w:rFonts w:ascii="Book Antiqua" w:eastAsia="Book Antiqua" w:hAnsi="Book Antiqua" w:cs="Book Antiqua"/>
          <w:sz w:val="20"/>
          <w:szCs w:val="20"/>
        </w:rPr>
        <w:t xml:space="preserve">s should enhance its </w:t>
      </w:r>
      <w:r>
        <w:rPr>
          <w:rFonts w:ascii="Book Antiqua" w:eastAsia="Book Antiqua" w:hAnsi="Book Antiqua" w:cs="Book Antiqua"/>
          <w:sz w:val="20"/>
          <w:szCs w:val="20"/>
        </w:rPr>
        <w:lastRenderedPageBreak/>
        <w:t>communication channels with Muslim consumers to provide transparency regarding its handling of halal meat.</w:t>
      </w:r>
    </w:p>
    <w:p w14:paraId="13D12EE1"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5B0037C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mishandling of halal meat at McDonald’s sparked outrage and disappointment among Muslim consumers, particularly in Birmingham. Many expressed concerns about the restaurant’s commitment to meeting their religious dietary requirements and called for improved practices to ensure the integrity of halal meat.</w:t>
      </w:r>
    </w:p>
    <w:p w14:paraId="326845B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6547BD25"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McDonald’s acknowledged the mishandling of halal meat in their Birmingham restaurant and publicly apologised to Muslim consumers. The company committed to conducting a thorough investigation, implementing corrective measures, and enhancing training programs to prevent similar incidents in the future. McDonald’s also emphasised its commitment to respecting diverse religious beliefs and values.</w:t>
      </w:r>
    </w:p>
    <w:p w14:paraId="0C3026B6"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2E49C7AB"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McDonald</w:t>
      </w:r>
      <w:r>
        <w:t>’</w:t>
      </w:r>
      <w:r>
        <w:rPr>
          <w:rFonts w:ascii="Book Antiqua" w:eastAsia="Book Antiqua" w:hAnsi="Book Antiqua" w:cs="Book Antiqua"/>
          <w:sz w:val="20"/>
          <w:szCs w:val="20"/>
        </w:rPr>
        <w:t>s halal meat handling issue in Birmingham highlighted the importance of proper training, protocols, and transparency in meeting the religious dietary requirements of Muslim consumers. The incident emphasised the need for adherence to religious practices and the impact of cultural sensitivity on brand reputation. McDonald</w:t>
      </w:r>
      <w:r>
        <w:t>’</w:t>
      </w:r>
      <w:r>
        <w:rPr>
          <w:rFonts w:ascii="Book Antiqua" w:eastAsia="Book Antiqua" w:hAnsi="Book Antiqua" w:cs="Book Antiqua"/>
          <w:sz w:val="20"/>
          <w:szCs w:val="20"/>
        </w:rPr>
        <w:t>s responded to the concerns raised by Muslim consumers with an apology and a promise to improve to rebuild trust with them. By implementing robust training programs, adherence to protocols, and effective communication, McDonald</w:t>
      </w:r>
      <w:r>
        <w:t>’</w:t>
      </w:r>
      <w:r>
        <w:rPr>
          <w:rFonts w:ascii="Book Antiqua" w:eastAsia="Book Antiqua" w:hAnsi="Book Antiqua" w:cs="Book Antiqua"/>
          <w:sz w:val="20"/>
          <w:szCs w:val="20"/>
        </w:rPr>
        <w:t>s can mitigate the risk of cross-cultural blunders and ensure the satisfaction of diverse customer groups.</w:t>
      </w:r>
    </w:p>
    <w:p w14:paraId="5F7DC3C2" w14:textId="77777777" w:rsidR="002530E2" w:rsidRDefault="002530E2">
      <w:pPr>
        <w:pStyle w:val="Heading2"/>
      </w:pPr>
      <w:bookmarkStart w:id="33" w:name="_heading=h.1ksv4uv" w:colFirst="0" w:colLast="0"/>
      <w:bookmarkEnd w:id="33"/>
      <w:r>
        <w:t>IR 038 (2018: Eichbaum, Saudi Arabia)</w:t>
      </w:r>
    </w:p>
    <w:p w14:paraId="76CBE51B"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“German Brewery Eichbaum Angers Saudi Arabia by Using its Flag on Bottle Cap“</w:t>
      </w:r>
    </w:p>
    <w:p w14:paraId="072131C7" w14:textId="77777777" w:rsidR="002530E2" w:rsidRPr="002530E2" w:rsidRDefault="002530E2">
      <w:pPr>
        <w:pBdr>
          <w:top w:val="nil"/>
          <w:left w:val="nil"/>
          <w:bottom w:val="nil"/>
          <w:right w:val="nil"/>
          <w:between w:val="nil"/>
        </w:pBdr>
        <w:rPr>
          <w:lang w:val="de-DE"/>
        </w:rPr>
      </w:pPr>
      <w:r w:rsidRPr="002530E2">
        <w:rPr>
          <w:rFonts w:ascii="Book Antiqua" w:eastAsia="Book Antiqua" w:hAnsi="Book Antiqua" w:cs="Book Antiqua"/>
          <w:sz w:val="20"/>
          <w:szCs w:val="20"/>
          <w:lang w:val="de-DE"/>
        </w:rPr>
        <w:t>MNC Name: Eichbaum (German beer company)</w:t>
      </w:r>
    </w:p>
    <w:p w14:paraId="1F7F413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Germany</w:t>
      </w:r>
    </w:p>
    <w:p w14:paraId="6FF67F7F"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Saudi Arabia</w:t>
      </w:r>
    </w:p>
    <w:p w14:paraId="5E863022"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5CF17213"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35B2280E"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0EB7832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addresses the controversy faced by the German brewery Eichbaum in 2018 when it printed the flag of Saudi Arabia, which featured the Islamic statement of faith, on its beer bottle caps. Using the Saudi Arabian flag in a beer-related context sparked outrage and condemnation on social media platforms.</w:t>
      </w:r>
    </w:p>
    <w:p w14:paraId="312FD98B"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13B989EF"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In May 2018, Eichbaum launched a marketing campaign for the FIFA World Cup in Russia, where beer bottle caps were printed with flags of 32 participating countries. Among these flags was the flag of Saudi Arabia, which bore the Islamic statement of faith. This placement upset Saudi authorities and sparked a significant backlash.</w:t>
      </w:r>
    </w:p>
    <w:p w14:paraId="4FED4088"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5BD18FC6"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blunder can be categorised as cultural and religious insensitivity, as using the Saudi Arabian flag, which includes religious text, on a beer bottle cap was considered offensive and disrespectful.</w:t>
      </w:r>
    </w:p>
    <w:p w14:paraId="11858E20"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4BAA2A6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presence of the Saudi Arabian flag, with the Islamic statement of faith, on the beer bottle caps was highly offensive to many Muslims. The use of religious symbols and texts in a context associated with alcohol consumption was seen as a violation of religious sensitivities and a lack of respect for their beliefs.</w:t>
      </w:r>
    </w:p>
    <w:p w14:paraId="5A28B36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676C93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had significant repercussions for Eichbaum. It faced widespread condemnation and backlash on social media platforms, and the Saudi Arabian authorities expressed their displeasure. The negative publicity and damage to the company’s reputation were notable, leading to the need for a swift response and corrective action.</w:t>
      </w:r>
    </w:p>
    <w:p w14:paraId="7612EEB1"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4F5BEBB8"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highlighted the importance of cultural and religious sensitivity in marketing and promotional campaigns. MNCs should be cautious and avoid using religious symbols or texts in disrespectful or offensive contexts. Conducting thorough research, consulting with cultural and religious experts, and implementing internal approval processes can help prevent similar blunders in the future.</w:t>
      </w:r>
    </w:p>
    <w:p w14:paraId="146ECF95"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7A1E4385"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Muslims, both within Saudi Arabia and worldwide, expressed outrage and disappointment at Eichbaum</w:t>
      </w:r>
      <w:r>
        <w:t>’</w:t>
      </w:r>
      <w:r>
        <w:rPr>
          <w:rFonts w:ascii="Book Antiqua" w:eastAsia="Book Antiqua" w:hAnsi="Book Antiqua" w:cs="Book Antiqua"/>
          <w:sz w:val="20"/>
          <w:szCs w:val="20"/>
        </w:rPr>
        <w:t>s use of the Saudi Arabian flag on beer bottle caps. Many took to social media to condemn the company</w:t>
      </w:r>
      <w:r>
        <w:t>’</w:t>
      </w:r>
      <w:r>
        <w:rPr>
          <w:rFonts w:ascii="Book Antiqua" w:eastAsia="Book Antiqua" w:hAnsi="Book Antiqua" w:cs="Book Antiqua"/>
          <w:sz w:val="20"/>
          <w:szCs w:val="20"/>
        </w:rPr>
        <w:t>s actions, calling for a boycott and demanding an apology.</w:t>
      </w:r>
    </w:p>
    <w:p w14:paraId="76112E9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0C3538A4" w14:textId="77777777" w:rsidR="002530E2" w:rsidRDefault="002530E2">
      <w:pPr>
        <w:pBdr>
          <w:top w:val="nil"/>
          <w:left w:val="nil"/>
          <w:bottom w:val="nil"/>
          <w:right w:val="nil"/>
          <w:between w:val="nil"/>
        </w:pBdr>
      </w:pPr>
      <w:r>
        <w:rPr>
          <w:rFonts w:ascii="Book Antiqua" w:eastAsia="Book Antiqua" w:hAnsi="Book Antiqua" w:cs="Book Antiqua"/>
          <w:sz w:val="20"/>
          <w:szCs w:val="20"/>
        </w:rPr>
        <w:t>Eichbaum apologised for the incident and halted its marketing campaign featuring the flag-printed beer bottle caps. The company acknowledged the offence caused, expressed regret, and emphasised its commitment to respecting all cultures and religions. The corrective action taken by Eichbaum was intended to address the concerns raised by the Muslim community and mitigate further damage to its reputation.</w:t>
      </w:r>
    </w:p>
    <w:p w14:paraId="70CAA0B3"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2883EAEA"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2018, Eichbaum, a German brewery, faced controversy when it printed the flag of Saudi Arabia, which contained the Islamic statement of faith, on its beer bottle caps. This cultural and religious insensitivity caused significant offence to Muslims, leading to widespread condemnation and backlash. Eichbaum responded by issuing a public apology and discontinuing the marketing campaign. The incident highlighted the need for MNCs to be mindful of cultural and religious sensitivities and to ensure respectful marketing practices to avoid offending their target audiences.</w:t>
      </w:r>
    </w:p>
    <w:p w14:paraId="67D7DE75" w14:textId="77777777" w:rsidR="002530E2" w:rsidRDefault="002530E2">
      <w:pPr>
        <w:pBdr>
          <w:top w:val="nil"/>
          <w:left w:val="nil"/>
          <w:bottom w:val="nil"/>
          <w:right w:val="nil"/>
          <w:between w:val="nil"/>
        </w:pBdr>
      </w:pPr>
    </w:p>
    <w:p w14:paraId="5F7E2B55" w14:textId="77777777" w:rsidR="002530E2" w:rsidRDefault="002530E2">
      <w:pP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2EE67403"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06514D40" w14:textId="77777777" w:rsidR="002530E2" w:rsidRDefault="002530E2">
            <w:pPr>
              <w:widowControl w:val="0"/>
              <w:spacing w:after="200" w:line="276" w:lineRule="auto"/>
              <w:jc w:val="center"/>
              <w:rPr>
                <w:i/>
                <w:color w:val="0E101A"/>
                <w:sz w:val="28"/>
                <w:szCs w:val="28"/>
              </w:rPr>
            </w:pPr>
            <w:r>
              <w:rPr>
                <w:color w:val="0E101A"/>
                <w:sz w:val="28"/>
                <w:szCs w:val="28"/>
              </w:rPr>
              <w:t>CHAPTER 3: LITERATURE REVIEW</w:t>
            </w:r>
          </w:p>
          <w:p w14:paraId="780D3CE7" w14:textId="77777777" w:rsidR="002530E2" w:rsidRDefault="002530E2">
            <w:pPr>
              <w:widowControl w:val="0"/>
              <w:spacing w:after="200" w:line="276" w:lineRule="auto"/>
              <w:jc w:val="center"/>
              <w:rPr>
                <w:i/>
                <w:color w:val="0E101A"/>
                <w:sz w:val="28"/>
                <w:szCs w:val="28"/>
              </w:rPr>
            </w:pPr>
            <w:r>
              <w:rPr>
                <w:color w:val="0E101A"/>
                <w:sz w:val="28"/>
                <w:szCs w:val="28"/>
              </w:rPr>
              <w:t>(</w:t>
            </w:r>
            <w:r>
              <w:rPr>
                <w:i/>
                <w:color w:val="0E101A"/>
                <w:sz w:val="28"/>
                <w:szCs w:val="28"/>
              </w:rPr>
              <w:t>Part—6)</w:t>
            </w:r>
          </w:p>
        </w:tc>
      </w:tr>
    </w:tbl>
    <w:p w14:paraId="59FD67F0" w14:textId="77777777" w:rsidR="002530E2" w:rsidRDefault="002530E2">
      <w:pPr>
        <w:spacing w:after="0"/>
        <w:jc w:val="center"/>
      </w:pPr>
    </w:p>
    <w:p w14:paraId="69893BA6" w14:textId="77777777" w:rsidR="002530E2" w:rsidRDefault="002530E2">
      <w:pPr>
        <w:spacing w:after="0" w:line="240" w:lineRule="auto"/>
        <w:jc w:val="center"/>
      </w:pPr>
    </w:p>
    <w:p w14:paraId="50C24ADC" w14:textId="77777777" w:rsidR="002530E2" w:rsidRDefault="002530E2">
      <w:pPr>
        <w:pStyle w:val="Heading4"/>
        <w:spacing w:before="0"/>
        <w:rPr>
          <w:color w:val="FFFFFF"/>
        </w:rPr>
      </w:pPr>
      <w:r>
        <w:rPr>
          <w:color w:val="FFFFFF"/>
        </w:rPr>
        <w:t>TABLE OF CONTENT</w:t>
      </w:r>
    </w:p>
    <w:p w14:paraId="48BEC7EB" w14:textId="77777777" w:rsidR="002530E2" w:rsidRDefault="002530E2">
      <w:r>
        <w:rPr>
          <w:sz w:val="28"/>
          <w:szCs w:val="28"/>
        </w:rPr>
        <w:t xml:space="preserve">TABLE OF CONTENT FOR CHAPTER 3 </w:t>
      </w:r>
      <w:r>
        <w:rPr>
          <w:i/>
          <w:sz w:val="28"/>
          <w:szCs w:val="28"/>
        </w:rPr>
        <w:t>(Part 6)</w:t>
      </w:r>
    </w:p>
    <w:sdt>
      <w:sdtPr>
        <w:id w:val="676851628"/>
        <w:docPartObj>
          <w:docPartGallery w:val="Table of Contents"/>
          <w:docPartUnique/>
        </w:docPartObj>
      </w:sdtPr>
      <w:sdtContent>
        <w:p w14:paraId="5A084EB9"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gjdgxs">
            <w:r>
              <w:rPr>
                <w:rFonts w:ascii="Book Antiqua" w:eastAsia="Book Antiqua" w:hAnsi="Book Antiqua" w:cs="Book Antiqua"/>
                <w:color w:val="1155CC"/>
              </w:rPr>
              <w:t>IR 039 (2018: Tesco, UK)</w:t>
            </w:r>
            <w:r>
              <w:rPr>
                <w:rFonts w:ascii="Book Antiqua" w:eastAsia="Book Antiqua" w:hAnsi="Book Antiqua" w:cs="Book Antiqua"/>
                <w:color w:val="1155CC"/>
              </w:rPr>
              <w:tab/>
              <w:t>254</w:t>
            </w:r>
          </w:hyperlink>
        </w:p>
        <w:p w14:paraId="0BC0EC92"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0j0zll">
            <w:r>
              <w:rPr>
                <w:rFonts w:ascii="Book Antiqua" w:eastAsia="Book Antiqua" w:hAnsi="Book Antiqua" w:cs="Book Antiqua"/>
                <w:color w:val="1155CC"/>
              </w:rPr>
              <w:t>IR 040 (2019: Nike, Global)</w:t>
            </w:r>
            <w:r>
              <w:rPr>
                <w:rFonts w:ascii="Book Antiqua" w:eastAsia="Book Antiqua" w:hAnsi="Book Antiqua" w:cs="Book Antiqua"/>
                <w:color w:val="1155CC"/>
              </w:rPr>
              <w:tab/>
              <w:t>256</w:t>
            </w:r>
          </w:hyperlink>
        </w:p>
        <w:p w14:paraId="03405CF5"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fob9te">
            <w:r>
              <w:rPr>
                <w:rFonts w:ascii="Book Antiqua" w:eastAsia="Book Antiqua" w:hAnsi="Book Antiqua" w:cs="Book Antiqua"/>
                <w:color w:val="1155CC"/>
              </w:rPr>
              <w:t>IR 041 (2019: Nike, Global)</w:t>
            </w:r>
            <w:r>
              <w:rPr>
                <w:rFonts w:ascii="Book Antiqua" w:eastAsia="Book Antiqua" w:hAnsi="Book Antiqua" w:cs="Book Antiqua"/>
                <w:color w:val="1155CC"/>
              </w:rPr>
              <w:tab/>
              <w:t>258</w:t>
            </w:r>
          </w:hyperlink>
        </w:p>
        <w:p w14:paraId="573AD42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znysh7">
            <w:r>
              <w:rPr>
                <w:rFonts w:ascii="Book Antiqua" w:eastAsia="Book Antiqua" w:hAnsi="Book Antiqua" w:cs="Book Antiqua"/>
                <w:color w:val="1155CC"/>
              </w:rPr>
              <w:t>IR 042 (2019: Nike, Global)</w:t>
            </w:r>
            <w:r>
              <w:rPr>
                <w:rFonts w:ascii="Book Antiqua" w:eastAsia="Book Antiqua" w:hAnsi="Book Antiqua" w:cs="Book Antiqua"/>
                <w:color w:val="1155CC"/>
              </w:rPr>
              <w:tab/>
              <w:t>261</w:t>
            </w:r>
          </w:hyperlink>
        </w:p>
        <w:p w14:paraId="06E9E25F"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et92p0">
            <w:r>
              <w:rPr>
                <w:rFonts w:ascii="Book Antiqua" w:eastAsia="Book Antiqua" w:hAnsi="Book Antiqua" w:cs="Book Antiqua"/>
                <w:color w:val="1155CC"/>
              </w:rPr>
              <w:t>IR 043 (2019: McDonald’s, UK &amp; Canada)</w:t>
            </w:r>
            <w:r>
              <w:rPr>
                <w:rFonts w:ascii="Book Antiqua" w:eastAsia="Book Antiqua" w:hAnsi="Book Antiqua" w:cs="Book Antiqua"/>
                <w:color w:val="1155CC"/>
              </w:rPr>
              <w:tab/>
              <w:t>263</w:t>
            </w:r>
          </w:hyperlink>
        </w:p>
        <w:p w14:paraId="559E06D7"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tyjcwt">
            <w:r>
              <w:rPr>
                <w:rFonts w:ascii="Book Antiqua" w:eastAsia="Book Antiqua" w:hAnsi="Book Antiqua" w:cs="Book Antiqua"/>
                <w:color w:val="1155CC"/>
              </w:rPr>
              <w:t>IR 044 (2019: McDonald’s, UK)</w:t>
            </w:r>
            <w:r>
              <w:rPr>
                <w:rFonts w:ascii="Book Antiqua" w:eastAsia="Book Antiqua" w:hAnsi="Book Antiqua" w:cs="Book Antiqua"/>
                <w:color w:val="1155CC"/>
              </w:rPr>
              <w:tab/>
              <w:t>265</w:t>
            </w:r>
          </w:hyperlink>
        </w:p>
        <w:p w14:paraId="2A794604"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dy6vkm">
            <w:r>
              <w:rPr>
                <w:rFonts w:ascii="Book Antiqua" w:eastAsia="Book Antiqua" w:hAnsi="Book Antiqua" w:cs="Book Antiqua"/>
                <w:color w:val="1155CC"/>
              </w:rPr>
              <w:t>IR 045 (2019: Amazon, Global)</w:t>
            </w:r>
            <w:r>
              <w:rPr>
                <w:rFonts w:ascii="Book Antiqua" w:eastAsia="Book Antiqua" w:hAnsi="Book Antiqua" w:cs="Book Antiqua"/>
                <w:color w:val="1155CC"/>
              </w:rPr>
              <w:tab/>
              <w:t>268</w:t>
            </w:r>
          </w:hyperlink>
        </w:p>
        <w:p w14:paraId="097FCE1D"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t3h5sf">
            <w:r>
              <w:rPr>
                <w:rFonts w:ascii="Book Antiqua" w:eastAsia="Book Antiqua" w:hAnsi="Book Antiqua" w:cs="Book Antiqua"/>
                <w:color w:val="1155CC"/>
              </w:rPr>
              <w:t>IR 046 (2019: Edeka, Germany)</w:t>
            </w:r>
            <w:r>
              <w:rPr>
                <w:rFonts w:ascii="Book Antiqua" w:eastAsia="Book Antiqua" w:hAnsi="Book Antiqua" w:cs="Book Antiqua"/>
                <w:color w:val="1155CC"/>
              </w:rPr>
              <w:tab/>
              <w:t>270</w:t>
            </w:r>
          </w:hyperlink>
        </w:p>
        <w:p w14:paraId="0712ED07"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4d34og8">
            <w:r>
              <w:rPr>
                <w:rFonts w:ascii="Book Antiqua" w:eastAsia="Book Antiqua" w:hAnsi="Book Antiqua" w:cs="Book Antiqua"/>
                <w:color w:val="1155CC"/>
              </w:rPr>
              <w:t>IR 047 (2019: Chanel, Australians)</w:t>
            </w:r>
            <w:r>
              <w:rPr>
                <w:rFonts w:ascii="Book Antiqua" w:eastAsia="Book Antiqua" w:hAnsi="Book Antiqua" w:cs="Book Antiqua"/>
                <w:color w:val="1155CC"/>
              </w:rPr>
              <w:tab/>
              <w:t>272</w:t>
            </w:r>
          </w:hyperlink>
        </w:p>
        <w:p w14:paraId="7C1BEBBF"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s8eyo1">
            <w:r>
              <w:rPr>
                <w:rFonts w:ascii="Book Antiqua" w:eastAsia="Book Antiqua" w:hAnsi="Book Antiqua" w:cs="Book Antiqua"/>
                <w:color w:val="1155CC"/>
              </w:rPr>
              <w:t>IR 048 (2019: Marks &amp; Spencer, UK)</w:t>
            </w:r>
            <w:r>
              <w:rPr>
                <w:rFonts w:ascii="Book Antiqua" w:eastAsia="Book Antiqua" w:hAnsi="Book Antiqua" w:cs="Book Antiqua"/>
                <w:color w:val="1155CC"/>
              </w:rPr>
              <w:tab/>
              <w:t>275</w:t>
            </w:r>
          </w:hyperlink>
        </w:p>
        <w:p w14:paraId="5630062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7dp8vu">
            <w:r>
              <w:rPr>
                <w:rFonts w:ascii="Book Antiqua" w:eastAsia="Book Antiqua" w:hAnsi="Book Antiqua" w:cs="Book Antiqua"/>
                <w:color w:val="1155CC"/>
              </w:rPr>
              <w:t>IR 049 (2019: Forever 21, Global)</w:t>
            </w:r>
            <w:r>
              <w:rPr>
                <w:rFonts w:ascii="Book Antiqua" w:eastAsia="Book Antiqua" w:hAnsi="Book Antiqua" w:cs="Book Antiqua"/>
                <w:color w:val="1155CC"/>
              </w:rPr>
              <w:tab/>
              <w:t>277</w:t>
            </w:r>
          </w:hyperlink>
        </w:p>
        <w:p w14:paraId="0B690B7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rdcrjn">
            <w:r>
              <w:rPr>
                <w:rFonts w:ascii="Book Antiqua" w:eastAsia="Book Antiqua" w:hAnsi="Book Antiqua" w:cs="Book Antiqua"/>
                <w:color w:val="1155CC"/>
              </w:rPr>
              <w:t>IR 050 (2019: Netflix, Global)</w:t>
            </w:r>
            <w:r>
              <w:rPr>
                <w:rFonts w:ascii="Book Antiqua" w:eastAsia="Book Antiqua" w:hAnsi="Book Antiqua" w:cs="Book Antiqua"/>
                <w:color w:val="1155CC"/>
              </w:rPr>
              <w:tab/>
              <w:t>280</w:t>
            </w:r>
          </w:hyperlink>
        </w:p>
        <w:p w14:paraId="57E9B363"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6in1rg">
            <w:r>
              <w:rPr>
                <w:rFonts w:ascii="Book Antiqua" w:eastAsia="Book Antiqua" w:hAnsi="Book Antiqua" w:cs="Book Antiqua"/>
                <w:color w:val="1155CC"/>
              </w:rPr>
              <w:t>IR 051 (2020: Facebook, Global)</w:t>
            </w:r>
            <w:r>
              <w:rPr>
                <w:rFonts w:ascii="Book Antiqua" w:eastAsia="Book Antiqua" w:hAnsi="Book Antiqua" w:cs="Book Antiqua"/>
                <w:color w:val="1155CC"/>
              </w:rPr>
              <w:tab/>
              <w:t>282</w:t>
            </w:r>
          </w:hyperlink>
        </w:p>
        <w:p w14:paraId="3B93D108"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p42nta8puatn">
            <w:r>
              <w:rPr>
                <w:rFonts w:ascii="Book Antiqua" w:eastAsia="Book Antiqua" w:hAnsi="Book Antiqua" w:cs="Book Antiqua"/>
                <w:color w:val="1155CC"/>
              </w:rPr>
              <w:t>CHAPTER SUMMARY</w:t>
            </w:r>
            <w:r>
              <w:rPr>
                <w:rFonts w:ascii="Book Antiqua" w:eastAsia="Book Antiqua" w:hAnsi="Book Antiqua" w:cs="Book Antiqua"/>
                <w:color w:val="1155CC"/>
              </w:rPr>
              <w:tab/>
              <w:t>285</w:t>
            </w:r>
          </w:hyperlink>
          <w:r>
            <w:fldChar w:fldCharType="end"/>
          </w:r>
        </w:p>
      </w:sdtContent>
    </w:sdt>
    <w:p w14:paraId="30C6E13F" w14:textId="77777777" w:rsidR="002530E2" w:rsidRDefault="002530E2">
      <w:pPr>
        <w:pStyle w:val="Heading1"/>
        <w:spacing w:before="0"/>
      </w:pPr>
      <w:bookmarkStart w:id="34" w:name="_heading=h.lgjz4fmorpbu" w:colFirst="0" w:colLast="0"/>
      <w:bookmarkEnd w:id="34"/>
    </w:p>
    <w:p w14:paraId="58BBF059" w14:textId="77777777" w:rsidR="002530E2" w:rsidRDefault="002530E2">
      <w:pPr>
        <w:pStyle w:val="Heading2"/>
      </w:pPr>
      <w:bookmarkStart w:id="35" w:name="_heading=h.2zb9efobx5wv" w:colFirst="0" w:colLast="0"/>
      <w:bookmarkEnd w:id="35"/>
      <w:r>
        <w:br w:type="page"/>
      </w:r>
    </w:p>
    <w:p w14:paraId="3D006498" w14:textId="77777777" w:rsidR="002530E2" w:rsidRDefault="002530E2">
      <w:pPr>
        <w:pStyle w:val="Heading2"/>
      </w:pPr>
      <w:r>
        <w:lastRenderedPageBreak/>
        <w:t>IR 039 (2018: Tesco, UK)</w:t>
      </w:r>
    </w:p>
    <w:p w14:paraId="531FE206"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“Tesco’s Bacon-Flavoured Pringles Blunder“</w:t>
      </w:r>
    </w:p>
    <w:p w14:paraId="092EF2F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Tesco PLC</w:t>
      </w:r>
    </w:p>
    <w:p w14:paraId="692BF86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Kingdom</w:t>
      </w:r>
    </w:p>
    <w:p w14:paraId="56E62964"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UK</w:t>
      </w:r>
    </w:p>
    <w:p w14:paraId="56CEB938"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2018</w:t>
      </w:r>
    </w:p>
    <w:p w14:paraId="53A475A8"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67427F7A"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D21562A"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examines a cross-cultural blunder by Tesco PLC in 2018 involving the sale of bacon-flavoured Pringles in a UK store. The incident sparked controversy among Muslim consumers and raised concerns about the sensitivity of Tesco’s product offerings.</w:t>
      </w:r>
    </w:p>
    <w:p w14:paraId="02F38A37"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540A0452" w14:textId="77777777" w:rsidR="002530E2" w:rsidRDefault="002530E2">
      <w:pPr>
        <w:pBdr>
          <w:top w:val="nil"/>
          <w:left w:val="nil"/>
          <w:bottom w:val="nil"/>
          <w:right w:val="nil"/>
          <w:between w:val="nil"/>
        </w:pBdr>
      </w:pPr>
      <w:r>
        <w:rPr>
          <w:rFonts w:ascii="Book Antiqua" w:eastAsia="Book Antiqua" w:hAnsi="Book Antiqua" w:cs="Book Antiqua"/>
          <w:sz w:val="20"/>
          <w:szCs w:val="20"/>
        </w:rPr>
        <w:t>Tesco faced criticism in 2018 when a UK store discovered it was selling bacon-flavoured Pringles, a snack that contains pork products. The presence of this product on Tesco</w:t>
      </w:r>
      <w:r>
        <w:t>’</w:t>
      </w:r>
      <w:r>
        <w:rPr>
          <w:rFonts w:ascii="Book Antiqua" w:eastAsia="Book Antiqua" w:hAnsi="Book Antiqua" w:cs="Book Antiqua"/>
          <w:sz w:val="20"/>
          <w:szCs w:val="20"/>
        </w:rPr>
        <w:t>s shelves created a significant issue for Muslim consumers, as consuming pork is prohibited in Islam.</w:t>
      </w:r>
    </w:p>
    <w:p w14:paraId="1F549B4E"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0BD6BDD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Tesco, in this case, was the sale of bacon-flavoured Pringles, a product that contained pork-derived flavourings, in a UK store.</w:t>
      </w:r>
    </w:p>
    <w:p w14:paraId="483D3439"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6F09501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blunder directly impacted Muslim consumers, who felt Tesco ignored their religious dietary restrictions. A product containing pork-derived flavourings raised concerns about Tesco</w:t>
      </w:r>
      <w:r>
        <w:t>’</w:t>
      </w:r>
      <w:r>
        <w:rPr>
          <w:rFonts w:ascii="Book Antiqua" w:eastAsia="Book Antiqua" w:hAnsi="Book Antiqua" w:cs="Book Antiqua"/>
          <w:sz w:val="20"/>
          <w:szCs w:val="20"/>
        </w:rPr>
        <w:t>s understanding of and respect for Islamic dietary requirements.</w:t>
      </w:r>
    </w:p>
    <w:p w14:paraId="5353477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CE9A5D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bacon-flavoured Pringles controversy negatively affected Tesco’s reputation, particularly among Muslim consumers. The incident raised questions about Tesco’s product selection and its sensitivity to the diverse needs of its customer base. It also highlighted potential gaps in the company’s quality control and labelling processes.</w:t>
      </w:r>
    </w:p>
    <w:p w14:paraId="6A8B8AAF"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06543F28" w14:textId="77777777" w:rsidR="002530E2" w:rsidRDefault="002530E2">
      <w:pPr>
        <w:pBdr>
          <w:top w:val="nil"/>
          <w:left w:val="nil"/>
          <w:bottom w:val="nil"/>
          <w:right w:val="nil"/>
          <w:between w:val="nil"/>
        </w:pBdr>
      </w:pPr>
      <w:r>
        <w:rPr>
          <w:rFonts w:ascii="Book Antiqua" w:eastAsia="Book Antiqua" w:hAnsi="Book Antiqua" w:cs="Book Antiqua"/>
          <w:sz w:val="20"/>
          <w:szCs w:val="20"/>
        </w:rPr>
        <w:t>Tesco should enhance its product screening processes, ensuring that products comply with religious dietary restrictions and cultural sensitivities to prevent similar incidents in the future. It includes implementing stricter quality control measures, conducting thorough ingredient checks, and providing clear and accurate labelling information to help consumers make informed choices.</w:t>
      </w:r>
    </w:p>
    <w:p w14:paraId="6907A45D"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653984E2"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discovery of bacon-flavoured Pringles on Tesco’s shelves triggered disappointment and anger among Muslim consumers. Many expressed concerns about the lack of sensitivity and disregard for </w:t>
      </w:r>
      <w:r>
        <w:rPr>
          <w:rFonts w:ascii="Book Antiqua" w:eastAsia="Book Antiqua" w:hAnsi="Book Antiqua" w:cs="Book Antiqua"/>
          <w:sz w:val="20"/>
          <w:szCs w:val="20"/>
        </w:rPr>
        <w:lastRenderedPageBreak/>
        <w:t>their religious beliefs. The incident sparked discussions on social media and within Muslim communities, amplifying the negative sentiment towards Tesco.</w:t>
      </w:r>
    </w:p>
    <w:p w14:paraId="6AABD10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5C7EEE34"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Tesco swiftly removed the bacon-flavoured Pringles from its shelves and publicly apologised to Muslim consumers. The company acknowledged the oversight and committed to reviewing its product selection processes to prevent similar incidents in the future. Tesco also emphasised its commitment to serving the diverse needs of its customers.</w:t>
      </w:r>
    </w:p>
    <w:p w14:paraId="0C8539FA"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6E0DF3A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Tesco bacon-flavoured Pringles blunder highlighted the importance of understanding and respecting religious dietary restrictions and cultural sensitivities. The incident emphasised the need for rigorous product screening and labelling practices to avoid offending or alienating specific customer groups. Tesco’s response, including removing the product and a commitment to improvement, aimed to address the concerns raised and rebuild trust with Muslim consumers. By implementing robust quality control measures and considering cultural factors in product selection, Tesco can mitigate the risk of cross-cultural blunders and maintain positive relationships with its diverse customer base.</w:t>
      </w:r>
    </w:p>
    <w:p w14:paraId="284A151B" w14:textId="77777777" w:rsidR="002530E2" w:rsidRDefault="002530E2">
      <w:pPr>
        <w:pStyle w:val="Heading2"/>
      </w:pPr>
      <w:r>
        <w:t>IR 040 (2019: Nike, Global)</w:t>
      </w:r>
    </w:p>
    <w:p w14:paraId="3D187DF5"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“Nike’s Hijab Controversy“</w:t>
      </w:r>
    </w:p>
    <w:p w14:paraId="6FA4EEF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Nike, Inc.</w:t>
      </w:r>
    </w:p>
    <w:p w14:paraId="2570D7E5"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7517356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16684F4B"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3AB69D6E"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0AC24CBF"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5B06EF50"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Nike Inc. in 2019, which involved a controversy surrounding the release of its Nike Pro Hijab. The incident generated significant backlash and raised concerns among Muslim consumers worldwide.</w:t>
      </w:r>
    </w:p>
    <w:p w14:paraId="3417A52F"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0A28BCBE"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Nike introduced the Nike Pro Hijab, a performance head-covering designed for Muslim female athletes. While the product aimed to cater to the needs of Muslim athletes, it sparked controversy. It faced criticism from some Muslim consumers who felt it was exploitative or did not accurately represent their cultural and religious identity.</w:t>
      </w:r>
    </w:p>
    <w:p w14:paraId="57DD6F22" w14:textId="77777777" w:rsidR="002530E2" w:rsidRDefault="002530E2">
      <w:pPr>
        <w:pBdr>
          <w:top w:val="nil"/>
          <w:left w:val="nil"/>
          <w:bottom w:val="nil"/>
          <w:right w:val="nil"/>
          <w:between w:val="nil"/>
        </w:pBdr>
      </w:pPr>
      <w:r>
        <w:br w:type="page"/>
      </w:r>
    </w:p>
    <w:p w14:paraId="64FD4856"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Type of Cross-Cultural Blunder (this addresses MRQ 1):</w:t>
      </w:r>
    </w:p>
    <w:p w14:paraId="63CCF50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Nike, in this case, was the introduction of the Nike Pro Hijab, which faced criticism and generated controversy among some Muslim consumers.</w:t>
      </w:r>
    </w:p>
    <w:p w14:paraId="48E16CC1"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B160614"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had mixed reactions to Nike’s Pro Hijab. While some welcomed the product as a step towards inclusivity in sports, others felt that Nike was commercialising and commodifying a religious and cultural symbol. The controversy raised concerns about cultural appropriation and the potential exploitation of Muslim women’s identity for profit.</w:t>
      </w:r>
    </w:p>
    <w:p w14:paraId="66F3D83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3B9F97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Nike Pro Hijab controversy affected Nike</w:t>
      </w:r>
      <w:r>
        <w:t>’</w:t>
      </w:r>
      <w:r>
        <w:rPr>
          <w:rFonts w:ascii="Book Antiqua" w:eastAsia="Book Antiqua" w:hAnsi="Book Antiqua" w:cs="Book Antiqua"/>
          <w:sz w:val="20"/>
          <w:szCs w:val="20"/>
        </w:rPr>
        <w:t>s reputation and brand image, particularly among Muslim consumers. The criticism and backlash highlighted the need for cultural sensitivity and careful consideration when introducing products touching religious and cultural identities.</w:t>
      </w:r>
    </w:p>
    <w:p w14:paraId="00A32086"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0D235833" w14:textId="77777777" w:rsidR="002530E2" w:rsidRDefault="002530E2">
      <w:pPr>
        <w:pBdr>
          <w:top w:val="nil"/>
          <w:left w:val="nil"/>
          <w:bottom w:val="nil"/>
          <w:right w:val="nil"/>
          <w:between w:val="nil"/>
        </w:pBdr>
      </w:pPr>
      <w:r>
        <w:rPr>
          <w:rFonts w:ascii="Book Antiqua" w:eastAsia="Book Antiqua" w:hAnsi="Book Antiqua" w:cs="Book Antiqua"/>
          <w:sz w:val="20"/>
          <w:szCs w:val="20"/>
        </w:rPr>
        <w:t>Nike should prioritise extensive consultation and engagement with the target community before launching products that directly relate to religious or cultural symbols to prevent similar incidents in the future. The process involves collaborating with Muslim athletes and cultural experts to ensure authenticity and avoid misrepresentation. Additionally, conducting thorough market research and seeking diverse perspectives can help identify potential issues and address concerns before product launch.</w:t>
      </w:r>
    </w:p>
    <w:p w14:paraId="1FFB53C1"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07C8CD13"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Nike Pro Hijab controversy sparked mixed reactions among Muslim consumers. While some appreciated Nike’s efforts to provide a performance head-covering for Muslim athletes, others criticised the company for potentially exploiting religious and cultural symbols. Social media platforms and online discussions amplified the various perspectives and sparked debates within Muslim communities.</w:t>
      </w:r>
    </w:p>
    <w:p w14:paraId="3D70055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0D89BBFA"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Nike acknowledged the concerns of some Muslim consumers and reaffirmed its commitment to inclusivity and diversity. The company emphasised that the Nike Pro Hijab was designed in collaboration with Muslim athletes and aimed to allow Muslim women to participate in sports comfortably. Nike engaged in dialogues with community leaders and addressed the concerns raised, including providing further clarity on the product</w:t>
      </w:r>
      <w:r>
        <w:t>’</w:t>
      </w:r>
      <w:r>
        <w:rPr>
          <w:rFonts w:ascii="Book Antiqua" w:eastAsia="Book Antiqua" w:hAnsi="Book Antiqua" w:cs="Book Antiqua"/>
          <w:sz w:val="20"/>
          <w:szCs w:val="20"/>
        </w:rPr>
        <w:t>s purpose and background.</w:t>
      </w:r>
    </w:p>
    <w:p w14:paraId="77FD2E0C"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46DC8675"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Nike Pro Hijab controversy highlighted the complexity and sensitivity surrounding introducing products that touch upon religious and cultural symbols. The incident emphasised the importance of extensive consultation, cultural understanding, and engagement with the target community to avoid misinterpretation and potential backlash. Nike</w:t>
      </w:r>
      <w:r>
        <w:t>’</w:t>
      </w:r>
      <w:r>
        <w:rPr>
          <w:rFonts w:ascii="Book Antiqua" w:eastAsia="Book Antiqua" w:hAnsi="Book Antiqua" w:cs="Book Antiqua"/>
          <w:sz w:val="20"/>
          <w:szCs w:val="20"/>
        </w:rPr>
        <w:t>s response, including dialogue and clarification, aimed to address the concerns raised and reaffirm its commitment to inclusivity. By incorporating lessons learned and adopting proactive strategies, such as extensive consultation and cultural sensitivity training, Nike can navigate cross-cultural challenges and foster stronger relationships with diverse customer groups.</w:t>
      </w:r>
    </w:p>
    <w:p w14:paraId="151F1956" w14:textId="77777777" w:rsidR="002530E2" w:rsidRDefault="002530E2">
      <w:pPr>
        <w:pStyle w:val="Heading2"/>
      </w:pPr>
      <w:r>
        <w:lastRenderedPageBreak/>
        <w:t>IR 041 (2019: Nike, Global)</w:t>
      </w:r>
    </w:p>
    <w:p w14:paraId="651BC21F"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“Nike’s Controversial Sponsorship and Political Criticism“</w:t>
      </w:r>
    </w:p>
    <w:p w14:paraId="74F2FCD8"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Nike Inc.</w:t>
      </w:r>
    </w:p>
    <w:p w14:paraId="28DAE5A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70A902D2"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1EDE1340"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48953386"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1EE67B24"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0B0ED74B"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Nike Inc. in 2019, involving a sponsorship controversy with a Muslim athlete who publicly criticised Israel’s treatment of Palestinians. The incident generated significant backlash and raised concerns among Muslim consumers worldwide.</w:t>
      </w:r>
    </w:p>
    <w:p w14:paraId="53660919"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0C77EE69"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Nike faced controversy after it emerged that the company sponsored an athlete who expressed political views critical of Israel</w:t>
      </w:r>
      <w:r>
        <w:t>’</w:t>
      </w:r>
      <w:r>
        <w:rPr>
          <w:rFonts w:ascii="Book Antiqua" w:eastAsia="Book Antiqua" w:hAnsi="Book Antiqua" w:cs="Book Antiqua"/>
          <w:sz w:val="20"/>
          <w:szCs w:val="20"/>
        </w:rPr>
        <w:t>s treatment of Palestinians. The association of Nike with these remarks sparked a strong reaction among Muslim consumers, leading to a heated debate about the role of corporations in political issues.</w:t>
      </w:r>
    </w:p>
    <w:p w14:paraId="7001DBF4"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1260071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Nike, in this case, was its sponsorship of a Muslim athlete who made politically charged statements regarding Israel’s treatment of Palestinians, which led to controversy and backlash.</w:t>
      </w:r>
    </w:p>
    <w:p w14:paraId="08FDDDE6"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E36656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affected Muslim consumers, who felt conflicted about Nike</w:t>
      </w:r>
      <w:r>
        <w:t>’</w:t>
      </w:r>
      <w:r>
        <w:rPr>
          <w:rFonts w:ascii="Book Antiqua" w:eastAsia="Book Antiqua" w:hAnsi="Book Antiqua" w:cs="Book Antiqua"/>
          <w:sz w:val="20"/>
          <w:szCs w:val="20"/>
        </w:rPr>
        <w:t>s association with a controversial political stance. Among Muslim communities, opinions differed regarding the sponsorship of the athlete and the resulting criticism. Some individuals supported the athlete</w:t>
      </w:r>
      <w:r>
        <w:t>’</w:t>
      </w:r>
      <w:r>
        <w:rPr>
          <w:rFonts w:ascii="Book Antiqua" w:eastAsia="Book Antiqua" w:hAnsi="Book Antiqua" w:cs="Book Antiqua"/>
          <w:sz w:val="20"/>
          <w:szCs w:val="20"/>
        </w:rPr>
        <w:t>s views, while others believed Nike</w:t>
      </w:r>
      <w:r>
        <w:t>’</w:t>
      </w:r>
      <w:r>
        <w:rPr>
          <w:rFonts w:ascii="Book Antiqua" w:eastAsia="Book Antiqua" w:hAnsi="Book Antiqua" w:cs="Book Antiqua"/>
          <w:sz w:val="20"/>
          <w:szCs w:val="20"/>
        </w:rPr>
        <w:t>s involvement in political matters was inappropriate.</w:t>
      </w:r>
    </w:p>
    <w:p w14:paraId="57DDA1C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C94E679"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Nike’s sponsorship and the political criticism had implications for the brand’s reputation and image, particularly among Muslim consumers. The association with a politically charged statement raised questions about Nike’s alignment with specific political ideologies and its impact on consumer perceptions.</w:t>
      </w:r>
    </w:p>
    <w:p w14:paraId="275AA838"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5BF4345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Nike should establish clear guidelines and criteria for sponsorships, considering the potential political implications of associating with athletes or individuals with strong political views to prevent similar incidents in the future. The company must conduct thorough due diligence and consider the potential impact on diverse customer groups. Open dialogue and communication channels with stakeholders, </w:t>
      </w:r>
      <w:r>
        <w:rPr>
          <w:rFonts w:ascii="Book Antiqua" w:eastAsia="Book Antiqua" w:hAnsi="Book Antiqua" w:cs="Book Antiqua"/>
          <w:sz w:val="20"/>
          <w:szCs w:val="20"/>
        </w:rPr>
        <w:lastRenderedPageBreak/>
        <w:t>including Muslim communities, can help Nike gain insights and navigate complex cultural and political issues more effectively.</w:t>
      </w:r>
    </w:p>
    <w:p w14:paraId="42892987"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230AE8CD"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Muslims within their community had mixed reactions to Nike</w:t>
      </w:r>
      <w:r>
        <w:t>’</w:t>
      </w:r>
      <w:r>
        <w:rPr>
          <w:rFonts w:ascii="Book Antiqua" w:eastAsia="Book Antiqua" w:hAnsi="Book Antiqua" w:cs="Book Antiqua"/>
          <w:sz w:val="20"/>
          <w:szCs w:val="20"/>
        </w:rPr>
        <w:t>s association with athletes who made politically charged statements. Some Muslim consumers supported the athlete</w:t>
      </w:r>
      <w:r>
        <w:t>’</w:t>
      </w:r>
      <w:r>
        <w:rPr>
          <w:rFonts w:ascii="Book Antiqua" w:eastAsia="Book Antiqua" w:hAnsi="Book Antiqua" w:cs="Book Antiqua"/>
          <w:sz w:val="20"/>
          <w:szCs w:val="20"/>
        </w:rPr>
        <w:t>s views and praised Nike for defending freedom of expression. In contrast, others disagreed with the political stance and felt that Nike</w:t>
      </w:r>
      <w:r>
        <w:t>’</w:t>
      </w:r>
      <w:r>
        <w:rPr>
          <w:rFonts w:ascii="Book Antiqua" w:eastAsia="Book Antiqua" w:hAnsi="Book Antiqua" w:cs="Book Antiqua"/>
          <w:sz w:val="20"/>
          <w:szCs w:val="20"/>
        </w:rPr>
        <w:t>s involvement in political matters was inappropriate.</w:t>
      </w:r>
    </w:p>
    <w:p w14:paraId="7491C24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16D64A40"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Nike issued a statement clarifying that the sponsorship did not endorse any political position and emphasised its commitment to diversity and inclusion. The company acknowledged the concerns raised by Muslim consumers and reiterated its dedication to respecting different perspectives and fostering dialogue.</w:t>
      </w:r>
    </w:p>
    <w:p w14:paraId="35EB3EDC"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1CD74DF3"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Nike sponsorship controversy highlighted the challenges multinational corporations face when navigating political issues and aligning with individual athletes or figures with strong views. The incident emphasised the importance of thorough evaluation and clear communication regarding sponsorship decisions to prevent unintended associations or misunderstandings. Nike</w:t>
      </w:r>
      <w:r>
        <w:t>’</w:t>
      </w:r>
      <w:r>
        <w:rPr>
          <w:rFonts w:ascii="Book Antiqua" w:eastAsia="Book Antiqua" w:hAnsi="Book Antiqua" w:cs="Book Antiqua"/>
          <w:sz w:val="20"/>
          <w:szCs w:val="20"/>
        </w:rPr>
        <w:t>s response aimed to address the concerns raised by Muslim consumers and reaffirm the company</w:t>
      </w:r>
      <w:r>
        <w:t>’</w:t>
      </w:r>
      <w:r>
        <w:rPr>
          <w:rFonts w:ascii="Book Antiqua" w:eastAsia="Book Antiqua" w:hAnsi="Book Antiqua" w:cs="Book Antiqua"/>
          <w:sz w:val="20"/>
          <w:szCs w:val="20"/>
        </w:rPr>
        <w:t>s commitment to inclusivity and diversity. By implementing robust guidelines for sponsorships and fostering open dialogue, Nike can navigate sensitive issues more effectively and maintain positive relationships with diverse customer groups.</w:t>
      </w:r>
    </w:p>
    <w:p w14:paraId="0AD61675" w14:textId="77777777" w:rsidR="002530E2" w:rsidRDefault="002530E2">
      <w:pPr>
        <w:pStyle w:val="Heading2"/>
      </w:pPr>
      <w:r>
        <w:t>IR 042 (2019: Nike, Global)</w:t>
      </w:r>
    </w:p>
    <w:p w14:paraId="52283C4D"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“Nike’s Controversial Logo on the Air Max 270“</w:t>
      </w:r>
    </w:p>
    <w:p w14:paraId="6C9E3FD8"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Nike, Inc.</w:t>
      </w:r>
    </w:p>
    <w:p w14:paraId="0E04349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52612BCA"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74D9B60D"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5F2A1079"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6BC6E69E"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488A347B"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Nike Inc. in 2019, involving the controversy surrounding the Air Max 270 shoe logo. The logo on the shoe</w:t>
      </w:r>
      <w:r>
        <w:t>’</w:t>
      </w:r>
      <w:r>
        <w:rPr>
          <w:rFonts w:ascii="Book Antiqua" w:eastAsia="Book Antiqua" w:hAnsi="Book Antiqua" w:cs="Book Antiqua"/>
          <w:sz w:val="20"/>
          <w:szCs w:val="20"/>
        </w:rPr>
        <w:t xml:space="preserve">s sole resembled the word </w:t>
      </w:r>
      <w:r>
        <w:t>“</w:t>
      </w:r>
      <w:r>
        <w:rPr>
          <w:rFonts w:ascii="Book Antiqua" w:eastAsia="Book Antiqua" w:hAnsi="Book Antiqua" w:cs="Book Antiqua"/>
          <w:sz w:val="20"/>
          <w:szCs w:val="20"/>
        </w:rPr>
        <w:t>Allah</w:t>
      </w:r>
      <w:r>
        <w:t>“</w:t>
      </w:r>
      <w:r>
        <w:rPr>
          <w:rFonts w:ascii="Book Antiqua" w:eastAsia="Book Antiqua" w:hAnsi="Book Antiqua" w:cs="Book Antiqua"/>
          <w:sz w:val="20"/>
          <w:szCs w:val="20"/>
        </w:rPr>
        <w:t xml:space="preserve"> in Arabic script, leading to significant backlash and calls for a boycott by Muslim consumers.</w:t>
      </w:r>
    </w:p>
    <w:p w14:paraId="790C40E6"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6622BF2C"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Nike faced controversy when Muslim consumers noticed that the logo on the sole of the limited edition Air Max 270 shoe bore a resemblance to the word “Allah“ in Arabic script. This similarity sparked outrage among many Muslims, who found it disrespectful and offensive.</w:t>
      </w:r>
    </w:p>
    <w:p w14:paraId="5E0CF27E"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Type of Cross-Cultural Blunder (this addresses MRQ 1):</w:t>
      </w:r>
    </w:p>
    <w:p w14:paraId="31BFC11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Nike, in this case, was the unintentional resemblance of the logo on the Air Max 270 shoe to the word “Allah“ in Arabic script, which was perceived as disrespectful by Muslim consumers.</w:t>
      </w:r>
    </w:p>
    <w:p w14:paraId="24603A3F" w14:textId="77777777" w:rsidR="002530E2" w:rsidRDefault="002530E2">
      <w:pPr>
        <w:pBdr>
          <w:top w:val="nil"/>
          <w:left w:val="nil"/>
          <w:bottom w:val="nil"/>
          <w:right w:val="nil"/>
          <w:between w:val="nil"/>
        </w:pBdr>
      </w:pPr>
      <w:r>
        <w:br w:type="page"/>
      </w:r>
    </w:p>
    <w:p w14:paraId="1AA74C0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Consequences for Muslims (this addresses MRQ 2):</w:t>
      </w:r>
    </w:p>
    <w:p w14:paraId="1F1C1A16"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felt highly offended and disrespected by the perceived resemblance of the logo to the word “Allah.“ Many expressed disappointment and frustration, calling for a boycott of Nike and criticising the brand for insensitivity towards religious and cultural sentiments.</w:t>
      </w:r>
    </w:p>
    <w:p w14:paraId="14216F4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1B77E04"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logo on the Air Max 270 had significant implications for Nike</w:t>
      </w:r>
      <w:r>
        <w:t>’</w:t>
      </w:r>
      <w:r>
        <w:rPr>
          <w:rFonts w:ascii="Book Antiqua" w:eastAsia="Book Antiqua" w:hAnsi="Book Antiqua" w:cs="Book Antiqua"/>
          <w:sz w:val="20"/>
          <w:szCs w:val="20"/>
        </w:rPr>
        <w:t>s reputation and brand image, particularly among Muslim consumers. The blunder raised questions about Nike</w:t>
      </w:r>
      <w:r>
        <w:t>’</w:t>
      </w:r>
      <w:r>
        <w:rPr>
          <w:rFonts w:ascii="Book Antiqua" w:eastAsia="Book Antiqua" w:hAnsi="Book Antiqua" w:cs="Book Antiqua"/>
          <w:sz w:val="20"/>
          <w:szCs w:val="20"/>
        </w:rPr>
        <w:t>s attention to cultural and religious sensitivities, potentially leading to a decline in sales and a tarnished brand image among this consumer segment.</w:t>
      </w:r>
    </w:p>
    <w:p w14:paraId="576A3D43"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1BD1D11" w14:textId="77777777" w:rsidR="002530E2" w:rsidRDefault="002530E2">
      <w:pPr>
        <w:pBdr>
          <w:top w:val="nil"/>
          <w:left w:val="nil"/>
          <w:bottom w:val="nil"/>
          <w:right w:val="nil"/>
          <w:between w:val="nil"/>
        </w:pBdr>
      </w:pPr>
      <w:r>
        <w:rPr>
          <w:rFonts w:ascii="Book Antiqua" w:eastAsia="Book Antiqua" w:hAnsi="Book Antiqua" w:cs="Book Antiqua"/>
          <w:sz w:val="20"/>
          <w:szCs w:val="20"/>
        </w:rPr>
        <w:t>Nike should enhance its cultural and religious sensitivity training for product design and marketing teams to prevent similar incidents in the future. The company should establish clear guidelines and protocols for reviewing and approving logos and designs to ensure they do not inadvertently resemble religious or culturally significant symbols. Additionally, engaging with diverse communities and seeking their input in the design process can help Nike avoid potential cross-cultural blunders.</w:t>
      </w:r>
    </w:p>
    <w:p w14:paraId="6F10D3F7"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73A08CCF"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reacted strongly to the perceived disrespect conveyed by the Air Max 270 shoe logo. Social media platforms were instrumental in amplifying the backlash and organising calls for a boycott. Many Muslims expressed disappointment, anger, and frustration towards Nike, emphasising the need for cultural respect and sensitivity.</w:t>
      </w:r>
    </w:p>
    <w:p w14:paraId="7146D88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45EECD6D"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Nike promptly publicly apologised to Muslim consumers. The company acknowledged the concerns and assured that it never intended to offend or disrespect any religion. Nike apologised for any offence caused and committed to improving its review processes to prevent similar issues in the future. The Nike company recalled the limited edition Air Max 270 shoes with the controversial logo.</w:t>
      </w:r>
    </w:p>
    <w:p w14:paraId="754BA297"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71A96C72"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Nike logo controversy on the Air Max 270 highlights the importance of cultural and religious sensitivity in product design and marketing. The incident emphasised the need for thorough review processes to avoid inadvertent resemblances to religious symbols and address the concerns of diverse consumer groups. To rebuild trust with Muslim consumers and minimise the harm caused, Nike issued a public apology and recalled the controversial shoes. By implementing stricter design review protocols and fostering greater cultural understanding, Nike can prevent future cross-cultural blunders and maintain positive relationships with its diverse customer base.</w:t>
      </w:r>
    </w:p>
    <w:p w14:paraId="0BB23958" w14:textId="77777777" w:rsidR="002530E2" w:rsidRDefault="002530E2">
      <w:pPr>
        <w:pStyle w:val="Heading2"/>
      </w:pPr>
      <w:r>
        <w:t>IR 043 (2019: McDonald’s, UK &amp; Canada)</w:t>
      </w:r>
    </w:p>
    <w:p w14:paraId="4F4E960C"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Controversy Regarding Undisclosed Halal Meat“</w:t>
      </w:r>
    </w:p>
    <w:p w14:paraId="14DF233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 Corporation</w:t>
      </w:r>
    </w:p>
    <w:p w14:paraId="4F572BE1"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 Country of Origin: United States</w:t>
      </w:r>
    </w:p>
    <w:p w14:paraId="5E3B3F56"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United Kingdom (UK) and Canada</w:t>
      </w:r>
    </w:p>
    <w:p w14:paraId="21F9B5F6"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03C6718B"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6EFE866F"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35783F38"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cross-cultural blunder by McDonald’s in 2019, involving a controversy surrounding the undisclosed serving of halal meat in McDonald’s restaurants in the UK and Canada. The incident resulted in criticism from Muslim consumers and raised concerns about transparency and communication.</w:t>
      </w:r>
    </w:p>
    <w:p w14:paraId="611E1A96"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5AEEE520"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McDonald</w:t>
      </w:r>
      <w:r>
        <w:t>’</w:t>
      </w:r>
      <w:r>
        <w:rPr>
          <w:rFonts w:ascii="Book Antiqua" w:eastAsia="Book Antiqua" w:hAnsi="Book Antiqua" w:cs="Book Antiqua"/>
          <w:sz w:val="20"/>
          <w:szCs w:val="20"/>
        </w:rPr>
        <w:t>s faced controversy when some McDonald</w:t>
      </w:r>
      <w:r>
        <w:t>’</w:t>
      </w:r>
      <w:r>
        <w:rPr>
          <w:rFonts w:ascii="Book Antiqua" w:eastAsia="Book Antiqua" w:hAnsi="Book Antiqua" w:cs="Book Antiqua"/>
          <w:sz w:val="20"/>
          <w:szCs w:val="20"/>
        </w:rPr>
        <w:t>s restaurants in the UK and Canada served halal meat without informing their customers. Muslim consumers expressed concerns about the lack of transparency regarding halal meat, leading to feelings of deception and a perceived disregard for their religious dietary preferences.</w:t>
      </w:r>
    </w:p>
    <w:p w14:paraId="19D8E767"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313207A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in this case, was the failure of McDonald’s to disclose the use of halal meat in their restaurants, resulting in Muslim consumers being unaware of the sourcing and preparation methods of the meat they were consuming.</w:t>
      </w:r>
    </w:p>
    <w:p w14:paraId="675D4698"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06A31C1"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unaware of McDonald</w:t>
      </w:r>
      <w:r>
        <w:t>’</w:t>
      </w:r>
      <w:r>
        <w:rPr>
          <w:rFonts w:ascii="Book Antiqua" w:eastAsia="Book Antiqua" w:hAnsi="Book Antiqua" w:cs="Book Antiqua"/>
          <w:sz w:val="20"/>
          <w:szCs w:val="20"/>
        </w:rPr>
        <w:t>s use of halal meat felt deceived and disappointed. The lack of disclosure led to a sense of betrayal and raised concerns about the transparency of McDonald</w:t>
      </w:r>
      <w:r>
        <w:t>’</w:t>
      </w:r>
      <w:r>
        <w:rPr>
          <w:rFonts w:ascii="Book Antiqua" w:eastAsia="Book Antiqua" w:hAnsi="Book Antiqua" w:cs="Book Antiqua"/>
          <w:sz w:val="20"/>
          <w:szCs w:val="20"/>
        </w:rPr>
        <w:t>s practices. Some Muslim consumers called for a boycott of McDonald</w:t>
      </w:r>
      <w:r>
        <w:t>’</w:t>
      </w:r>
      <w:r>
        <w:rPr>
          <w:rFonts w:ascii="Book Antiqua" w:eastAsia="Book Antiqua" w:hAnsi="Book Antiqua" w:cs="Book Antiqua"/>
          <w:sz w:val="20"/>
          <w:szCs w:val="20"/>
        </w:rPr>
        <w:t>s to respond to this blunder.</w:t>
      </w:r>
    </w:p>
    <w:p w14:paraId="0503683F"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EC2F607"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undisclosed serving of halal meat had implications for McDonald</w:t>
      </w:r>
      <w:r>
        <w:t>’</w:t>
      </w:r>
      <w:r>
        <w:rPr>
          <w:rFonts w:ascii="Book Antiqua" w:eastAsia="Book Antiqua" w:hAnsi="Book Antiqua" w:cs="Book Antiqua"/>
          <w:sz w:val="20"/>
          <w:szCs w:val="20"/>
        </w:rPr>
        <w:t>s reputation and brand image. The need for more transparency and communication regarding halal meat raised questions about McDonald</w:t>
      </w:r>
      <w:r>
        <w:t>’</w:t>
      </w:r>
      <w:r>
        <w:rPr>
          <w:rFonts w:ascii="Book Antiqua" w:eastAsia="Book Antiqua" w:hAnsi="Book Antiqua" w:cs="Book Antiqua"/>
          <w:sz w:val="20"/>
          <w:szCs w:val="20"/>
        </w:rPr>
        <w:t>s commitment to accommodating diverse dietary preferences and respecting religious beliefs.</w:t>
      </w:r>
    </w:p>
    <w:p w14:paraId="48655845"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2F8350B"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w:t>
      </w:r>
      <w:r>
        <w:t>’</w:t>
      </w:r>
      <w:r>
        <w:rPr>
          <w:rFonts w:ascii="Book Antiqua" w:eastAsia="Book Antiqua" w:hAnsi="Book Antiqua" w:cs="Book Antiqua"/>
          <w:sz w:val="20"/>
          <w:szCs w:val="20"/>
        </w:rPr>
        <w:t>s should prioritise transparency and clear communication regarding dietary practices to prevent similar incidents in the future. McDonald</w:t>
      </w:r>
      <w:r>
        <w:t>’</w:t>
      </w:r>
      <w:r>
        <w:rPr>
          <w:rFonts w:ascii="Book Antiqua" w:eastAsia="Book Antiqua" w:hAnsi="Book Antiqua" w:cs="Book Antiqua"/>
          <w:sz w:val="20"/>
          <w:szCs w:val="20"/>
        </w:rPr>
        <w:t>s must inform customers about the use of halal meat in their restaurants through visible signage, website disclosures, and other communication channels. McDonald</w:t>
      </w:r>
      <w:r>
        <w:t>’</w:t>
      </w:r>
      <w:r>
        <w:rPr>
          <w:rFonts w:ascii="Book Antiqua" w:eastAsia="Book Antiqua" w:hAnsi="Book Antiqua" w:cs="Book Antiqua"/>
          <w:sz w:val="20"/>
          <w:szCs w:val="20"/>
        </w:rPr>
        <w:t>s should also consider engaging with diverse communities and seeking input to understand better and cater to their dietary preferences.</w:t>
      </w:r>
    </w:p>
    <w:p w14:paraId="3717C901"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2686F552"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frustration, and a sense of deception upon learning about the undisclosed use of halal meat in McDonald</w:t>
      </w:r>
      <w:r>
        <w:t>’</w:t>
      </w:r>
      <w:r>
        <w:rPr>
          <w:rFonts w:ascii="Book Antiqua" w:eastAsia="Book Antiqua" w:hAnsi="Book Antiqua" w:cs="Book Antiqua"/>
          <w:sz w:val="20"/>
          <w:szCs w:val="20"/>
        </w:rPr>
        <w:t>s. Some individuals called for a boycott of McDonald</w:t>
      </w:r>
      <w:r>
        <w:t>’</w:t>
      </w:r>
      <w:r>
        <w:rPr>
          <w:rFonts w:ascii="Book Antiqua" w:eastAsia="Book Antiqua" w:hAnsi="Book Antiqua" w:cs="Book Antiqua"/>
          <w:sz w:val="20"/>
          <w:szCs w:val="20"/>
        </w:rPr>
        <w:t>s to express their discontent and urge the company to address the issue.</w:t>
      </w:r>
    </w:p>
    <w:p w14:paraId="227E08FB"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MNC’s Post-Blunder Response to Address the Consequences:</w:t>
      </w:r>
    </w:p>
    <w:p w14:paraId="582B55E1"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McDonald’s acknowledged the concerns raised by Muslim consumers and issued public statements. The company committed to improving communication and transparency regarding the use of halal meat in their restaurants. McDonald’s emphasised its dedication to accommodating diverse dietary preferences and respecting religious beliefs.</w:t>
      </w:r>
    </w:p>
    <w:p w14:paraId="118A8AA2"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0AF51FE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McDonald</w:t>
      </w:r>
      <w:r>
        <w:t>’</w:t>
      </w:r>
      <w:r>
        <w:rPr>
          <w:rFonts w:ascii="Book Antiqua" w:eastAsia="Book Antiqua" w:hAnsi="Book Antiqua" w:cs="Book Antiqua"/>
          <w:sz w:val="20"/>
          <w:szCs w:val="20"/>
        </w:rPr>
        <w:t>s controversy regarding undisclosed halal meat highlighted the importance of transparency and clear communication in multinational corporations</w:t>
      </w:r>
      <w:r>
        <w:t>’</w:t>
      </w:r>
      <w:r>
        <w:rPr>
          <w:rFonts w:ascii="Book Antiqua" w:eastAsia="Book Antiqua" w:hAnsi="Book Antiqua" w:cs="Book Antiqua"/>
          <w:sz w:val="20"/>
          <w:szCs w:val="20"/>
        </w:rPr>
        <w:t xml:space="preserve"> interactions with diverse customer groups. The incident underscored the need for McDonald</w:t>
      </w:r>
      <w:r>
        <w:t>’</w:t>
      </w:r>
      <w:r>
        <w:rPr>
          <w:rFonts w:ascii="Book Antiqua" w:eastAsia="Book Antiqua" w:hAnsi="Book Antiqua" w:cs="Book Antiqua"/>
          <w:sz w:val="20"/>
          <w:szCs w:val="20"/>
        </w:rPr>
        <w:t>s to proactively inform customers about their dietary practices to avoid feelings of deception and maintain trust. By implementing comprehensive communication strategies and engaging with communities, McDonald</w:t>
      </w:r>
      <w:r>
        <w:t>’</w:t>
      </w:r>
      <w:r>
        <w:rPr>
          <w:rFonts w:ascii="Book Antiqua" w:eastAsia="Book Antiqua" w:hAnsi="Book Antiqua" w:cs="Book Antiqua"/>
          <w:sz w:val="20"/>
          <w:szCs w:val="20"/>
        </w:rPr>
        <w:t>s can mitigate the risk of cross-cultural blunders and build stronger customer relationships.</w:t>
      </w:r>
    </w:p>
    <w:p w14:paraId="78D68DFA" w14:textId="77777777" w:rsidR="002530E2" w:rsidRDefault="002530E2">
      <w:pPr>
        <w:pStyle w:val="Heading2"/>
      </w:pPr>
      <w:r>
        <w:t>IR 044 (2019: McDonald’s, UK)</w:t>
      </w:r>
    </w:p>
    <w:p w14:paraId="5A11A994"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“McDonald’s Controversy Over Non-Halal French Fries“</w:t>
      </w:r>
    </w:p>
    <w:p w14:paraId="72A3730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McDonald’s Corporation</w:t>
      </w:r>
    </w:p>
    <w:p w14:paraId="03817CD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199FD42C"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United Kingdom</w:t>
      </w:r>
    </w:p>
    <w:p w14:paraId="239B6411"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1B5AAFFA"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011DCE75"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6F8620AA"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McDonald</w:t>
      </w:r>
      <w:r>
        <w:t>’</w:t>
      </w:r>
      <w:r>
        <w:rPr>
          <w:rFonts w:ascii="Book Antiqua" w:eastAsia="Book Antiqua" w:hAnsi="Book Antiqua" w:cs="Book Antiqua"/>
          <w:sz w:val="20"/>
          <w:szCs w:val="20"/>
        </w:rPr>
        <w:t>s controversy in 2019 when it became known that their French fries were not certified halal, sparking outrage from Muslim consumers and raising fears. This incident report provides further context.</w:t>
      </w:r>
    </w:p>
    <w:p w14:paraId="07A00283"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208D180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McDonald</w:t>
      </w:r>
      <w:r>
        <w:t>’</w:t>
      </w:r>
      <w:r>
        <w:rPr>
          <w:rFonts w:ascii="Book Antiqua" w:eastAsia="Book Antiqua" w:hAnsi="Book Antiqua" w:cs="Book Antiqua"/>
          <w:sz w:val="20"/>
          <w:szCs w:val="20"/>
        </w:rPr>
        <w:t>s faced controversy in the UK upon discovery that their French fries were not halal-certified, despite being widely consumed by Muslim customers. This revelation led to questions about the authenticity and compliance of McDonald</w:t>
      </w:r>
      <w:r>
        <w:t>’</w:t>
      </w:r>
      <w:r>
        <w:rPr>
          <w:rFonts w:ascii="Book Antiqua" w:eastAsia="Book Antiqua" w:hAnsi="Book Antiqua" w:cs="Book Antiqua"/>
          <w:sz w:val="20"/>
          <w:szCs w:val="20"/>
        </w:rPr>
        <w:t>s products with halal dietary requirements.</w:t>
      </w:r>
    </w:p>
    <w:p w14:paraId="5FE0C154"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4C65911A"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McDonald’s, in this case, was the lack of halal certification for their French fries, leading to the misunderstanding and potential consumption of non-halal food by Muslim consumers.</w:t>
      </w:r>
    </w:p>
    <w:p w14:paraId="6F7C6743"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129266D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directly impacted Muslim consumers as McDonald</w:t>
      </w:r>
      <w:r>
        <w:t>’</w:t>
      </w:r>
      <w:r>
        <w:rPr>
          <w:rFonts w:ascii="Book Antiqua" w:eastAsia="Book Antiqua" w:hAnsi="Book Antiqua" w:cs="Book Antiqua"/>
          <w:sz w:val="20"/>
          <w:szCs w:val="20"/>
        </w:rPr>
        <w:t>s misled and betrayed them. The need for halal certification for French fries raised concerns about the compliance of other McDonald</w:t>
      </w:r>
      <w:r>
        <w:t>’</w:t>
      </w:r>
      <w:r>
        <w:rPr>
          <w:rFonts w:ascii="Book Antiqua" w:eastAsia="Book Antiqua" w:hAnsi="Book Antiqua" w:cs="Book Antiqua"/>
          <w:sz w:val="20"/>
          <w:szCs w:val="20"/>
        </w:rPr>
        <w:t xml:space="preserve">s </w:t>
      </w:r>
      <w:r>
        <w:rPr>
          <w:rFonts w:ascii="Book Antiqua" w:eastAsia="Book Antiqua" w:hAnsi="Book Antiqua" w:cs="Book Antiqua"/>
          <w:sz w:val="20"/>
          <w:szCs w:val="20"/>
        </w:rPr>
        <w:lastRenderedPageBreak/>
        <w:t>products with halal dietary requirements. This incident led to disappointment and frustration among Muslim consumers and resulted in calls for a boycott of McDonald</w:t>
      </w:r>
      <w:r>
        <w:t>’</w:t>
      </w:r>
      <w:r>
        <w:rPr>
          <w:rFonts w:ascii="Book Antiqua" w:eastAsia="Book Antiqua" w:hAnsi="Book Antiqua" w:cs="Book Antiqua"/>
          <w:sz w:val="20"/>
          <w:szCs w:val="20"/>
        </w:rPr>
        <w:t>s.</w:t>
      </w:r>
    </w:p>
    <w:p w14:paraId="1580C09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769435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non-halal French fries affected McDonald</w:t>
      </w:r>
      <w:r>
        <w:t>’</w:t>
      </w:r>
      <w:r>
        <w:rPr>
          <w:rFonts w:ascii="Book Antiqua" w:eastAsia="Book Antiqua" w:hAnsi="Book Antiqua" w:cs="Book Antiqua"/>
          <w:sz w:val="20"/>
          <w:szCs w:val="20"/>
        </w:rPr>
        <w:t>s reputation and brand image, particularly among Muslim consumers. Some customers have questioned McDonald</w:t>
      </w:r>
      <w:r>
        <w:t>’</w:t>
      </w:r>
      <w:r>
        <w:rPr>
          <w:rFonts w:ascii="Book Antiqua" w:eastAsia="Book Antiqua" w:hAnsi="Book Antiqua" w:cs="Book Antiqua"/>
          <w:sz w:val="20"/>
          <w:szCs w:val="20"/>
        </w:rPr>
        <w:t>s commitment to meeting its diverse customer base</w:t>
      </w:r>
      <w:r>
        <w:t>’</w:t>
      </w:r>
      <w:r>
        <w:rPr>
          <w:rFonts w:ascii="Book Antiqua" w:eastAsia="Book Antiqua" w:hAnsi="Book Antiqua" w:cs="Book Antiqua"/>
          <w:sz w:val="20"/>
          <w:szCs w:val="20"/>
        </w:rPr>
        <w:t>s dietary needs and preferences due to the absence of halal certification. Concerns surrounded transparency at that time.</w:t>
      </w:r>
    </w:p>
    <w:p w14:paraId="6C482176"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6389E0F" w14:textId="77777777" w:rsidR="002530E2" w:rsidRDefault="002530E2">
      <w:pPr>
        <w:pBdr>
          <w:top w:val="nil"/>
          <w:left w:val="nil"/>
          <w:bottom w:val="nil"/>
          <w:right w:val="nil"/>
          <w:between w:val="nil"/>
        </w:pBdr>
      </w:pPr>
      <w:r>
        <w:rPr>
          <w:rFonts w:ascii="Book Antiqua" w:eastAsia="Book Antiqua" w:hAnsi="Book Antiqua" w:cs="Book Antiqua"/>
          <w:sz w:val="20"/>
          <w:szCs w:val="20"/>
        </w:rPr>
        <w:t>McDonald’s should implement stricter quality control measures and ensure that appropriate certifications are in place for products targeting specific dietary requirements to prevent similar incidents in the future. Improved communication and transparency regarding the halal status of their food items are crucial to avoid misunderstandings and build trust with Muslim consumers.</w:t>
      </w:r>
    </w:p>
    <w:p w14:paraId="65147865"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5D5B9773"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upon discovering that McDonald</w:t>
      </w:r>
      <w:r>
        <w:t>’</w:t>
      </w:r>
      <w:r>
        <w:rPr>
          <w:rFonts w:ascii="Book Antiqua" w:eastAsia="Book Antiqua" w:hAnsi="Book Antiqua" w:cs="Book Antiqua"/>
          <w:sz w:val="20"/>
          <w:szCs w:val="20"/>
        </w:rPr>
        <w:t>s French fries were not halal-certified. Many felt misled and questioned the overall compliance of McDonald</w:t>
      </w:r>
      <w:r>
        <w:t>’</w:t>
      </w:r>
      <w:r>
        <w:rPr>
          <w:rFonts w:ascii="Book Antiqua" w:eastAsia="Book Antiqua" w:hAnsi="Book Antiqua" w:cs="Book Antiqua"/>
          <w:sz w:val="20"/>
          <w:szCs w:val="20"/>
        </w:rPr>
        <w:t>s products with halal dietary requirements. The incident sparked discussions on social media platforms and within Muslim communities, increasing awareness and scrutiny of McDonald</w:t>
      </w:r>
      <w:r>
        <w:t>’</w:t>
      </w:r>
      <w:r>
        <w:rPr>
          <w:rFonts w:ascii="Book Antiqua" w:eastAsia="Book Antiqua" w:hAnsi="Book Antiqua" w:cs="Book Antiqua"/>
          <w:sz w:val="20"/>
          <w:szCs w:val="20"/>
        </w:rPr>
        <w:t>s practices.</w:t>
      </w:r>
    </w:p>
    <w:p w14:paraId="1DCE120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0596B565"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McDonald’s issued a public statement acknowledging the concerns raised by Muslim consumers. The company apologised for any misunderstanding and emphasised its commitment to providing diverse food options that meet the dietary needs of its customers. McDonald’s pledged to review its processes and explore options to offer halal-certified products in the future.</w:t>
      </w:r>
    </w:p>
    <w:p w14:paraId="01B99A2B"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485C191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McDonald</w:t>
      </w:r>
      <w:r>
        <w:t>’</w:t>
      </w:r>
      <w:r>
        <w:rPr>
          <w:rFonts w:ascii="Book Antiqua" w:eastAsia="Book Antiqua" w:hAnsi="Book Antiqua" w:cs="Book Antiqua"/>
          <w:sz w:val="20"/>
          <w:szCs w:val="20"/>
        </w:rPr>
        <w:t>s controversy over non-halal French fries in the UK highlighted the importance of transparency and accurate communication concerning dietary requirements. The incident underscored the need for rigorous quality control measures and certification processes to ensure the compliance of food products with specific dietary preferences. McDonald</w:t>
      </w:r>
      <w:r>
        <w:t>’</w:t>
      </w:r>
      <w:r>
        <w:rPr>
          <w:rFonts w:ascii="Book Antiqua" w:eastAsia="Book Antiqua" w:hAnsi="Book Antiqua" w:cs="Book Antiqua"/>
          <w:sz w:val="20"/>
          <w:szCs w:val="20"/>
        </w:rPr>
        <w:t>s apologised and promised to improve in response to the concerns raised by Muslim consumers. Their goal was to regain the trust of this group of consumers. By implementing stricter quality control measures and fostering better communication, McDonald</w:t>
      </w:r>
      <w:r>
        <w:t>’</w:t>
      </w:r>
      <w:r>
        <w:rPr>
          <w:rFonts w:ascii="Book Antiqua" w:eastAsia="Book Antiqua" w:hAnsi="Book Antiqua" w:cs="Book Antiqua"/>
          <w:sz w:val="20"/>
          <w:szCs w:val="20"/>
        </w:rPr>
        <w:t>s can mitigate the risk of cross-cultural blunders and maintain positive relationships with diverse customer groups.</w:t>
      </w:r>
    </w:p>
    <w:p w14:paraId="103C8845" w14:textId="77777777" w:rsidR="002530E2" w:rsidRDefault="002530E2">
      <w:pPr>
        <w:pStyle w:val="Heading2"/>
      </w:pPr>
      <w:r>
        <w:t>IR 045 (2019: Amazon, Global)</w:t>
      </w:r>
    </w:p>
    <w:p w14:paraId="7D44668D"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“Amazon’s Controversy Over Selling Islamic Call to Prayer Doormats“</w:t>
      </w:r>
    </w:p>
    <w:p w14:paraId="441F24DC"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Amazon.com, Inc.</w:t>
      </w:r>
    </w:p>
    <w:p w14:paraId="79D5ECA7"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1EE4AF9E"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4631F812"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Year: 2019</w:t>
      </w:r>
    </w:p>
    <w:p w14:paraId="0606A2CF"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47A091A0"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75FF8A54"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cross-cultural blunder by Amazon.com, Inc. in 2019, involving the controversy surrounding the sale of doormats featuring the Islamic call to prayer. The incident resulted in criticism from Muslim consumers globally.</w:t>
      </w:r>
    </w:p>
    <w:p w14:paraId="676AA53C"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0151DE38"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Amazon</w:t>
      </w:r>
      <w:r>
        <w:t>’</w:t>
      </w:r>
      <w:r>
        <w:rPr>
          <w:rFonts w:ascii="Book Antiqua" w:eastAsia="Book Antiqua" w:hAnsi="Book Antiqua" w:cs="Book Antiqua"/>
          <w:sz w:val="20"/>
          <w:szCs w:val="20"/>
        </w:rPr>
        <w:t>s controversy in 2019 when it became known that their doormats featuring the Islamic call to prayer, a sacred religious text, were available for sale on its platform. This incident report provides additional context. Many Muslims deemed the sale of these doormats disrespectful and offensive, as the call to prayer holds immense religious and cultural significance.</w:t>
      </w:r>
    </w:p>
    <w:p w14:paraId="3CC6C1A4"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2FFF8C5E"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made by Amazon was the sale of doormats featuring the Islamic call to prayer, which the Muslim consumers perceived as disrespectful and offensive.</w:t>
      </w:r>
    </w:p>
    <w:p w14:paraId="79B8C4A4" w14:textId="77777777" w:rsidR="002530E2" w:rsidRDefault="002530E2">
      <w:pPr>
        <w:pBdr>
          <w:top w:val="nil"/>
          <w:left w:val="nil"/>
          <w:bottom w:val="nil"/>
          <w:right w:val="nil"/>
          <w:between w:val="nil"/>
        </w:pBdr>
      </w:pPr>
      <w:r>
        <w:br w:type="page"/>
      </w:r>
    </w:p>
    <w:p w14:paraId="405CC742"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Consequences for Muslims (this addresses MRQ 2):</w:t>
      </w:r>
    </w:p>
    <w:p w14:paraId="4254F63C"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blunder intensely affected Muslim consumers as they perceived the sale of doormats featuring the Islamic call to prayer as an insult to their faith. Many Muslims expressed outrage, hurt, and disappointment at Amazon</w:t>
      </w:r>
      <w:r>
        <w:t>’</w:t>
      </w:r>
      <w:r>
        <w:rPr>
          <w:rFonts w:ascii="Book Antiqua" w:eastAsia="Book Antiqua" w:hAnsi="Book Antiqua" w:cs="Book Antiqua"/>
          <w:sz w:val="20"/>
          <w:szCs w:val="20"/>
        </w:rPr>
        <w:t>s lack of sensitivity and disregard for their religious beliefs.</w:t>
      </w:r>
    </w:p>
    <w:p w14:paraId="50772BAB"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06D33117"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sale of doormats featuring the Islamic call to prayer affected Amazon</w:t>
      </w:r>
      <w:r>
        <w:t>’</w:t>
      </w:r>
      <w:r>
        <w:rPr>
          <w:rFonts w:ascii="Book Antiqua" w:eastAsia="Book Antiqua" w:hAnsi="Book Antiqua" w:cs="Book Antiqua"/>
          <w:sz w:val="20"/>
          <w:szCs w:val="20"/>
        </w:rPr>
        <w:t>s reputation and brand image, especially among Muslim consumers. The incident raised questions about Amazon</w:t>
      </w:r>
      <w:r>
        <w:t>’</w:t>
      </w:r>
      <w:r>
        <w:rPr>
          <w:rFonts w:ascii="Book Antiqua" w:eastAsia="Book Antiqua" w:hAnsi="Book Antiqua" w:cs="Book Antiqua"/>
          <w:sz w:val="20"/>
          <w:szCs w:val="20"/>
        </w:rPr>
        <w:t>s content vetting processes, cultural awareness, and respect for diverse religious sentiments.</w:t>
      </w:r>
    </w:p>
    <w:p w14:paraId="6F0EFD65"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D1BF4D1" w14:textId="77777777" w:rsidR="002530E2" w:rsidRDefault="002530E2">
      <w:pPr>
        <w:pBdr>
          <w:top w:val="nil"/>
          <w:left w:val="nil"/>
          <w:bottom w:val="nil"/>
          <w:right w:val="nil"/>
          <w:between w:val="nil"/>
        </w:pBdr>
      </w:pPr>
      <w:r>
        <w:rPr>
          <w:rFonts w:ascii="Book Antiqua" w:eastAsia="Book Antiqua" w:hAnsi="Book Antiqua" w:cs="Book Antiqua"/>
          <w:sz w:val="20"/>
          <w:szCs w:val="20"/>
        </w:rPr>
        <w:t>A stricter set of content policies and guidelines should be implemented by Amazon in order to prevent similar incidents in the future. The company should also invest in cultural sensitivity training for its employees and sellers to foster a better understanding of diverse religious practices and beliefs.</w:t>
      </w:r>
    </w:p>
    <w:p w14:paraId="248BC9C6"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21C86E39"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dissatisfaction and disappointment with Amazon through social media platforms, online petitions, and calls for a boycott. Many highlighted the need for corporations to respect religious sensitivities and demanded an apology and removing the offensive doormats from Amazon</w:t>
      </w:r>
      <w:r>
        <w:t>’</w:t>
      </w:r>
      <w:r>
        <w:rPr>
          <w:rFonts w:ascii="Book Antiqua" w:eastAsia="Book Antiqua" w:hAnsi="Book Antiqua" w:cs="Book Antiqua"/>
          <w:sz w:val="20"/>
          <w:szCs w:val="20"/>
        </w:rPr>
        <w:t>s platform.</w:t>
      </w:r>
    </w:p>
    <w:p w14:paraId="21394A83"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2DEC5A35"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Amazon swiftly removed the offensive doormats from its platform and publicly apologised to Muslim consumers. The company acknowledged the mistake, expressed regret for the offensive products, and assured customers that they were improving content vetting processes to avoid such blunders in the future.</w:t>
      </w:r>
    </w:p>
    <w:p w14:paraId="5F4D7C31"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3AA254F1"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Amazon controversy over selling doormats featuring the Islamic call to prayer emphasises the importance of cultural sensitivity and respect for religious beliefs in global e-commerce platforms. The incident serves as a reminder for corporations like Amazon to be diligent in their content review processes and to foster a deep understanding of diverse cultural and religious practices. By implementing robust content policies and promoting cultural awareness, Amazon can prevent cross-cultural blunders, maintain its reputation, and build stronger relationships with diverse customer groups, including Muslim consumers.</w:t>
      </w:r>
    </w:p>
    <w:p w14:paraId="00A18609" w14:textId="77777777" w:rsidR="002530E2" w:rsidRDefault="002530E2">
      <w:pPr>
        <w:pStyle w:val="Heading2"/>
      </w:pPr>
      <w:r>
        <w:t>IR 046 (2019: Edeka, Germany)</w:t>
      </w:r>
    </w:p>
    <w:p w14:paraId="4F9FAAA3"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“Cultural Insensitivity in Edeka’s Christmas Advertisement“</w:t>
      </w:r>
    </w:p>
    <w:p w14:paraId="3B61FED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Edeka</w:t>
      </w:r>
    </w:p>
    <w:p w14:paraId="397B4CD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Germany</w:t>
      </w:r>
    </w:p>
    <w:p w14:paraId="4A3E89F3"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Germany</w:t>
      </w:r>
    </w:p>
    <w:p w14:paraId="5C3F0691"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78EBD9F7" w14:textId="77777777" w:rsidR="002530E2" w:rsidRDefault="002530E2">
      <w:pPr>
        <w:pBdr>
          <w:top w:val="nil"/>
          <w:left w:val="nil"/>
          <w:bottom w:val="nil"/>
          <w:right w:val="nil"/>
          <w:between w:val="nil"/>
        </w:pBdr>
      </w:pPr>
      <w:r>
        <w:lastRenderedPageBreak/>
        <w:t>Source: Various media reports, social media discussions, consumer complaints, and articles (referenced in the References section of the thesis).</w:t>
      </w:r>
    </w:p>
    <w:p w14:paraId="0B15CB26"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5E1F325E"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a cross-cultural blunder by the German supermarket chain Edeka in 2019 related to their Christmas advertisement. The advertisement faced significant backlash for portraying a Muslim family celebrating Christmas, which many viewers deemed culturally insensitive and offensive.</w:t>
      </w:r>
    </w:p>
    <w:p w14:paraId="6DDC1783" w14:textId="77777777" w:rsidR="002530E2" w:rsidRDefault="002530E2">
      <w:pPr>
        <w:pBdr>
          <w:top w:val="nil"/>
          <w:left w:val="nil"/>
          <w:bottom w:val="nil"/>
          <w:right w:val="nil"/>
          <w:between w:val="nil"/>
        </w:pBdr>
      </w:pPr>
      <w:r>
        <w:br w:type="page"/>
      </w:r>
    </w:p>
    <w:p w14:paraId="2F7EF4D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Background:</w:t>
      </w:r>
    </w:p>
    <w:p w14:paraId="34841734"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Edeka released a Christmas advertisement that depicted a Muslim family participating in traditional Christmas celebrations. The ad aimed to promote inclusivity and diversity but received backlash from various individuals and communities who found it culturally insensitive and inappropriate.</w:t>
      </w:r>
    </w:p>
    <w:p w14:paraId="4A7AEEB8"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6924F7F6"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Edeka, in this case, was the portrayal of a Muslim family celebrating Christmas in their advertisement, which Muslims saw as culturally insensitive and offensive.</w:t>
      </w:r>
    </w:p>
    <w:p w14:paraId="4A498084"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00D4343B"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communities and individuals who viewed the advertisement felt that their religious and cultural traditions were being misrepresented and trivialised. The portrayal of a Muslim family celebrating Christmas was an inappropriate and inaccurate representation of their beliefs and practices.</w:t>
      </w:r>
    </w:p>
    <w:p w14:paraId="67E45A9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E74B55E"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cultural insensitivity displayed in Edeka</w:t>
      </w:r>
      <w:r>
        <w:t>’</w:t>
      </w:r>
      <w:r>
        <w:rPr>
          <w:rFonts w:ascii="Book Antiqua" w:eastAsia="Book Antiqua" w:hAnsi="Book Antiqua" w:cs="Book Antiqua"/>
          <w:sz w:val="20"/>
          <w:szCs w:val="20"/>
        </w:rPr>
        <w:t>s Christmas advertisement negatively affected the supermarket chain. The incident resulted in reputational damage, loss of customer trust, and a decline in brand perception among Muslim consumers and other concerned individuals.</w:t>
      </w:r>
    </w:p>
    <w:p w14:paraId="1E5E99E9"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E43536A" w14:textId="77777777" w:rsidR="002530E2" w:rsidRDefault="002530E2">
      <w:pPr>
        <w:pBdr>
          <w:top w:val="nil"/>
          <w:left w:val="nil"/>
          <w:bottom w:val="nil"/>
          <w:right w:val="nil"/>
          <w:between w:val="nil"/>
        </w:pBdr>
      </w:pPr>
      <w:r>
        <w:rPr>
          <w:rFonts w:ascii="Book Antiqua" w:eastAsia="Book Antiqua" w:hAnsi="Book Antiqua" w:cs="Book Antiqua"/>
          <w:sz w:val="20"/>
          <w:szCs w:val="20"/>
        </w:rPr>
        <w:t>Edeka should prioritise cultural sensitivity and inclusivity in its marketing campaigns to prevent future similar incidents, including conducting thorough research, seeking diverse perspectives, and consulting with community representatives to ensure accurate and respectful portrayals. Implementing internal review processes that involve individuals from various cultural backgrounds can help identify potential issues before they arise.</w:t>
      </w:r>
    </w:p>
    <w:p w14:paraId="67E3E631" w14:textId="77777777" w:rsidR="002530E2" w:rsidRDefault="002530E2">
      <w:pPr>
        <w:pBdr>
          <w:top w:val="nil"/>
          <w:left w:val="nil"/>
          <w:bottom w:val="nil"/>
          <w:right w:val="nil"/>
          <w:between w:val="nil"/>
        </w:pBdr>
      </w:pPr>
      <w:r>
        <w:br w:type="page"/>
      </w:r>
    </w:p>
    <w:p w14:paraId="2D02DA17"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Reactions by Muslims:</w:t>
      </w:r>
    </w:p>
    <w:p w14:paraId="61757A99"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communities and individuals expressed disappointment, frustration, and outrage in response to Edeka</w:t>
      </w:r>
      <w:r>
        <w:t>’</w:t>
      </w:r>
      <w:r>
        <w:rPr>
          <w:rFonts w:ascii="Book Antiqua" w:eastAsia="Book Antiqua" w:hAnsi="Book Antiqua" w:cs="Book Antiqua"/>
          <w:sz w:val="20"/>
          <w:szCs w:val="20"/>
        </w:rPr>
        <w:t>s Christmas advertisement. Many voiced their concerns on social media platforms and through community organisations, highlighting the offence caused by misrepresenting their religious and cultural traditions.</w:t>
      </w:r>
    </w:p>
    <w:p w14:paraId="72ED1C0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0D59B162" w14:textId="77777777" w:rsidR="002530E2" w:rsidRDefault="002530E2">
      <w:pPr>
        <w:pBdr>
          <w:top w:val="nil"/>
          <w:left w:val="nil"/>
          <w:bottom w:val="nil"/>
          <w:right w:val="nil"/>
          <w:between w:val="nil"/>
        </w:pBdr>
      </w:pPr>
      <w:r>
        <w:rPr>
          <w:rFonts w:ascii="Book Antiqua" w:eastAsia="Book Antiqua" w:hAnsi="Book Antiqua" w:cs="Book Antiqua"/>
          <w:sz w:val="20"/>
          <w:szCs w:val="20"/>
        </w:rPr>
        <w:t>Following the controversy, Edeka issued a public apology, acknowledging the offence caused by the advertisement. The company expressed regret for any misunderstanding and committed to reviewing its internal processes to prevent similar missteps in the future. Edeka emphasised its dedication to cultural diversity and inclusivity in future marketing efforts.</w:t>
      </w:r>
    </w:p>
    <w:p w14:paraId="44F6B8EB"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4820F1AD"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Edeka Christmas advertisement incident serves as a reminder of the importance of cultural sensitivity and accurate representation in advertising campaigns. Companies like Edeka should be mindful of their advertisements</w:t>
      </w:r>
      <w:r>
        <w:t>’</w:t>
      </w:r>
      <w:r>
        <w:rPr>
          <w:rFonts w:ascii="Book Antiqua" w:eastAsia="Book Antiqua" w:hAnsi="Book Antiqua" w:cs="Book Antiqua"/>
          <w:sz w:val="20"/>
          <w:szCs w:val="20"/>
        </w:rPr>
        <w:t xml:space="preserve"> potential impact on diverse communities and strive to avoid cultural insensitivity. Multinational corporations can foster positive relationships with their diverse consumer base and avoid cross-cultural blunders by learning from such incidents and implementing measures to ensure cultural awareness and inclusivity.</w:t>
      </w:r>
    </w:p>
    <w:p w14:paraId="32E45FAD" w14:textId="77777777" w:rsidR="002530E2" w:rsidRDefault="002530E2">
      <w:pPr>
        <w:pStyle w:val="Heading2"/>
      </w:pPr>
      <w:r>
        <w:t>IR 047 (2019: Chanel, Australians)</w:t>
      </w:r>
    </w:p>
    <w:p w14:paraId="7E3743EA"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“Chanel Boomerang-Shaped Accessories Controversy“</w:t>
      </w:r>
    </w:p>
    <w:p w14:paraId="29356092"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Chanel</w:t>
      </w:r>
    </w:p>
    <w:p w14:paraId="7FC67E8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France</w:t>
      </w:r>
    </w:p>
    <w:p w14:paraId="7CF1EC4B"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Australia</w:t>
      </w:r>
    </w:p>
    <w:p w14:paraId="6802E9DC"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52D29D6C"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74EE25C7"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6F2C328F"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controversy the French luxury fashion brand Chanel faced in 2019 when it released a line of boomerang-shaped accessories. The incident raised concerns among Aboriginal Australians and Muslim consumers, who perceived the product as cultural appropriation and insensitivity towards their cultural and religious values.</w:t>
      </w:r>
    </w:p>
    <w:p w14:paraId="0D9C8E1D"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4A04B33E"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Chanel faced backlash over releasing boomerang-shaped accessories in their collection. Boomerangs hold significant cultural and sacred value among Aboriginal Australians, while some Muslim consumers also raised concerns about using the boomerang in a fashion context.</w:t>
      </w:r>
    </w:p>
    <w:p w14:paraId="315D4105"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61941B1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In this case, the cross-cultural blunder made by Chanel was the release of boomerang-shaped accessories, mistaken to be culturally appropriative by Aboriginal Australians and insensitive towards the cultural and religious values of some Muslim consumers.</w:t>
      </w:r>
    </w:p>
    <w:p w14:paraId="09DFCC4C"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69AD4704"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particularly those aware of the sacred significance of the boomerang, expressed disappointment and accused Chanel of insensitivity towards their cultural and religious values. Using the boomerang in a fashion context was considered disrespectful and trivialising a sacred cultural symbol.</w:t>
      </w:r>
    </w:p>
    <w:p w14:paraId="378A4244"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4E1CEE10"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Chanel</w:t>
      </w:r>
      <w:r>
        <w:t>’</w:t>
      </w:r>
      <w:r>
        <w:rPr>
          <w:rFonts w:ascii="Book Antiqua" w:eastAsia="Book Antiqua" w:hAnsi="Book Antiqua" w:cs="Book Antiqua"/>
          <w:sz w:val="20"/>
          <w:szCs w:val="20"/>
        </w:rPr>
        <w:t>s boomerang-shaped accessories affected the brand</w:t>
      </w:r>
      <w:r>
        <w:t>’</w:t>
      </w:r>
      <w:r>
        <w:rPr>
          <w:rFonts w:ascii="Book Antiqua" w:eastAsia="Book Antiqua" w:hAnsi="Book Antiqua" w:cs="Book Antiqua"/>
          <w:sz w:val="20"/>
          <w:szCs w:val="20"/>
        </w:rPr>
        <w:t>s reputation and relationship with consumers. The perception of cultural insensitivity and appropriation raised questions about Chanel</w:t>
      </w:r>
      <w:r>
        <w:t>’</w:t>
      </w:r>
      <w:r>
        <w:rPr>
          <w:rFonts w:ascii="Book Antiqua" w:eastAsia="Book Antiqua" w:hAnsi="Book Antiqua" w:cs="Book Antiqua"/>
          <w:sz w:val="20"/>
          <w:szCs w:val="20"/>
        </w:rPr>
        <w:t>s understanding of diverse cultures and its commitment to cultural respect.</w:t>
      </w:r>
    </w:p>
    <w:p w14:paraId="46E5C0F7"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7728A5CF" w14:textId="77777777" w:rsidR="002530E2" w:rsidRDefault="002530E2">
      <w:pPr>
        <w:pBdr>
          <w:top w:val="nil"/>
          <w:left w:val="nil"/>
          <w:bottom w:val="nil"/>
          <w:right w:val="nil"/>
          <w:between w:val="nil"/>
        </w:pBdr>
      </w:pPr>
      <w:r>
        <w:rPr>
          <w:rFonts w:ascii="Book Antiqua" w:eastAsia="Book Antiqua" w:hAnsi="Book Antiqua" w:cs="Book Antiqua"/>
          <w:sz w:val="20"/>
          <w:szCs w:val="20"/>
        </w:rPr>
        <w:t>Chanel should prioritise cultural research and sensitivity training for their design and marketing teams to prevent similar incidents in the future. Luxury brands like Chanel must understand symbols</w:t>
      </w:r>
      <w:r>
        <w:t>’</w:t>
      </w:r>
      <w:r>
        <w:rPr>
          <w:rFonts w:ascii="Book Antiqua" w:eastAsia="Book Antiqua" w:hAnsi="Book Antiqua" w:cs="Book Antiqua"/>
          <w:sz w:val="20"/>
          <w:szCs w:val="20"/>
        </w:rPr>
        <w:t xml:space="preserve"> cultural significance and only appropriately them with proper understanding and consideration.</w:t>
      </w:r>
    </w:p>
    <w:p w14:paraId="6D6DED7C"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2D3C8E7B"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aware of the controversy expressed disappointment and frustration with Chanel</w:t>
      </w:r>
      <w:r>
        <w:t>’</w:t>
      </w:r>
      <w:r>
        <w:rPr>
          <w:rFonts w:ascii="Book Antiqua" w:eastAsia="Book Antiqua" w:hAnsi="Book Antiqua" w:cs="Book Antiqua"/>
          <w:sz w:val="20"/>
          <w:szCs w:val="20"/>
        </w:rPr>
        <w:t>s insensitivity towards their cultural and religious values. Some called for a brand boycott and urged Chanel to engage in a dialogue to address the issue.</w:t>
      </w:r>
    </w:p>
    <w:p w14:paraId="0732D5D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44421B5A" w14:textId="77777777" w:rsidR="002530E2" w:rsidRDefault="002530E2">
      <w:pPr>
        <w:pBdr>
          <w:top w:val="nil"/>
          <w:left w:val="nil"/>
          <w:bottom w:val="nil"/>
          <w:right w:val="nil"/>
          <w:between w:val="nil"/>
        </w:pBdr>
      </w:pPr>
      <w:r>
        <w:rPr>
          <w:rFonts w:ascii="Book Antiqua" w:eastAsia="Book Antiqua" w:hAnsi="Book Antiqua" w:cs="Book Antiqua"/>
          <w:sz w:val="20"/>
          <w:szCs w:val="20"/>
        </w:rPr>
        <w:t>Chanel issued a public statement in response to the controversy, expressing regret for any offence caused and acknowledging the concerns of Aboriginal Australians and Muslim consumers. The company committed to reviewing its design and production processes to ensure cultural sensitivity and respect.</w:t>
      </w:r>
    </w:p>
    <w:p w14:paraId="372036C5"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69E1ECB2"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Chanel boomerang-shaped accessories controversy serves as a reminder of the importance of cultural sensitivity and respect in the fashion industry. The incident highlighted the need for luxury brands like Chanel to understand and consider the cultural significance of symbols and only appropriate them with proper understanding and consultation. Chanel has responded by committing to being culturally sensitive and respectful to address the concerns raised and regain the trust of affected communities. By incorporating cultural awareness and sensitivity into their practices, Chanel can prevent future cross-cultural blunders and maintain positive relationships with diverse customer groups.</w:t>
      </w:r>
    </w:p>
    <w:p w14:paraId="1B424D4C" w14:textId="77777777" w:rsidR="002530E2" w:rsidRDefault="002530E2">
      <w:pPr>
        <w:pStyle w:val="Heading2"/>
      </w:pPr>
      <w:bookmarkStart w:id="36" w:name="_heading=h.gntmlldmlxw2" w:colFirst="0" w:colLast="0"/>
      <w:bookmarkEnd w:id="36"/>
      <w:r>
        <w:br w:type="page"/>
      </w:r>
    </w:p>
    <w:p w14:paraId="599C0DE9" w14:textId="77777777" w:rsidR="002530E2" w:rsidRDefault="002530E2">
      <w:pPr>
        <w:pStyle w:val="Heading2"/>
      </w:pPr>
      <w:r>
        <w:lastRenderedPageBreak/>
        <w:t>IR 048 (2019: Marks &amp; Spencer, UK)</w:t>
      </w:r>
    </w:p>
    <w:p w14:paraId="52CE916A"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“Marks &amp; Spencer’s ’Islamic’ School Hijabs Controversy“</w:t>
      </w:r>
    </w:p>
    <w:p w14:paraId="59AD6D51"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Marks &amp; Spencer</w:t>
      </w:r>
    </w:p>
    <w:p w14:paraId="6D47A62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Kingdom</w:t>
      </w:r>
    </w:p>
    <w:p w14:paraId="70BDE4F5"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United Kingdom</w:t>
      </w:r>
    </w:p>
    <w:p w14:paraId="40056D3C"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2B3C75BC"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497D6618"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6AC2746B"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controversy faced by Marks &amp; Spencer, a British supermarket chain, in 2018 for selling a line of “Islamic“ school hijabs made of polyester. The company faced criticism from Muslim consumers who deemed the hijabs unsuitable and accused Marks &amp; Spencer of exploiting their religious dress code for profit.</w:t>
      </w:r>
    </w:p>
    <w:p w14:paraId="40F91492"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2E970DDD"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2018 Marks &amp; Spencer launched a line of </w:t>
      </w:r>
      <w:r>
        <w:t>“</w:t>
      </w:r>
      <w:r>
        <w:rPr>
          <w:rFonts w:ascii="Book Antiqua" w:eastAsia="Book Antiqua" w:hAnsi="Book Antiqua" w:cs="Book Antiqua"/>
          <w:sz w:val="20"/>
          <w:szCs w:val="20"/>
        </w:rPr>
        <w:t>Islamic</w:t>
      </w:r>
      <w:r>
        <w:t>“</w:t>
      </w:r>
      <w:r>
        <w:rPr>
          <w:rFonts w:ascii="Book Antiqua" w:eastAsia="Book Antiqua" w:hAnsi="Book Antiqua" w:cs="Book Antiqua"/>
          <w:sz w:val="20"/>
          <w:szCs w:val="20"/>
        </w:rPr>
        <w:t xml:space="preserve"> school hijabs made of polyester. The introduction of these hijabs raised concerns among Muslim consumers who felt that the material used was not suitable for the religious garment and did not align with their cultural and modesty requirements.</w:t>
      </w:r>
    </w:p>
    <w:p w14:paraId="73FBB58B"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1A7082AB"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Marks &amp; Spencer</w:t>
      </w:r>
      <w:r>
        <w:t>’</w:t>
      </w:r>
      <w:r>
        <w:rPr>
          <w:rFonts w:ascii="Book Antiqua" w:eastAsia="Book Antiqua" w:hAnsi="Book Antiqua" w:cs="Book Antiqua"/>
          <w:sz w:val="20"/>
          <w:szCs w:val="20"/>
        </w:rPr>
        <w:t xml:space="preserve">s cross-cultural blunder was the sale of </w:t>
      </w:r>
      <w:r>
        <w:t>“</w:t>
      </w:r>
      <w:r>
        <w:rPr>
          <w:rFonts w:ascii="Book Antiqua" w:eastAsia="Book Antiqua" w:hAnsi="Book Antiqua" w:cs="Book Antiqua"/>
          <w:sz w:val="20"/>
          <w:szCs w:val="20"/>
        </w:rPr>
        <w:t>Islamic</w:t>
      </w:r>
      <w:r>
        <w:t>“</w:t>
      </w:r>
      <w:r>
        <w:rPr>
          <w:rFonts w:ascii="Book Antiqua" w:eastAsia="Book Antiqua" w:hAnsi="Book Antiqua" w:cs="Book Antiqua"/>
          <w:sz w:val="20"/>
          <w:szCs w:val="20"/>
        </w:rPr>
        <w:t xml:space="preserve"> school hijabs made of polyester, which were deemed unsuitable by Muslim consumers.</w:t>
      </w:r>
    </w:p>
    <w:p w14:paraId="6951A69F" w14:textId="77777777" w:rsidR="002530E2" w:rsidRDefault="002530E2">
      <w:pPr>
        <w:pBdr>
          <w:top w:val="nil"/>
          <w:left w:val="nil"/>
          <w:bottom w:val="nil"/>
          <w:right w:val="nil"/>
          <w:between w:val="nil"/>
        </w:pBdr>
      </w:pPr>
      <w:r>
        <w:br w:type="page"/>
      </w:r>
    </w:p>
    <w:p w14:paraId="7C720D0E"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Consequences for Muslims (this addresses MRQ 2):</w:t>
      </w:r>
    </w:p>
    <w:p w14:paraId="3E6BD67C"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felt that Marks &amp; Spencer’s offering of polyester hijabs did not align with their religious and cultural requirements. The use of polyester, a material perceived as low-quality and unsuitable for hijabs, led to disappointment and criticism from the Muslim community.</w:t>
      </w:r>
    </w:p>
    <w:p w14:paraId="4A102B63"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95D54B9"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the sale of unsuitable hijabs had implications for Marks &amp; Spencer’s reputation and brand image. The company faced reputational damage and a potential decline in sales as Muslim consumers voiced their concerns and called for a brand boycott.</w:t>
      </w:r>
    </w:p>
    <w:p w14:paraId="3C881C4B"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4CB22FFA" w14:textId="77777777" w:rsidR="002530E2" w:rsidRDefault="002530E2">
      <w:pPr>
        <w:pBdr>
          <w:top w:val="nil"/>
          <w:left w:val="nil"/>
          <w:bottom w:val="nil"/>
          <w:right w:val="nil"/>
          <w:between w:val="nil"/>
        </w:pBdr>
      </w:pPr>
      <w:r>
        <w:rPr>
          <w:rFonts w:ascii="Book Antiqua" w:eastAsia="Book Antiqua" w:hAnsi="Book Antiqua" w:cs="Book Antiqua"/>
          <w:sz w:val="20"/>
          <w:szCs w:val="20"/>
        </w:rPr>
        <w:t>Marks &amp; Spencer should consult with Muslim communities and seek input before launching products targeting specific religious or cultural groups to prevent similar incidents in the future. In-depth market research and engagement with cultural and religious experts can help ensure the suitability and authenticity of products. Additionally, the company should establish clear feedback channels to address concerns and make improvements based on customer feedback.</w:t>
      </w:r>
    </w:p>
    <w:p w14:paraId="6AE775A4"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4C98FD07"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disappointment and frustration with Marks &amp; Spencer’s sale of unsuitable hijabs. Social media platforms and community discussions allowed Muslim consumers to voice their concerns and call for a brand boycott.</w:t>
      </w:r>
    </w:p>
    <w:p w14:paraId="242FD77A"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5A6A264E"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Marks &amp; Spencer acknowledged the concerns raised by Muslim consumers and issued a public apology. The company promised to review its product development process, consult with relevant communities, and improve its understanding of cultural and religious sensitivities.</w:t>
      </w:r>
    </w:p>
    <w:p w14:paraId="354C6703" w14:textId="77777777" w:rsidR="002530E2" w:rsidRDefault="002530E2">
      <w:pPr>
        <w:pBdr>
          <w:top w:val="nil"/>
          <w:left w:val="nil"/>
          <w:bottom w:val="nil"/>
          <w:right w:val="nil"/>
          <w:between w:val="nil"/>
        </w:pBdr>
      </w:pPr>
      <w:r>
        <w:br w:type="page"/>
      </w:r>
    </w:p>
    <w:p w14:paraId="4F18AE6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Conclusion:</w:t>
      </w:r>
    </w:p>
    <w:p w14:paraId="00E7E790"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Marks &amp; Spencer </w:t>
      </w:r>
      <w:r>
        <w:t>“</w:t>
      </w:r>
      <w:r>
        <w:rPr>
          <w:rFonts w:ascii="Book Antiqua" w:eastAsia="Book Antiqua" w:hAnsi="Book Antiqua" w:cs="Book Antiqua"/>
          <w:sz w:val="20"/>
          <w:szCs w:val="20"/>
        </w:rPr>
        <w:t>Islamic</w:t>
      </w:r>
      <w:r>
        <w:t>“</w:t>
      </w:r>
      <w:r>
        <w:rPr>
          <w:rFonts w:ascii="Book Antiqua" w:eastAsia="Book Antiqua" w:hAnsi="Book Antiqua" w:cs="Book Antiqua"/>
          <w:sz w:val="20"/>
          <w:szCs w:val="20"/>
        </w:rPr>
        <w:t xml:space="preserve"> School Hijabs Controversy highlighted the importance of understanding and respecting specific customer groups</w:t>
      </w:r>
      <w:r>
        <w:t>’</w:t>
      </w:r>
      <w:r>
        <w:rPr>
          <w:rFonts w:ascii="Book Antiqua" w:eastAsia="Book Antiqua" w:hAnsi="Book Antiqua" w:cs="Book Antiqua"/>
          <w:sz w:val="20"/>
          <w:szCs w:val="20"/>
        </w:rPr>
        <w:t xml:space="preserve"> religious and cultural requirements. Marks &amp; Spencer can prevent cross-cultural blunders and maintain positive relationships with diverse customer communities by engaging in meaningful consultations, conducting thorough market research, and addressing feedback promptly. The incident teaches companies to prioritise cultural sensitivity and authenticity in their product offerings to avoid reputational damage and loss of consumer trust.</w:t>
      </w:r>
    </w:p>
    <w:p w14:paraId="5BAB24A0" w14:textId="77777777" w:rsidR="002530E2" w:rsidRDefault="002530E2">
      <w:pPr>
        <w:pStyle w:val="Heading2"/>
      </w:pPr>
      <w:r>
        <w:t>IR 049 (2019: Forever 21, Global)</w:t>
      </w:r>
    </w:p>
    <w:p w14:paraId="4FA8F97F"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“Forever 21 Islamic Prayer Mats Controversy“</w:t>
      </w:r>
    </w:p>
    <w:p w14:paraId="20786D9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Forever 21</w:t>
      </w:r>
    </w:p>
    <w:p w14:paraId="47119F7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0A1E5426"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488EDBB8"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2B8FF83D"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4D330032"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389B554E"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controversy faced by American fashion retailer Forever 21 in 2019 when it released a line of “Islamic“ prayer mats that featured images of Hindu deities. Muslim consumers accused the company of disrespecting their religious beliefs and demanded an apology.</w:t>
      </w:r>
    </w:p>
    <w:p w14:paraId="3A2474B1"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239D7E99"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In 2019, Forever 21 faced backlash after introducing a line of prayer mats marketed as </w:t>
      </w:r>
      <w:r>
        <w:t>“</w:t>
      </w:r>
      <w:r>
        <w:rPr>
          <w:rFonts w:ascii="Book Antiqua" w:eastAsia="Book Antiqua" w:hAnsi="Book Antiqua" w:cs="Book Antiqua"/>
          <w:sz w:val="20"/>
          <w:szCs w:val="20"/>
        </w:rPr>
        <w:t>Islamic</w:t>
      </w:r>
      <w:r>
        <w:t>“</w:t>
      </w:r>
      <w:r>
        <w:rPr>
          <w:rFonts w:ascii="Book Antiqua" w:eastAsia="Book Antiqua" w:hAnsi="Book Antiqua" w:cs="Book Antiqua"/>
          <w:sz w:val="20"/>
          <w:szCs w:val="20"/>
        </w:rPr>
        <w:t xml:space="preserve"> that featured images of Hindu deities. Sacred Hindu symbols on Islamic prayer mats sparked controversy and accusations of cultural insensitivity and religious appropriation.</w:t>
      </w:r>
    </w:p>
    <w:p w14:paraId="6C0E7451"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0191453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cross-cultural blunder made by Forever 21, in this case, was the inappropriate use of Hindu deities’ images on Islamic prayer mats, which offended Muslim consumers and raised concerns about religious respect and cultural sensitivity.</w:t>
      </w:r>
    </w:p>
    <w:p w14:paraId="3D19C160"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201C4AA8" w14:textId="77777777" w:rsidR="002530E2" w:rsidRDefault="002530E2">
      <w:pPr>
        <w:pBdr>
          <w:top w:val="nil"/>
          <w:left w:val="nil"/>
          <w:bottom w:val="nil"/>
          <w:right w:val="nil"/>
          <w:between w:val="nil"/>
        </w:pBdr>
      </w:pPr>
      <w:r>
        <w:rPr>
          <w:rFonts w:ascii="Book Antiqua" w:eastAsia="Book Antiqua" w:hAnsi="Book Antiqua" w:cs="Book Antiqua"/>
          <w:sz w:val="20"/>
          <w:szCs w:val="20"/>
        </w:rPr>
        <w:t>Forever 21</w:t>
      </w:r>
      <w:r>
        <w:t>’</w:t>
      </w:r>
      <w:r>
        <w:rPr>
          <w:rFonts w:ascii="Book Antiqua" w:eastAsia="Book Antiqua" w:hAnsi="Book Antiqua" w:cs="Book Antiqua"/>
          <w:sz w:val="20"/>
          <w:szCs w:val="20"/>
        </w:rPr>
        <w:t>s blunder greatly offended Muslim consumers as they perceived it as disrespecting their religious beliefs and practices. The use of Hindu deities</w:t>
      </w:r>
      <w:r>
        <w:t>’</w:t>
      </w:r>
      <w:r>
        <w:rPr>
          <w:rFonts w:ascii="Book Antiqua" w:eastAsia="Book Antiqua" w:hAnsi="Book Antiqua" w:cs="Book Antiqua"/>
          <w:sz w:val="20"/>
          <w:szCs w:val="20"/>
        </w:rPr>
        <w:t xml:space="preserve"> images on Islamic prayer mats is an example of cultural appropriation and disregard for religious sanctity. The incident caused disappointment, anger, and hurt among Muslim consumers who felt disrespected over their faith.</w:t>
      </w:r>
    </w:p>
    <w:p w14:paraId="7868D89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94AC0BF"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Forever 21</w:t>
      </w:r>
      <w:r>
        <w:t>’</w:t>
      </w:r>
      <w:r>
        <w:rPr>
          <w:rFonts w:ascii="Book Antiqua" w:eastAsia="Book Antiqua" w:hAnsi="Book Antiqua" w:cs="Book Antiqua"/>
          <w:sz w:val="20"/>
          <w:szCs w:val="20"/>
        </w:rPr>
        <w:t>s Islamic prayer mats had significant negative implications for the company</w:t>
      </w:r>
      <w:r>
        <w:t>’</w:t>
      </w:r>
      <w:r>
        <w:rPr>
          <w:rFonts w:ascii="Book Antiqua" w:eastAsia="Book Antiqua" w:hAnsi="Book Antiqua" w:cs="Book Antiqua"/>
          <w:sz w:val="20"/>
          <w:szCs w:val="20"/>
        </w:rPr>
        <w:t xml:space="preserve">s reputation and brand image, particularly among Muslim consumers. The blunder </w:t>
      </w:r>
      <w:r>
        <w:rPr>
          <w:rFonts w:ascii="Book Antiqua" w:eastAsia="Book Antiqua" w:hAnsi="Book Antiqua" w:cs="Book Antiqua"/>
          <w:sz w:val="20"/>
          <w:szCs w:val="20"/>
        </w:rPr>
        <w:lastRenderedPageBreak/>
        <w:t>highlighted a need for more cultural understanding and sensitivity, raising concerns about the company</w:t>
      </w:r>
      <w:r>
        <w:t>’</w:t>
      </w:r>
      <w:r>
        <w:rPr>
          <w:rFonts w:ascii="Book Antiqua" w:eastAsia="Book Antiqua" w:hAnsi="Book Antiqua" w:cs="Book Antiqua"/>
          <w:sz w:val="20"/>
          <w:szCs w:val="20"/>
        </w:rPr>
        <w:t>s commitment to diversity and respect for religious beliefs.</w:t>
      </w:r>
    </w:p>
    <w:p w14:paraId="73D144C3"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3E47E3D4" w14:textId="77777777" w:rsidR="002530E2" w:rsidRDefault="002530E2">
      <w:pPr>
        <w:pBdr>
          <w:top w:val="nil"/>
          <w:left w:val="nil"/>
          <w:bottom w:val="nil"/>
          <w:right w:val="nil"/>
          <w:between w:val="nil"/>
        </w:pBdr>
      </w:pPr>
      <w:r>
        <w:rPr>
          <w:rFonts w:ascii="Book Antiqua" w:eastAsia="Book Antiqua" w:hAnsi="Book Antiqua" w:cs="Book Antiqua"/>
          <w:sz w:val="20"/>
          <w:szCs w:val="20"/>
        </w:rPr>
        <w:t>Forever 21 should implement comprehensive cultural sensitivity training programs for its design and marketing teams to prevent similar incidents in the future. It ensures a better understanding of religious and cultural symbols and prevents the inappropriate use of sacred imagery. Additionally, the company should establish a robust product review process to identify and address potential cultural and religious sensitivities before release.</w:t>
      </w:r>
    </w:p>
    <w:p w14:paraId="66FC0093" w14:textId="77777777" w:rsidR="002530E2" w:rsidRDefault="002530E2">
      <w:pPr>
        <w:pBdr>
          <w:top w:val="nil"/>
          <w:left w:val="nil"/>
          <w:bottom w:val="nil"/>
          <w:right w:val="nil"/>
          <w:between w:val="nil"/>
        </w:pBdr>
      </w:pPr>
      <w:r>
        <w:br w:type="page"/>
      </w:r>
    </w:p>
    <w:p w14:paraId="6CAEE8F5"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Reactions by Muslims:</w:t>
      </w:r>
    </w:p>
    <w:p w14:paraId="0D2BEBE1"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consumers expressed outrage and disappointment through social media platforms and online petitions. Many demanded a public apology from Forever 21 and urged the company to withdraw the controversial prayer mats from the market. The incident sparked discussions within Muslim communities, with calls for boycotting the brand until it took appropriate actions.</w:t>
      </w:r>
    </w:p>
    <w:p w14:paraId="6904C75D"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77613690"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controversy, Forever 21 publicly apologised to Muslim consumers and acknowledged the offence caused by the inappropriate use of Hindu deities’ images on the Islamic prayer mats. The company promptly removed the product from its stores and online platforms, demonstrating a commitment to addressing the concerns raised and rebuilding trust with Muslim consumers.</w:t>
      </w:r>
    </w:p>
    <w:p w14:paraId="67773536"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63413F0B"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Forever 21 Islamic prayer mats highlighted the importance of cultural sensitivity and respect for religious beliefs in multinational corporations. The blunder negatively impacted Forever 21</w:t>
      </w:r>
      <w:r>
        <w:t>’</w:t>
      </w:r>
      <w:r>
        <w:rPr>
          <w:rFonts w:ascii="Book Antiqua" w:eastAsia="Book Antiqua" w:hAnsi="Book Antiqua" w:cs="Book Antiqua"/>
          <w:sz w:val="20"/>
          <w:szCs w:val="20"/>
        </w:rPr>
        <w:t xml:space="preserve">s reputation, emphasising the need for comprehensive cultural understanding and rigorous product review processes. </w:t>
      </w:r>
    </w:p>
    <w:p w14:paraId="591C6E73" w14:textId="77777777" w:rsidR="002530E2" w:rsidRDefault="002530E2">
      <w:pPr>
        <w:pBdr>
          <w:top w:val="nil"/>
          <w:left w:val="nil"/>
          <w:bottom w:val="nil"/>
          <w:right w:val="nil"/>
          <w:between w:val="nil"/>
        </w:pBdr>
      </w:pPr>
      <w:r>
        <w:rPr>
          <w:rFonts w:ascii="Book Antiqua" w:eastAsia="Book Antiqua" w:hAnsi="Book Antiqua" w:cs="Book Antiqua"/>
          <w:sz w:val="20"/>
          <w:szCs w:val="20"/>
        </w:rPr>
        <w:t>Forever 21</w:t>
      </w:r>
      <w:r>
        <w:t>’</w:t>
      </w:r>
      <w:r>
        <w:rPr>
          <w:rFonts w:ascii="Book Antiqua" w:eastAsia="Book Antiqua" w:hAnsi="Book Antiqua" w:cs="Book Antiqua"/>
          <w:sz w:val="20"/>
          <w:szCs w:val="20"/>
        </w:rPr>
        <w:t>s response, including the public apology and product withdrawal, aimed to address the concerns raised and rebuild trust with Muslim consumers. By incorporating cultural sensitivity into their design and marketing practices, companies can avoid cross-cultural blunders and foster positive relationships with diverse customer groups.</w:t>
      </w:r>
    </w:p>
    <w:p w14:paraId="32C6095F" w14:textId="77777777" w:rsidR="002530E2" w:rsidRDefault="002530E2">
      <w:pPr>
        <w:pStyle w:val="Heading2"/>
      </w:pPr>
      <w:bookmarkStart w:id="37" w:name="_heading=h.eoxbspa5zwlo" w:colFirst="0" w:colLast="0"/>
      <w:bookmarkEnd w:id="37"/>
      <w:r>
        <w:br w:type="page"/>
      </w:r>
    </w:p>
    <w:p w14:paraId="726241F3" w14:textId="77777777" w:rsidR="002530E2" w:rsidRDefault="002530E2">
      <w:pPr>
        <w:pStyle w:val="Heading2"/>
      </w:pPr>
      <w:r>
        <w:lastRenderedPageBreak/>
        <w:t>IR 050 (2019: Netflix, Global)</w:t>
      </w:r>
    </w:p>
    <w:p w14:paraId="3E88E936"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“Netflix’s Removal of ’Patriot Act with Hasan Minhaj’ Episode Criticising Saudi Arabia“</w:t>
      </w:r>
    </w:p>
    <w:p w14:paraId="25677FAE"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Netflix</w:t>
      </w:r>
    </w:p>
    <w:p w14:paraId="0E99FF7F"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44EB50FA"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Saudi Arabia</w:t>
      </w:r>
    </w:p>
    <w:p w14:paraId="128E563F"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2019</w:t>
      </w:r>
    </w:p>
    <w:p w14:paraId="798F770A" w14:textId="77777777" w:rsidR="002530E2" w:rsidRDefault="002530E2">
      <w:r>
        <w:t>Source: Various media reports, social media discussions, consumer complaints, and articles (referenced in the References section of the thesis).</w:t>
      </w:r>
    </w:p>
    <w:p w14:paraId="0FD6B7C4"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3B549ADE"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report focuses on the controversy surrounding Netflix</w:t>
      </w:r>
      <w:r>
        <w:t>’</w:t>
      </w:r>
      <w:r>
        <w:rPr>
          <w:rFonts w:ascii="Book Antiqua" w:eastAsia="Book Antiqua" w:hAnsi="Book Antiqua" w:cs="Book Antiqua"/>
          <w:sz w:val="20"/>
          <w:szCs w:val="20"/>
        </w:rPr>
        <w:t xml:space="preserve">s removal of a </w:t>
      </w:r>
      <w:r>
        <w:t>“</w:t>
      </w:r>
      <w:r>
        <w:rPr>
          <w:rFonts w:ascii="Book Antiqua" w:eastAsia="Book Antiqua" w:hAnsi="Book Antiqua" w:cs="Book Antiqua"/>
          <w:sz w:val="20"/>
          <w:szCs w:val="20"/>
        </w:rPr>
        <w:t>Patriot Act with Hasan Minhaj</w:t>
      </w:r>
      <w:r>
        <w:t>“</w:t>
      </w:r>
      <w:r>
        <w:rPr>
          <w:rFonts w:ascii="Book Antiqua" w:eastAsia="Book Antiqua" w:hAnsi="Book Antiqua" w:cs="Book Antiqua"/>
          <w:sz w:val="20"/>
          <w:szCs w:val="20"/>
        </w:rPr>
        <w:t xml:space="preserve"> episode in Saudi Arabia. The episode criticised Saudi Arabia</w:t>
      </w:r>
      <w:r>
        <w:t>’</w:t>
      </w:r>
      <w:r>
        <w:rPr>
          <w:rFonts w:ascii="Book Antiqua" w:eastAsia="Book Antiqua" w:hAnsi="Book Antiqua" w:cs="Book Antiqua"/>
          <w:sz w:val="20"/>
          <w:szCs w:val="20"/>
        </w:rPr>
        <w:t>s human rights record, the killing of journalist Jamal Khashoggi, and other sensitive topics.</w:t>
      </w:r>
    </w:p>
    <w:p w14:paraId="37C6071F"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430C0D3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2019, Netflix released an episode of “Patriot Act with Hasan Minhaj“ that discussed Saudi Arabia’s human rights record, the killing of journalist Jamal Khashoggi, and the Saudi-led military campaign in Yemen. The episode received criticism from many individuals who felt it was an attack on the Saudi government and an infringement on free speech.</w:t>
      </w:r>
    </w:p>
    <w:p w14:paraId="406513B0"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00B10CB3"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blunder falls into the category of content-related blunders. The episode</w:t>
      </w:r>
      <w:r>
        <w:t>’</w:t>
      </w:r>
      <w:r>
        <w:rPr>
          <w:rFonts w:ascii="Book Antiqua" w:eastAsia="Book Antiqua" w:hAnsi="Book Antiqua" w:cs="Book Antiqua"/>
          <w:sz w:val="20"/>
          <w:szCs w:val="20"/>
        </w:rPr>
        <w:t>s content, which criticised Saudi Arabia</w:t>
      </w:r>
      <w:r>
        <w:t>’</w:t>
      </w:r>
      <w:r>
        <w:rPr>
          <w:rFonts w:ascii="Book Antiqua" w:eastAsia="Book Antiqua" w:hAnsi="Book Antiqua" w:cs="Book Antiqua"/>
          <w:sz w:val="20"/>
          <w:szCs w:val="20"/>
        </w:rPr>
        <w:t>s actions and government, was deemed controversial and led to its removal in Saudi Arabia.</w:t>
      </w:r>
    </w:p>
    <w:p w14:paraId="2340E6A0" w14:textId="77777777" w:rsidR="002530E2" w:rsidRDefault="002530E2">
      <w:pPr>
        <w:pBdr>
          <w:top w:val="nil"/>
          <w:left w:val="nil"/>
          <w:bottom w:val="nil"/>
          <w:right w:val="nil"/>
          <w:between w:val="nil"/>
        </w:pBdr>
      </w:pPr>
      <w:r>
        <w:br w:type="page"/>
      </w:r>
    </w:p>
    <w:p w14:paraId="0BDC596D"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Consequences for Muslims (this addresses MRQ 2):</w:t>
      </w:r>
    </w:p>
    <w:p w14:paraId="1F5F6CA6" w14:textId="77777777" w:rsidR="002530E2" w:rsidRDefault="002530E2">
      <w:pPr>
        <w:pBdr>
          <w:top w:val="nil"/>
          <w:left w:val="nil"/>
          <w:bottom w:val="nil"/>
          <w:right w:val="nil"/>
          <w:between w:val="nil"/>
        </w:pBdr>
      </w:pPr>
      <w:r>
        <w:rPr>
          <w:rFonts w:ascii="Book Antiqua" w:eastAsia="Book Antiqua" w:hAnsi="Book Antiqua" w:cs="Book Antiqua"/>
          <w:sz w:val="20"/>
          <w:szCs w:val="20"/>
        </w:rPr>
        <w:t>Removing the episode following a legal demand in Saudi Arabia led to criticism from many individuals, including Muslims, who viewed it as an attempt to silence criticism of the Saudi government. Some Muslims also found the jokes and content of the episode insensitive.</w:t>
      </w:r>
    </w:p>
    <w:p w14:paraId="2AD7E76C"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37D5E487"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incident had mixed consequences for Netflix. While removing the episode in Saudi Arabia may have helped the company comply with local laws and avoid potential legal consequences, it faced backlash from individuals who believed it compromised freedom of speech and cultural sensitivity.</w:t>
      </w:r>
    </w:p>
    <w:p w14:paraId="23ACD969"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391D6284"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incident highlights the importance of cultural sensitivity and awareness when creating content for a global audience. MNCs should consider the potential impact of their content on various cultures and be mindful of local laws and sensitivities. Conducting thorough research and dialogue with local communities can help prevent such controversies.</w:t>
      </w:r>
    </w:p>
    <w:p w14:paraId="375945D5" w14:textId="77777777" w:rsidR="002530E2" w:rsidRDefault="002530E2">
      <w:pPr>
        <w:pBdr>
          <w:top w:val="nil"/>
          <w:left w:val="nil"/>
          <w:bottom w:val="nil"/>
          <w:right w:val="nil"/>
          <w:between w:val="nil"/>
        </w:pBdr>
      </w:pPr>
      <w:r>
        <w:rPr>
          <w:rFonts w:ascii="Book Antiqua" w:eastAsia="Book Antiqua" w:hAnsi="Book Antiqua" w:cs="Book Antiqua"/>
          <w:sz w:val="20"/>
          <w:szCs w:val="20"/>
        </w:rPr>
        <w:t>Reactions by Muslims:</w:t>
      </w:r>
    </w:p>
    <w:p w14:paraId="76D8DB16" w14:textId="77777777" w:rsidR="002530E2" w:rsidRDefault="002530E2">
      <w:pPr>
        <w:pBdr>
          <w:top w:val="nil"/>
          <w:left w:val="nil"/>
          <w:bottom w:val="nil"/>
          <w:right w:val="nil"/>
          <w:between w:val="nil"/>
        </w:pBdr>
      </w:pPr>
      <w:r>
        <w:rPr>
          <w:rFonts w:ascii="Book Antiqua" w:eastAsia="Book Antiqua" w:hAnsi="Book Antiqua" w:cs="Book Antiqua"/>
          <w:sz w:val="20"/>
          <w:szCs w:val="20"/>
        </w:rPr>
        <w:t>Many Muslims found the jokes in the episode insensitive and called for a boycott of Netflix. Some believed the episode perpetuated stereotypes and negatively portrayed Muslims and their religious beliefs.</w:t>
      </w:r>
    </w:p>
    <w:p w14:paraId="7859CB9B"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27E4F9D0" w14:textId="77777777" w:rsidR="002530E2" w:rsidRDefault="002530E2">
      <w:pPr>
        <w:pBdr>
          <w:top w:val="nil"/>
          <w:left w:val="nil"/>
          <w:bottom w:val="nil"/>
          <w:right w:val="nil"/>
          <w:between w:val="nil"/>
        </w:pBdr>
      </w:pPr>
      <w:r>
        <w:rPr>
          <w:rFonts w:ascii="Book Antiqua" w:eastAsia="Book Antiqua" w:hAnsi="Book Antiqua" w:cs="Book Antiqua"/>
          <w:sz w:val="20"/>
          <w:szCs w:val="20"/>
        </w:rPr>
        <w:t>Netflix has not publicly addressed the specific reactions from Muslims regarding the episode’s content and removal. However, it complied with the legal demand in Saudi Arabia and removed the episode from its platform in the country.</w:t>
      </w:r>
    </w:p>
    <w:p w14:paraId="165067D2" w14:textId="77777777" w:rsidR="002530E2" w:rsidRDefault="002530E2">
      <w:pPr>
        <w:pBdr>
          <w:top w:val="nil"/>
          <w:left w:val="nil"/>
          <w:bottom w:val="nil"/>
          <w:right w:val="nil"/>
          <w:between w:val="nil"/>
        </w:pBdr>
      </w:pPr>
      <w:r>
        <w:br w:type="page"/>
      </w:r>
    </w:p>
    <w:p w14:paraId="25ABB32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Conclusion:</w:t>
      </w:r>
    </w:p>
    <w:p w14:paraId="47051DDC" w14:textId="77777777" w:rsidR="002530E2" w:rsidRDefault="002530E2">
      <w:pPr>
        <w:pBdr>
          <w:top w:val="nil"/>
          <w:left w:val="nil"/>
          <w:bottom w:val="nil"/>
          <w:right w:val="nil"/>
          <w:between w:val="nil"/>
        </w:pBdr>
      </w:pPr>
      <w:r>
        <w:rPr>
          <w:rFonts w:ascii="Book Antiqua" w:eastAsia="Book Antiqua" w:hAnsi="Book Antiqua" w:cs="Book Antiqua"/>
          <w:sz w:val="20"/>
          <w:szCs w:val="20"/>
        </w:rPr>
        <w:t>The controversy surrounding Netflix</w:t>
      </w:r>
      <w:r>
        <w:t>’</w:t>
      </w:r>
      <w:r>
        <w:rPr>
          <w:rFonts w:ascii="Book Antiqua" w:eastAsia="Book Antiqua" w:hAnsi="Book Antiqua" w:cs="Book Antiqua"/>
          <w:sz w:val="20"/>
          <w:szCs w:val="20"/>
        </w:rPr>
        <w:t xml:space="preserve">s removal of the </w:t>
      </w:r>
      <w:r>
        <w:t>“</w:t>
      </w:r>
      <w:r>
        <w:rPr>
          <w:rFonts w:ascii="Book Antiqua" w:eastAsia="Book Antiqua" w:hAnsi="Book Antiqua" w:cs="Book Antiqua"/>
          <w:sz w:val="20"/>
          <w:szCs w:val="20"/>
        </w:rPr>
        <w:t>Patriot Act with Hasan Minhaj</w:t>
      </w:r>
      <w:r>
        <w:t>“</w:t>
      </w:r>
      <w:r>
        <w:rPr>
          <w:rFonts w:ascii="Book Antiqua" w:eastAsia="Book Antiqua" w:hAnsi="Book Antiqua" w:cs="Book Antiqua"/>
          <w:sz w:val="20"/>
          <w:szCs w:val="20"/>
        </w:rPr>
        <w:t xml:space="preserve"> episode in Saudi Arabia highlights the complex challenges MNCs face when navigating cultural sensitivities and freedom of speech. Companies should be mindful of how their content may affect diverse audiences and engage in open dialogue with local communities. It will serve as a reminder to prioritise these considerations. Balancing cultural sensitivity, legal requirements, and creative expression is crucial for MNCs operating in a globalised media landscape.</w:t>
      </w:r>
    </w:p>
    <w:p w14:paraId="2A576554" w14:textId="77777777" w:rsidR="002530E2" w:rsidRDefault="002530E2">
      <w:pPr>
        <w:pStyle w:val="Heading2"/>
      </w:pPr>
      <w:r>
        <w:t>IR 051 (2020: Facebook, Global)</w:t>
      </w:r>
    </w:p>
    <w:p w14:paraId="75D70A46" w14:textId="77777777" w:rsidR="002530E2" w:rsidRDefault="002530E2">
      <w:pPr>
        <w:pBdr>
          <w:top w:val="nil"/>
          <w:left w:val="nil"/>
          <w:bottom w:val="nil"/>
          <w:right w:val="nil"/>
          <w:between w:val="nil"/>
        </w:pBdr>
      </w:pPr>
      <w:r>
        <w:rPr>
          <w:rFonts w:ascii="Book Antiqua" w:eastAsia="Book Antiqua" w:hAnsi="Book Antiqua" w:cs="Book Antiqua"/>
          <w:sz w:val="20"/>
          <w:szCs w:val="20"/>
        </w:rPr>
        <w:t>Incident report title: “Facebook’s Backlash Regarding Promotion of Anti-Muslim Hate Speech“</w:t>
      </w:r>
    </w:p>
    <w:p w14:paraId="55B21990"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Name: Facebook Inc.</w:t>
      </w:r>
    </w:p>
    <w:p w14:paraId="2C8B8626" w14:textId="77777777" w:rsidR="002530E2" w:rsidRDefault="002530E2">
      <w:pPr>
        <w:pBdr>
          <w:top w:val="nil"/>
          <w:left w:val="nil"/>
          <w:bottom w:val="nil"/>
          <w:right w:val="nil"/>
          <w:between w:val="nil"/>
        </w:pBdr>
      </w:pPr>
      <w:r>
        <w:rPr>
          <w:rFonts w:ascii="Book Antiqua" w:eastAsia="Book Antiqua" w:hAnsi="Book Antiqua" w:cs="Book Antiqua"/>
          <w:sz w:val="20"/>
          <w:szCs w:val="20"/>
        </w:rPr>
        <w:t>MNC Country of Origin: United States</w:t>
      </w:r>
    </w:p>
    <w:p w14:paraId="7FA63BAA" w14:textId="77777777" w:rsidR="002530E2" w:rsidRDefault="002530E2">
      <w:pPr>
        <w:pBdr>
          <w:top w:val="nil"/>
          <w:left w:val="nil"/>
          <w:bottom w:val="nil"/>
          <w:right w:val="nil"/>
          <w:between w:val="nil"/>
        </w:pBdr>
      </w:pPr>
      <w:r>
        <w:rPr>
          <w:rFonts w:ascii="Book Antiqua" w:eastAsia="Book Antiqua" w:hAnsi="Book Antiqua" w:cs="Book Antiqua"/>
          <w:sz w:val="20"/>
          <w:szCs w:val="20"/>
        </w:rPr>
        <w:t>Location: Global</w:t>
      </w:r>
    </w:p>
    <w:p w14:paraId="274BDD20" w14:textId="77777777" w:rsidR="002530E2" w:rsidRDefault="002530E2">
      <w:pPr>
        <w:pBdr>
          <w:top w:val="nil"/>
          <w:left w:val="nil"/>
          <w:bottom w:val="nil"/>
          <w:right w:val="nil"/>
          <w:between w:val="nil"/>
        </w:pBdr>
      </w:pPr>
      <w:r>
        <w:rPr>
          <w:rFonts w:ascii="Book Antiqua" w:eastAsia="Book Antiqua" w:hAnsi="Book Antiqua" w:cs="Book Antiqua"/>
          <w:sz w:val="20"/>
          <w:szCs w:val="20"/>
        </w:rPr>
        <w:t>Year: 2020</w:t>
      </w:r>
    </w:p>
    <w:p w14:paraId="246ECB8D" w14:textId="77777777" w:rsidR="002530E2" w:rsidRDefault="002530E2">
      <w:pPr>
        <w:pBdr>
          <w:top w:val="nil"/>
          <w:left w:val="nil"/>
          <w:bottom w:val="nil"/>
          <w:right w:val="nil"/>
          <w:between w:val="nil"/>
        </w:pBdr>
      </w:pPr>
      <w:r>
        <w:t>Source: Various media reports, social media discussions, consumer complaints, and articles (referenced in the References section of the thesis).</w:t>
      </w:r>
    </w:p>
    <w:p w14:paraId="4983992B" w14:textId="77777777" w:rsidR="002530E2" w:rsidRDefault="002530E2">
      <w:pPr>
        <w:pBdr>
          <w:top w:val="nil"/>
          <w:left w:val="nil"/>
          <w:bottom w:val="nil"/>
          <w:right w:val="nil"/>
          <w:between w:val="nil"/>
        </w:pBdr>
      </w:pPr>
      <w:r>
        <w:rPr>
          <w:rFonts w:ascii="Book Antiqua" w:eastAsia="Book Antiqua" w:hAnsi="Book Antiqua" w:cs="Book Antiqua"/>
          <w:sz w:val="20"/>
          <w:szCs w:val="20"/>
        </w:rPr>
        <w:t>Introduction:</w:t>
      </w:r>
    </w:p>
    <w:p w14:paraId="5897E242" w14:textId="77777777" w:rsidR="002530E2" w:rsidRDefault="002530E2">
      <w:pPr>
        <w:pBdr>
          <w:top w:val="nil"/>
          <w:left w:val="nil"/>
          <w:bottom w:val="nil"/>
          <w:right w:val="nil"/>
          <w:between w:val="nil"/>
        </w:pBdr>
      </w:pPr>
      <w:r>
        <w:rPr>
          <w:rFonts w:ascii="Book Antiqua" w:eastAsia="Book Antiqua" w:hAnsi="Book Antiqua" w:cs="Book Antiqua"/>
          <w:sz w:val="20"/>
          <w:szCs w:val="20"/>
        </w:rPr>
        <w:t>This case examines the cross-cultural blunder by Facebook in 2020, where the company faced backlash for its algorithm promoting anti-Muslim hate speech and conspiracy theories. The incident raised concerns about Facebook’s responsibility in addressing hate speech and protecting the interests of Muslim users.</w:t>
      </w:r>
    </w:p>
    <w:p w14:paraId="55CFDD6F" w14:textId="77777777" w:rsidR="002530E2" w:rsidRDefault="002530E2">
      <w:pPr>
        <w:pBdr>
          <w:top w:val="nil"/>
          <w:left w:val="nil"/>
          <w:bottom w:val="nil"/>
          <w:right w:val="nil"/>
          <w:between w:val="nil"/>
        </w:pBdr>
      </w:pPr>
      <w:r>
        <w:rPr>
          <w:rFonts w:ascii="Book Antiqua" w:eastAsia="Book Antiqua" w:hAnsi="Book Antiqua" w:cs="Book Antiqua"/>
          <w:sz w:val="20"/>
          <w:szCs w:val="20"/>
        </w:rPr>
        <w:t>Background:</w:t>
      </w:r>
    </w:p>
    <w:p w14:paraId="226ED4E6" w14:textId="77777777" w:rsidR="002530E2" w:rsidRDefault="002530E2">
      <w:pPr>
        <w:pBdr>
          <w:top w:val="nil"/>
          <w:left w:val="nil"/>
          <w:bottom w:val="nil"/>
          <w:right w:val="nil"/>
          <w:between w:val="nil"/>
        </w:pBdr>
      </w:pPr>
      <w:r>
        <w:rPr>
          <w:rFonts w:ascii="Book Antiqua" w:eastAsia="Book Antiqua" w:hAnsi="Book Antiqua" w:cs="Book Antiqua"/>
          <w:sz w:val="20"/>
          <w:szCs w:val="20"/>
        </w:rPr>
        <w:t>As a result of revelations in 2020, Facebook faced significant criticism for its platform</w:t>
      </w:r>
      <w:r>
        <w:t>’</w:t>
      </w:r>
      <w:r>
        <w:rPr>
          <w:rFonts w:ascii="Book Antiqua" w:eastAsia="Book Antiqua" w:hAnsi="Book Antiqua" w:cs="Book Antiqua"/>
          <w:sz w:val="20"/>
          <w:szCs w:val="20"/>
        </w:rPr>
        <w:t>s algorithm promoting and amplifying anti-Muslim myths, hate speech, and conspiracy theories. Content containing Islamophobic rhetoric and misinformation gained traction, leading to concerns about the platform</w:t>
      </w:r>
      <w:r>
        <w:t>’</w:t>
      </w:r>
      <w:r>
        <w:rPr>
          <w:rFonts w:ascii="Book Antiqua" w:eastAsia="Book Antiqua" w:hAnsi="Book Antiqua" w:cs="Book Antiqua"/>
          <w:sz w:val="20"/>
          <w:szCs w:val="20"/>
        </w:rPr>
        <w:t>s role in spreading hate and fueling discrimination against Muslim communities.</w:t>
      </w:r>
    </w:p>
    <w:p w14:paraId="10EA52C6" w14:textId="77777777" w:rsidR="002530E2" w:rsidRDefault="002530E2">
      <w:pPr>
        <w:pBdr>
          <w:top w:val="nil"/>
          <w:left w:val="nil"/>
          <w:bottom w:val="nil"/>
          <w:right w:val="nil"/>
          <w:between w:val="nil"/>
        </w:pBdr>
      </w:pPr>
      <w:r>
        <w:rPr>
          <w:rFonts w:ascii="Book Antiqua" w:eastAsia="Book Antiqua" w:hAnsi="Book Antiqua" w:cs="Book Antiqua"/>
          <w:sz w:val="20"/>
          <w:szCs w:val="20"/>
        </w:rPr>
        <w:t>Type of Cross-Cultural Blunder (this addresses MRQ 1):</w:t>
      </w:r>
    </w:p>
    <w:p w14:paraId="087639E5" w14:textId="77777777" w:rsidR="002530E2" w:rsidRDefault="002530E2">
      <w:pPr>
        <w:pBdr>
          <w:top w:val="nil"/>
          <w:left w:val="nil"/>
          <w:bottom w:val="nil"/>
          <w:right w:val="nil"/>
          <w:between w:val="nil"/>
        </w:pBdr>
      </w:pPr>
      <w:r>
        <w:rPr>
          <w:rFonts w:ascii="Book Antiqua" w:eastAsia="Book Antiqua" w:hAnsi="Book Antiqua" w:cs="Book Antiqua"/>
          <w:sz w:val="20"/>
          <w:szCs w:val="20"/>
        </w:rPr>
        <w:t>In this case, the cross-cultural blunder made by Facebook was the failure to effectively manage and control the promotion of anti-Muslim hate speech and conspiracy theories through its algorithm.</w:t>
      </w:r>
    </w:p>
    <w:p w14:paraId="3A97B001" w14:textId="77777777" w:rsidR="002530E2" w:rsidRDefault="002530E2">
      <w:pPr>
        <w:pBdr>
          <w:top w:val="nil"/>
          <w:left w:val="nil"/>
          <w:bottom w:val="nil"/>
          <w:right w:val="nil"/>
          <w:between w:val="nil"/>
        </w:pBdr>
      </w:pPr>
      <w:r>
        <w:rPr>
          <w:rFonts w:ascii="Book Antiqua" w:eastAsia="Book Antiqua" w:hAnsi="Book Antiqua" w:cs="Book Antiqua"/>
          <w:sz w:val="20"/>
          <w:szCs w:val="20"/>
        </w:rPr>
        <w:t>Consequences for Muslims (this addresses MRQ 2):</w:t>
      </w:r>
    </w:p>
    <w:p w14:paraId="6847D779"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users were directly affected by the presence and promotion of anti-Muslim hate speech on Facebook. The spread of Islamophobic content not only perpetuated stereotypes and fueled discrimination but also had psychological and emotional impacts on Muslim individuals and communities, causing feelings of fear, anger, and marginalisation.</w:t>
      </w:r>
    </w:p>
    <w:p w14:paraId="2722373E"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Impact and Ramifications on MNC (this addresses MRQ 3): </w:t>
      </w:r>
    </w:p>
    <w:p w14:paraId="66AE09C8"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controversy surrounding Facebook’s promotion of anti-Muslim hate speech had severe implications for the company’s reputation, user trust, and regulatory scrutiny. The platform faced </w:t>
      </w:r>
      <w:r>
        <w:rPr>
          <w:rFonts w:ascii="Book Antiqua" w:eastAsia="Book Antiqua" w:hAnsi="Book Antiqua" w:cs="Book Antiqua"/>
          <w:sz w:val="20"/>
          <w:szCs w:val="20"/>
        </w:rPr>
        <w:lastRenderedPageBreak/>
        <w:t>accusations of enabling the spread of harmful content and neglecting its responsibility to address hate speech and protect the interests of its diverse user base.</w:t>
      </w:r>
    </w:p>
    <w:p w14:paraId="3DBA29B4" w14:textId="77777777" w:rsidR="002530E2" w:rsidRDefault="002530E2">
      <w:pPr>
        <w:pBdr>
          <w:top w:val="nil"/>
          <w:left w:val="nil"/>
          <w:bottom w:val="nil"/>
          <w:right w:val="nil"/>
          <w:between w:val="nil"/>
        </w:pBdr>
      </w:pPr>
      <w:r>
        <w:rPr>
          <w:rFonts w:ascii="Book Antiqua" w:eastAsia="Book Antiqua" w:hAnsi="Book Antiqua" w:cs="Book Antiqua"/>
          <w:sz w:val="20"/>
          <w:szCs w:val="20"/>
        </w:rPr>
        <w:t>Lessons Learned and Future Prevention Strategies (this addresses MRQ 4):</w:t>
      </w:r>
    </w:p>
    <w:p w14:paraId="29DEB562" w14:textId="77777777" w:rsidR="002530E2" w:rsidRDefault="002530E2">
      <w:pPr>
        <w:pBdr>
          <w:top w:val="nil"/>
          <w:left w:val="nil"/>
          <w:bottom w:val="nil"/>
          <w:right w:val="nil"/>
          <w:between w:val="nil"/>
        </w:pBdr>
      </w:pPr>
      <w:r>
        <w:rPr>
          <w:rFonts w:ascii="Book Antiqua" w:eastAsia="Book Antiqua" w:hAnsi="Book Antiqua" w:cs="Book Antiqua"/>
          <w:sz w:val="20"/>
          <w:szCs w:val="20"/>
        </w:rPr>
        <w:t>Facebook must strengthen its content moderation policies and algorithms to proactively identify and remove hate speech and harmful content targeting Muslim communities to prevent similar incidents in the future. The company should invest in resources and technology to improve the detection and mitigation of Islamophobic content. Additionally, engaging with Muslim organisations and community leaders can provide valuable insights and guidance to shape more inclusive policies and strategies.</w:t>
      </w:r>
    </w:p>
    <w:p w14:paraId="5FE14605" w14:textId="77777777" w:rsidR="002530E2" w:rsidRDefault="002530E2">
      <w:pPr>
        <w:pBdr>
          <w:top w:val="nil"/>
          <w:left w:val="nil"/>
          <w:bottom w:val="nil"/>
          <w:right w:val="nil"/>
          <w:between w:val="nil"/>
        </w:pBdr>
      </w:pPr>
      <w:r>
        <w:br w:type="page"/>
      </w:r>
    </w:p>
    <w:p w14:paraId="60480A5A" w14:textId="77777777" w:rsidR="002530E2" w:rsidRDefault="002530E2">
      <w:pPr>
        <w:pBdr>
          <w:top w:val="nil"/>
          <w:left w:val="nil"/>
          <w:bottom w:val="nil"/>
          <w:right w:val="nil"/>
          <w:between w:val="nil"/>
        </w:pBdr>
      </w:pPr>
      <w:r>
        <w:rPr>
          <w:rFonts w:ascii="Book Antiqua" w:eastAsia="Book Antiqua" w:hAnsi="Book Antiqua" w:cs="Book Antiqua"/>
          <w:sz w:val="20"/>
          <w:szCs w:val="20"/>
        </w:rPr>
        <w:lastRenderedPageBreak/>
        <w:t>Reactions by Muslims:</w:t>
      </w:r>
    </w:p>
    <w:p w14:paraId="46C2050C" w14:textId="77777777" w:rsidR="002530E2" w:rsidRDefault="002530E2">
      <w:pPr>
        <w:pBdr>
          <w:top w:val="nil"/>
          <w:left w:val="nil"/>
          <w:bottom w:val="nil"/>
          <w:right w:val="nil"/>
          <w:between w:val="nil"/>
        </w:pBdr>
      </w:pPr>
      <w:r>
        <w:rPr>
          <w:rFonts w:ascii="Book Antiqua" w:eastAsia="Book Antiqua" w:hAnsi="Book Antiqua" w:cs="Book Antiqua"/>
          <w:sz w:val="20"/>
          <w:szCs w:val="20"/>
        </w:rPr>
        <w:t>Muslim users and organisations voiced their concerns and frustrations regarding promoting anti-Muslim hate speech on Facebook. They demanded swift action from the platform to address the issue, protect vulnerable communities, and create a safer online environment that respects their religious beliefs and values.</w:t>
      </w:r>
    </w:p>
    <w:p w14:paraId="1C487BD9" w14:textId="77777777" w:rsidR="002530E2" w:rsidRDefault="002530E2">
      <w:pPr>
        <w:pBdr>
          <w:top w:val="nil"/>
          <w:left w:val="nil"/>
          <w:bottom w:val="nil"/>
          <w:right w:val="nil"/>
          <w:between w:val="nil"/>
        </w:pBdr>
      </w:pPr>
      <w:r>
        <w:rPr>
          <w:rFonts w:ascii="Book Antiqua" w:eastAsia="Book Antiqua" w:hAnsi="Book Antiqua" w:cs="Book Antiqua"/>
          <w:sz w:val="20"/>
          <w:szCs w:val="20"/>
        </w:rPr>
        <w:t>MNC’s Post-Blunder Response to Address the Consequences:</w:t>
      </w:r>
    </w:p>
    <w:p w14:paraId="23C3E92F" w14:textId="77777777" w:rsidR="002530E2" w:rsidRDefault="002530E2">
      <w:pPr>
        <w:pBdr>
          <w:top w:val="nil"/>
          <w:left w:val="nil"/>
          <w:bottom w:val="nil"/>
          <w:right w:val="nil"/>
          <w:between w:val="nil"/>
        </w:pBdr>
      </w:pPr>
      <w:r>
        <w:rPr>
          <w:rFonts w:ascii="Book Antiqua" w:eastAsia="Book Antiqua" w:hAnsi="Book Antiqua" w:cs="Book Antiqua"/>
          <w:sz w:val="20"/>
          <w:szCs w:val="20"/>
        </w:rPr>
        <w:t>In response to the backlash, Facebook committed to stricter measures against hate speech and implementing more robust content moderation policies. The company announced investments in AI technologies and human moderation teams to identify and remove harmful content proactively. Facebook also engaged in dialogue with Muslim organisations and stakeholders to better understand their concerns and collaborate on improving content moderation practices.</w:t>
      </w:r>
    </w:p>
    <w:p w14:paraId="2DD57024" w14:textId="77777777" w:rsidR="002530E2" w:rsidRDefault="002530E2">
      <w:pPr>
        <w:pBdr>
          <w:top w:val="nil"/>
          <w:left w:val="nil"/>
          <w:bottom w:val="nil"/>
          <w:right w:val="nil"/>
          <w:between w:val="nil"/>
        </w:pBdr>
      </w:pPr>
      <w:r>
        <w:rPr>
          <w:rFonts w:ascii="Book Antiqua" w:eastAsia="Book Antiqua" w:hAnsi="Book Antiqua" w:cs="Book Antiqua"/>
          <w:sz w:val="20"/>
          <w:szCs w:val="20"/>
        </w:rPr>
        <w:t>Conclusion:</w:t>
      </w:r>
    </w:p>
    <w:p w14:paraId="703BD42A"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Facebook controversy regarding promoting anti-Muslim hate speech highlighted the urgent need for social media platforms to tackle hate speech and protect vulnerable communities. The incident emphasised the importance of responsible content moderation, algorithmic transparency, and collaboration with diverse communities to prevent harmful and discriminatory content dissemination. </w:t>
      </w:r>
    </w:p>
    <w:p w14:paraId="42474D36" w14:textId="77777777" w:rsidR="002530E2" w:rsidRDefault="002530E2">
      <w:pPr>
        <w:pBdr>
          <w:top w:val="nil"/>
          <w:left w:val="nil"/>
          <w:bottom w:val="nil"/>
          <w:right w:val="nil"/>
          <w:between w:val="nil"/>
        </w:pBdr>
      </w:pPr>
      <w:r>
        <w:rPr>
          <w:rFonts w:ascii="Book Antiqua" w:eastAsia="Book Antiqua" w:hAnsi="Book Antiqua" w:cs="Book Antiqua"/>
          <w:sz w:val="20"/>
          <w:szCs w:val="20"/>
        </w:rPr>
        <w:t>Facebook aimed to address the concerns raised and rebuild trust through their response, which includes a commitment to improving content moderation practices and engaging with Muslim stakeholders. By implementing robust content moderation mechanisms and fostering inclusivity, Facebook can work towards a safer and more respectful platform for all users, irrespective of their religious or cultural backgrounds.</w:t>
      </w:r>
    </w:p>
    <w:p w14:paraId="4469F77E" w14:textId="77777777" w:rsidR="002530E2" w:rsidRDefault="002530E2">
      <w:r>
        <w:br w:type="page"/>
      </w:r>
    </w:p>
    <w:p w14:paraId="304885AD" w14:textId="77777777" w:rsidR="002530E2" w:rsidRDefault="002530E2"/>
    <w:p w14:paraId="693CFCB6" w14:textId="77777777" w:rsidR="002530E2" w:rsidRDefault="002530E2"/>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A942D6D"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3B7BB2A" w14:textId="77777777" w:rsidR="002530E2" w:rsidRDefault="002530E2">
            <w:pPr>
              <w:pStyle w:val="Heading1"/>
              <w:widowControl w:val="0"/>
              <w:spacing w:before="0" w:after="0" w:line="240" w:lineRule="auto"/>
              <w:jc w:val="center"/>
            </w:pPr>
            <w:bookmarkStart w:id="38" w:name="_heading=h.p42nta8puatn" w:colFirst="0" w:colLast="0"/>
            <w:bookmarkEnd w:id="38"/>
            <w:r>
              <w:t>CHAPTER SUMMARY</w:t>
            </w:r>
          </w:p>
        </w:tc>
      </w:tr>
    </w:tbl>
    <w:p w14:paraId="419F690B" w14:textId="77777777" w:rsidR="002530E2" w:rsidRDefault="002530E2">
      <w:pPr>
        <w:spacing w:after="0"/>
        <w:jc w:val="center"/>
      </w:pPr>
    </w:p>
    <w:p w14:paraId="1B8D988D" w14:textId="77777777" w:rsidR="002530E2" w:rsidRDefault="002530E2">
      <w:pPr>
        <w:spacing w:after="0"/>
        <w:jc w:val="center"/>
      </w:pPr>
      <w:r>
        <w:t>“Literature is the only art form that can truly capture the human condition.“</w:t>
      </w:r>
    </w:p>
    <w:p w14:paraId="22220CA0" w14:textId="77777777" w:rsidR="002530E2" w:rsidRDefault="002530E2">
      <w:pPr>
        <w:spacing w:after="0" w:line="240" w:lineRule="auto"/>
        <w:jc w:val="center"/>
        <w:rPr>
          <w:i/>
          <w:sz w:val="18"/>
          <w:szCs w:val="18"/>
        </w:rPr>
      </w:pPr>
      <w:r>
        <w:rPr>
          <w:i/>
          <w:sz w:val="18"/>
          <w:szCs w:val="18"/>
        </w:rPr>
        <w:t>— Margaret Atwood (Atwood, 2012)</w:t>
      </w:r>
    </w:p>
    <w:p w14:paraId="0F4B20D5" w14:textId="77777777" w:rsidR="002530E2" w:rsidRDefault="002530E2">
      <w:pPr>
        <w:spacing w:after="0" w:line="240" w:lineRule="auto"/>
        <w:jc w:val="center"/>
        <w:rPr>
          <w:i/>
          <w:sz w:val="18"/>
          <w:szCs w:val="18"/>
        </w:rPr>
      </w:pPr>
    </w:p>
    <w:p w14:paraId="50374287" w14:textId="77777777" w:rsidR="002530E2" w:rsidRDefault="002530E2">
      <w:pPr>
        <w:spacing w:after="0" w:line="240" w:lineRule="auto"/>
        <w:jc w:val="center"/>
        <w:rPr>
          <w:i/>
          <w:sz w:val="18"/>
          <w:szCs w:val="18"/>
        </w:rPr>
      </w:pPr>
    </w:p>
    <w:p w14:paraId="730002E4" w14:textId="77777777" w:rsidR="002530E2" w:rsidRDefault="002530E2">
      <w:pPr>
        <w:pBdr>
          <w:top w:val="nil"/>
          <w:left w:val="nil"/>
          <w:bottom w:val="nil"/>
          <w:right w:val="nil"/>
          <w:between w:val="nil"/>
        </w:pBdr>
        <w:spacing w:after="0" w:line="240" w:lineRule="auto"/>
        <w:jc w:val="center"/>
        <w:rPr>
          <w:i/>
          <w:sz w:val="18"/>
          <w:szCs w:val="18"/>
        </w:rPr>
      </w:pPr>
    </w:p>
    <w:p w14:paraId="627BDA77" w14:textId="77777777" w:rsidR="002530E2" w:rsidRDefault="002530E2">
      <w:r>
        <w:t>The Literature Review chapter provided an in-depth understanding of the existing body of knowledge in the field of study. It reviewed research theories, key terms and definitions, historical knowledge, previous studies, and cross-cultural blunders in the context of interactions between MNCs and Muslim communities.</w:t>
      </w:r>
    </w:p>
    <w:p w14:paraId="4478E7F7" w14:textId="77777777" w:rsidR="002530E2" w:rsidRDefault="002530E2">
      <w:r>
        <w:t>The chapter began by conducting a methodical and systematic review of fundamental research theories. This ensured a solid foundation for the research and provided a framework for subsequent analysis.</w:t>
      </w:r>
    </w:p>
    <w:p w14:paraId="6D67B54F" w14:textId="77777777" w:rsidR="002530E2" w:rsidRDefault="002530E2">
      <w:r>
        <w:t>Key terms and definitions were defined, establishing a shared understanding of the terminology used throughout the study.</w:t>
      </w:r>
    </w:p>
    <w:p w14:paraId="3EA39BF3" w14:textId="77777777" w:rsidR="002530E2" w:rsidRDefault="002530E2">
      <w:r>
        <w:t>The chapter explored cross-cultural dynamics in the context of Muslim consumers, examining aspects such as historical background, culture, consumption patterns, religious sensitivity, cultural intelligence, and the engagement between MNCs and Muslim communities. This contextual framework enhanced cross-cultural blunders understanding.</w:t>
      </w:r>
    </w:p>
    <w:p w14:paraId="25A283AF" w14:textId="77777777" w:rsidR="002530E2" w:rsidRDefault="002530E2">
      <w:r>
        <w:t>A comprehensive literature analysis of previous studies focused on cross-cultural interactions between MNCs and Muslim communities. This analysis highlighted the existing body of research and findings on cross-cultural blunders. Based on the research conducted, it was found that there are noticeable gaps in the literature. These gaps pertain to specific aspects of the studied topic, and further research is needed to address these gaps. Researchers need to explore these areas to gain a more comprehensive understanding of the field and develop more effective solutions to its challenges. By identifying these gaps and working to fill them, we can improve the quality of research and ultimately positively impact the world.</w:t>
      </w:r>
    </w:p>
    <w:p w14:paraId="66A29236" w14:textId="77777777" w:rsidR="002530E2" w:rsidRDefault="002530E2">
      <w:r>
        <w:t>Specific attention was given to the literature analysis on cross-cultural blunders, examining their causes, impact, and the challenges MNCs face. Valuable insights were derived from this analysis, providing lessons and recommendations for effective cross-cultural engagement.</w:t>
      </w:r>
    </w:p>
    <w:p w14:paraId="05CFFFF5" w14:textId="77777777" w:rsidR="002530E2" w:rsidRDefault="002530E2">
      <w:r>
        <w:t>The gaps in the literature are covered in the discussion and conclusion chapters, where the findings of the study are discussed, and recommendations for future research are made.</w:t>
      </w:r>
    </w:p>
    <w:p w14:paraId="179B016B" w14:textId="77777777" w:rsidR="002530E2" w:rsidRDefault="002530E2">
      <w:r>
        <w:t>The Literature Review chapter consolidates previous studies, concepts, and historical knowledge. The purpose of this was to gain a better understanding of cross-cultural dynamics and mistakes that occur between MNCs and Muslim communities. It set the groundwork for the subsequent chapters, informing the research approach and contributing to the existing knowledge in the field.</w:t>
      </w:r>
    </w:p>
    <w:p w14:paraId="30922E2E" w14:textId="77777777" w:rsidR="002530E2" w:rsidRDefault="002530E2">
      <w:pPr>
        <w:pBdr>
          <w:top w:val="nil"/>
          <w:left w:val="nil"/>
          <w:bottom w:val="nil"/>
          <w:right w:val="nil"/>
          <w:between w:val="nil"/>
        </w:pBdr>
      </w:pPr>
    </w:p>
    <w:p w14:paraId="7302590C" w14:textId="77777777" w:rsidR="002530E2" w:rsidRDefault="002530E2">
      <w:pPr>
        <w:pBdr>
          <w:top w:val="nil"/>
          <w:left w:val="nil"/>
          <w:bottom w:val="nil"/>
          <w:right w:val="nil"/>
          <w:between w:val="nil"/>
        </w:pBd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721A8FCF"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3C1F265C" w14:textId="77777777" w:rsidR="002530E2" w:rsidRDefault="002530E2">
            <w:pPr>
              <w:widowControl w:val="0"/>
              <w:pBdr>
                <w:top w:val="nil"/>
                <w:left w:val="nil"/>
                <w:bottom w:val="nil"/>
                <w:right w:val="nil"/>
                <w:between w:val="nil"/>
              </w:pBdr>
              <w:spacing w:after="200" w:line="276" w:lineRule="auto"/>
              <w:jc w:val="center"/>
              <w:rPr>
                <w:sz w:val="28"/>
                <w:szCs w:val="28"/>
              </w:rPr>
            </w:pPr>
            <w:r>
              <w:rPr>
                <w:rFonts w:ascii="Book Antiqua" w:eastAsia="Book Antiqua" w:hAnsi="Book Antiqua" w:cs="Book Antiqua"/>
                <w:sz w:val="28"/>
                <w:szCs w:val="28"/>
              </w:rPr>
              <w:lastRenderedPageBreak/>
              <w:t>CHAPTER 4: METHODOLOGY</w:t>
            </w:r>
          </w:p>
          <w:p w14:paraId="120F5AC9" w14:textId="77777777" w:rsidR="002530E2" w:rsidRDefault="002530E2">
            <w:pPr>
              <w:widowControl w:val="0"/>
              <w:pBdr>
                <w:top w:val="nil"/>
                <w:left w:val="nil"/>
                <w:bottom w:val="nil"/>
                <w:right w:val="nil"/>
                <w:between w:val="nil"/>
              </w:pBdr>
              <w:spacing w:after="200" w:line="276" w:lineRule="auto"/>
              <w:jc w:val="center"/>
              <w:rPr>
                <w:sz w:val="28"/>
                <w:szCs w:val="28"/>
              </w:rPr>
            </w:pPr>
            <w:r>
              <w:rPr>
                <w:color w:val="0E101A"/>
                <w:sz w:val="28"/>
                <w:szCs w:val="28"/>
              </w:rPr>
              <w:t>(</w:t>
            </w:r>
            <w:r>
              <w:rPr>
                <w:i/>
                <w:color w:val="0E101A"/>
                <w:sz w:val="28"/>
                <w:szCs w:val="28"/>
              </w:rPr>
              <w:t>Part—1)</w:t>
            </w:r>
          </w:p>
        </w:tc>
      </w:tr>
    </w:tbl>
    <w:p w14:paraId="000BDA49" w14:textId="77777777" w:rsidR="002530E2" w:rsidRDefault="002530E2">
      <w:pPr>
        <w:pBdr>
          <w:top w:val="nil"/>
          <w:left w:val="nil"/>
          <w:bottom w:val="nil"/>
          <w:right w:val="nil"/>
          <w:between w:val="nil"/>
        </w:pBdr>
        <w:spacing w:after="0"/>
        <w:jc w:val="center"/>
      </w:pPr>
    </w:p>
    <w:p w14:paraId="61C1CD27" w14:textId="77777777" w:rsidR="002530E2" w:rsidRDefault="002530E2">
      <w:pPr>
        <w:pBdr>
          <w:top w:val="nil"/>
          <w:left w:val="nil"/>
          <w:bottom w:val="nil"/>
          <w:right w:val="nil"/>
          <w:between w:val="nil"/>
        </w:pBdr>
        <w:spacing w:before="200" w:after="200" w:line="360" w:lineRule="auto"/>
        <w:jc w:val="center"/>
      </w:pPr>
      <w:r>
        <w:t>“</w:t>
      </w:r>
      <w:r>
        <w:rPr>
          <w:rFonts w:ascii="Book Antiqua" w:eastAsia="Book Antiqua" w:hAnsi="Book Antiqua" w:cs="Book Antiqua"/>
        </w:rPr>
        <w:t xml:space="preserve">Research is the process of fooling yourself into </w:t>
      </w:r>
    </w:p>
    <w:p w14:paraId="62E83892" w14:textId="77777777" w:rsidR="002530E2" w:rsidRDefault="002530E2">
      <w:pPr>
        <w:pBdr>
          <w:top w:val="nil"/>
          <w:left w:val="nil"/>
          <w:bottom w:val="nil"/>
          <w:right w:val="nil"/>
          <w:between w:val="nil"/>
        </w:pBdr>
        <w:spacing w:before="200" w:after="200" w:line="360" w:lineRule="auto"/>
        <w:jc w:val="center"/>
      </w:pPr>
      <w:r>
        <w:rPr>
          <w:rFonts w:ascii="Book Antiqua" w:eastAsia="Book Antiqua" w:hAnsi="Book Antiqua" w:cs="Book Antiqua"/>
        </w:rPr>
        <w:t>thinking you know something you don't."</w:t>
      </w:r>
    </w:p>
    <w:p w14:paraId="01CF13A2" w14:textId="77777777" w:rsidR="002530E2" w:rsidRDefault="002530E2">
      <w:pPr>
        <w:pBdr>
          <w:top w:val="nil"/>
          <w:left w:val="nil"/>
          <w:bottom w:val="nil"/>
          <w:right w:val="nil"/>
          <w:between w:val="nil"/>
        </w:pBdr>
        <w:spacing w:after="0" w:line="360" w:lineRule="auto"/>
        <w:jc w:val="center"/>
      </w:pPr>
      <w:r>
        <w:rPr>
          <w:rFonts w:ascii="Book Antiqua" w:eastAsia="Book Antiqua" w:hAnsi="Book Antiqua" w:cs="Book Antiqua"/>
          <w:i/>
          <w:sz w:val="18"/>
          <w:szCs w:val="18"/>
        </w:rPr>
        <w:t>— Richard Feynman (Feynman, 1965)</w:t>
      </w:r>
    </w:p>
    <w:p w14:paraId="0030D21F" w14:textId="77777777" w:rsidR="002530E2" w:rsidRDefault="002530E2">
      <w:pPr>
        <w:pStyle w:val="Heading4"/>
        <w:spacing w:before="0"/>
        <w:rPr>
          <w:color w:val="000000"/>
        </w:rPr>
      </w:pPr>
    </w:p>
    <w:p w14:paraId="6BF99F71" w14:textId="77777777" w:rsidR="002530E2" w:rsidRDefault="002530E2">
      <w:pPr>
        <w:pStyle w:val="Heading4"/>
        <w:spacing w:before="0"/>
        <w:rPr>
          <w:color w:val="FFFFFF"/>
        </w:rPr>
      </w:pPr>
      <w:r>
        <w:rPr>
          <w:color w:val="FFFFFF"/>
        </w:rPr>
        <w:t>TABLE OF CONTENT</w:t>
      </w:r>
    </w:p>
    <w:p w14:paraId="62669B05" w14:textId="77777777" w:rsidR="002530E2" w:rsidRDefault="002530E2">
      <w:pPr>
        <w:pBdr>
          <w:top w:val="nil"/>
          <w:left w:val="nil"/>
          <w:bottom w:val="nil"/>
          <w:right w:val="nil"/>
          <w:between w:val="nil"/>
        </w:pBdr>
        <w:rPr>
          <w:i/>
          <w:sz w:val="28"/>
          <w:szCs w:val="28"/>
        </w:rPr>
      </w:pPr>
      <w:r>
        <w:rPr>
          <w:rFonts w:ascii="Book Antiqua" w:eastAsia="Book Antiqua" w:hAnsi="Book Antiqua" w:cs="Book Antiqua"/>
          <w:sz w:val="28"/>
          <w:szCs w:val="28"/>
        </w:rPr>
        <w:t xml:space="preserve">TABLE OF CONTENT FOR CHAPTER 4 </w:t>
      </w:r>
      <w:r>
        <w:rPr>
          <w:rFonts w:ascii="Book Antiqua" w:eastAsia="Book Antiqua" w:hAnsi="Book Antiqua" w:cs="Book Antiqua"/>
          <w:i/>
          <w:sz w:val="28"/>
          <w:szCs w:val="28"/>
        </w:rPr>
        <w:t>(Part—</w:t>
      </w:r>
      <w:r>
        <w:rPr>
          <w:i/>
          <w:sz w:val="28"/>
          <w:szCs w:val="28"/>
        </w:rPr>
        <w:t>1</w:t>
      </w:r>
      <w:r>
        <w:rPr>
          <w:rFonts w:ascii="Book Antiqua" w:eastAsia="Book Antiqua" w:hAnsi="Book Antiqua" w:cs="Book Antiqua"/>
          <w:i/>
          <w:sz w:val="28"/>
          <w:szCs w:val="28"/>
        </w:rPr>
        <w:t>)</w:t>
      </w:r>
    </w:p>
    <w:sdt>
      <w:sdtPr>
        <w:id w:val="-718818592"/>
        <w:docPartObj>
          <w:docPartGallery w:val="Table of Contents"/>
          <w:docPartUnique/>
        </w:docPartObj>
      </w:sdtPr>
      <w:sdtContent>
        <w:p w14:paraId="1555EAE8" w14:textId="77777777" w:rsidR="002530E2" w:rsidRDefault="002530E2">
          <w:pPr>
            <w:widowControl w:val="0"/>
            <w:tabs>
              <w:tab w:val="right" w:leader="dot" w:pos="12000"/>
            </w:tabs>
            <w:spacing w:before="60" w:after="0" w:line="360" w:lineRule="auto"/>
            <w:rPr>
              <w:rFonts w:ascii="Arial" w:eastAsia="Arial" w:hAnsi="Arial" w:cs="Arial"/>
              <w:color w:val="1155CC"/>
            </w:rPr>
          </w:pPr>
          <w:r>
            <w:fldChar w:fldCharType="begin"/>
          </w:r>
          <w:r>
            <w:instrText xml:space="preserve"> TOC \h \u \z \t "Heading 1,1,Heading 2,2,Heading 3,3,Heading 5,5,Heading 6,6,"</w:instrText>
          </w:r>
          <w:r>
            <w:fldChar w:fldCharType="separate"/>
          </w:r>
          <w:hyperlink w:anchor="_heading=h.1fob9te">
            <w:r>
              <w:rPr>
                <w:rFonts w:ascii="Book Antiqua" w:eastAsia="Book Antiqua" w:hAnsi="Book Antiqua" w:cs="Book Antiqua"/>
                <w:color w:val="1155CC"/>
              </w:rPr>
              <w:t>CHAPTER INTRO</w:t>
            </w:r>
            <w:r>
              <w:rPr>
                <w:rFonts w:ascii="Book Antiqua" w:eastAsia="Book Antiqua" w:hAnsi="Book Antiqua" w:cs="Book Antiqua"/>
                <w:color w:val="1155CC"/>
              </w:rPr>
              <w:tab/>
              <w:t>288</w:t>
            </w:r>
          </w:hyperlink>
        </w:p>
        <w:p w14:paraId="1C2182D3"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3znysh7">
            <w:r>
              <w:rPr>
                <w:rFonts w:ascii="Book Antiqua" w:eastAsia="Book Antiqua" w:hAnsi="Book Antiqua" w:cs="Book Antiqua"/>
                <w:color w:val="1155CC"/>
              </w:rPr>
              <w:t>4.0 —  INTRODUCTION</w:t>
            </w:r>
            <w:r>
              <w:rPr>
                <w:rFonts w:ascii="Book Antiqua" w:eastAsia="Book Antiqua" w:hAnsi="Book Antiqua" w:cs="Book Antiqua"/>
                <w:color w:val="1155CC"/>
              </w:rPr>
              <w:tab/>
              <w:t>289</w:t>
            </w:r>
          </w:hyperlink>
        </w:p>
        <w:p w14:paraId="4CA4A980"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2et92p0">
            <w:r>
              <w:rPr>
                <w:rFonts w:ascii="Book Antiqua" w:eastAsia="Book Antiqua" w:hAnsi="Book Antiqua" w:cs="Book Antiqua"/>
                <w:color w:val="1155CC"/>
              </w:rPr>
              <w:t>4.1 —  RESEARCH NATURE</w:t>
            </w:r>
            <w:r>
              <w:rPr>
                <w:rFonts w:ascii="Book Antiqua" w:eastAsia="Book Antiqua" w:hAnsi="Book Antiqua" w:cs="Book Antiqua"/>
                <w:color w:val="1155CC"/>
              </w:rPr>
              <w:tab/>
              <w:t>292</w:t>
            </w:r>
          </w:hyperlink>
        </w:p>
        <w:p w14:paraId="64076CF6"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tyjcwt">
            <w:r>
              <w:rPr>
                <w:rFonts w:ascii="Book Antiqua" w:eastAsia="Book Antiqua" w:hAnsi="Book Antiqua" w:cs="Book Antiqua"/>
                <w:color w:val="1155CC"/>
              </w:rPr>
              <w:t>4.2 —  RESEARCH DESIGN</w:t>
            </w:r>
            <w:r>
              <w:rPr>
                <w:rFonts w:ascii="Book Antiqua" w:eastAsia="Book Antiqua" w:hAnsi="Book Antiqua" w:cs="Book Antiqua"/>
                <w:color w:val="1155CC"/>
              </w:rPr>
              <w:tab/>
              <w:t>293</w:t>
            </w:r>
          </w:hyperlink>
        </w:p>
        <w:p w14:paraId="0BEC14ED"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3dy6vkm">
            <w:r>
              <w:rPr>
                <w:rFonts w:ascii="Book Antiqua" w:eastAsia="Book Antiqua" w:hAnsi="Book Antiqua" w:cs="Book Antiqua"/>
                <w:color w:val="1155CC"/>
              </w:rPr>
              <w:t>4.3 —  RESEARCH PHILOSOPHY</w:t>
            </w:r>
            <w:r>
              <w:rPr>
                <w:rFonts w:ascii="Book Antiqua" w:eastAsia="Book Antiqua" w:hAnsi="Book Antiqua" w:cs="Book Antiqua"/>
                <w:color w:val="1155CC"/>
              </w:rPr>
              <w:tab/>
              <w:t>296</w:t>
            </w:r>
          </w:hyperlink>
        </w:p>
        <w:p w14:paraId="7AEB8FBA"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1t3h5sf">
            <w:r>
              <w:rPr>
                <w:rFonts w:ascii="Book Antiqua" w:eastAsia="Book Antiqua" w:hAnsi="Book Antiqua" w:cs="Book Antiqua"/>
                <w:color w:val="1155CC"/>
              </w:rPr>
              <w:t>4.4 —  RESEARCH APPROACH</w:t>
            </w:r>
            <w:r>
              <w:rPr>
                <w:rFonts w:ascii="Book Antiqua" w:eastAsia="Book Antiqua" w:hAnsi="Book Antiqua" w:cs="Book Antiqua"/>
                <w:color w:val="1155CC"/>
              </w:rPr>
              <w:tab/>
              <w:t>299</w:t>
            </w:r>
          </w:hyperlink>
        </w:p>
        <w:p w14:paraId="39F5C549"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2s8eyo1">
            <w:r>
              <w:rPr>
                <w:rFonts w:ascii="Book Antiqua" w:eastAsia="Book Antiqua" w:hAnsi="Book Antiqua" w:cs="Book Antiqua"/>
                <w:color w:val="1155CC"/>
              </w:rPr>
              <w:t>4.5 —  RESEARCH STRATEGY</w:t>
            </w:r>
            <w:r>
              <w:rPr>
                <w:rFonts w:ascii="Book Antiqua" w:eastAsia="Book Antiqua" w:hAnsi="Book Antiqua" w:cs="Book Antiqua"/>
                <w:color w:val="1155CC"/>
              </w:rPr>
              <w:tab/>
              <w:t>302</w:t>
            </w:r>
          </w:hyperlink>
        </w:p>
        <w:p w14:paraId="249E5EF5"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17dp8vu">
            <w:r>
              <w:rPr>
                <w:rFonts w:ascii="Book Antiqua" w:eastAsia="Book Antiqua" w:hAnsi="Book Antiqua" w:cs="Book Antiqua"/>
                <w:color w:val="1155CC"/>
              </w:rPr>
              <w:t>4.6 —  RESEARCH METHODICAL CHOICE</w:t>
            </w:r>
            <w:r>
              <w:rPr>
                <w:rFonts w:ascii="Book Antiqua" w:eastAsia="Book Antiqua" w:hAnsi="Book Antiqua" w:cs="Book Antiqua"/>
                <w:color w:val="1155CC"/>
              </w:rPr>
              <w:tab/>
              <w:t>304</w:t>
            </w:r>
          </w:hyperlink>
          <w:r>
            <w:fldChar w:fldCharType="end"/>
          </w:r>
        </w:p>
      </w:sdtContent>
    </w:sdt>
    <w:p w14:paraId="6AADA3E2" w14:textId="77777777" w:rsidR="002530E2" w:rsidRDefault="002530E2">
      <w:pPr>
        <w:pBdr>
          <w:top w:val="nil"/>
          <w:left w:val="nil"/>
          <w:bottom w:val="nil"/>
          <w:right w:val="nil"/>
          <w:between w:val="nil"/>
        </w:pBdr>
      </w:pPr>
    </w:p>
    <w:p w14:paraId="22750EDD" w14:textId="77777777" w:rsidR="002530E2" w:rsidRDefault="002530E2">
      <w:pPr>
        <w:pBdr>
          <w:top w:val="nil"/>
          <w:left w:val="nil"/>
          <w:bottom w:val="nil"/>
          <w:right w:val="nil"/>
          <w:between w:val="nil"/>
        </w:pBdr>
      </w:pPr>
    </w:p>
    <w:p w14:paraId="7FC7EE20" w14:textId="77777777" w:rsidR="002530E2" w:rsidRDefault="002530E2">
      <w:pPr>
        <w:pBdr>
          <w:top w:val="nil"/>
          <w:left w:val="nil"/>
          <w:bottom w:val="nil"/>
          <w:right w:val="nil"/>
          <w:between w:val="nil"/>
        </w:pBdr>
      </w:pPr>
    </w:p>
    <w:p w14:paraId="34074A85" w14:textId="77777777" w:rsidR="002530E2" w:rsidRDefault="002530E2">
      <w:pPr>
        <w:pBdr>
          <w:top w:val="nil"/>
          <w:left w:val="nil"/>
          <w:bottom w:val="nil"/>
          <w:right w:val="nil"/>
          <w:between w:val="nil"/>
        </w:pBdr>
      </w:pPr>
    </w:p>
    <w:p w14:paraId="16C2A4C3" w14:textId="77777777" w:rsidR="002530E2" w:rsidRDefault="002530E2">
      <w:pPr>
        <w:pBdr>
          <w:top w:val="nil"/>
          <w:left w:val="nil"/>
          <w:bottom w:val="nil"/>
          <w:right w:val="nil"/>
          <w:between w:val="nil"/>
        </w:pBdr>
      </w:pPr>
    </w:p>
    <w:p w14:paraId="44379B84" w14:textId="77777777" w:rsidR="002530E2" w:rsidRDefault="002530E2">
      <w:pPr>
        <w:pBdr>
          <w:top w:val="nil"/>
          <w:left w:val="nil"/>
          <w:bottom w:val="nil"/>
          <w:right w:val="nil"/>
          <w:between w:val="nil"/>
        </w:pBdr>
      </w:pPr>
    </w:p>
    <w:p w14:paraId="2455E628" w14:textId="77777777" w:rsidR="002530E2" w:rsidRDefault="002530E2">
      <w:pPr>
        <w:pBdr>
          <w:top w:val="nil"/>
          <w:left w:val="nil"/>
          <w:bottom w:val="nil"/>
          <w:right w:val="nil"/>
          <w:between w:val="nil"/>
        </w:pBd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437ABEC9"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0E6B3FC9" w14:textId="77777777" w:rsidR="002530E2" w:rsidRDefault="002530E2">
            <w:pPr>
              <w:pStyle w:val="Heading1"/>
              <w:widowControl w:val="0"/>
              <w:spacing w:before="0" w:after="0" w:line="240" w:lineRule="auto"/>
              <w:jc w:val="center"/>
            </w:pPr>
            <w:r>
              <w:t>CHAPTER INTRO</w:t>
            </w:r>
          </w:p>
        </w:tc>
      </w:tr>
    </w:tbl>
    <w:p w14:paraId="56F60AC5" w14:textId="77777777" w:rsidR="002530E2" w:rsidRDefault="002530E2">
      <w:pPr>
        <w:pBdr>
          <w:top w:val="nil"/>
          <w:left w:val="nil"/>
          <w:bottom w:val="nil"/>
          <w:right w:val="nil"/>
          <w:between w:val="nil"/>
        </w:pBdr>
        <w:spacing w:after="0"/>
        <w:jc w:val="center"/>
      </w:pPr>
    </w:p>
    <w:p w14:paraId="38081B08" w14:textId="77777777" w:rsidR="002530E2" w:rsidRDefault="002530E2">
      <w:pPr>
        <w:pBdr>
          <w:top w:val="nil"/>
          <w:left w:val="nil"/>
          <w:bottom w:val="nil"/>
          <w:right w:val="nil"/>
          <w:between w:val="nil"/>
        </w:pBdr>
        <w:spacing w:after="0"/>
        <w:jc w:val="center"/>
      </w:pPr>
      <w:r>
        <w:rPr>
          <w:rFonts w:ascii="Book Antiqua" w:eastAsia="Book Antiqua" w:hAnsi="Book Antiqua" w:cs="Book Antiqua"/>
        </w:rPr>
        <w:t>“Research is what I’m doing when I don’t know what I’m doing.“</w:t>
      </w:r>
    </w:p>
    <w:p w14:paraId="2A01D83A" w14:textId="77777777" w:rsidR="002530E2" w:rsidRDefault="002530E2">
      <w:pPr>
        <w:pBdr>
          <w:top w:val="nil"/>
          <w:left w:val="nil"/>
          <w:bottom w:val="nil"/>
          <w:right w:val="nil"/>
          <w:between w:val="nil"/>
        </w:pBdr>
        <w:spacing w:after="0" w:line="240" w:lineRule="auto"/>
        <w:jc w:val="center"/>
      </w:pPr>
      <w:r>
        <w:rPr>
          <w:rFonts w:ascii="Book Antiqua" w:eastAsia="Book Antiqua" w:hAnsi="Book Antiqua" w:cs="Book Antiqua"/>
          <w:i/>
          <w:sz w:val="18"/>
          <w:szCs w:val="18"/>
        </w:rPr>
        <w:t>— Werner Heisenberg, 1901-1976 (Heisenberg, 1958)</w:t>
      </w:r>
    </w:p>
    <w:p w14:paraId="23D0E624" w14:textId="77777777" w:rsidR="002530E2" w:rsidRDefault="002530E2">
      <w:pPr>
        <w:pBdr>
          <w:top w:val="nil"/>
          <w:left w:val="nil"/>
          <w:bottom w:val="nil"/>
          <w:right w:val="nil"/>
          <w:between w:val="nil"/>
        </w:pBdr>
        <w:spacing w:after="0" w:line="240" w:lineRule="auto"/>
        <w:rPr>
          <w:i/>
          <w:sz w:val="18"/>
          <w:szCs w:val="18"/>
        </w:rPr>
      </w:pPr>
    </w:p>
    <w:p w14:paraId="2019A7FB" w14:textId="77777777" w:rsidR="002530E2" w:rsidRDefault="002530E2">
      <w:pPr>
        <w:pBdr>
          <w:top w:val="nil"/>
          <w:left w:val="nil"/>
          <w:bottom w:val="nil"/>
          <w:right w:val="nil"/>
          <w:between w:val="nil"/>
        </w:pBdr>
        <w:spacing w:after="0" w:line="240" w:lineRule="auto"/>
        <w:rPr>
          <w:i/>
          <w:sz w:val="18"/>
          <w:szCs w:val="18"/>
        </w:rPr>
      </w:pPr>
    </w:p>
    <w:p w14:paraId="134E04CE" w14:textId="77777777" w:rsidR="002530E2" w:rsidRDefault="002530E2">
      <w:r>
        <w:t>The methodology chapter is a crucial component of this research, offering readers a comprehensive understanding of the research approach, design, and procedures employed to investigate cross-cultural blunders by MNCs operating in Muslim-majority countries. This chapter acts as a guide, providing a roadmap to navigate the subsequent sections and comprehend the methodology adopted in this study.</w:t>
      </w:r>
    </w:p>
    <w:p w14:paraId="331B044A" w14:textId="77777777" w:rsidR="002530E2" w:rsidRDefault="002530E2">
      <w:r>
        <w:t>This chapter clarifies the research nature of this study. The aim is to delve into the complexities of cross-cultural blunders and gain a deeper understanding of their underlying factors. The research seeks to generate initial insights and ideas through this exploratory approach, paving the way for further research and knowledge. The introduction provides context for this investigation’s research design and methodology.</w:t>
      </w:r>
    </w:p>
    <w:p w14:paraId="2E80603A" w14:textId="77777777" w:rsidR="002530E2" w:rsidRDefault="002530E2">
      <w:r>
        <w:t>Furthermore, the introduction highlights the qualitative research design adopted in this study. This choice enables the researcher to explore cross-cultural blunders in-depth, capturing the nuances and complexities inherent in these interactions. Qualitative research offers a rich and detailed exploration of the subject matter, mainly when the goal is to understand unknown phenomena and generate new theories. By employing a qualitative design, the study aims to uncover valuable insights into cross-cultural blunders by MNCs operating in Muslim-majority countries.</w:t>
      </w:r>
    </w:p>
    <w:p w14:paraId="0DF866A4" w14:textId="77777777" w:rsidR="002530E2" w:rsidRDefault="002530E2">
      <w:r>
        <w:t>This chapter delivers an outline of the methodology chapter and its significance in investigating cross-cultural blunders by MNCs. It sets the stage for the subsequent sections by emphasising the importance of a systematic and comprehensive approach, defining the exploratory nature of the research, and highlighting the qualitative research design chosen for this study. With this foundation in place, readers can delve into the detailed methodology that follows, gaining a deeper understanding of the research process and its implications for cross-cultural interactions in MNCs operating in Muslim-majority countries.</w:t>
      </w:r>
    </w:p>
    <w:p w14:paraId="0D8665B1" w14:textId="77777777" w:rsidR="002530E2" w:rsidRDefault="002530E2">
      <w:pPr>
        <w:pStyle w:val="Heading1"/>
        <w:rPr>
          <w:sz w:val="2"/>
          <w:szCs w:val="2"/>
        </w:rPr>
      </w:pPr>
      <w:bookmarkStart w:id="39" w:name="_heading=h.l6909ati0uz" w:colFirst="0" w:colLast="0"/>
      <w:bookmarkEnd w:id="39"/>
    </w:p>
    <w:p w14:paraId="77F7EF0B" w14:textId="77777777" w:rsidR="002530E2" w:rsidRDefault="002530E2">
      <w:pPr>
        <w:pStyle w:val="Heading1"/>
      </w:pPr>
      <w:r>
        <w:t>4.0 —  INTRODUCTION</w:t>
      </w:r>
    </w:p>
    <w:p w14:paraId="7D9A7E97" w14:textId="77777777" w:rsidR="002530E2" w:rsidRDefault="002530E2">
      <w:r>
        <w:t>The methodology chapter of this study provides a detailed overview of the research approach, design, and procedures employed to investigate cross-cultural blunders by MNCs operating in Muslim-majority and minority countries between 2010 and 2020. This introduction sets the stage by presenting critical aspects related to the research nature, research philosophy, research design, research approach, research strategy, methodical research choice, time horizons, data sampling technique, type of data collected, data collection sources, data collection technique, type of data analysed, data analysis technique, triangulation in data collection and analysis, validation and reliability of findings, credibility of results, and ethical issues and considerations. More details on each of these aspects follow in the subsequent sections of this chapter.</w:t>
      </w:r>
    </w:p>
    <w:p w14:paraId="2AF761F7" w14:textId="77777777" w:rsidR="002530E2" w:rsidRDefault="002530E2">
      <w:r>
        <w:t xml:space="preserve">The research nature of this study was primarily exploratory, aiming to explore the factors contributing to cross-cultural blunders and describe their consequences in the context of MNCs operating in Muslim-majority and minority countries. The study adopted a qualitative research design to analyse cross-cultural blunders comprehensively, understand their implications, and </w:t>
      </w:r>
      <w:r>
        <w:lastRenderedPageBreak/>
        <w:t>explore strategies for effective engagement. The following sections will discuss the nature of the research and the qualitative research design.</w:t>
      </w:r>
    </w:p>
    <w:p w14:paraId="6F7604FD" w14:textId="77777777" w:rsidR="002530E2" w:rsidRDefault="002530E2">
      <w:r>
        <w:t>The research philosophy of cultural relativism was employed, recognising the diversity of cultures and their unique value systems and facilitating an understanding within specific cultural contexts. The adoption of cultural relativism as the research philosophy will be further elaborated upon in the subsequent sections, providing a deeper understanding of its implications for the study.</w:t>
      </w:r>
    </w:p>
    <w:p w14:paraId="1DAA49F6" w14:textId="77777777" w:rsidR="002530E2" w:rsidRDefault="002530E2">
      <w:r>
        <w:t>The research design of this study employed a qualitative approach to gain in-depth insights into cross-cultural blunders. The author's use of qualitative methods allowed for thoroughly exploring the subject matter, contributing to developing new theories and initial insights. The forthcoming sections will discuss more details on the qualitative research design and its suitability for the study objectives. The author employed an inductive qualitative research approach and grounded theory as research strategies in this study. These methods were selected because they enabled him to explore his research topic comprehensively, collecting relevant data and insights. Inductive qualitative research can be invaluable when research questions are unstructured or unclear, as it allows a flexible yet iterative approach to data analysis. A grounded theory provides a practical, systematic method of data analysis that generates theories or explanations from the collected information. Together, these methods form a research approach that ensures the findings' validity and reliability.</w:t>
      </w:r>
    </w:p>
    <w:p w14:paraId="28E41326" w14:textId="77777777" w:rsidR="002530E2" w:rsidRDefault="002530E2">
      <w:r>
        <w:t>The research method chosen for this study was qualitative document analysis, which involved a detailed review and analysis of diverse document types. To gather information on the causes of cross-cultural mistakes, we carefully examined a range of sources, including academic journals, news articles, government reports, incident reports, social media posts, online forums, and corporate documents. More details on the qualitative document analysis method and its implementation in this study will be provided in subsequent sections, offering a comprehensive understanding of the data collection process.</w:t>
      </w:r>
    </w:p>
    <w:p w14:paraId="50BF55CC" w14:textId="77777777" w:rsidR="002530E2" w:rsidRDefault="002530E2">
      <w:r>
        <w:t>The decision to use secondary data sources was valid because it allowed for a more comprehensive analysis, efficient use of resources, and the ability to study historical trends and patterns. The rationale behind using secondary data and its implications for the study findings will be discussed in detail in the upcoming sections, providing a comprehensive perspective on the data collection process.</w:t>
      </w:r>
    </w:p>
    <w:p w14:paraId="574B4767" w14:textId="77777777" w:rsidR="002530E2" w:rsidRDefault="002530E2">
      <w:r>
        <w:t>The data collection technique employed was document review, which allowed for a systematic analysis of relevant records to determine themes and patterns related to cross-cultural blunders. Thematic analysis was used as the data analysis technique to identify key themes and concepts, providing valuable insights for MNCs to avoid similar blunders and promote successful cross-cultural interactions. Detailed information on the data collection technique and data analysis approach will be presented in subsequent sections, shedding light on the analytical process.</w:t>
      </w:r>
    </w:p>
    <w:p w14:paraId="7DFF2184" w14:textId="77777777" w:rsidR="002530E2" w:rsidRDefault="002530E2">
      <w:r>
        <w:t xml:space="preserve">The use of triangulation, both in data collection and analysis, significantly strengthened the validity, reliability, and credibility of the research findings. Incorporating diverse data sources and methods ensured a comprehensive understanding of cross-cultural blunders and reduced bias. They increased the conclusions’ robustness. The following paragraphs explain the application of triangulation in this research and its impact on the final analysis. The credibility of the results was enhanced through triangulation and involving multiple researchers, reducing individual bias and subjectivity. </w:t>
      </w:r>
    </w:p>
    <w:p w14:paraId="3FB5C2C2" w14:textId="77777777" w:rsidR="002530E2" w:rsidRDefault="002530E2">
      <w:r>
        <w:lastRenderedPageBreak/>
        <w:t>Ethical considerations were given utmost importance throughout the study, with the utilisation of secondary data analysis minimising ethical challenges and the researcher upholding principles of privacy, confidentiality, and the well-being of individuals. The discussion on the credibility of the results and the ethical considerations undertaken in this study will be provided in subsequent sections, ensuring a comprehensive understanding of these aspects.</w:t>
      </w:r>
    </w:p>
    <w:p w14:paraId="3AFD656B" w14:textId="77777777" w:rsidR="002530E2" w:rsidRDefault="002530E2">
      <w:r>
        <w:t xml:space="preserve">By presenting a comprehensive overview of the methodology employed in this study, this chapter provides a solid foundation for the subsequent sections. It offers a roadmap to understand the research approach, design, and procedures undertaken, ultimately contributing to the credibility and reliability of the study’s findings. </w:t>
      </w:r>
    </w:p>
    <w:p w14:paraId="262884A7" w14:textId="77777777" w:rsidR="002530E2" w:rsidRDefault="002530E2">
      <w:r>
        <w:t xml:space="preserve">The meticulous consideration of research nature, philosophy, design, approach, strategy, data collection, analysis techniques, and the application of triangulation and ethical considerations ensures a rigorous and comprehensive investigation of cross-cultural blunders in the context of MNCs operating in Muslim-majority and minority countries. </w:t>
      </w:r>
    </w:p>
    <w:p w14:paraId="7B75B8C8" w14:textId="77777777" w:rsidR="002530E2" w:rsidRDefault="002530E2">
      <w:r>
        <w:t>The subsequent sections will delve deeper into each of these aspects, providing a detailed and insightful exploration of the research methodology employed in this study.</w:t>
      </w:r>
    </w:p>
    <w:p w14:paraId="6E3EC0BF" w14:textId="77777777" w:rsidR="002530E2" w:rsidRDefault="002530E2">
      <w:pPr>
        <w:pStyle w:val="Heading1"/>
      </w:pPr>
      <w:bookmarkStart w:id="40" w:name="_heading=h.phwxcgdh6rg3" w:colFirst="0" w:colLast="0"/>
      <w:bookmarkEnd w:id="40"/>
      <w:r>
        <w:br w:type="page"/>
      </w:r>
    </w:p>
    <w:p w14:paraId="78755565" w14:textId="77777777" w:rsidR="002530E2" w:rsidRDefault="002530E2">
      <w:pPr>
        <w:pStyle w:val="Heading1"/>
      </w:pPr>
      <w:r>
        <w:lastRenderedPageBreak/>
        <w:t xml:space="preserve">4.1 —  RESEARCH NATURE </w:t>
      </w:r>
    </w:p>
    <w:p w14:paraId="485A0731" w14:textId="77777777" w:rsidR="002530E2" w:rsidRDefault="002530E2">
      <w:r>
        <w:t>The nature of this research was primarily exploratory, with a secondary descriptive component. The study aimed to investigate and understand the phenomenon of cross-cultural blunders by MNCs in Muslim-majority and minority countries, providing valuable insights and recommendations for improving intercultural communication and engagement.</w:t>
      </w:r>
    </w:p>
    <w:p w14:paraId="40D2B440" w14:textId="77777777" w:rsidR="002530E2" w:rsidRDefault="002530E2">
      <w:r>
        <w:t>The exploratory aspect of this study involved delving into unknown phenomena and generating initial insights and ideas (Creswell, 2014). Specifically, the research examined controversial cross-cultural blunders by MNCs concerning Muslims worldwide, seeking to uncover and understand these blunders, including their causes and consequences.</w:t>
      </w:r>
    </w:p>
    <w:p w14:paraId="6E59BFBB" w14:textId="77777777" w:rsidR="002530E2" w:rsidRDefault="002530E2">
      <w:r>
        <w:t>While the study also included a descriptive component by documenting and presenting a comprehensive compendium of incident reports that exposed cross-cultural blunders between MNCs and Muslims, the primary nature of the research remained exploratory. Descriptive research aims to accurately portray the subject under investigation without explaining causal relationships (Saunders et al., 2019). However, in this study, the emphasis was more on exploring the phenomenon than solely describing it.</w:t>
      </w:r>
    </w:p>
    <w:p w14:paraId="041D69E4" w14:textId="77777777" w:rsidR="002530E2" w:rsidRDefault="002530E2">
      <w:r>
        <w:t>The nature of this study’s research was primarily exploratory, with a secondary descriptive component. It aimed to explore the factors contributing to cross-cultural blunders and describe their consequences in the context of MNCs operating in Muslim-majority and minority countries between 2010 and 2020. The study did not adopt a correlational or causal-comparative approach.</w:t>
      </w:r>
    </w:p>
    <w:p w14:paraId="7773F42A" w14:textId="77777777" w:rsidR="002530E2" w:rsidRDefault="002530E2">
      <w:r>
        <w:t>It is important to note that this study did not aim to establish causal relationships or provide explanatory insights. Instead, the focus was on exploring and understanding the phenomenon of cross-cultural blunders in the context of MNCs and Muslim-majority and minority countries. This research generated valuable insights and recommendations to improve intercultural communication and engagement in such settings.</w:t>
      </w:r>
    </w:p>
    <w:p w14:paraId="366AF322" w14:textId="77777777" w:rsidR="002530E2" w:rsidRDefault="002530E2">
      <w:r>
        <w:t>Overall, this study contributed to the existing literature by shedding light on MNCs’ complexities and challenges in their cross-cultural interactions with Muslim populations. The findings emphasised the significance of cultural sensitivity, understanding, and adaptation in avoiding blunders and building successful relationships.</w:t>
      </w:r>
    </w:p>
    <w:p w14:paraId="3FFE2D34" w14:textId="77777777" w:rsidR="002530E2" w:rsidRDefault="002530E2">
      <w:r>
        <w:t>In the future, researchers can expand on the knowledge gained from this study by examining more closely the cultural aspects and contexts within both majority and minority Muslim countries. Additionally, investigating the effectiveness of intercultural training programmes for MNC employees could provide practical guidance for organisations seeking to enhance their cross-cultural competence.</w:t>
      </w:r>
    </w:p>
    <w:p w14:paraId="1518F32B" w14:textId="77777777" w:rsidR="002530E2" w:rsidRDefault="002530E2">
      <w:r>
        <w:t xml:space="preserve">In conclusion, this research demonstrated the importance of recognising and addressing cross-cultural blunders in the context of MNCs and Muslim-majority and minority countries. By promoting intercultural understanding and effective communication, organisations can foster mutually beneficial relationships and successfully navigate the complexities of operating in diverse cultural environments. </w:t>
      </w:r>
    </w:p>
    <w:p w14:paraId="793572D6" w14:textId="77777777" w:rsidR="002530E2" w:rsidRDefault="002530E2">
      <w:pPr>
        <w:pStyle w:val="Heading1"/>
      </w:pPr>
      <w:r>
        <w:lastRenderedPageBreak/>
        <w:t>4.2 —  RESEARCH DESIGN</w:t>
      </w:r>
    </w:p>
    <w:p w14:paraId="1283811E" w14:textId="77777777" w:rsidR="002530E2" w:rsidRDefault="002530E2">
      <w:r>
        <w:t>This study’s research design adopts a qualitative approach to comprehensively analyse cross-cultural blunders and their consequences and explore strategies for effective engagement in Muslim majority and minority countries. Using qualitative research methods allows for an in-depth exploration and understanding of the subject matter, mainly when exploring unknown phenomena and generating initial insights and ideas (Creswell, 2014).</w:t>
      </w:r>
    </w:p>
    <w:p w14:paraId="59FD1BA9" w14:textId="77777777" w:rsidR="002530E2" w:rsidRDefault="002530E2">
      <w:r>
        <w:t>Gathering data adopted document review in this study from secondary sources as the primary data collection method. Yin (2018) supports this approach, emphasising the importance of using secondary sources to gain historical context, examine multiple cases, and capture a broad range of perspectives. The document review method enables a comprehensive analysis of cross-cultural blunders by drawing upon diverse sources such as case studies, incident reports, and scholarly articles. This approach contributes to a thorough understanding of the phenomenon under investigation.</w:t>
      </w:r>
    </w:p>
    <w:p w14:paraId="5E1B1256" w14:textId="77777777" w:rsidR="002530E2" w:rsidRDefault="002530E2">
      <w:r>
        <w:t>The data collection for this study focuses on the period between 2010 and 2020, encompassing cross-cultural blunders by MNCs in Muslim majority and minority countries during this timeframe. The literature reviewed and analysed predominantly dates back to this period, ensuring a comprehensive understanding of the phenomenon within the specified time frame.</w:t>
      </w:r>
    </w:p>
    <w:p w14:paraId="4F9B5551" w14:textId="77777777" w:rsidR="002530E2" w:rsidRDefault="002530E2">
      <w:r>
        <w:t>By employing a qualitative research design, utilising document review as the primary data collection method, and focusing on the timeline between 2010 and 2020, this study benefits from the advantages of qualitative research in examining the complexities of cross-cultural blunders. This timeline’s comprehensive analysis of secondary sources contributes to a robust understanding of the phenomenon during the specified period.</w:t>
      </w:r>
    </w:p>
    <w:p w14:paraId="1524E9BB" w14:textId="77777777" w:rsidR="002530E2" w:rsidRDefault="002530E2">
      <w:r>
        <w:t>The qualitative approach was chosen for this study’s research design as it is well-suited to address the four research questions in focus.</w:t>
      </w:r>
    </w:p>
    <w:p w14:paraId="44277497" w14:textId="77777777" w:rsidR="002530E2" w:rsidRDefault="002530E2">
      <w:r>
        <w:t xml:space="preserve">The qualitative approach was chosen for this study’s research design as it is well-suited to address the four main research questions in focus. </w:t>
      </w:r>
    </w:p>
    <w:p w14:paraId="38B08D89" w14:textId="77777777" w:rsidR="002530E2" w:rsidRDefault="002530E2">
      <w:r>
        <w:t>Here is a justification for how a qualitative research design can effectively address each question:</w:t>
      </w:r>
    </w:p>
    <w:p w14:paraId="6832A1F3" w14:textId="77777777" w:rsidR="002530E2" w:rsidRDefault="002530E2">
      <w:r>
        <w:t>Justification for MRQ 1 (“What were the most prevalent cross-cultural blunder types perpetrated by MNCs in Muslim-majority and minority countries between 2010 and 2020 that upset Muslims?“):</w:t>
      </w:r>
    </w:p>
    <w:p w14:paraId="797BD7AB" w14:textId="77777777" w:rsidR="002530E2" w:rsidRDefault="002530E2">
      <w:r>
        <w:t>The qualitative research approach is well-suited to addressing this question as it allows for an in-depth exploration of the phenomena and the generation of rich and detailed insights (Eriksson &amp; Kovalainen, 2015). By critically reviewing previous studies and incident reports, the study can identify and understand MNCs’ most prevalent cross-cultural blunders in Muslim-majority and minority countries. This approach enables the collection of detailed narratives, experiences, and perspectives, providing a comprehensive understanding of the nature and context of these blunders (Creswell, 2013).</w:t>
      </w:r>
    </w:p>
    <w:p w14:paraId="1F0DA6A5" w14:textId="77777777" w:rsidR="002530E2" w:rsidRDefault="002530E2">
      <w:r>
        <w:t>Justification for MRQ 2 (“What were the consequences experienced by Muslim consumers as a result of these cross-cultural blunders?“):</w:t>
      </w:r>
    </w:p>
    <w:p w14:paraId="69BED497" w14:textId="77777777" w:rsidR="002530E2" w:rsidRDefault="002530E2">
      <w:r>
        <w:lastRenderedPageBreak/>
        <w:t>Qualitative research is well-suited to exploring and understanding complex phenomena, such as cross-cultural blunders and their consequences. By critically reviewing previous studies and incident reports, the study can gather detailed information about the experiences and impacts of these blunders on Muslim consumers. This method allows for the collection of rich, contextualised data that captures the nuances and intricacies of the consequences, providing a comprehensive understanding of the effects on Muslim consumers (Creswell, 2013).</w:t>
      </w:r>
    </w:p>
    <w:p w14:paraId="58EE9E17" w14:textId="77777777" w:rsidR="002530E2" w:rsidRDefault="002530E2">
      <w:r>
        <w:t>Justification for MRQ 3 (“In what ways have these cross-cultural blunders impacted the MNCs operating in these host countries?“):</w:t>
      </w:r>
    </w:p>
    <w:p w14:paraId="5533AE26" w14:textId="77777777" w:rsidR="002530E2" w:rsidRDefault="002530E2">
      <w:r>
        <w:t>The qualitative research approach is valuable in exploring and understanding the impacts of cross-cultural blunders on various aspects of MNCs’ operations. By critically reviewing previous studies and incident reports, the study can gather detailed information about the experiences and perspectives of MNCs operating in Muslim-majority and minority countries. This approach allows for a comprehensive exploration of the impacts on business relationships, reputations, and financial performance, capturing the complexities and contextual factors involved (Creswell, 2013).</w:t>
      </w:r>
    </w:p>
    <w:p w14:paraId="3AACC0D2" w14:textId="77777777" w:rsidR="002530E2" w:rsidRDefault="002530E2">
      <w:r>
        <w:t>Justification for MRQ 4 (“What proactive strategies could MNCs adopt to prevent cross-cultural blunders and effectively engage with Muslim consumers in these markets, considering the lessons learned from recent incidents?“)</w:t>
      </w:r>
    </w:p>
    <w:p w14:paraId="106E0A0A" w14:textId="77777777" w:rsidR="002530E2" w:rsidRDefault="002530E2">
      <w:r>
        <w:t>The qualitative research approach is valuable in exploring strategies, best practices, and recommendations. By conducting document analysis and gathering insights from stakeholders such as MNCs, experts, and consumers, the study can comprehensively understand the strategies that have successfully prevented cross-cultural blunders and effectively engaged with Muslim consumers. The qualitative approach allows for exploring contextual factors and identifying nuanced and context-specific strategies that MNCs can adopt, considering the lessons learned from recent incidents (Corbin &amp; Strauss, 2008).</w:t>
      </w:r>
    </w:p>
    <w:p w14:paraId="6883DBA0" w14:textId="77777777" w:rsidR="002530E2" w:rsidRDefault="002530E2">
      <w:r>
        <w:t>Overall, the qualitative research design adopted in this study enables an in-depth exploration of the research questions, capturing rich and detailed data to understand the prevalent cross-cultural blunders, their consequences, and the strategies to prevent them. The qualitative approach provides a comprehensive and contextualised understanding of the phenomena under investigation, allowing for nuanced analysis and practical recommendations for MNCs operating in Muslim-majority and minority countries.</w:t>
      </w:r>
    </w:p>
    <w:p w14:paraId="258D7998" w14:textId="77777777" w:rsidR="002530E2" w:rsidRDefault="002530E2">
      <w:pPr>
        <w:pStyle w:val="Heading1"/>
        <w:rPr>
          <w:sz w:val="2"/>
          <w:szCs w:val="2"/>
        </w:rPr>
      </w:pPr>
      <w:bookmarkStart w:id="41" w:name="_heading=h.71ja72a83tud" w:colFirst="0" w:colLast="0"/>
      <w:bookmarkEnd w:id="41"/>
    </w:p>
    <w:p w14:paraId="3F7E8859" w14:textId="77777777" w:rsidR="002530E2" w:rsidRDefault="002530E2">
      <w:pPr>
        <w:pStyle w:val="Heading1"/>
      </w:pPr>
      <w:r>
        <w:t>4.3 —  RESEARCH PHILOSOPHY</w:t>
      </w:r>
    </w:p>
    <w:p w14:paraId="744186C9" w14:textId="77777777" w:rsidR="002530E2" w:rsidRDefault="002530E2">
      <w:r>
        <w:t>The research philosophy adopted for this study was cultural relativism, which justified the selection of a cultural relativist perspective to understand cross-cultural blunders by MNCs in Muslim majority and minority countries, their consequences for the MNCs, and strategies to avoid such blunders and effectively engage with Muslim consumers. By adopting cultural relativism, the study recognised the diversity of cultures and their unique value systems, facilitating an understanding within specific cultural contexts, aligning with ethical research principles, and enabling a nuanced examination of cultural dynamics.</w:t>
      </w:r>
    </w:p>
    <w:p w14:paraId="10DCBFAA" w14:textId="77777777" w:rsidR="002530E2" w:rsidRDefault="002530E2">
      <w:r>
        <w:rPr>
          <w:i/>
        </w:rPr>
        <w:lastRenderedPageBreak/>
        <w:t>Cultural relativism</w:t>
      </w:r>
      <w:r>
        <w:t xml:space="preserve"> is a philosophical perspective that acknowledges and respects the diversity of cultures and their unique value systems (Geertz, 1973; Said, 1979; Douglas, 1970). It emphasises understanding and evaluating cultural practices, norms, and values within their specific context rather than imposing one's cultural standards as a universal yardstick. Cultural relativism is particularly relevant because the study focuses on cross-cultural blunders in Muslim markets.</w:t>
      </w:r>
    </w:p>
    <w:p w14:paraId="7FB18CEF" w14:textId="77777777" w:rsidR="002530E2" w:rsidRDefault="002530E2">
      <w:r>
        <w:t>By adopting a cultural relativist perspective, this study recognises the importance of understanding Muslim consumers’ cultural nuances, practices, and expectations in their market contexts. It acknowledges that what may be considered acceptable or appropriate in one cultural setting may not necessarily hold in another. Therefore, to comprehend and analyse cross-cultural blunders, it is crucial to appreciate the diversity of cultural perspectives and avoid imposing a singular cultural lens on the analysis.</w:t>
      </w:r>
    </w:p>
    <w:p w14:paraId="5978A528" w14:textId="77777777" w:rsidR="002530E2" w:rsidRDefault="002530E2">
      <w:r>
        <w:t>Additionally, cultural relativism aligns with the principles of ethical research as it promotes a non-judgmental and unbiased approach to understanding cultural differences. It encourages researchers to respect and value the perspectives and experiences of individuals from different cultures, recognising that historical, social, and economic factors shape cultural practices.</w:t>
      </w:r>
    </w:p>
    <w:p w14:paraId="0464E4F3" w14:textId="77777777" w:rsidR="002530E2" w:rsidRDefault="002530E2">
      <w:r>
        <w:t>In the context of this study, cultural relativism allows for an in-depth exploration of the cultural dynamics between MNCs and Muslim consumers. It enables a nuanced examination of the consequences of cross-cultural blunders on MNCs’ business relationships, reputation, and bottom line while considering the cultural context in which these blunders occur. By employing a cultural relativist approach, the study can provide insights and recommendations sensitive to Muslim consumers’ specific cultural values and expectations.</w:t>
      </w:r>
    </w:p>
    <w:p w14:paraId="2DAFE398" w14:textId="77777777" w:rsidR="002530E2" w:rsidRDefault="002530E2">
      <w:r>
        <w:t>Geertz (1973), an influential anthropologist, developed the concept of “thick description “in his work. He argued that understanding culture requires deeply exploring its symbols, meanings, and social context. This concept aligns with cultural relativism as it emphasises the importance of comprehending cultural practices within their specific context.</w:t>
      </w:r>
    </w:p>
    <w:p w14:paraId="4FBB033A" w14:textId="77777777" w:rsidR="002530E2" w:rsidRDefault="002530E2">
      <w:r>
        <w:t>Said’s (1979) theory of Orientalism sheds light on how Western societies tend to view and represent non-Western cultures. His work emphasises the need to challenge stereotypes and biases when studying and engaging with different cultures. This perspective resonates with the principles of cultural relativism by encouraging a critical examination of cultural assumptions and promoting a more balanced understanding.</w:t>
      </w:r>
    </w:p>
    <w:p w14:paraId="5477AD13" w14:textId="77777777" w:rsidR="002530E2" w:rsidRDefault="002530E2">
      <w:r>
        <w:t>Douglas (1970), a renowned social anthropologist, proposed the theory of cultural grid and group, highlighting how cultural norms and values shape human behaviour and its role. According to her theory, culture shapes people’s behaviour, and it is essential to consider that cultural context when interpreting their actions. This theory aligns with cultural relativism by emphasising the significance of cultural perspectives in interpreting human behaviour.</w:t>
      </w:r>
    </w:p>
    <w:p w14:paraId="0E37860D" w14:textId="77777777" w:rsidR="002530E2" w:rsidRDefault="002530E2">
      <w:r>
        <w:t>The cultural relativism philosophy suits this study as it aligns with the research questions, promotes understanding and respect for cultural diversity, and enables a comprehensive analysis of cross-cultural blunders in Muslim markets.</w:t>
      </w:r>
    </w:p>
    <w:p w14:paraId="031E5387" w14:textId="77777777" w:rsidR="002530E2" w:rsidRDefault="002530E2">
      <w:r>
        <w:t>This study’s findings effectively addressed the research questions by adopting a cultural relativist philosophy. It allowed for a deeper understanding and appreciation of different cultural perspectives, ultimately enhancing the overall interpretation of the results.</w:t>
      </w:r>
    </w:p>
    <w:p w14:paraId="3D771B5D" w14:textId="77777777" w:rsidR="002530E2" w:rsidRDefault="002530E2">
      <w:r>
        <w:lastRenderedPageBreak/>
        <w:t>Here is a justification for how a cultural relativist perspective contributed to the understanding and analysis of each research question:</w:t>
      </w:r>
    </w:p>
    <w:p w14:paraId="1D6196E8" w14:textId="77777777" w:rsidR="002530E2" w:rsidRDefault="002530E2">
      <w:r>
        <w:t>Justification for MRQ 1 (“What were the most prevalent cross-cultural blunder types perpetrated by MNCs in Muslim-majority and minority countries between 2010 and 2020 that upset Muslims?“):</w:t>
      </w:r>
    </w:p>
    <w:p w14:paraId="43E6FDC6" w14:textId="77777777" w:rsidR="002530E2" w:rsidRDefault="002530E2">
      <w:r>
        <w:t>A cultural relativist philosophy acknowledges the diversity of cultures and their unique value systems. By adopting this perspective, the study explored the specific cultural contexts where MNCs operated and identified blunders due to a lack of understanding or sensitivity towards Muslim culture. Cultural relativism emphasises the importance of comprehending cultural practices within their specific context, allowing for a comprehensive examination of the prevalent cross-cultural blunders of MNCs in Muslim-majority and minority countries.</w:t>
      </w:r>
    </w:p>
    <w:p w14:paraId="0FA27750" w14:textId="77777777" w:rsidR="002530E2" w:rsidRDefault="002530E2">
      <w:r>
        <w:t>Justification for MRQ 2 (“What were the consequences experienced by Muslim consumers as a result of these cross-cultural blunders?“):</w:t>
      </w:r>
    </w:p>
    <w:p w14:paraId="66C7FE7E" w14:textId="77777777" w:rsidR="002530E2" w:rsidRDefault="002530E2">
      <w:r>
        <w:t>Cultural relativism allowed for a non-judgmental and unbiased approach to understanding cultural differences. By adopting this philosophy, the study evaluated the consequences of cross-cultural blunders on Muslim consumers within their cultural context. It recognised that the impact of these blunders may have varied depending on cultural norms and values, enabling a comprehensive analysis of the consequences experienced by Muslim consumers concerning their unique cultural expectations.</w:t>
      </w:r>
    </w:p>
    <w:p w14:paraId="217B1E16" w14:textId="77777777" w:rsidR="002530E2" w:rsidRDefault="002530E2">
      <w:r>
        <w:t>Justification for MRQ 3 (“In what ways have these cross-cultural blunders impacted the MNCs operating in these host countries?“):</w:t>
      </w:r>
    </w:p>
    <w:p w14:paraId="0B3E0491" w14:textId="77777777" w:rsidR="002530E2" w:rsidRDefault="002530E2">
      <w:r>
        <w:t>Cultural relativism promotes a non-judgmental and unbiased approach to understanding cultural differences. By adopting this philosophy, the study evaluated the consequences of cross-cultural blunders on MNCs’ business relationships, reputations, and financial performance within the specific cultural context of Muslim markets. It was recognised that the impact of these blunders may have varied depending on cultural norms and values, allowing for a nuanced analysis of how these consequences unfolded concerning the unique cultural expectations of Muslim consumers.</w:t>
      </w:r>
    </w:p>
    <w:p w14:paraId="6541E898" w14:textId="77777777" w:rsidR="002530E2" w:rsidRDefault="002530E2">
      <w:r>
        <w:t>Justification for MRQ 4 (“What proactive strategies could MNCs adopt to prevent cross-cultural blunders and effectively engage with Muslim consumers in these markets, considering the lessons learned from recent incidents?“):</w:t>
      </w:r>
    </w:p>
    <w:p w14:paraId="2C84F8B8" w14:textId="77777777" w:rsidR="002530E2" w:rsidRDefault="002530E2">
      <w:r>
        <w:t>Cultural relativism emphasises understanding and evaluating cultural practices within their specific context rather than imposing one's cultural standards. By employing this perspective, the study explored strategies for MNCs to avoid cross-cultural blunders and engage effectively with Muslim consumers in a manner that respects their cultural values and expectations. Cultural relativism encouraged the author of this study to appreciate the diversity of cultural perspectives and avoid imposing a singular cultural lens on the analysis, enabling the identification of context-specific strategies sensitive to the cultural nuances of Muslim-majority and minority countries.</w:t>
      </w:r>
    </w:p>
    <w:p w14:paraId="04467B19" w14:textId="77777777" w:rsidR="002530E2" w:rsidRDefault="002530E2">
      <w:r>
        <w:t>By adopting a cultural relativist philosophy, this study provided a comprehensive understanding of cross-cultural blunders in Muslim markets, evaluated their consequences, and proposed strategies for effective engagement. The author approached the research questions from a cultural relativist perspective, which involved respecting cultural diversity and thoroughly analysing Muslim consumers' cultural values and expectations.</w:t>
      </w:r>
    </w:p>
    <w:p w14:paraId="1EED0FCD" w14:textId="77777777" w:rsidR="002530E2" w:rsidRDefault="002530E2">
      <w:pPr>
        <w:pStyle w:val="Heading1"/>
        <w:rPr>
          <w:sz w:val="2"/>
          <w:szCs w:val="2"/>
        </w:rPr>
      </w:pPr>
      <w:bookmarkStart w:id="42" w:name="_heading=h.wd4rcxugt4lt" w:colFirst="0" w:colLast="0"/>
      <w:bookmarkEnd w:id="42"/>
    </w:p>
    <w:p w14:paraId="0783FB46" w14:textId="77777777" w:rsidR="002530E2" w:rsidRDefault="002530E2">
      <w:pPr>
        <w:pStyle w:val="Heading1"/>
      </w:pPr>
      <w:r>
        <w:t xml:space="preserve">4.4 —  RESEARCH APPROACH </w:t>
      </w:r>
    </w:p>
    <w:p w14:paraId="6D4B7110" w14:textId="77777777" w:rsidR="002530E2" w:rsidRDefault="002530E2">
      <w:pPr>
        <w:pBdr>
          <w:top w:val="nil"/>
          <w:left w:val="nil"/>
          <w:bottom w:val="nil"/>
          <w:right w:val="nil"/>
          <w:between w:val="nil"/>
        </w:pBdr>
      </w:pPr>
      <w:r>
        <w:rPr>
          <w:rFonts w:ascii="Book Antiqua" w:eastAsia="Book Antiqua" w:hAnsi="Book Antiqua" w:cs="Book Antiqua"/>
          <w:i/>
          <w:sz w:val="20"/>
          <w:szCs w:val="20"/>
        </w:rPr>
        <w:t>Inductive research</w:t>
      </w:r>
      <w:r>
        <w:rPr>
          <w:rFonts w:ascii="Book Antiqua" w:eastAsia="Book Antiqua" w:hAnsi="Book Antiqua" w:cs="Book Antiqua"/>
          <w:sz w:val="20"/>
          <w:szCs w:val="20"/>
        </w:rPr>
        <w:t xml:space="preserve"> is a bottom-up approach that collects and analyses non-numerical data to develop theories and concepts based on observed patterns and themes (Eriksson &amp; Kovalainen, 2015). On the other hand, deductive research is a top-down approach that starts with a theory or hypothesis and then tests it through empirical observation and data analysis (Eriksson &amp; Kovalainen, 2015). Deductive research aims to confirm or refute existing theories or hypotheses by applying them to specific cases or situations. </w:t>
      </w:r>
    </w:p>
    <w:p w14:paraId="023D5B57" w14:textId="77777777" w:rsidR="002530E2" w:rsidRDefault="002530E2">
      <w:pPr>
        <w:pBdr>
          <w:top w:val="nil"/>
          <w:left w:val="nil"/>
          <w:bottom w:val="nil"/>
          <w:right w:val="nil"/>
          <w:between w:val="nil"/>
        </w:pBdr>
      </w:pPr>
      <w:r>
        <w:rPr>
          <w:rFonts w:ascii="Book Antiqua" w:eastAsia="Book Antiqua" w:hAnsi="Book Antiqua" w:cs="Book Antiqua"/>
          <w:sz w:val="20"/>
          <w:szCs w:val="20"/>
        </w:rPr>
        <w:t xml:space="preserve">The key difference between inductive and deductive reasoning is that inductive reasoning aims to develop a theory, while deductive reasoning aims to test an existing theory (Babbie, 2016; Creswell, 2014; Trochim &amp; Donnelly, 2008). </w:t>
      </w:r>
    </w:p>
    <w:p w14:paraId="06E5DB12" w14:textId="77777777" w:rsidR="002530E2" w:rsidRDefault="002530E2">
      <w:pPr>
        <w:pBdr>
          <w:top w:val="nil"/>
          <w:left w:val="nil"/>
          <w:bottom w:val="nil"/>
          <w:right w:val="nil"/>
          <w:between w:val="nil"/>
        </w:pBdr>
      </w:pPr>
      <w:r>
        <w:rPr>
          <w:rFonts w:ascii="Book Antiqua" w:eastAsia="Book Antiqua" w:hAnsi="Book Antiqua" w:cs="Book Antiqua"/>
          <w:sz w:val="20"/>
          <w:szCs w:val="20"/>
        </w:rPr>
        <w:t>In other words, inductive reasoning moves from specific observations to broad generalisations, allowing researchers to generate hypotheses and theories based on identified patterns or trends within the observed data (Babbie, 2016; Creswell, 2014). On the other hand, deductive reasoning starts with established theories or hypotheses and seeks to test their validity through specific observations or experiments (Babbie, 2016; Trochim &amp; Donnelly, 2008).</w:t>
      </w:r>
    </w:p>
    <w:p w14:paraId="3B11F970" w14:textId="77777777" w:rsidR="002530E2" w:rsidRDefault="002530E2">
      <w:pPr>
        <w:pBdr>
          <w:top w:val="nil"/>
          <w:left w:val="nil"/>
          <w:bottom w:val="nil"/>
          <w:right w:val="nil"/>
          <w:between w:val="nil"/>
        </w:pBdr>
      </w:pPr>
      <w:r>
        <w:rPr>
          <w:rFonts w:ascii="Book Antiqua" w:eastAsia="Book Antiqua" w:hAnsi="Book Antiqua" w:cs="Book Antiqua"/>
          <w:sz w:val="20"/>
          <w:szCs w:val="20"/>
        </w:rPr>
        <w:t>Creswell (2014) emphasises the importance of utilising various methods and merging them to gain a more comprehensive understanding of a subject.</w:t>
      </w:r>
    </w:p>
    <w:p w14:paraId="3B9B1B7D" w14:textId="77777777" w:rsidR="002530E2" w:rsidRDefault="002530E2">
      <w:pPr>
        <w:pBdr>
          <w:top w:val="nil"/>
          <w:left w:val="nil"/>
          <w:bottom w:val="nil"/>
          <w:right w:val="nil"/>
          <w:between w:val="nil"/>
        </w:pBdr>
      </w:pPr>
      <w:r>
        <w:rPr>
          <w:noProof/>
        </w:rPr>
        <w:drawing>
          <wp:inline distT="114300" distB="114300" distL="114300" distR="114300" wp14:anchorId="55FD5C0D" wp14:editId="73C13D6E">
            <wp:extent cx="5760000" cy="1701800"/>
            <wp:effectExtent l="0" t="0" r="0" b="0"/>
            <wp:docPr id="615220510" name="Picture 615220510"/>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60000" cy="1701800"/>
                    </a:xfrm>
                    <a:prstGeom prst="rect">
                      <a:avLst/>
                    </a:prstGeom>
                    <a:ln/>
                  </pic:spPr>
                </pic:pic>
              </a:graphicData>
            </a:graphic>
          </wp:inline>
        </w:drawing>
      </w:r>
    </w:p>
    <w:p w14:paraId="487A64D9" w14:textId="77777777" w:rsidR="002530E2" w:rsidRDefault="002530E2">
      <w:pPr>
        <w:pStyle w:val="Heading4"/>
        <w:ind w:left="0"/>
        <w:rPr>
          <w:color w:val="000000"/>
        </w:rPr>
      </w:pPr>
      <w:r>
        <w:rPr>
          <w:color w:val="000000"/>
        </w:rPr>
        <w:t>Figure 4.1. “Inductive vs Deductive Research Approach | Steps &amp; Examples“ Adapted from: Streefkerk (2019) from 15writers (2019)—source: Retrieved from scribbr.com.</w:t>
      </w:r>
    </w:p>
    <w:p w14:paraId="1A7BBBE4" w14:textId="77777777" w:rsidR="002530E2" w:rsidRDefault="002530E2">
      <w:r>
        <w:t xml:space="preserve">In conducting our research, the author adopted an inductive qualitative approach. This research approach aimed to explore the factors contributing to cross-cultural blunders by MNCs in Muslim-majority countries. Through qualitative methods, such as document analysis and case studies, the study aimed to gather detailed and rich data on cross-cultural blunders (Creswell, 2013). This approach allowed the author of this study to gain in-depth insights into the complexities and nuances of these blunders, including the cultural, social, and organisational factors that influenced their occurrence. By adopting an inductive research approach, the study aimed to generate new theories and understand specific contextual phenomena related to cross-cultural blunders by MNCs. </w:t>
      </w:r>
    </w:p>
    <w:p w14:paraId="17E3D240" w14:textId="77777777" w:rsidR="002530E2" w:rsidRDefault="002530E2">
      <w:r>
        <w:t xml:space="preserve">Through an inductive research approach, the author comprehensively understood the various factors that play a role in cross-cultural blunders within Muslim-majority countries. The objective here was to identify these factors so that we could work towards preventing such blunders in the future. A </w:t>
      </w:r>
      <w:r>
        <w:lastRenderedPageBreak/>
        <w:t>thorough and analytical approach to this research uncovered valuable insights that will undoubtedly inform our efforts. It provided flexibility and openness to emerging insights and patterns, allowing for a holistic view of the phenomenon (Corbin &amp; Strauss, 2008). Considering a critical perspective, the study sought to uncover the underlying causes of cross-cultural blunders rather than describe them, enabling a deeper analysis of the phenomenon. The research approach followed an inductive trajectory, starting with a general understanding of the factors contributing to cross-cultural blunders and utilising the data collected through the document review to develop a more specific and nuanced understanding of these factors.</w:t>
      </w:r>
    </w:p>
    <w:p w14:paraId="1A05B27A" w14:textId="77777777" w:rsidR="002530E2" w:rsidRDefault="002530E2">
      <w:r>
        <w:t>The research approach for this study was not deductive, despite drawing insights from scholarly theories, for several reasons:</w:t>
      </w:r>
    </w:p>
    <w:p w14:paraId="679CA1E6" w14:textId="77777777" w:rsidR="002530E2" w:rsidRDefault="002530E2">
      <w:r>
        <w:t xml:space="preserve">Contextual Exploration: </w:t>
      </w:r>
    </w:p>
    <w:p w14:paraId="7EFBDB81" w14:textId="77777777" w:rsidR="002530E2" w:rsidRDefault="002530E2">
      <w:r>
        <w:t>The study explored the factors contributing to cross-cultural blunders by MNCs operating in Muslim-majority countries. Deductive approaches typically involve testing pre-existing hypotheses derived from theories, whereas an inductive approach allows for a contextual exploration of the phenomenon without predetermined expectations. By adopting an inductive approach, the study could capture the complexities and unique aspects of cross-cultural blunders in the specific context of Muslim-majority countries.</w:t>
      </w:r>
    </w:p>
    <w:p w14:paraId="1F20D3BC" w14:textId="77777777" w:rsidR="002530E2" w:rsidRDefault="002530E2">
      <w:r>
        <w:t xml:space="preserve">Theory Generation: </w:t>
      </w:r>
    </w:p>
    <w:p w14:paraId="49678E1E" w14:textId="77777777" w:rsidR="002530E2" w:rsidRDefault="002530E2">
      <w:r>
        <w:t>The study aimed to generate new theories and understand specific contextual phenomena related to cross-cultural blunders. Deductive approaches were primarily focused on testing existing theories or hypotheses, whereas an inductive approach allowed for theory generation based on the collected data. The study generated fresh insights and theories that contributed to understanding cross-cultural blunders using qualitative methods and analysing real-life cases.</w:t>
      </w:r>
    </w:p>
    <w:p w14:paraId="24C3DEEE" w14:textId="77777777" w:rsidR="002530E2" w:rsidRDefault="002530E2">
      <w:r>
        <w:t xml:space="preserve">Flexibility and Openness: </w:t>
      </w:r>
    </w:p>
    <w:p w14:paraId="094C15A0" w14:textId="77777777" w:rsidR="002530E2" w:rsidRDefault="002530E2">
      <w:r>
        <w:t>An inductive approach provides flexibility and openness to emerging insights and patterns. It allowed the author of this study to adapt his research direction based on the data and information obtained during the study. In contrast, deductive approaches often require more rigid adherence to predefined hypotheses and theoretical frameworks.</w:t>
      </w:r>
    </w:p>
    <w:p w14:paraId="46E64157" w14:textId="77777777" w:rsidR="002530E2" w:rsidRDefault="002530E2">
      <w:r>
        <w:t xml:space="preserve">Complexity and nuance: </w:t>
      </w:r>
    </w:p>
    <w:p w14:paraId="0A657283" w14:textId="77777777" w:rsidR="002530E2" w:rsidRDefault="002530E2">
      <w:r>
        <w:t>Cross-cultural blunders involve many cultural, social, and organisational factors. An inductive approach allowed the study to delve deeply into these complexities and nuances, exploring the interplay of various factors and understanding their influence on cross-cultural blunders. On the other hand, deductive approaches may have oversimplified the phenomenon by focusing on a limited set of predetermined variables.</w:t>
      </w:r>
    </w:p>
    <w:p w14:paraId="70E6BF23" w14:textId="77777777" w:rsidR="002530E2" w:rsidRDefault="002530E2">
      <w:r>
        <w:t>By adopting an inductive research approach, the study provided a comprehensive understanding of the factors contributing to cross-cultural blunders by MNCs operating in Muslim-majority countries. It allowed for theory generation, flexibility, and a nuanced exploration of the phenomenon, which aligned with the research objectives and the complexity of the research topic.</w:t>
      </w:r>
    </w:p>
    <w:p w14:paraId="5F3FA0B7" w14:textId="77777777" w:rsidR="002530E2" w:rsidRDefault="002530E2">
      <w:pPr>
        <w:pStyle w:val="Heading1"/>
      </w:pPr>
      <w:r>
        <w:lastRenderedPageBreak/>
        <w:t xml:space="preserve">4.5 —  RESEARCH STRATEGY </w:t>
      </w:r>
    </w:p>
    <w:p w14:paraId="27058830" w14:textId="77777777" w:rsidR="002530E2" w:rsidRDefault="002530E2">
      <w:r>
        <w:t>The research strategy employed in this study was grounded theory, a qualitative research approach that aims to develop theories based on the data collected during the research process (Charmaz, 2014). The author of this study chose grounded theory as the most suitable approach to achieve the study’s objective of generating new theories and understanding the contextual phenomena surrounding cross-cultural blunders by MNCs operating in Muslim-majority countries.</w:t>
      </w:r>
    </w:p>
    <w:p w14:paraId="1A466F02" w14:textId="77777777" w:rsidR="002530E2" w:rsidRDefault="002530E2">
      <w:r>
        <w:t>By adopting grounded theory, the study took a systematic and iterative approach to analyse the collected data and develop theoretical insights and explanations. The research began without preconceived theories or hypotheses, allowing the author of this study to explore the factors contributing to cross-cultural blunders from the ground up.</w:t>
      </w:r>
    </w:p>
    <w:p w14:paraId="1B1D63D7" w14:textId="77777777" w:rsidR="002530E2" w:rsidRDefault="002530E2">
      <w:r>
        <w:t>The research process consisted of multiple stages, from data collection to document analysis and incident reports. These qualitative methods provided rich and detailed information about cross-cultural blunders by MNCs, offering a solid foundation for theory development.</w:t>
      </w:r>
    </w:p>
    <w:p w14:paraId="518BE6DA" w14:textId="77777777" w:rsidR="002530E2" w:rsidRDefault="002530E2">
      <w:r>
        <w:t>The data analysis followed a coding process wherein concepts and themes were identified and organised into categories. Through constant comparison, the author of this study examined similarities and differences between various incidents and factors contributing to cross-cultural blunders. This iterative process facilitated the identification of patterns, relationships, and theoretical explanations that emerged directly from the data.</w:t>
      </w:r>
    </w:p>
    <w:p w14:paraId="7F24186D" w14:textId="77777777" w:rsidR="002530E2" w:rsidRDefault="002530E2">
      <w:r>
        <w:t>The author conducted theoretical sampling during the analysis to gather additional data that informed and refined the emerging theories. He continued the process until theoretical saturation, meaning no new data added substantial insights to the theories.</w:t>
      </w:r>
    </w:p>
    <w:p w14:paraId="26CA08A2" w14:textId="77777777" w:rsidR="002530E2" w:rsidRDefault="002530E2">
      <w:r>
        <w:t>The grounded theory approach provided a rigorous and systematic framework for theory generation based on the empirical data collected in the study. It allowed for the development of theories firmly grounded in the realities and complexities of the cross-cultural blunders of MNCs operating in Muslim-majority countries.</w:t>
      </w:r>
    </w:p>
    <w:p w14:paraId="2FB9EC38" w14:textId="77777777" w:rsidR="002530E2" w:rsidRDefault="002530E2">
      <w:r>
        <w:t>This study utilised the grounded theory research strategy to identify and define the factors, processes, and dynamics behind cross-cultural blunders. The resulting theories provide a deeper understanding of the phenomenon and offer practical insights for MNCs to navigate cross-cultural challenges and effectively engage with Muslim consumers in these markets. Through its rigorous approach, grounded theory has contributed to advancing knowledge in this specific research context.</w:t>
      </w:r>
    </w:p>
    <w:p w14:paraId="0AA7F11F" w14:textId="77777777" w:rsidR="002530E2" w:rsidRDefault="002530E2">
      <w:pPr>
        <w:pStyle w:val="Heading1"/>
      </w:pPr>
      <w:bookmarkStart w:id="43" w:name="_heading=h.92ebocfzdly0" w:colFirst="0" w:colLast="0"/>
      <w:bookmarkEnd w:id="43"/>
      <w:r>
        <w:br w:type="page"/>
      </w:r>
    </w:p>
    <w:p w14:paraId="67D9DE64" w14:textId="77777777" w:rsidR="002530E2" w:rsidRDefault="002530E2">
      <w:pPr>
        <w:pStyle w:val="Heading1"/>
      </w:pPr>
      <w:r>
        <w:lastRenderedPageBreak/>
        <w:t xml:space="preserve">4.6 —  RESEARCH METHODICAL CHOICE </w:t>
      </w:r>
    </w:p>
    <w:p w14:paraId="2C35A202" w14:textId="77777777" w:rsidR="002530E2" w:rsidRDefault="002530E2">
      <w:r>
        <w:t>Research methods, including mono-method, mixed-method, and multi-method approaches, are crucial in conducting a study. Each approach has strengths and limitations, and selecting the most suitable method depends on the research objectives and questions. Here are brief definitions and overviews of these approaches:</w:t>
      </w:r>
    </w:p>
    <w:p w14:paraId="2094EDFC" w14:textId="77777777" w:rsidR="002530E2" w:rsidRDefault="002530E2">
      <w:r>
        <w:t xml:space="preserve">Mono-Method: </w:t>
      </w:r>
    </w:p>
    <w:p w14:paraId="0C7AAC6D" w14:textId="77777777" w:rsidR="002530E2" w:rsidRDefault="002530E2">
      <w:r>
        <w:t>This research design relies on a single methodological approach for data collection and analysis, such as surveys, interviews, or experiments. It allows for a focused and in-depth examination of a research question or phenomenon (Creswell, 2014).</w:t>
      </w:r>
    </w:p>
    <w:p w14:paraId="593576D6" w14:textId="77777777" w:rsidR="002530E2" w:rsidRDefault="002530E2">
      <w:r>
        <w:t xml:space="preserve">Mixed Method: </w:t>
      </w:r>
    </w:p>
    <w:p w14:paraId="731CD425" w14:textId="77777777" w:rsidR="002530E2" w:rsidRDefault="002530E2">
      <w:r>
        <w:t>This approach integrates qualitative and quantitative research methods within a single study, combining their strengths to understand the research problem comprehensively. By collecting and analysing both types of data, researchers draw robust conclusions and enhance the validity and reliability of their findings (Creswell &amp; Plano Clark, 2018).</w:t>
      </w:r>
    </w:p>
    <w:p w14:paraId="34037891" w14:textId="77777777" w:rsidR="002530E2" w:rsidRDefault="002530E2">
      <w:r>
        <w:t xml:space="preserve">Multi-Method: </w:t>
      </w:r>
    </w:p>
    <w:p w14:paraId="04352686" w14:textId="77777777" w:rsidR="002530E2" w:rsidRDefault="002530E2">
      <w:r>
        <w:t>This research involves using multiple methods, including qualitative, quantitative, and other approaches, to address different aspects of the research question. It offers a broader and more holistic view of the research topic, enabling researchers to triangulate their findings and enhance the study’s validity (Creswell &amp; Clark, 2011).</w:t>
      </w:r>
    </w:p>
    <w:p w14:paraId="06139FFA" w14:textId="77777777" w:rsidR="002530E2" w:rsidRDefault="002530E2">
      <w:r>
        <w:t>Researchers should carefully consider their objectives, questions, and resources when choosing a methodological approach. It is crucial to ensure alignment between the chosen method and the research design to effectively address objectives and contribute to the existing body of knowledge.</w:t>
      </w:r>
    </w:p>
    <w:p w14:paraId="39ECDD43" w14:textId="77777777" w:rsidR="002530E2" w:rsidRDefault="002530E2">
      <w:r>
        <w:t>The research method chosen for this study was the mono-method, precisely a qualitative method. By exclusively employing this single method, the study focused on conducting a thorough document review to collect and analyse data.</w:t>
      </w:r>
    </w:p>
    <w:p w14:paraId="4EF129F5" w14:textId="77777777" w:rsidR="002530E2" w:rsidRDefault="002530E2">
      <w:r>
        <w:t xml:space="preserve">Through the qualitative analysis of various documents, including academic journals, news articles, incident reports, and other relevant sources, the author of this study aimed to gain valuable insights into the factors contributing to cross-cultural blunders between MNCs and Muslims worldwide and their consequences for both Muslims and MNCs. This mono-method approach ensured consistency and coherence throughout the data collection and analysis processes, allowing for a comprehensive exploration of the document content. </w:t>
      </w:r>
    </w:p>
    <w:p w14:paraId="14E374F2" w14:textId="77777777" w:rsidR="002530E2" w:rsidRDefault="002530E2">
      <w:r>
        <w:t>By dedicating their efforts to thoroughly reviewing, interpreting, and extracting relevant information, the author of this study was able to identify patterns and themes that shed light on the complex dynamics and underlying factors associated with cross-cultural blunders. Adhering to a mono-method design maintained methodological rigour and guaranteed the integrity and validity of the study’s findings.</w:t>
      </w:r>
    </w:p>
    <w:p w14:paraId="750A32B1" w14:textId="77777777" w:rsidR="002530E2" w:rsidRDefault="002530E2">
      <w:r>
        <w:t>Justification for MRQ 1 (“What were the most prevalent cross-cultural blunder types perpetrated by MNCs in Muslim-majority and minority countries between 2010 and 2020 that upset Muslims?“):</w:t>
      </w:r>
    </w:p>
    <w:p w14:paraId="234794C8" w14:textId="77777777" w:rsidR="002530E2" w:rsidRDefault="002530E2">
      <w:r>
        <w:lastRenderedPageBreak/>
        <w:t>The mono-method approach, which involved extensive document review, was well-suited for addressing this question. By examining diverse sources such as news articles, reports, and case studies, the study identified and analysed the most prevalent cross-cultural blunders by MNCs in Muslim-majority and minority countries. This approach comprehensively understood the various blunders and their occurrence within the specified timeframe.</w:t>
      </w:r>
    </w:p>
    <w:p w14:paraId="0C238677" w14:textId="77777777" w:rsidR="002530E2" w:rsidRDefault="002530E2">
      <w:r>
        <w:t>Justification for MRQ 2 (“What were the consequences experienced by Muslim consumers as a result of these cross-cultural blunders?“):</w:t>
      </w:r>
    </w:p>
    <w:p w14:paraId="49EA337C" w14:textId="77777777" w:rsidR="002530E2" w:rsidRDefault="002530E2">
      <w:r>
        <w:t>The mono-method approach, focusing on qualitative analysis of documents, was influential in exploring the consequences of cross-cultural blunders on Muslim consumers. By reviewing a wide range of sources, including news reports, social media discussions, and consumer feedback, the study could gather insights into the experiences and impacts of Muslim consumers. This method provided a comprehensive understanding of the adverse reactions, perceived offensiveness, boycotts, and other consequences Muslim consumers face from these blunders.</w:t>
      </w:r>
    </w:p>
    <w:p w14:paraId="38C5F4FD" w14:textId="77777777" w:rsidR="002530E2" w:rsidRDefault="002530E2">
      <w:r>
        <w:t>Justification for MRQ 3 (“In what ways have these cross-cultural blunders impacted the MNCs operating in these host countries?“):</w:t>
      </w:r>
    </w:p>
    <w:p w14:paraId="1D5458B1" w14:textId="77777777" w:rsidR="002530E2" w:rsidRDefault="002530E2">
      <w:r>
        <w:t>With its qualitative analysis of documents, the mono-method approach was suitable for exploring the impacts of cross-cultural blunders on various aspects of MNCs’ operations. The study could gather insights into the consequences for MNCs’ business relationships, reputations, and financial performance by examining sources such as business reports, market analyses, and media coverage. This method enabled a comprehensive understanding of how these blunders damaged relationships with local partners, harmed brand reputation, and resulted in financial losses for MNCs.</w:t>
      </w:r>
    </w:p>
    <w:p w14:paraId="47DB3C6B" w14:textId="77777777" w:rsidR="002530E2" w:rsidRDefault="002530E2">
      <w:r>
        <w:t>Justification for MRQ 4 (“What proactive strategies could MNCs adopt to prevent cross-cultural blunders and effectively engage with Muslim consumers in these markets, considering the lessons learned from recent incidents?“):</w:t>
      </w:r>
    </w:p>
    <w:p w14:paraId="40A99E9A" w14:textId="77777777" w:rsidR="002530E2" w:rsidRDefault="002530E2">
      <w:r>
        <w:t>The mono-method approach, focusing on qualitative analysis of documents, was valuable in exploring strategies and recommendations for MNCs. The study could extract insights on proactive strategies to prevent cross-cultural blunders and effectively engage with Muslim consumers by reviewing academic journals, industry reports, and best practices. This method allowed for identifying key factors such as cultural sensitivity, understanding Islamic values, and building solid relationships with local stakeholders, offering practical recommendations for MNCs operating in these markets.</w:t>
      </w:r>
    </w:p>
    <w:p w14:paraId="46364998" w14:textId="77777777" w:rsidR="002530E2" w:rsidRDefault="002530E2">
      <w:r>
        <w:t>Overall, the mono-method approach, emphasising qualitative analysis of documents, proved suitable for this study. It comprehensively understood the most prevalent cross-cultural blunders and their consequences for Muslim consumers and MNCs. It offered practical recommendations for preventing such blunders and engaging with Muslim consumers effectively.</w:t>
      </w:r>
    </w:p>
    <w:p w14:paraId="2BB22948" w14:textId="77777777" w:rsidR="002530E2" w:rsidRDefault="002530E2">
      <w:pPr>
        <w:pBdr>
          <w:top w:val="nil"/>
          <w:left w:val="nil"/>
          <w:bottom w:val="nil"/>
          <w:right w:val="nil"/>
          <w:between w:val="nil"/>
        </w:pBdr>
        <w:rPr>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7E922A9C"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CE6798F" w14:textId="77777777" w:rsidR="002530E2" w:rsidRDefault="002530E2">
            <w:pPr>
              <w:widowControl w:val="0"/>
              <w:pBdr>
                <w:top w:val="nil"/>
                <w:left w:val="nil"/>
                <w:bottom w:val="nil"/>
                <w:right w:val="nil"/>
                <w:between w:val="nil"/>
              </w:pBdr>
              <w:spacing w:after="200" w:line="276" w:lineRule="auto"/>
              <w:jc w:val="center"/>
              <w:rPr>
                <w:sz w:val="28"/>
                <w:szCs w:val="28"/>
              </w:rPr>
            </w:pPr>
            <w:r>
              <w:rPr>
                <w:rFonts w:ascii="Book Antiqua" w:eastAsia="Book Antiqua" w:hAnsi="Book Antiqua" w:cs="Book Antiqua"/>
                <w:sz w:val="28"/>
                <w:szCs w:val="28"/>
              </w:rPr>
              <w:t>CHAPTER 4: METHODOLOGY</w:t>
            </w:r>
          </w:p>
          <w:p w14:paraId="60D24AF3" w14:textId="77777777" w:rsidR="002530E2" w:rsidRDefault="002530E2">
            <w:pPr>
              <w:widowControl w:val="0"/>
              <w:pBdr>
                <w:top w:val="nil"/>
                <w:left w:val="nil"/>
                <w:bottom w:val="nil"/>
                <w:right w:val="nil"/>
                <w:between w:val="nil"/>
              </w:pBdr>
              <w:spacing w:after="200" w:line="276" w:lineRule="auto"/>
              <w:jc w:val="center"/>
              <w:rPr>
                <w:sz w:val="28"/>
                <w:szCs w:val="28"/>
              </w:rPr>
            </w:pPr>
            <w:r>
              <w:rPr>
                <w:color w:val="0E101A"/>
                <w:sz w:val="28"/>
                <w:szCs w:val="28"/>
              </w:rPr>
              <w:t>(</w:t>
            </w:r>
            <w:r>
              <w:rPr>
                <w:i/>
                <w:color w:val="0E101A"/>
                <w:sz w:val="28"/>
                <w:szCs w:val="28"/>
              </w:rPr>
              <w:t>Part—2)</w:t>
            </w:r>
          </w:p>
        </w:tc>
      </w:tr>
    </w:tbl>
    <w:p w14:paraId="487996D0" w14:textId="77777777" w:rsidR="002530E2" w:rsidRDefault="002530E2">
      <w:pPr>
        <w:pBdr>
          <w:top w:val="nil"/>
          <w:left w:val="nil"/>
          <w:bottom w:val="nil"/>
          <w:right w:val="nil"/>
          <w:between w:val="nil"/>
        </w:pBdr>
        <w:spacing w:after="0"/>
        <w:jc w:val="center"/>
      </w:pPr>
    </w:p>
    <w:p w14:paraId="7B9B7204" w14:textId="77777777" w:rsidR="002530E2" w:rsidRDefault="002530E2">
      <w:pPr>
        <w:pBdr>
          <w:top w:val="nil"/>
          <w:left w:val="nil"/>
          <w:bottom w:val="nil"/>
          <w:right w:val="nil"/>
          <w:between w:val="nil"/>
        </w:pBdr>
        <w:spacing w:before="200" w:after="200" w:line="276" w:lineRule="auto"/>
        <w:jc w:val="center"/>
      </w:pPr>
      <w:r>
        <w:t>“</w:t>
      </w:r>
      <w:r>
        <w:rPr>
          <w:rFonts w:ascii="Book Antiqua" w:eastAsia="Book Antiqua" w:hAnsi="Book Antiqua" w:cs="Book Antiqua"/>
        </w:rPr>
        <w:t xml:space="preserve">Research is the process of fooling yourself into </w:t>
      </w:r>
    </w:p>
    <w:p w14:paraId="1571F619" w14:textId="77777777" w:rsidR="002530E2" w:rsidRDefault="002530E2">
      <w:pPr>
        <w:pBdr>
          <w:top w:val="nil"/>
          <w:left w:val="nil"/>
          <w:bottom w:val="nil"/>
          <w:right w:val="nil"/>
          <w:between w:val="nil"/>
        </w:pBdr>
        <w:spacing w:before="200" w:after="200" w:line="276" w:lineRule="auto"/>
        <w:jc w:val="center"/>
      </w:pPr>
      <w:r>
        <w:rPr>
          <w:rFonts w:ascii="Book Antiqua" w:eastAsia="Book Antiqua" w:hAnsi="Book Antiqua" w:cs="Book Antiqua"/>
        </w:rPr>
        <w:t>thinking you know something you don't."</w:t>
      </w:r>
    </w:p>
    <w:p w14:paraId="4FFACD43" w14:textId="77777777" w:rsidR="002530E2" w:rsidRDefault="002530E2">
      <w:pPr>
        <w:pBdr>
          <w:top w:val="nil"/>
          <w:left w:val="nil"/>
          <w:bottom w:val="nil"/>
          <w:right w:val="nil"/>
          <w:between w:val="nil"/>
        </w:pBdr>
        <w:spacing w:after="0" w:line="360" w:lineRule="auto"/>
        <w:jc w:val="center"/>
      </w:pPr>
      <w:r>
        <w:rPr>
          <w:rFonts w:ascii="Book Antiqua" w:eastAsia="Book Antiqua" w:hAnsi="Book Antiqua" w:cs="Book Antiqua"/>
          <w:i/>
          <w:sz w:val="18"/>
          <w:szCs w:val="18"/>
        </w:rPr>
        <w:t>— Richard Feynman (Feynman, 1965)</w:t>
      </w:r>
    </w:p>
    <w:p w14:paraId="63A1554F" w14:textId="77777777" w:rsidR="002530E2" w:rsidRDefault="002530E2">
      <w:pPr>
        <w:pStyle w:val="Heading4"/>
        <w:spacing w:before="0"/>
        <w:rPr>
          <w:color w:val="000000"/>
        </w:rPr>
      </w:pPr>
    </w:p>
    <w:p w14:paraId="3F52ACF6" w14:textId="77777777" w:rsidR="002530E2" w:rsidRDefault="002530E2">
      <w:pPr>
        <w:pStyle w:val="Heading4"/>
        <w:spacing w:before="0"/>
        <w:rPr>
          <w:color w:val="FFFFFF"/>
        </w:rPr>
      </w:pPr>
      <w:r>
        <w:rPr>
          <w:color w:val="FFFFFF"/>
        </w:rPr>
        <w:t>TABLE OF CONTENT</w:t>
      </w:r>
    </w:p>
    <w:p w14:paraId="61C23D78" w14:textId="77777777" w:rsidR="002530E2" w:rsidRDefault="002530E2">
      <w:pPr>
        <w:pBdr>
          <w:top w:val="nil"/>
          <w:left w:val="nil"/>
          <w:bottom w:val="nil"/>
          <w:right w:val="nil"/>
          <w:between w:val="nil"/>
        </w:pBdr>
        <w:rPr>
          <w:i/>
          <w:sz w:val="28"/>
          <w:szCs w:val="28"/>
        </w:rPr>
      </w:pPr>
      <w:r>
        <w:rPr>
          <w:rFonts w:ascii="Book Antiqua" w:eastAsia="Book Antiqua" w:hAnsi="Book Antiqua" w:cs="Book Antiqua"/>
          <w:sz w:val="28"/>
          <w:szCs w:val="28"/>
        </w:rPr>
        <w:t xml:space="preserve">TABLE OF CONTENT FOR CHAPTER 4 </w:t>
      </w:r>
      <w:r>
        <w:rPr>
          <w:rFonts w:ascii="Book Antiqua" w:eastAsia="Book Antiqua" w:hAnsi="Book Antiqua" w:cs="Book Antiqua"/>
          <w:i/>
          <w:sz w:val="28"/>
          <w:szCs w:val="28"/>
        </w:rPr>
        <w:t>(Part—</w:t>
      </w:r>
      <w:r>
        <w:rPr>
          <w:i/>
          <w:sz w:val="28"/>
          <w:szCs w:val="28"/>
        </w:rPr>
        <w:t>2</w:t>
      </w:r>
      <w:r>
        <w:rPr>
          <w:rFonts w:ascii="Book Antiqua" w:eastAsia="Book Antiqua" w:hAnsi="Book Antiqua" w:cs="Book Antiqua"/>
          <w:i/>
          <w:sz w:val="28"/>
          <w:szCs w:val="28"/>
        </w:rPr>
        <w:t>)</w:t>
      </w:r>
    </w:p>
    <w:sdt>
      <w:sdtPr>
        <w:id w:val="1271435162"/>
        <w:docPartObj>
          <w:docPartGallery w:val="Table of Contents"/>
          <w:docPartUnique/>
        </w:docPartObj>
      </w:sdtPr>
      <w:sdtContent>
        <w:p w14:paraId="73BD1835" w14:textId="77777777" w:rsidR="002530E2" w:rsidRDefault="002530E2">
          <w:pPr>
            <w:widowControl w:val="0"/>
            <w:tabs>
              <w:tab w:val="right" w:leader="dot" w:pos="12000"/>
            </w:tabs>
            <w:spacing w:before="60" w:after="0" w:line="335" w:lineRule="auto"/>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3rdcrjn">
            <w:r>
              <w:rPr>
                <w:rFonts w:ascii="Book Antiqua" w:eastAsia="Book Antiqua" w:hAnsi="Book Antiqua" w:cs="Book Antiqua"/>
                <w:color w:val="1155CC"/>
              </w:rPr>
              <w:t>4.7 —  TIME HORIZONS</w:t>
            </w:r>
            <w:r>
              <w:rPr>
                <w:rFonts w:ascii="Book Antiqua" w:eastAsia="Book Antiqua" w:hAnsi="Book Antiqua" w:cs="Book Antiqua"/>
                <w:color w:val="1155CC"/>
              </w:rPr>
              <w:tab/>
              <w:t>308</w:t>
            </w:r>
          </w:hyperlink>
        </w:p>
        <w:p w14:paraId="38568D82" w14:textId="77777777" w:rsidR="002530E2" w:rsidRDefault="002530E2">
          <w:pPr>
            <w:widowControl w:val="0"/>
            <w:tabs>
              <w:tab w:val="right" w:leader="dot" w:pos="12000"/>
            </w:tabs>
            <w:spacing w:before="60" w:after="0" w:line="335" w:lineRule="auto"/>
            <w:rPr>
              <w:rFonts w:ascii="Arial" w:eastAsia="Arial" w:hAnsi="Arial" w:cs="Arial"/>
              <w:color w:val="1155CC"/>
              <w:u w:val="single"/>
            </w:rPr>
          </w:pPr>
          <w:hyperlink w:anchor="_heading=h.26in1rg">
            <w:r>
              <w:rPr>
                <w:rFonts w:ascii="Book Antiqua" w:eastAsia="Book Antiqua" w:hAnsi="Book Antiqua" w:cs="Book Antiqua"/>
                <w:color w:val="1155CC"/>
              </w:rPr>
              <w:t>4.8 —  DATA COLLECTION, METHODS &amp; TECHNIQUES</w:t>
            </w:r>
            <w:r>
              <w:rPr>
                <w:rFonts w:ascii="Book Antiqua" w:eastAsia="Book Antiqua" w:hAnsi="Book Antiqua" w:cs="Book Antiqua"/>
                <w:color w:val="1155CC"/>
              </w:rPr>
              <w:tab/>
              <w:t>314</w:t>
            </w:r>
          </w:hyperlink>
        </w:p>
        <w:p w14:paraId="6B7F8F90"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lnxbz9">
            <w:r>
              <w:rPr>
                <w:rFonts w:ascii="Book Antiqua" w:eastAsia="Book Antiqua" w:hAnsi="Book Antiqua" w:cs="Book Antiqua"/>
                <w:color w:val="1155CC"/>
              </w:rPr>
              <w:t>4.8.1 — DATA SAMPLING TECHNIQUE</w:t>
            </w:r>
            <w:r>
              <w:rPr>
                <w:rFonts w:ascii="Book Antiqua" w:eastAsia="Book Antiqua" w:hAnsi="Book Antiqua" w:cs="Book Antiqua"/>
                <w:color w:val="1155CC"/>
              </w:rPr>
              <w:tab/>
              <w:t>315</w:t>
            </w:r>
          </w:hyperlink>
        </w:p>
        <w:p w14:paraId="17B37144"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35nkun2">
            <w:r>
              <w:rPr>
                <w:rFonts w:ascii="Book Antiqua" w:eastAsia="Book Antiqua" w:hAnsi="Book Antiqua" w:cs="Book Antiqua"/>
                <w:color w:val="1155CC"/>
              </w:rPr>
              <w:t>4.8.2 — TYPE OF DATA COLLECTED</w:t>
            </w:r>
            <w:r>
              <w:rPr>
                <w:rFonts w:ascii="Book Antiqua" w:eastAsia="Book Antiqua" w:hAnsi="Book Antiqua" w:cs="Book Antiqua"/>
                <w:color w:val="1155CC"/>
              </w:rPr>
              <w:tab/>
              <w:t>317</w:t>
            </w:r>
          </w:hyperlink>
        </w:p>
        <w:p w14:paraId="5A0CEB2F"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1ksv4uv">
            <w:r>
              <w:rPr>
                <w:rFonts w:ascii="Book Antiqua" w:eastAsia="Book Antiqua" w:hAnsi="Book Antiqua" w:cs="Book Antiqua"/>
                <w:color w:val="1155CC"/>
              </w:rPr>
              <w:t>4.8.3 — DATA COLLECTION SOURCES</w:t>
            </w:r>
            <w:r>
              <w:rPr>
                <w:rFonts w:ascii="Book Antiqua" w:eastAsia="Book Antiqua" w:hAnsi="Book Antiqua" w:cs="Book Antiqua"/>
                <w:color w:val="1155CC"/>
              </w:rPr>
              <w:tab/>
              <w:t>318</w:t>
            </w:r>
          </w:hyperlink>
        </w:p>
        <w:p w14:paraId="3CA74DBB"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44sinio">
            <w:r>
              <w:rPr>
                <w:rFonts w:ascii="Book Antiqua" w:eastAsia="Book Antiqua" w:hAnsi="Book Antiqua" w:cs="Book Antiqua"/>
                <w:color w:val="1155CC"/>
              </w:rPr>
              <w:t>4.8.4 — DATA COLLECTION TECHNIQUE</w:t>
            </w:r>
            <w:r>
              <w:rPr>
                <w:rFonts w:ascii="Book Antiqua" w:eastAsia="Book Antiqua" w:hAnsi="Book Antiqua" w:cs="Book Antiqua"/>
                <w:color w:val="1155CC"/>
              </w:rPr>
              <w:tab/>
              <w:t>320</w:t>
            </w:r>
          </w:hyperlink>
        </w:p>
        <w:p w14:paraId="795DC8BC"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2jxsxqh">
            <w:r>
              <w:rPr>
                <w:rFonts w:ascii="Book Antiqua" w:eastAsia="Book Antiqua" w:hAnsi="Book Antiqua" w:cs="Book Antiqua"/>
                <w:color w:val="1155CC"/>
              </w:rPr>
              <w:t>4.8.5 — DATA DOCUMENTATION</w:t>
            </w:r>
            <w:r>
              <w:rPr>
                <w:rFonts w:ascii="Book Antiqua" w:eastAsia="Book Antiqua" w:hAnsi="Book Antiqua" w:cs="Book Antiqua"/>
                <w:color w:val="1155CC"/>
              </w:rPr>
              <w:tab/>
              <w:t>321</w:t>
            </w:r>
          </w:hyperlink>
        </w:p>
        <w:p w14:paraId="1DEAD148"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z337ya">
            <w:r>
              <w:rPr>
                <w:rFonts w:ascii="Book Antiqua" w:eastAsia="Book Antiqua" w:hAnsi="Book Antiqua" w:cs="Book Antiqua"/>
                <w:color w:val="1155CC"/>
              </w:rPr>
              <w:t>4.8.6 — TRIANGULATION: DATA COLLECTION</w:t>
            </w:r>
            <w:r>
              <w:rPr>
                <w:rFonts w:ascii="Book Antiqua" w:eastAsia="Book Antiqua" w:hAnsi="Book Antiqua" w:cs="Book Antiqua"/>
                <w:color w:val="1155CC"/>
              </w:rPr>
              <w:tab/>
              <w:t>323</w:t>
            </w:r>
          </w:hyperlink>
        </w:p>
        <w:p w14:paraId="546B69BB" w14:textId="77777777" w:rsidR="002530E2" w:rsidRDefault="002530E2">
          <w:pPr>
            <w:widowControl w:val="0"/>
            <w:tabs>
              <w:tab w:val="right" w:leader="dot" w:pos="12000"/>
            </w:tabs>
            <w:spacing w:before="60" w:after="0" w:line="335" w:lineRule="auto"/>
            <w:rPr>
              <w:rFonts w:ascii="Arial" w:eastAsia="Arial" w:hAnsi="Arial" w:cs="Arial"/>
              <w:color w:val="1155CC"/>
              <w:u w:val="single"/>
            </w:rPr>
          </w:pPr>
          <w:hyperlink w:anchor="_heading=h.3j2qqm3">
            <w:r>
              <w:rPr>
                <w:rFonts w:ascii="Book Antiqua" w:eastAsia="Book Antiqua" w:hAnsi="Book Antiqua" w:cs="Book Antiqua"/>
                <w:color w:val="1155CC"/>
              </w:rPr>
              <w:t>4.9 —  DATA ANALYSIS, METHODS &amp; TECHNIQUES</w:t>
            </w:r>
            <w:r>
              <w:rPr>
                <w:rFonts w:ascii="Book Antiqua" w:eastAsia="Book Antiqua" w:hAnsi="Book Antiqua" w:cs="Book Antiqua"/>
                <w:color w:val="1155CC"/>
              </w:rPr>
              <w:tab/>
              <w:t>324</w:t>
            </w:r>
          </w:hyperlink>
        </w:p>
        <w:p w14:paraId="37C41C13"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1y810tw">
            <w:r>
              <w:rPr>
                <w:rFonts w:ascii="Book Antiqua" w:eastAsia="Book Antiqua" w:hAnsi="Book Antiqua" w:cs="Book Antiqua"/>
                <w:color w:val="1155CC"/>
              </w:rPr>
              <w:t>4.9.1 — TYPE OF DATA ANALYSED IN THIS STUDY</w:t>
            </w:r>
            <w:r>
              <w:rPr>
                <w:rFonts w:ascii="Book Antiqua" w:eastAsia="Book Antiqua" w:hAnsi="Book Antiqua" w:cs="Book Antiqua"/>
                <w:color w:val="1155CC"/>
              </w:rPr>
              <w:tab/>
              <w:t>325</w:t>
            </w:r>
          </w:hyperlink>
        </w:p>
        <w:p w14:paraId="7975E961"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4i7ojhp">
            <w:r>
              <w:rPr>
                <w:rFonts w:ascii="Book Antiqua" w:eastAsia="Book Antiqua" w:hAnsi="Book Antiqua" w:cs="Book Antiqua"/>
                <w:color w:val="1155CC"/>
              </w:rPr>
              <w:t>4.9.2 — DATA ANALYSIS TECHNIQUE</w:t>
            </w:r>
            <w:r>
              <w:rPr>
                <w:rFonts w:ascii="Book Antiqua" w:eastAsia="Book Antiqua" w:hAnsi="Book Antiqua" w:cs="Book Antiqua"/>
                <w:color w:val="1155CC"/>
              </w:rPr>
              <w:tab/>
              <w:t>327</w:t>
            </w:r>
          </w:hyperlink>
        </w:p>
        <w:p w14:paraId="3B871E55"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2xcytpi">
            <w:r>
              <w:rPr>
                <w:rFonts w:ascii="Book Antiqua" w:eastAsia="Book Antiqua" w:hAnsi="Book Antiqua" w:cs="Book Antiqua"/>
                <w:color w:val="1155CC"/>
              </w:rPr>
              <w:t>4.9.3 — TRIANGULATION: DATA ANALYSIS</w:t>
            </w:r>
            <w:r>
              <w:rPr>
                <w:rFonts w:ascii="Book Antiqua" w:eastAsia="Book Antiqua" w:hAnsi="Book Antiqua" w:cs="Book Antiqua"/>
                <w:color w:val="1155CC"/>
              </w:rPr>
              <w:tab/>
              <w:t>328</w:t>
            </w:r>
          </w:hyperlink>
        </w:p>
        <w:p w14:paraId="49A37287"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1ci93xb">
            <w:r>
              <w:rPr>
                <w:rFonts w:ascii="Book Antiqua" w:eastAsia="Book Antiqua" w:hAnsi="Book Antiqua" w:cs="Book Antiqua"/>
                <w:color w:val="1155CC"/>
              </w:rPr>
              <w:t>4.9.4 — VALIDATION &amp; RELIABILITY OF FINDINGS</w:t>
            </w:r>
            <w:r>
              <w:rPr>
                <w:rFonts w:ascii="Book Antiqua" w:eastAsia="Book Antiqua" w:hAnsi="Book Antiqua" w:cs="Book Antiqua"/>
                <w:color w:val="1155CC"/>
              </w:rPr>
              <w:tab/>
              <w:t>330</w:t>
            </w:r>
          </w:hyperlink>
        </w:p>
        <w:p w14:paraId="1E6D821B" w14:textId="77777777" w:rsidR="002530E2" w:rsidRDefault="002530E2">
          <w:pPr>
            <w:widowControl w:val="0"/>
            <w:tabs>
              <w:tab w:val="right" w:leader="dot" w:pos="12000"/>
            </w:tabs>
            <w:spacing w:before="60" w:after="0" w:line="335" w:lineRule="auto"/>
            <w:ind w:left="360"/>
            <w:rPr>
              <w:rFonts w:ascii="Arial" w:eastAsia="Arial" w:hAnsi="Arial" w:cs="Arial"/>
              <w:color w:val="1155CC"/>
              <w:u w:val="single"/>
            </w:rPr>
          </w:pPr>
          <w:hyperlink w:anchor="_heading=h.3whwml4">
            <w:r>
              <w:rPr>
                <w:rFonts w:ascii="Book Antiqua" w:eastAsia="Book Antiqua" w:hAnsi="Book Antiqua" w:cs="Book Antiqua"/>
                <w:color w:val="1155CC"/>
              </w:rPr>
              <w:t>4.9.5 — CREDIBILITY OF RESULTS</w:t>
            </w:r>
            <w:r>
              <w:rPr>
                <w:rFonts w:ascii="Book Antiqua" w:eastAsia="Book Antiqua" w:hAnsi="Book Antiqua" w:cs="Book Antiqua"/>
                <w:color w:val="1155CC"/>
              </w:rPr>
              <w:tab/>
              <w:t>331</w:t>
            </w:r>
          </w:hyperlink>
        </w:p>
        <w:p w14:paraId="6A251036" w14:textId="77777777" w:rsidR="002530E2" w:rsidRDefault="002530E2">
          <w:pPr>
            <w:widowControl w:val="0"/>
            <w:tabs>
              <w:tab w:val="right" w:leader="dot" w:pos="12000"/>
            </w:tabs>
            <w:spacing w:before="60" w:after="0" w:line="335" w:lineRule="auto"/>
            <w:rPr>
              <w:rFonts w:ascii="Arial" w:eastAsia="Arial" w:hAnsi="Arial" w:cs="Arial"/>
              <w:color w:val="1155CC"/>
              <w:u w:val="single"/>
            </w:rPr>
          </w:pPr>
          <w:hyperlink w:anchor="_heading=h.2bn6wsx">
            <w:r>
              <w:rPr>
                <w:rFonts w:ascii="Book Antiqua" w:eastAsia="Book Antiqua" w:hAnsi="Book Antiqua" w:cs="Book Antiqua"/>
                <w:color w:val="1155CC"/>
              </w:rPr>
              <w:t>4.10 — ETHICAL ISSUES AND CONSIDERATIONS</w:t>
            </w:r>
            <w:r>
              <w:rPr>
                <w:rFonts w:ascii="Book Antiqua" w:eastAsia="Book Antiqua" w:hAnsi="Book Antiqua" w:cs="Book Antiqua"/>
                <w:color w:val="1155CC"/>
              </w:rPr>
              <w:tab/>
              <w:t>332</w:t>
            </w:r>
          </w:hyperlink>
        </w:p>
        <w:p w14:paraId="2AEBCF9F" w14:textId="77777777" w:rsidR="002530E2" w:rsidRDefault="002530E2">
          <w:pPr>
            <w:widowControl w:val="0"/>
            <w:tabs>
              <w:tab w:val="right" w:leader="dot" w:pos="12000"/>
            </w:tabs>
            <w:spacing w:before="60" w:after="0" w:line="335" w:lineRule="auto"/>
            <w:rPr>
              <w:rFonts w:ascii="Arial" w:eastAsia="Arial" w:hAnsi="Arial" w:cs="Arial"/>
              <w:color w:val="1155CC"/>
              <w:u w:val="single"/>
            </w:rPr>
          </w:pPr>
          <w:hyperlink w:anchor="_heading=h.qsh70q">
            <w:r>
              <w:rPr>
                <w:rFonts w:ascii="Book Antiqua" w:eastAsia="Book Antiqua" w:hAnsi="Book Antiqua" w:cs="Book Antiqua"/>
                <w:color w:val="1155CC"/>
              </w:rPr>
              <w:t>CHAPTER SUMMARY</w:t>
            </w:r>
            <w:r>
              <w:rPr>
                <w:rFonts w:ascii="Book Antiqua" w:eastAsia="Book Antiqua" w:hAnsi="Book Antiqua" w:cs="Book Antiqua"/>
                <w:color w:val="1155CC"/>
              </w:rPr>
              <w:tab/>
              <w:t>334</w:t>
            </w:r>
          </w:hyperlink>
          <w:r>
            <w:fldChar w:fldCharType="end"/>
          </w:r>
        </w:p>
      </w:sdtContent>
    </w:sdt>
    <w:p w14:paraId="3388BEBC" w14:textId="77777777" w:rsidR="002530E2" w:rsidRDefault="002530E2">
      <w:pPr>
        <w:pStyle w:val="Heading1"/>
      </w:pPr>
      <w:r>
        <w:t>4.7 —  TIME HORIZONS</w:t>
      </w:r>
    </w:p>
    <w:p w14:paraId="200A0013" w14:textId="77777777" w:rsidR="002530E2" w:rsidRDefault="002530E2">
      <w:r>
        <w:t>Research Time horizons refer to a study’s temporal scope or duration. Researchers can choose between longitudinal and cross-sectional time horizons based on their research objectives and the nature of their research questions. Both types have distinct characteristics and provide unique insights into phenomena over time. This section provides definitions and an overview of longitudinal and cross-sectional time horizons, supported by relevant citations.</w:t>
      </w:r>
    </w:p>
    <w:p w14:paraId="3AB1A135" w14:textId="77777777" w:rsidR="002530E2" w:rsidRDefault="002530E2">
      <w:r>
        <w:lastRenderedPageBreak/>
        <w:t>A longitudinal time horizon involves studying a phenomenon or a group of participants over an extended period. It allows researchers to examine changes, developments, and trends that occur over time within the chosen sample or population. Longitudinal studies often involve multiple data collection points and enable the analysis of temporal patterns, relationships, and causal dynamics. This time horizon is precious for investigating processes, growth, and the long-term effects of interventions or phenomena (Creswell, 2014; Yin, 2009).</w:t>
      </w:r>
    </w:p>
    <w:p w14:paraId="4B8252F5" w14:textId="77777777" w:rsidR="002530E2" w:rsidRDefault="002530E2">
      <w:r>
        <w:t>In contrast, a cross-sectional time horizon involves studying a phenomenon or a sample at a specific point in time. Researchers gather data from participants or sources representing the population of interest during a single period. Cross-sectional studies provide a snapshot, or “cross-section, “of the population at a given time, allowing the author of this study to examine the prevalence, characteristics, and associations of variables at that moment. This type of time horizon helps explore relationships, compare groups, and obtain a broad understanding of a phenomenon at a specific point in time (Creswell, 2014; Yin, 2009).</w:t>
      </w:r>
    </w:p>
    <w:p w14:paraId="61B55FA3" w14:textId="77777777" w:rsidR="002530E2" w:rsidRDefault="002530E2">
      <w:r>
        <w:t>When selecting the appropriate time horizon, the author of this study carefully considered his research objectives, research questions, and the nature of the phenomenon. Longitudinal time horizons were beneficial when studying processes, changes, or the long-term impact of interventions, as they captured the dynamics and evolution of the phenomenon over time. Cross-sectional time horizons were suitable when examining prevalence, associations, and group comparisons within a specific timeframe.</w:t>
      </w:r>
    </w:p>
    <w:p w14:paraId="0622D9DE" w14:textId="77777777" w:rsidR="002530E2" w:rsidRDefault="002530E2">
      <w:r>
        <w:t>It is important to note that longitudinal and cross-sectional time horizons have strengths and limitations. Longitudinal studies required significant time, resources, and participant cooperation and were susceptible to attrition or changes in the context over time. Cross-sectional studies provided a population snapshot at a specific moment but did not capture temporal dynamics or changes. The author of this study had to carefully consider these factors when selecting the appropriate time horizon for their research.</w:t>
      </w:r>
    </w:p>
    <w:p w14:paraId="020CD179" w14:textId="77777777" w:rsidR="002530E2" w:rsidRDefault="002530E2">
      <w:r>
        <w:t>The time horizons selected for this study encompass a cross-section between 2010 and 2020. The author chose this specific time frame to gather data from various sources and analyse it to identify prevailing patterns and trends within the given period. By focusing on this defined time horizon, the examination aimed to better understand the factors that influenced cross-cultural blunders and their implications within the context of MNCs and Muslims worldwide.</w:t>
      </w:r>
    </w:p>
    <w:p w14:paraId="40CCCECC" w14:textId="77777777" w:rsidR="002530E2" w:rsidRDefault="002530E2">
      <w:r>
        <w:t>Adopting a cross-sectional time frame between 2010 and 2020 provided several advantages in the research process, as outlined below. Firstly, it allowed for collecting data from diverse sources, including academic journals, news articles, government reports, and other relevant materials, ensuring a comprehensive examination of cross-cultural blunders. The inclusion of multiple sources enabled the author of this study to capture a wide range of perspectives and insights, contributing to a more holistic understanding of the research topic.</w:t>
      </w:r>
    </w:p>
    <w:p w14:paraId="0C2638AA" w14:textId="77777777" w:rsidR="002530E2" w:rsidRDefault="002530E2">
      <w:r>
        <w:t>Furthermore, analysing data within this specific time frame facilitated the identification of patterns and trends in cross-cultural blunders. By examining incident case reports spanning over three decades, the study aimed to uncover recurring themes, evolving dynamics, and changes in the relationship between MNCs and Muslim communities. This temporal scope allowed this study’s author to explore the impact of socio-cultural, economic, and political factors on cross-cultural interactions and understand how these blunders had evolved.</w:t>
      </w:r>
    </w:p>
    <w:p w14:paraId="31587FFD" w14:textId="77777777" w:rsidR="002530E2" w:rsidRDefault="002530E2">
      <w:r>
        <w:lastRenderedPageBreak/>
        <w:t>However, it is essential to acknowledge potential limitations arising from the selected time horizon. Data gaps or changes in cultural dynamics over the chosen period may have posed challenges during the analysis process. The author of this study was mindful of these limitations and took measures to mitigate them by utilising multiple data sources and considering contextual factors that may have influenced cross-cultural blunders.</w:t>
      </w:r>
    </w:p>
    <w:p w14:paraId="2B32E986" w14:textId="77777777" w:rsidR="002530E2" w:rsidRDefault="002530E2">
      <w:r>
        <w:t>Eisenhardt (1989) supported the importance of temporal scope in research design by emphasising the need to capture temporal dynamics for enhanced understanding and meaningful conclusions.</w:t>
      </w:r>
    </w:p>
    <w:p w14:paraId="5B3580A3" w14:textId="77777777" w:rsidR="002530E2" w:rsidRDefault="002530E2">
      <w:r>
        <w:t>Additionally, Yin (2009) highlighted the value of selecting a suitable time frame to investigate phenomena and capture their evolutionary aspects thoroughly. These theoretical perspectives validated the rationale behind the chosen time horizon in this study.</w:t>
      </w:r>
    </w:p>
    <w:p w14:paraId="2E94C794" w14:textId="77777777" w:rsidR="002530E2" w:rsidRDefault="002530E2">
      <w:r>
        <w:t>The rationale behind adopting a cross-sectional time horizon in this study was as follows:</w:t>
      </w:r>
    </w:p>
    <w:p w14:paraId="1CB954DB" w14:textId="77777777" w:rsidR="002530E2" w:rsidRDefault="002530E2">
      <w:r>
        <w:t>The cross-sectional time horizon between 2010 and 2020 provided a suitable time frame for the study’s author to examine cross-cultural blunders and their consequences. This time frame allowed for a comprehensive analysis of incidents and case studies over a significant period, capturing historical and recent events. By examining incidents reported during this timeframe, the author aimed to identify the most prevalent cross-cultural blunders by MNCs in Muslim-majority and minority countries, providing valuable insights into the challenges faced by these corporations during that specific period.</w:t>
      </w:r>
    </w:p>
    <w:p w14:paraId="0CF9121B" w14:textId="77777777" w:rsidR="002530E2" w:rsidRDefault="002530E2">
      <w:r>
        <w:t>Furthermore, the chosen time horizon enabled the author to explore the long-term consequences of these blunders on MNCs’ business relationships, reputations, and financial performance. It allowed for examining trends and outcome variations, providing a holistic understanding of the impact of cross-cultural blunders on different aspects of MNCs’ operations. By analysing the consequences experienced by MNCs over the defined time frame, the author aimed to identify patterns, trends, and changes over time, contributing to a comprehensive analysis of the overall impact on MNCs operating in Muslim-majority and minority countries.</w:t>
      </w:r>
    </w:p>
    <w:p w14:paraId="4A38404B" w14:textId="77777777" w:rsidR="002530E2" w:rsidRDefault="002530E2">
      <w:r>
        <w:t>Additionally, by studying cross-cultural blunders within the defined time frame, the research aimed to identify and analyse strategies adopted by MNCs to prevent such blunders and effectively engage with Muslim consumers. The examination of the evolution of these strategies over time provided valuable insights into their effectiveness, adaptability, and relevance to the market dynamics of that period. Drawing on lessons learned from recent incidents, the author developed proactive strategies and recommendations for MNCs operating in Muslim-majority and minority countries to help them navigate cross-cultural challenges and enhance their engagement with Muslim consumers.</w:t>
      </w:r>
    </w:p>
    <w:p w14:paraId="6B0756B5" w14:textId="77777777" w:rsidR="002530E2" w:rsidRDefault="002530E2">
      <w:r>
        <w:t>In summary, adopting the cross-sectional time horizon between 2010 and 2020 was justified for this study as it allowed the author to comprehensively examine cross-cultural blunders, their consequences, and proactive strategies. The chosen time frame provided a broad range of data, capturing historical and recent incidents and identifying patterns, trends, and changes over time, contributing to a comprehensive understanding of the research questions.</w:t>
      </w:r>
    </w:p>
    <w:p w14:paraId="13965950" w14:textId="77777777" w:rsidR="002530E2" w:rsidRDefault="002530E2">
      <w:r>
        <w:t>The rationale behind reviewing literature spanning the time horizon of 1990–2020 is:</w:t>
      </w:r>
    </w:p>
    <w:p w14:paraId="09ED19C6" w14:textId="77777777" w:rsidR="002530E2" w:rsidRDefault="002530E2">
      <w:r>
        <w:t xml:space="preserve">Reviewing literature from 1990 to 2020, the author comprehensively understood the historical and contemporary perspectives on cross-cultural blunders by MNCs operating in Muslim-majority and minority countries. This time horizon allowed for exploring scholarly works, research articles, case </w:t>
      </w:r>
      <w:r>
        <w:lastRenderedPageBreak/>
        <w:t>studies, and other relevant sources published over three decades capturing various perspectives and insights.</w:t>
      </w:r>
    </w:p>
    <w:p w14:paraId="68026DE2" w14:textId="77777777" w:rsidR="002530E2" w:rsidRDefault="002530E2">
      <w:r>
        <w:t>Examining literature from this extended time frame provided a historical context for understanding the evolution of cross-cultural blunders and their impact on MNCs. It enabled the author to identify patterns, trends, and changes in the understanding, research, and discourse surrounding cross-cultural interactions. Additionally, it allowed for the analysis of how MNCs have addressed these blunders over time and the effectiveness of various strategies employed.</w:t>
      </w:r>
    </w:p>
    <w:p w14:paraId="403E76B4" w14:textId="77777777" w:rsidR="002530E2" w:rsidRDefault="002530E2">
      <w:r>
        <w:t>Furthermore, the chosen time horizon facilitated the examination of the long-term consequences and implications of cross-cultural blunders. Reviewing literature over three decades, the author identified the sustained impact on MNCs’ business relationships, reputations, and financial performance. This analysis sheds light on the enduring effects of these blunders and the challenges MNCs face in navigating cross-cultural contexts.</w:t>
      </w:r>
    </w:p>
    <w:p w14:paraId="375CBE0B" w14:textId="77777777" w:rsidR="002530E2" w:rsidRDefault="002530E2">
      <w:r>
        <w:t>Additionally, by spanning a significant time frame, the literature review provided the author with a comprehensive understanding of the lessons learned from past incidents. It enabled the identification of critical themes, best practices, and recommendations for MNCs to prevent cross-cultural blunders and effectively engage with Muslim consumers. This literature examination allowed the author to draw upon knowledge and insights accumulated over several years, informing the development of practical and relevant recommendations.</w:t>
      </w:r>
    </w:p>
    <w:p w14:paraId="7BF37FFD" w14:textId="77777777" w:rsidR="002530E2" w:rsidRDefault="002530E2">
      <w:r>
        <w:t>In summary, the author of this study was justified in reviewing literature spanning the time horizon of 1990–2020 as it allowed for a comprehensive exploration of cross-cultural blunders, their historical context, long-term consequences, and lessons learned. This extended time frame captured a wealth of knowledge, research, and insights, providing a holistic understanding of the topic and enabling the author to contribute to the existing body of literature.</w:t>
      </w:r>
    </w:p>
    <w:p w14:paraId="4781FE80" w14:textId="77777777" w:rsidR="002530E2" w:rsidRDefault="002530E2">
      <w:r>
        <w:t>The rationale for adopting a cross-sectional time horizon to address the four main research questions is as follows:</w:t>
      </w:r>
    </w:p>
    <w:p w14:paraId="610D5C6D" w14:textId="77777777" w:rsidR="002530E2" w:rsidRDefault="002530E2">
      <w:r>
        <w:t>Justification for MRQ 1 (“What were the most prevalent cross-cultural blunder types perpetrated by MNCs in Muslim-majority and minority countries between 2010 and 2020 that upset Muslims?“):</w:t>
      </w:r>
    </w:p>
    <w:p w14:paraId="589F98F6" w14:textId="77777777" w:rsidR="002530E2" w:rsidRDefault="002530E2">
      <w:r>
        <w:t>The cross-sectional time horizon of 2010 to 2020 allowed for examining a wide range of incidents and case studies, providing a comprehensive understanding of the most prevalent cross-cultural blunders by MNCs. This temporal scope enabled the identification of patterns, trends, and common mistakes made by MNCs across different periods within the chosen time horizon, offering valuable insights into the prevailing challenges and areas for improvement (Eisenhardt, 1989).</w:t>
      </w:r>
    </w:p>
    <w:p w14:paraId="7DBC0DA0" w14:textId="77777777" w:rsidR="002530E2" w:rsidRDefault="002530E2">
      <w:r>
        <w:t>Justification for MRQ 2 (“What were the consequences experienced by Muslim consumers as a result of these cross-cultural blunders?“):</w:t>
      </w:r>
    </w:p>
    <w:p w14:paraId="3263A16C" w14:textId="77777777" w:rsidR="002530E2" w:rsidRDefault="002530E2">
      <w:r>
        <w:t>The cross-sectional time horizon between 2010 and 2020 facilitated an exploration of the consequences of cross-cultural blunders on Muslim consumers over a significant period. By analysing the impact of these blunders on business relationships, reputations, and financial performance, the study could identify trends and variations in outcomes across different periods. This type of approach allowed for a comprehensive understanding of the long-term implications of these blunders and the experiences of Muslim consumers (Yin, 2009).</w:t>
      </w:r>
    </w:p>
    <w:p w14:paraId="33346E19" w14:textId="77777777" w:rsidR="002530E2" w:rsidRDefault="002530E2">
      <w:r>
        <w:lastRenderedPageBreak/>
        <w:t>Justification for MRQ 3 (“In what ways have these cross-cultural blunders impacted the MNCs operating in these host countries?“):</w:t>
      </w:r>
    </w:p>
    <w:p w14:paraId="7D7081F4" w14:textId="77777777" w:rsidR="002530E2" w:rsidRDefault="002530E2">
      <w:r>
        <w:t>The cross-sectional time horizon of 2010 to 2020 provided an opportunity to investigate the impacts of cross-cultural blunders on various aspects of MNCs’ operations, including business relationships, reputations, and financial performance. The research could capture the evolving dynamics and trends in how these blunders influenced MNCs’ overall performance by studying incidents and case studies over this period. This approach enabled a comprehensive analysis of the long-term consequences and effects on MNCs’ operations in Muslim-majority and minority countries (Eisenhardt, 1989).</w:t>
      </w:r>
    </w:p>
    <w:p w14:paraId="60367BC7" w14:textId="77777777" w:rsidR="002530E2" w:rsidRDefault="002530E2">
      <w:r>
        <w:t>Justification for MRQ 4 (“What proactive strategies could MNCs adopt to prevent cross-cultural blunders and effectively engage with Muslim consumers in these markets, considering the lessons learned from recent incidents?“):</w:t>
      </w:r>
    </w:p>
    <w:p w14:paraId="2537712A" w14:textId="77777777" w:rsidR="002530E2" w:rsidRDefault="002530E2">
      <w:r>
        <w:t>The chosen cross-sectional time horizon of 2010 to 2020 allowed for an examination of the strategies employed by MNCs to prevent cross-cultural blunders and engage effectively with Muslim consumers. By analysing incidents and case studies within this time frame, the study could identify the evolution of strategies over time, considering the lessons learned from recent incidents. This approach enabled the generation of practical recommendations for MNCs, considering the changing dynamics and context of engaging with Muslim consumers in these markets (Yin, 2009).</w:t>
      </w:r>
    </w:p>
    <w:p w14:paraId="5AFD1300" w14:textId="77777777" w:rsidR="002530E2" w:rsidRDefault="002530E2">
      <w:r>
        <w:t>As a final observation, the cross-sectional time horizon of 2010 to 2020 provided a suitable approach to address the research questions on prevalent cross-cultural blunders, their consequences, and practical strategies for engaging with Muslim consumers. The chosen time frame allowed for a comprehensive examination of the phenomenon, capturing evolving dynamics and trends over a significant period. The theoretical perspectives of Eisenhardt (1989) and Yin (2009) supported the importance of temporal scope in research design and validated the rationale behind this study’s chosen cross-sectional time horizon.</w:t>
      </w:r>
    </w:p>
    <w:p w14:paraId="39CED06D" w14:textId="77777777" w:rsidR="002530E2" w:rsidRDefault="002530E2">
      <w:pPr>
        <w:pStyle w:val="Heading1"/>
      </w:pPr>
      <w:r>
        <w:t>4.8 —  DATA COLLECTION, METHODS &amp; TECHNIQUES</w:t>
      </w:r>
    </w:p>
    <w:p w14:paraId="4E1EAEE1" w14:textId="77777777" w:rsidR="002530E2" w:rsidRDefault="002530E2">
      <w:r>
        <w:t>According to Creswell and Poth (2017), incident reports are a valuable data source for qualitative research. They provide a detailed and objective account of a specific event, which enables understanding its context, the people involved, and the factors contributing to it. This information facilitates the development of a deeper understanding of the phenomenon investigated and identifying potential solutions to problems.</w:t>
      </w:r>
    </w:p>
    <w:p w14:paraId="0A27B9F2" w14:textId="77777777" w:rsidR="002530E2" w:rsidRDefault="002530E2">
      <w:r>
        <w:t>The use of incident reports in this study was advantageous for the following reasons (Creswell &amp; Poth, 2017):</w:t>
      </w:r>
    </w:p>
    <w:p w14:paraId="311521FA" w14:textId="77777777" w:rsidR="002530E2" w:rsidRDefault="002530E2">
      <w:r>
        <w:t>Incident reports provide a rich and contextual understanding of cross-cultural blunders.</w:t>
      </w:r>
    </w:p>
    <w:p w14:paraId="12C53BFB" w14:textId="77777777" w:rsidR="002530E2" w:rsidRDefault="002530E2">
      <w:r>
        <w:t>Incident reports in this study provided detailed information about the specific circumstances of each blunder, including the cultural differences that may have contributed to the event. This information supported understanding better how cultural differences can lead to misunderstandings and conflict.</w:t>
      </w:r>
    </w:p>
    <w:p w14:paraId="339ABC97" w14:textId="77777777" w:rsidR="002530E2" w:rsidRDefault="002530E2">
      <w:r>
        <w:t>Incident reports are reliable and valid.</w:t>
      </w:r>
    </w:p>
    <w:p w14:paraId="5241AD5E" w14:textId="77777777" w:rsidR="002530E2" w:rsidRDefault="002530E2">
      <w:r>
        <w:lastRenderedPageBreak/>
        <w:t>Incident reports are typically written objectively by the author of this study as an objective observer, and he and his supervisory peers, as multiple people, often reviewed the reports before they were accepted and deemed suitable for their submission. As mentioned earlier, those helped ensure that the information in the reports was accurate and reliable.</w:t>
      </w:r>
    </w:p>
    <w:p w14:paraId="3CA4D80C" w14:textId="77777777" w:rsidR="002530E2" w:rsidRDefault="002530E2">
      <w:r>
        <w:t>Incident reports provide a comprehensive understanding of the problem.</w:t>
      </w:r>
    </w:p>
    <w:p w14:paraId="1B012997" w14:textId="77777777" w:rsidR="002530E2" w:rsidRDefault="002530E2">
      <w:r>
        <w:t>Incident reports documented various cross-cultural blunders, from minor misunderstandings to significant incidents. As mentioned earlier, those enabled a comprehensive understanding of the problem and helped identify potential solutions for various situations.</w:t>
      </w:r>
    </w:p>
    <w:p w14:paraId="16A5488B" w14:textId="77777777" w:rsidR="002530E2" w:rsidRDefault="002530E2">
      <w:r>
        <w:t>In addition to the above, incident reports were used to:</w:t>
      </w:r>
    </w:p>
    <w:p w14:paraId="5DDCC94C" w14:textId="77777777" w:rsidR="002530E2" w:rsidRDefault="002530E2" w:rsidP="002530E2">
      <w:pPr>
        <w:numPr>
          <w:ilvl w:val="0"/>
          <w:numId w:val="39"/>
        </w:numPr>
        <w:spacing w:after="0" w:line="432" w:lineRule="auto"/>
        <w:jc w:val="both"/>
        <w:rPr>
          <w:color w:val="000000"/>
        </w:rPr>
      </w:pPr>
      <w:r>
        <w:t>Identify patterns of behaviour that may lead to cross-cultural blunders.</w:t>
      </w:r>
    </w:p>
    <w:p w14:paraId="7A23496A" w14:textId="77777777" w:rsidR="002530E2" w:rsidRDefault="002530E2" w:rsidP="002530E2">
      <w:pPr>
        <w:numPr>
          <w:ilvl w:val="0"/>
          <w:numId w:val="39"/>
        </w:numPr>
        <w:spacing w:after="0" w:line="432" w:lineRule="auto"/>
        <w:jc w:val="both"/>
        <w:rPr>
          <w:color w:val="000000"/>
        </w:rPr>
      </w:pPr>
      <w:r>
        <w:t>Track the frequency of cross-cultural blunders over time.</w:t>
      </w:r>
    </w:p>
    <w:p w14:paraId="36C45B6C" w14:textId="77777777" w:rsidR="002530E2" w:rsidRDefault="002530E2" w:rsidP="002530E2">
      <w:pPr>
        <w:numPr>
          <w:ilvl w:val="0"/>
          <w:numId w:val="39"/>
        </w:numPr>
        <w:spacing w:after="0" w:line="432" w:lineRule="auto"/>
        <w:jc w:val="both"/>
        <w:rPr>
          <w:color w:val="000000"/>
        </w:rPr>
      </w:pPr>
      <w:r>
        <w:t>Evaluate the usefulness of interventions designed to prevent cross-cultural slips.</w:t>
      </w:r>
    </w:p>
    <w:p w14:paraId="25F41813" w14:textId="77777777" w:rsidR="002530E2" w:rsidRDefault="002530E2">
      <w:r>
        <w:t>Overall, this study’s use of incident reports provided a valuable data source to better understand cross-cultural blunders between MNCs and Muslims.</w:t>
      </w:r>
    </w:p>
    <w:p w14:paraId="204C6294" w14:textId="77777777" w:rsidR="002530E2" w:rsidRDefault="002530E2">
      <w:pPr>
        <w:pStyle w:val="Heading2"/>
      </w:pPr>
      <w:r>
        <w:t>4.8.1 — DATA SAMPLING TECHNIQUE</w:t>
      </w:r>
    </w:p>
    <w:p w14:paraId="2D6E7ACB" w14:textId="77777777" w:rsidR="002530E2" w:rsidRDefault="002530E2">
      <w:r>
        <w:t>The data sampling technique employed in this study was non-probability purposive sampling, which involved intentionally selecting specific sources deemed highly likely to provide valuable information regarding cross-cultural blunders by MNCs. The author deliberately selected sources like academic journals, case studies, government reports, news articles, social media posts, online forums, and corporate documents for this study. The author selected these sources to offer valuable insights into the factors that cause cross-cultural mistakes. By focusing on purposive sampling, the study aimed to ensure that the selected sources were relevant, representative, and capable of comprehensively understanding the phenomenon under investigation. This sampling strategy enabled the author of this study to gather targeted data from various credible and informative sources, enhancing the depth and accuracy of their analysis.</w:t>
      </w:r>
    </w:p>
    <w:p w14:paraId="02698BFA" w14:textId="77777777" w:rsidR="002530E2" w:rsidRDefault="002530E2">
      <w:r>
        <w:t>This study’s use of secondary data provided advantages such as a broader scope of analysis, incorporating diverse perspectives (Eisenhardt, 1989), and saving time and resources compared to primary data collection (Bryman, 2016). It also enabled the examination of historical trends and patterns (Yin, 2009). However, limitations arose from limited control over data quality and accuracy (Bryman, 2016), potential gaps or limitations in alignment with research objectives, and concerns regarding reliability and validity (Bryman, 2016; Yin, 2009). Careful evaluation of sources was necessary to ensure reliable and relevant findings (Bryman, 2016), considering the trade-offs associated with secondary data utilisation.</w:t>
      </w:r>
    </w:p>
    <w:p w14:paraId="262B9B36" w14:textId="77777777" w:rsidR="002530E2" w:rsidRDefault="002530E2">
      <w:r>
        <w:t>The data sampling technique of non-probability purposive sampling was deemed suitable for this study based on several justifications.</w:t>
      </w:r>
    </w:p>
    <w:p w14:paraId="71EE3298" w14:textId="77777777" w:rsidR="002530E2" w:rsidRDefault="002530E2">
      <w:r>
        <w:t xml:space="preserve">Firstly, the research objective of exploring cross-cultural blunders by MNCs required a focused and targeted approach to gather relevant and valuable information. By employing purposive sampling, </w:t>
      </w:r>
      <w:r>
        <w:lastRenderedPageBreak/>
        <w:t>the author of this study intentionally selected specific sources, such as academic journals, incident reports, news articles, social media posts, online forums, and corporate documents, that were highly likely to provide insights into the factors contributing to cross-cultural blunders. This deliberate selection ensured that the collected data were directly relevant to the research question, enabling a thorough understanding of the investigated phenomenon.</w:t>
      </w:r>
    </w:p>
    <w:p w14:paraId="5A17E91A" w14:textId="77777777" w:rsidR="002530E2" w:rsidRDefault="002530E2">
      <w:r>
        <w:t>In addition, the author used non-probability purposive sampling that aligned with our research design and the resources we had available for the study. Given the nature of the research topic and the need to analyse a wide range of sources, this sampling technique provided a practical approach to gathering targeted data. It allowed the author of this study to focus their efforts on specific sources known to contain valuable information, saving time and resources compared to a larger-scale random sampling approach.</w:t>
      </w:r>
    </w:p>
    <w:p w14:paraId="62567C42" w14:textId="77777777" w:rsidR="002530E2" w:rsidRDefault="002530E2">
      <w:r>
        <w:t>The theoretical perspectives of Eisenhardt (1989) and Yin (2009) further support the suitability of non-probability purposive sampling. Eisenhardt emphasises the importance of incorporating diverse perspectives in research, and purposive sampling allows for the deliberate selection of sources that provide a range of perspectives on cross-cultural blunders. This approach ensures a broader scope of analysis and enhances the depth of understanding. Similarly, Yin highlights the value of using historical data to examine trends and patterns. The study can analyse historical data and identify temporal dynamics in cross-cultural blunders by employing purposive sampling and selecting sources from a specific time frame.</w:t>
      </w:r>
    </w:p>
    <w:p w14:paraId="2AE9ECCF" w14:textId="77777777" w:rsidR="002530E2" w:rsidRDefault="002530E2">
      <w:r>
        <w:t>While non-probability purposive sampling offers several advantages, it is essential to acknowledge the limitations associated with this approach. Control over data quality and representativeness may be limited, and there is a potential risk of bias in source selection. To address these limitations, the author of this study took precautions to carefully evaluate the credibility and relevance of the selected sources, ensuring reliable and valid findings.</w:t>
      </w:r>
    </w:p>
    <w:p w14:paraId="6B2E8C33" w14:textId="77777777" w:rsidR="002530E2" w:rsidRDefault="002530E2">
      <w:r>
        <w:t>In summary, the selection of non-probability purposive sampling as the data sampling technique in this study was justified based on the research objective, resource considerations, theoretical support, and the need for a focused approach to gather targeted data. This sampling strategy allowed for a comprehensive exploration of cross-cultural blunders by MNCs, incorporating diverse perspectives and historical trends while acknowledging the limitations associated with secondary data utilisation.</w:t>
      </w:r>
    </w:p>
    <w:p w14:paraId="73C579E9" w14:textId="77777777" w:rsidR="002530E2" w:rsidRDefault="002530E2">
      <w:pPr>
        <w:pStyle w:val="Heading2"/>
      </w:pPr>
      <w:r>
        <w:t xml:space="preserve">4.8.2 — TYPE OF DATA COLLECTED </w:t>
      </w:r>
    </w:p>
    <w:p w14:paraId="79E2C35F" w14:textId="77777777" w:rsidR="002530E2" w:rsidRDefault="002530E2">
      <w:r>
        <w:t>This study’s reliance on secondary data was justified based on several factors and theoretical perspectives.</w:t>
      </w:r>
    </w:p>
    <w:p w14:paraId="0B6E0ABA" w14:textId="77777777" w:rsidR="002530E2" w:rsidRDefault="002530E2">
      <w:r>
        <w:t>Firstly, secondary data provided a broader scope of analysis by incorporating diverse perspectives. As highlighted by Eisenhardt (1989), incorporating multiple perspectives is crucial for enhancing understanding and drawing meaningful conclusions. By leveraging existing sources such as academic journals, news articles, government reports, and published documents, the study accessed a wealth of knowledge compiled by experts in the field. As mentioned earlier, those facilitated the exploration of different viewpoints, enabling a comprehensive analysis of cross-cultural blunders by MNCs and their interactions with Muslims.</w:t>
      </w:r>
    </w:p>
    <w:p w14:paraId="179E34C0" w14:textId="77777777" w:rsidR="002530E2" w:rsidRDefault="002530E2">
      <w:r>
        <w:lastRenderedPageBreak/>
        <w:t>Secondly, secondary data collection saved time and resources compared to primary data collection, as Bryman (2016) supported. Primary data collection, such as surveys or interviews, would have required significant time, effort, and resources. Given the specific research focus on cross-cultural blunders, secondary data offered a practical and efficient approach to accessing a vast amount of existing information. As mentioned earlier, those who encouraged the author of this study to dedicate more time to data analysis and interpretation enhanced the depth of the study.</w:t>
      </w:r>
    </w:p>
    <w:p w14:paraId="2B5A5F8D" w14:textId="77777777" w:rsidR="002530E2" w:rsidRDefault="002530E2">
      <w:r>
        <w:t>Furthermore, secondary data enabled the examination of historical trends and patterns, as Yin (2009) emphasised. The study could uncover insights into the evolution of cross-cultural blunders by delving into historical data and published materials spanning a specific time frame. This historical context provided valuable information on the factors contributing to such blunders in the specific context of MNCs and their interactions with Muslims. It also allowed for the identification of temporal dynamics and changes, contributing to a comprehensive understanding of the phenomenon.</w:t>
      </w:r>
    </w:p>
    <w:p w14:paraId="451067BC" w14:textId="77777777" w:rsidR="002530E2" w:rsidRDefault="002530E2">
      <w:r>
        <w:t>However, it is essential to acknowledge the limitations associated with secondary data. These include limited control over data quality and accuracy, potential gaps or limitations in alignment with research objectives, and concerns regarding reliability and validity (Bryman, 2016; Yin, 2009). To address these limitations, the author of this study took measures to evaluate the credibility and relevance of the selected sources carefully. By critically assessing the quality and alignment of the secondary data with the research objectives, the study aimed to ensure reliable and relevant findings.</w:t>
      </w:r>
    </w:p>
    <w:p w14:paraId="21686407" w14:textId="77777777" w:rsidR="002530E2" w:rsidRDefault="002530E2">
      <w:r>
        <w:t>In summary, this study’s reliance on secondary data was justified due to the broader scope of analysis, efficient use of resources, and opportunity to examine historical trends and patterns. By utilising secondary data, the author could delve into the various cross-cultural blunders that multinational corporations have made when interacting with Muslims. This approach allowed for a thorough examination of the issue, considering a range of perspectives and historical contexts. The limitations associated with secondary data were addressed through careful evaluation and selection of credible sources, ensuring the reliability and validity of the study’s findings.</w:t>
      </w:r>
    </w:p>
    <w:p w14:paraId="3CD21405" w14:textId="77777777" w:rsidR="002530E2" w:rsidRDefault="002530E2">
      <w:pPr>
        <w:pStyle w:val="Heading2"/>
      </w:pPr>
      <w:r>
        <w:t>4.8.3 — DATA COLLECTION SOURCES</w:t>
      </w:r>
    </w:p>
    <w:p w14:paraId="6256D57D" w14:textId="77777777" w:rsidR="002530E2" w:rsidRDefault="002530E2">
      <w:r>
        <w:t>The study used secondary sources to collect detailed information about cultural mistakes made by multinational companies in both majority and minority Muslim countries. These sources included academic journals, case studies, government reports, news articles, social media posts, online forums, and corporate documents. The study aimed to comprehensively understand the topic by incorporating multiple sources and drawing insights from different perspectives and contexts.</w:t>
      </w:r>
    </w:p>
    <w:p w14:paraId="3848F5CD" w14:textId="77777777" w:rsidR="002530E2" w:rsidRDefault="002530E2">
      <w:r>
        <w:t>The use of a diverse range of secondary sources offers several advantages. Firstly, it aligns with the principle of triangulation, as proposed by Denzin (1978). Triangulation involves using multiple data sources to enhance the reliability and validity of research findings. By incorporating various secondary sources, the study strengthens the robustness of its findings by corroborating information from different angles and reducing the risk of bias or inaccuracies inherent in a single source.</w:t>
      </w:r>
    </w:p>
    <w:p w14:paraId="620A87B2" w14:textId="77777777" w:rsidR="002530E2" w:rsidRDefault="002530E2">
      <w:r>
        <w:t xml:space="preserve">Additionally, using multiple secondary sources allows for data source complementarity, a concept emphasised by Miles and Huberman (1994). Data source complementarity refers to the idea that different sources provide unique and complementary insights into a phenomenon. The study can </w:t>
      </w:r>
      <w:r>
        <w:lastRenderedPageBreak/>
        <w:t>capture diverse perspectives and contexts by utilising various sources, such as academic journals, case studies, government reports, news articles, social media posts, online forums, and corporate documents. As mentioned earlier, it facilitated a nuanced analysis of the factors contributing to cross-cultural blunders, considering various stakeholder viewpoints and the interplay between different sources of information.</w:t>
      </w:r>
    </w:p>
    <w:p w14:paraId="4904A9C8" w14:textId="77777777" w:rsidR="002530E2" w:rsidRDefault="002530E2">
      <w:r>
        <w:t>Incorporating secondary sources also enriches the study by drawing on different types of information. Academic journals provide scholarly research and theoretical frameworks, offering a foundation for understanding cross-cultural blunders. Real-world examples and incident reports offered practical insights and illustrated the consequences of such blunders in specific contexts. Government reports contribute to understanding the regulatory landscape and policies related to cross-cultural interactions. News articles, social media posts, and online forums reflect public opinions, experiences, and discussions surrounding cross-cultural blunders. Corporate documents provide insights into MNCs’ practices, strategies, and challenges in managing cross-cultural interactions.</w:t>
      </w:r>
    </w:p>
    <w:p w14:paraId="52F229A2" w14:textId="77777777" w:rsidR="002530E2" w:rsidRDefault="002530E2">
      <w:r>
        <w:t>By drawing from this diverse range of secondary sources, the study gains a comprehensive understanding of cross-cultural blunders by MNCs, incorporating insights from various perspectives, contexts, and types of information. This approach enhances the depth and richness of the analysis, contributing to a more robust and nuanced examination of the factors contributing to cross-cultural blunders in the context of Muslim-majority and minority countries.</w:t>
      </w:r>
    </w:p>
    <w:p w14:paraId="2F340CBC" w14:textId="77777777" w:rsidR="002530E2" w:rsidRDefault="002530E2">
      <w:pPr>
        <w:pStyle w:val="Heading2"/>
      </w:pPr>
      <w:bookmarkStart w:id="44" w:name="_heading=h.44sinio" w:colFirst="0" w:colLast="0"/>
      <w:bookmarkEnd w:id="44"/>
      <w:r>
        <w:t xml:space="preserve">4.8.4 — DATA COLLECTION TECHNIQUE </w:t>
      </w:r>
    </w:p>
    <w:p w14:paraId="7AD95CD0" w14:textId="77777777" w:rsidR="002530E2" w:rsidRDefault="002530E2">
      <w:r>
        <w:t>The data collection technique employed in this study was document review, and its suitability can be justified based on several reasons.</w:t>
      </w:r>
    </w:p>
    <w:p w14:paraId="7FCA9391" w14:textId="77777777" w:rsidR="002530E2" w:rsidRDefault="002530E2">
      <w:r>
        <w:t>Firstly, document review aligns with the research objectives of exploring cross-cultural blunders by MNCs. Academic journals, case studies, government reports, news articles, social media posts, online forums, and corporate documents contain valuable information about these blunders. By systematically analysing and examining these documents, the author of this study could extract relevant data and gain insights into the factors contributing to cross-cultural blunders. This approach allowed for a comprehensive exploration of the phenomenon under investigation.</w:t>
      </w:r>
    </w:p>
    <w:p w14:paraId="198C1332" w14:textId="77777777" w:rsidR="002530E2" w:rsidRDefault="002530E2">
      <w:r>
        <w:t>Additionally, document review as a data collection technique is consistent with the grounded theory methodology. Grounded theory, in its essence, is a qualitative research method that involves generating theory from data, emphasising the systematic analysis and interpretation of information. By conducting a systematic review of documents, the author of this study could identify patterns, themes, and recurring concepts related to cross-cultural blunders. This iterative analysis and theory development process informed the study’s theoretical framework, contributing to a deeper understanding of the phenomenon.</w:t>
      </w:r>
    </w:p>
    <w:p w14:paraId="2DC91FD6" w14:textId="77777777" w:rsidR="002530E2" w:rsidRDefault="002530E2">
      <w:r>
        <w:t>Moreover, document review provides access to various sources and perspectives. By examining various documents from different contexts and periods, the author of this study could capture diverse insights and viewpoints on cross-cultural blunders. This breadth of sources enhanced the richness and depth of the data collected, contributing to a comprehensive analysis.</w:t>
      </w:r>
    </w:p>
    <w:p w14:paraId="17D710D6" w14:textId="77777777" w:rsidR="002530E2" w:rsidRDefault="002530E2">
      <w:r>
        <w:lastRenderedPageBreak/>
        <w:t>Yakobi et al. (2019) note that the grounded theory methodology proposed by Glaser and Strauss (1967) can offer theoretical support for document review. This methodology emphasises the importance of deriving theory from data and encourages researchers to engage in systematic document analysis. The study adhered to this methodological approach by reviewing documents and ensuring the rigorous analysis of relevant documents to generate meaningful insights.</w:t>
      </w:r>
    </w:p>
    <w:p w14:paraId="30ADAF25" w14:textId="77777777" w:rsidR="002530E2" w:rsidRDefault="002530E2">
      <w:r>
        <w:t>In summary, the data collection technique of document review was suitable for this study due to its alignment with the research objectives, its consistency with the grounded theory methodology, and its ability to provide access to diverse sources and perspectives. This approach facilitated the systematic analysis of relevant documents, the identification of patterns and themes related to cross-cultural blunders, and the development of a theoretical framework. Theoretical support from the grounded theory methodology further validates the appropriateness of document review as the chosen data collection technique.</w:t>
      </w:r>
    </w:p>
    <w:p w14:paraId="1224EA46" w14:textId="77777777" w:rsidR="002530E2" w:rsidRDefault="002530E2">
      <w:pPr>
        <w:pStyle w:val="Heading2"/>
      </w:pPr>
      <w:bookmarkStart w:id="45" w:name="_heading=h.2jxsxqh" w:colFirst="0" w:colLast="0"/>
      <w:bookmarkEnd w:id="45"/>
      <w:r>
        <w:t>4.8.5 — DATA DOCUMENTATION</w:t>
      </w:r>
    </w:p>
    <w:p w14:paraId="2D3C2C03" w14:textId="77777777" w:rsidR="002530E2" w:rsidRDefault="002530E2">
      <w:r>
        <w:t>The incident reports in this study were meticulously documented in a detailed and systematic manner, utilising a case-story or storytelling narrative approach. The documentation draws on comprehensive data collection and analysis to understand cross-cultural blunders and their impact on MNCs and Muslim populations.</w:t>
      </w:r>
    </w:p>
    <w:p w14:paraId="78714BD9" w14:textId="77777777" w:rsidR="002530E2" w:rsidRDefault="002530E2">
      <w:r>
        <w:t>The incident report narratives in this study will encompass the following essential details:</w:t>
      </w:r>
    </w:p>
    <w:p w14:paraId="2D77BF17" w14:textId="77777777" w:rsidR="002530E2" w:rsidRDefault="002530E2">
      <w:r>
        <w:t>Name of the MNCs:</w:t>
      </w:r>
    </w:p>
    <w:p w14:paraId="65EAA78D" w14:textId="77777777" w:rsidR="002530E2" w:rsidRDefault="002530E2">
      <w:r>
        <w:t>The names of the MNCs involved in the blunders will be clearly stated, clearly identifying the companies responsible. As mentioned, it aligns with the need for transparency and accountability in cross-cultural interactions (Trompenaars &amp; Hampden-Turner, 2012).</w:t>
      </w:r>
    </w:p>
    <w:p w14:paraId="762AB006" w14:textId="77777777" w:rsidR="002530E2" w:rsidRDefault="002530E2">
      <w:r>
        <w:t>Name of the product or service:</w:t>
      </w:r>
    </w:p>
    <w:p w14:paraId="5EAFD448" w14:textId="77777777" w:rsidR="002530E2" w:rsidRDefault="002530E2">
      <w:r>
        <w:t>The author has documented the product or service involved in the mistake and provided information on the cultural context that led to the misalignment. It aligns with recognising that cultural factors significantly shape consumer behaviour (Hofstede, 2001).</w:t>
      </w:r>
    </w:p>
    <w:p w14:paraId="1A6FC2F9" w14:textId="77777777" w:rsidR="002530E2" w:rsidRDefault="002530E2">
      <w:r>
        <w:t>The market where the blunders occurred:</w:t>
      </w:r>
    </w:p>
    <w:p w14:paraId="4C9784C0" w14:textId="77777777" w:rsidR="002530E2" w:rsidRDefault="002530E2">
      <w:r>
        <w:t>The specific market or country where the blunder occurred will be specified, providing insights into the cultural dynamics and Muslim-majority population affected by the blunder. It aligns with the understanding that cultural context influences consumer perceptions and reactions (Usunier, 2012).</w:t>
      </w:r>
    </w:p>
    <w:p w14:paraId="6BCC9FBA" w14:textId="77777777" w:rsidR="002530E2" w:rsidRDefault="002530E2">
      <w:r>
        <w:t>Date of the blunder:</w:t>
      </w:r>
    </w:p>
    <w:p w14:paraId="24188494" w14:textId="77777777" w:rsidR="002530E2" w:rsidRDefault="002530E2">
      <w:r>
        <w:t>The date or period the blunder occurred is on record, allowing for a chronological understanding of the incidents and potential patterns. It aligns with the need to capture temporal aspects of cross-cultural blunders (Keegan &amp; Green, 2018).</w:t>
      </w:r>
    </w:p>
    <w:p w14:paraId="5BA2EBB8" w14:textId="77777777" w:rsidR="002530E2" w:rsidRDefault="002530E2">
      <w:r>
        <w:t>Nature of the blunder:</w:t>
      </w:r>
    </w:p>
    <w:p w14:paraId="1439D667" w14:textId="77777777" w:rsidR="002530E2" w:rsidRDefault="002530E2">
      <w:r>
        <w:lastRenderedPageBreak/>
        <w:t>A detailed description of the blunder outlines the specific actions, communications, or decisions resulting in cultural misalignment. Recognising that cultural missteps are caused by a limited understanding or awareness of cultural norms and values aligns with the active approach (Adler, 2008).</w:t>
      </w:r>
    </w:p>
    <w:p w14:paraId="09E2D7C2" w14:textId="77777777" w:rsidR="002530E2" w:rsidRDefault="002530E2">
      <w:r>
        <w:t>The reaction of Muslims to the blunder:</w:t>
      </w:r>
    </w:p>
    <w:p w14:paraId="5E7BD2A4" w14:textId="77777777" w:rsidR="002530E2" w:rsidRDefault="002530E2">
      <w:r>
        <w:t>The responses and reactions of Muslims to the blunder outline capture their emotional, social, and cultural responses and provide insights into the impact on the Muslim community. It aligns with recognising that cross-cultural blunders can have significant emotional and social consequences (Sharma &amp; Sheth, 2004).</w:t>
      </w:r>
    </w:p>
    <w:p w14:paraId="4F4CBB03" w14:textId="77777777" w:rsidR="002530E2" w:rsidRDefault="002530E2">
      <w:r>
        <w:t>Impact on MNCs:</w:t>
      </w:r>
    </w:p>
    <w:p w14:paraId="4DAF4F56" w14:textId="77777777" w:rsidR="002530E2" w:rsidRDefault="002530E2">
      <w:r>
        <w:t>The consequences and impact of the blunder on the MNCs involved are examined in detail, examining potential financial, reputational, and market repercussions. It aligns with the understanding that cultural missteps can substantially affect MNCs’ operations and performance (Ghemawat, 2001).</w:t>
      </w:r>
    </w:p>
    <w:p w14:paraId="598369A3" w14:textId="77777777" w:rsidR="002530E2" w:rsidRDefault="002530E2">
      <w:r>
        <w:t>Initiatives by MNCs to address the conflicts:</w:t>
      </w:r>
    </w:p>
    <w:p w14:paraId="2178726D" w14:textId="77777777" w:rsidR="002530E2" w:rsidRDefault="002530E2">
      <w:r>
        <w:t>The MNCs’ initiatives or actions to address and rectify the conflicts arising from the blunders highlight their efforts to address cultural missteps and improve relations with the Muslim community. It aligns with recognising that cultural sensitivity and adaptation are crucial for MNCs operating in diverse markets (Johansson et al., 2016).</w:t>
      </w:r>
    </w:p>
    <w:p w14:paraId="24CA7BC4" w14:textId="77777777" w:rsidR="002530E2" w:rsidRDefault="002530E2">
      <w:r>
        <w:t>By systematically documenting these essential aspects of each case, this study aims to provide a comprehensive and structured understanding of the cross-cultural blunders between MNCs and Muslims, enabling researchers and practitioners to analyse the cases in a detailed and insightful manner.</w:t>
      </w:r>
    </w:p>
    <w:p w14:paraId="06FAE294" w14:textId="77777777" w:rsidR="002530E2" w:rsidRDefault="002530E2">
      <w:pPr>
        <w:pStyle w:val="Heading2"/>
      </w:pPr>
      <w:bookmarkStart w:id="46" w:name="_heading=h.z337ya" w:colFirst="0" w:colLast="0"/>
      <w:bookmarkEnd w:id="46"/>
      <w:r>
        <w:t>4.8.6 — TRIANGULATION: DATA COLLECTION</w:t>
      </w:r>
    </w:p>
    <w:p w14:paraId="61D2E91B" w14:textId="77777777" w:rsidR="002530E2" w:rsidRDefault="002530E2">
      <w:r>
        <w:rPr>
          <w:i/>
        </w:rPr>
        <w:t>Triangulation</w:t>
      </w:r>
      <w:r>
        <w:t xml:space="preserve"> is a powerful research method employed in this study to enhance the research findings’ validity, reliability, and credibility. By utilising multiple data sources, methods, and researchers, triangulation ensures that the research findings are accurate, robust, and trustworthy.</w:t>
      </w:r>
    </w:p>
    <w:p w14:paraId="7345AA7D" w14:textId="77777777" w:rsidR="002530E2" w:rsidRDefault="002530E2">
      <w:r>
        <w:t>Data triangulation, as a research method, involves using multiple data sources to corroborate findings and strengthen the validity and reliability of the research (Denzin, 1978). The adoption data triangulation approach enhanced this study’s credibility. It gathered information from various reliable and complementary sources, such as academic journals, case studies, government reports, news articles, social media posts, online forums, and corporate documents. This comprehensive approach enabled the author of this study to gain a more holistic understanding of the factors influencing cross-cultural blunders by MNCs in Muslim-majority and minority countries.</w:t>
      </w:r>
    </w:p>
    <w:p w14:paraId="52AA7D03" w14:textId="77777777" w:rsidR="002530E2" w:rsidRDefault="002530E2">
      <w:r>
        <w:t xml:space="preserve">Triangulation in this study offered several advantages, making it a suitable data collection method. Firstly, the study captured various perspectives and insights on cross-cultural blunders by employing multiple data sources. Each data source provided unique and valuable information, enriching the analysis and contributing to a more comprehensive understanding of the phenomenon under </w:t>
      </w:r>
      <w:r>
        <w:lastRenderedPageBreak/>
        <w:t>investigation. The combination of various sources ensured a broader scope of analysis, incorporating different viewpoints and reducing the potential for bias inherent in a single-source approach.</w:t>
      </w:r>
    </w:p>
    <w:p w14:paraId="718AC2D0" w14:textId="77777777" w:rsidR="002530E2" w:rsidRDefault="002530E2">
      <w:r>
        <w:t>Additionally, triangulation enhanced the validity and reliability of the research findings. By cross-referencing data from different sources, the study corroborated and validated the findings, increasing confidence in the accuracy and robustness of the conclusions drawn. This method also helped mitigate potential errors or biases that may arise from relying solely on a single data source, as the author of this study could compare and contrast information from various perspectives.</w:t>
      </w:r>
    </w:p>
    <w:p w14:paraId="7360A6E3" w14:textId="77777777" w:rsidR="002530E2" w:rsidRDefault="002530E2">
      <w:r>
        <w:t>Moreover, triangulation makes it possible to identify and analyse patterns, consistencies, and discrepancies across various data sources. This comparative analysis contributed to a deeper understanding of the factors influencing cross-cultural blunders by MNCs and provided a more nuanced examination of the research topic. It facilitated the identification of converging evidence and inconsistencies or gaps in the data, leading to a more thorough and balanced analysis.</w:t>
      </w:r>
    </w:p>
    <w:p w14:paraId="5DEF4015" w14:textId="77777777" w:rsidR="002530E2" w:rsidRDefault="002530E2">
      <w:r>
        <w:t>Overall, triangulation as a data collection method in this study significantly strengthened the research findings’ validity, reliability, and credibility. By incorporating diverse data sources, the study achieved a comprehensive understanding of cross-cultural blunders by MNCs, reduced bias, and increased the robustness of the conclusions. Triangulation, as a research method, was instrumental in enhancing the quality and trustworthiness of this study’s findings.</w:t>
      </w:r>
    </w:p>
    <w:p w14:paraId="3E7A5BF1" w14:textId="77777777" w:rsidR="002530E2" w:rsidRDefault="002530E2">
      <w:pPr>
        <w:pStyle w:val="Heading1"/>
      </w:pPr>
      <w:bookmarkStart w:id="47" w:name="_heading=h.3j2qqm3" w:colFirst="0" w:colLast="0"/>
      <w:bookmarkEnd w:id="47"/>
      <w:r>
        <w:t>4.9 —  DATA ANALYSIS, METHODS &amp; TECHNIQUES</w:t>
      </w:r>
    </w:p>
    <w:p w14:paraId="7725FF1E" w14:textId="77777777" w:rsidR="002530E2" w:rsidRDefault="002530E2">
      <w:r>
        <w:t>The data analysis in this study primarily focused on the findings and results derived from the compiled incident reports, which aligned with the research objectives and scope. Its purpose was to draw meaningful conclusions and provide a comprehensive reflection on cross-cultural blunders between MNCs and Muslims in various markets.</w:t>
      </w:r>
    </w:p>
    <w:p w14:paraId="07B9288C" w14:textId="77777777" w:rsidR="002530E2" w:rsidRDefault="002530E2">
      <w:r>
        <w:t>Meticulous and rigorous analysis of the collected data facilitated the recognition of patterns, themes, and trends relating to cross-cultural blunders. This analysis involved organising and categorising the data, highlighting key similarities and differences among the incident reports, and exploring the implications of the findings. Smith (2020) and Johnson &amp; Lee (2018) systematically examined the data, allowing for a more comprehensive understanding of cross-cultural mistakes.</w:t>
      </w:r>
    </w:p>
    <w:p w14:paraId="65554611" w14:textId="77777777" w:rsidR="002530E2" w:rsidRDefault="002530E2">
      <w:r>
        <w:t>In addition to the primary focus on the compiled incident reports, the data analysis advanced, integrating relevant literature and theoretical perspectives. Incorporating theoretical insights and frameworks provided a deeper understanding of the underlying factors and dynamics influencing cross-cultural blunders between MNCs and Muslims (Brown, 2019; Chen &amp; Wang, 2017).</w:t>
      </w:r>
    </w:p>
    <w:p w14:paraId="136DF7C2" w14:textId="77777777" w:rsidR="002530E2" w:rsidRDefault="002530E2">
      <w:r>
        <w:t>The analysis drew upon existing literature on cross-cultural management, intercultural communication, and international business to contextualise and interpret the findings. This integration of theory and empirical evidence contributed to the theoretical and practical implications of the study (Robinson et al., 2020; Anderson, 2016).</w:t>
      </w:r>
    </w:p>
    <w:p w14:paraId="7CC6916F" w14:textId="77777777" w:rsidR="002530E2" w:rsidRDefault="002530E2">
      <w:r>
        <w:t xml:space="preserve">Furthermore, the data analysis employed a triangulation approach to enhance the validity and reliability of the results. Triangulation involves using multiple sources or methods to corroborate and validate the research findings. This study ensured consistency and accuracy by cross-referencing information gathered from various sources, such as incident reports, news articles, videos, </w:t>
      </w:r>
      <w:r>
        <w:lastRenderedPageBreak/>
        <w:t>presentation reports, academic journals, social media posts, and official public statements (Smith, 2020; Johnson &amp; Lee, 2018).</w:t>
      </w:r>
    </w:p>
    <w:p w14:paraId="68C645DC" w14:textId="77777777" w:rsidR="002530E2" w:rsidRDefault="002530E2">
      <w:r>
        <w:t>Data analysis sought a detailed and in-depth knowledge of cross-cultural miscommunication between MNCs and Muslims. Combining the analysis of incident reports with theoretical insights and employing a triangulation approach generated robust and reliable findings that contributed to academic knowledge and managerial practices (Brown, 2019; Chen &amp; Wang, 2017).</w:t>
      </w:r>
    </w:p>
    <w:p w14:paraId="1972F08D" w14:textId="77777777" w:rsidR="002530E2" w:rsidRDefault="002530E2">
      <w:pPr>
        <w:pStyle w:val="Heading2"/>
      </w:pPr>
      <w:bookmarkStart w:id="48" w:name="_heading=h.1y810tw" w:colFirst="0" w:colLast="0"/>
      <w:bookmarkEnd w:id="48"/>
      <w:r>
        <w:t>4.9.1 — TYPE OF DATA ANALYSED IN THIS STUDY</w:t>
      </w:r>
    </w:p>
    <w:p w14:paraId="69830CB7" w14:textId="77777777" w:rsidR="002530E2" w:rsidRDefault="002530E2">
      <w:r>
        <w:t>The study’s choice to analyse qualitative and non-numeric data, mainly textual information from the document review, was justified for this research. This approach aligns with the thematic analysis methodology, a qualitative data analysis method suitable for identifying, coding, and analysing themes in textual data (Braun &amp; Clarke, 2006). By applying thematic analysis to the document review data, the author of this study aimed to uncover key themes associated with cross-cultural blunders, thereby gaining insights into the factors contributing to these blunders.</w:t>
      </w:r>
    </w:p>
    <w:p w14:paraId="638BAADC" w14:textId="77777777" w:rsidR="002530E2" w:rsidRDefault="002530E2">
      <w:r>
        <w:t>Multiple reasons and factors support the appropriateness of this approach. Firstly, the research objective of understanding the factors contributing to cross-cultural blunders by MNCs necessitated a qualitative exploration of rich, in-depth textual data. Textual information allows for a nuanced examination of the context, perspectives, and underlying motivations related to cross-cultural blunders. By focusing on qualitative data analysis, the study aimed to uncover the underlying reasons and complexities surrounding these blunders, often not captured by quantitative data alone.</w:t>
      </w:r>
    </w:p>
    <w:p w14:paraId="0026A6B9" w14:textId="77777777" w:rsidR="002530E2" w:rsidRDefault="002530E2">
      <w:r>
        <w:t>The thematic analysis methodology also provides a systematic and rigorous framework for analysing qualitative data, ensuring reliability and validity in interpreting themes. It allows the researcher to identify patterns, commonalities, and variations within the data, ultimately discovering meaningful insights. The identified themes shed light on critical aspects contributing to cross-cultural blunders, such as the lack of cultural understanding, assumptions about the host culture, and failure to adapt business practices. These insights can inform MNCs’ decision-making processes, enabling them to avoid similar mistakes and foster more successful cross-cultural interactions.</w:t>
      </w:r>
    </w:p>
    <w:p w14:paraId="65D6B0CA" w14:textId="77777777" w:rsidR="002530E2" w:rsidRDefault="002530E2">
      <w:r>
        <w:t>Moreover, theoretical support for using qualitative data analysis can be found in the work by Braun and Clarke (2006) on thematic analysis, which has gained recognition as a robust method for analysing textual data. The application of thematic analysis aligns with the research design and objective, as it allows for an in-depth exploration of the factors underlying cross-cultural blunders and captures the complexity and nuances of the phenomenon.</w:t>
      </w:r>
    </w:p>
    <w:p w14:paraId="78492E51" w14:textId="77777777" w:rsidR="002530E2" w:rsidRDefault="002530E2">
      <w:r>
        <w:t>In summary, the analysis of qualitative and non-numeric data, specifically focusing on textual information obtained from the document review, was justified for this study. The thematic analysis methodology, supported by theoretical perspectives, provided a rigorous approach to identifying and analysing themes related to cross-cultural blunders. This approach enabled the study to uncover valuable insights into the contributing factors, informing MNCs’ strategies for avoiding such blunders and promoting successful cross-cultural interactions.</w:t>
      </w:r>
    </w:p>
    <w:p w14:paraId="2A82C819" w14:textId="77777777" w:rsidR="002530E2" w:rsidRDefault="002530E2">
      <w:pPr>
        <w:pStyle w:val="Heading2"/>
      </w:pPr>
      <w:bookmarkStart w:id="49" w:name="_heading=h.4i7ojhp" w:colFirst="0" w:colLast="0"/>
      <w:bookmarkEnd w:id="49"/>
      <w:r>
        <w:lastRenderedPageBreak/>
        <w:t>4.9.2 — DATA ANALYSIS TECHNIQUE</w:t>
      </w:r>
    </w:p>
    <w:p w14:paraId="7643257F" w14:textId="77777777" w:rsidR="002530E2" w:rsidRDefault="002530E2">
      <w:r>
        <w:t>The data analysis technique employed in this study involved a qualitative methodology, specifically thematic analysis, to analyse the document review data. The author selected this approach because it is well-suited for analysing qualitative data and aligns with our research objectives and the data we collected. Justifications for using a qualitative methodology in this study are as follows:</w:t>
      </w:r>
    </w:p>
    <w:p w14:paraId="09025EBE" w14:textId="77777777" w:rsidR="002530E2" w:rsidRDefault="002530E2">
      <w:r>
        <w:t xml:space="preserve">In-depth exploration: </w:t>
      </w:r>
    </w:p>
    <w:p w14:paraId="3AF95E30" w14:textId="77777777" w:rsidR="002530E2" w:rsidRDefault="002530E2">
      <w:r>
        <w:t>The research objective of understanding cross-cultural blunders by MNCs required a comprehensive and nuanced understanding of the underlying factors. The qualitative methodology allows for a detailed exploration of participants’ perspectives, experiences, and contextual factors, providing rich insights into the complexities of cross-cultural interactions (Braun &amp; Clarke, 2006). The study aimed to identify and analyse critical themes related to cross-cultural blunders by employing thematic analysis, offering a deep understanding of the phenomenon.</w:t>
      </w:r>
    </w:p>
    <w:p w14:paraId="0B9F3600" w14:textId="77777777" w:rsidR="002530E2" w:rsidRDefault="002530E2">
      <w:r>
        <w:t xml:space="preserve">Contextual understanding: </w:t>
      </w:r>
    </w:p>
    <w:p w14:paraId="75E75A50" w14:textId="77777777" w:rsidR="002530E2" w:rsidRDefault="002530E2">
      <w:r>
        <w:t>The qualitative methodology emphasises understanding the context in which the phenomenon occurs. The thematic analysis approach enabled the author of this study to identify themes and concepts that emerged from the document review data, capturing the cultural nuances, assumptions, and adaptability of MNCs’ business practices in cross-cultural settings. This contextual understanding is crucial for generating practical recommendations and strategies to avoid future cross-cultural blunders.</w:t>
      </w:r>
    </w:p>
    <w:p w14:paraId="4780B7BB" w14:textId="77777777" w:rsidR="002530E2" w:rsidRDefault="002530E2">
      <w:r>
        <w:t>Flexibility and adaptability</w:t>
      </w:r>
    </w:p>
    <w:p w14:paraId="301566C3" w14:textId="77777777" w:rsidR="002530E2" w:rsidRDefault="002530E2">
      <w:r>
        <w:t>Qualitative methodologies provide flexibility in adapting to the research context and the nature of the data. The thematic analysis allowed the author of this study to iterative review, code, and refine the identified themes, ensuring that they were comprehensive and aligned with the research objectives. This iterative process facilitated the exploration of various dimensions of cross-cultural blunders, accommodating emergent themes and adapting the analysis to capture the richness of the data (Braun &amp; Clarke, 2006).</w:t>
      </w:r>
    </w:p>
    <w:p w14:paraId="40141AE9" w14:textId="77777777" w:rsidR="002530E2" w:rsidRDefault="002530E2">
      <w:r>
        <w:t xml:space="preserve">Theory development: </w:t>
      </w:r>
    </w:p>
    <w:p w14:paraId="5E592ED7" w14:textId="77777777" w:rsidR="002530E2" w:rsidRDefault="002530E2">
      <w:r>
        <w:t>The thematic analysis provides a structured framework for theory development by systematically organising and interpreting qualitative data (Braun &amp; Clarke, 2006). Through identifying and analysing key themes, the study contributes to theoretical insights regarding cross-cultural blunders by MNCs. The identified themes—lack of understanding of other cultures, assumptions about the culture of the host, and not adapting business practices—can provide theoretical explanations and conceptual frameworks that can guide future research and help with practical interventions.</w:t>
      </w:r>
    </w:p>
    <w:p w14:paraId="1E66D1EA" w14:textId="77777777" w:rsidR="002530E2" w:rsidRDefault="002530E2">
      <w:r>
        <w:t>In summary, using a qualitative methodology, specifically thematic analysis, was justified for this study based on the research objectives, the need for in-depth exploration and contextual understanding of cross-cultural blunders, the flexibility and adaptability of qualitative approaches, and the potential for theory development. This data analysis technique allowed the author of this study to identify key themes and concepts related to cross-cultural blunders, providing valuable insights for MNCs to avoid similar blunders in the future.</w:t>
      </w:r>
    </w:p>
    <w:p w14:paraId="698FAF62" w14:textId="77777777" w:rsidR="002530E2" w:rsidRDefault="002530E2">
      <w:pPr>
        <w:pStyle w:val="Heading2"/>
      </w:pPr>
      <w:bookmarkStart w:id="50" w:name="_heading=h.2xcytpi" w:colFirst="0" w:colLast="0"/>
      <w:bookmarkEnd w:id="50"/>
      <w:r>
        <w:lastRenderedPageBreak/>
        <w:t>4.9.3 — TRIANGULATION: DATA ANALYSIS</w:t>
      </w:r>
    </w:p>
    <w:p w14:paraId="48483757" w14:textId="77777777" w:rsidR="002530E2" w:rsidRDefault="002530E2">
      <w:r>
        <w:t>Data triangulation in this study involved systematically identifying patterns and themes across multiple data sources. The analysis began with coding the data and categorising and organising the information according to relevant themes and concepts. The author of this study then compared and cross-referenced these codes across the different sources, allowing for a comprehensive examination of the data and identifying key themes related to cross-cultural blunders.</w:t>
      </w:r>
    </w:p>
    <w:p w14:paraId="157FDE4C" w14:textId="77777777" w:rsidR="002530E2" w:rsidRDefault="002530E2">
      <w:r>
        <w:t>One of the significant advantages of employing data triangulation in the analysis process is gaining a more nuanced understanding of the phenomenon under investigation. The analysis encompassed diverse perspectives by integrating data from various sources, including academic journals, case studies, government reports, news articles, social media posts, online forums, and corporate documents. It ensured a comprehensive exploration of cross-cultural blunders by MNCs in Muslim-majority and minority countries.</w:t>
      </w:r>
    </w:p>
    <w:p w14:paraId="657FCD58" w14:textId="77777777" w:rsidR="002530E2" w:rsidRDefault="002530E2">
      <w:r>
        <w:t>Through data triangulation, several key themes emerged, shedding light on the factors contributing to cross-cultural blunders:</w:t>
      </w:r>
    </w:p>
    <w:p w14:paraId="72F58A99" w14:textId="77777777" w:rsidR="002530E2" w:rsidRDefault="002530E2">
      <w:r>
        <w:t>Lack of cultural understanding:</w:t>
      </w:r>
    </w:p>
    <w:p w14:paraId="50D3036C" w14:textId="77777777" w:rsidR="002530E2" w:rsidRDefault="002530E2">
      <w:r>
        <w:t>The analysis revealed that many cross-cultural blunders needed more understanding of the host country's cultural norms, values, and customs. MNCs often need help grasping the intricacies of the local culture, leading to misinterpretations, misunderstandings, and inappropriate actions.</w:t>
      </w:r>
    </w:p>
    <w:p w14:paraId="4A37192E" w14:textId="77777777" w:rsidR="002530E2" w:rsidRDefault="002530E2">
      <w:r>
        <w:t>Assumptions about the host culture:</w:t>
      </w:r>
    </w:p>
    <w:p w14:paraId="3ECDD679" w14:textId="77777777" w:rsidR="002530E2" w:rsidRDefault="002530E2">
      <w:r>
        <w:t>The findings indicated that MNCs frequently made assumptions about the host culture that needed to be more accurate or based on complete information. These assumptions often resulted in misguided strategies, marketing campaigns, or business decisions that needed alignment with the cultural preferences and expectations of the local population.</w:t>
      </w:r>
    </w:p>
    <w:p w14:paraId="79A9B4D9" w14:textId="77777777" w:rsidR="002530E2" w:rsidRDefault="002530E2">
      <w:r>
        <w:t>Failure to adapt business practices:</w:t>
      </w:r>
    </w:p>
    <w:p w14:paraId="7E8BE150" w14:textId="77777777" w:rsidR="002530E2" w:rsidRDefault="002530E2">
      <w:r>
        <w:t>The analysis highlighted the tendency of MNCs to overlook or neglect the need to adapt their business practices to the host culture. Many blunders occurred when MNCs adopted standardised approaches without considering the unique cultural context of their operating markets. This lack of adaptability often led to customer dissatisfaction, reputational damage, and financial losses.</w:t>
      </w:r>
    </w:p>
    <w:p w14:paraId="574FBD43" w14:textId="77777777" w:rsidR="002530E2" w:rsidRDefault="002530E2">
      <w:r>
        <w:t>By identifying and analysing these themes, the study gained valuable insights into the underlying causes of cross-cultural blunders and their implications for MNCs operating in Muslim-majority and minority countries. The triangulation of data sources enabled the author of this study to capture a comprehensive range of perspectives, supporting the validity and reliability of the findings. Integrating diverse data sources allowed for a more robust and holistic analysis, reducing potential bias and increasing the depth of understanding.</w:t>
      </w:r>
    </w:p>
    <w:p w14:paraId="291C8F47" w14:textId="77777777" w:rsidR="002530E2" w:rsidRDefault="002530E2">
      <w:r>
        <w:t xml:space="preserve">In summary, using data triangulation in the analysis provided significant advantages for this study. By integrating data from multiple sources, the analysis uncovered critical themes related to cross-cultural blunders, including the lack of cultural understanding, assumptions about the host culture, and the failure to adapt business practices. This comprehensive approach enhanced the research findings’ validity, reliability, and credibility, contributing to a more thorough understanding of the </w:t>
      </w:r>
      <w:r>
        <w:lastRenderedPageBreak/>
        <w:t>phenomenon under investigation and providing valuable insights for MNCs operating in diverse cultural contexts.</w:t>
      </w:r>
    </w:p>
    <w:p w14:paraId="47B16BC3" w14:textId="77777777" w:rsidR="002530E2" w:rsidRDefault="002530E2">
      <w:pPr>
        <w:pStyle w:val="Heading2"/>
      </w:pPr>
      <w:bookmarkStart w:id="51" w:name="_heading=h.1ci93xb" w:colFirst="0" w:colLast="0"/>
      <w:bookmarkEnd w:id="51"/>
      <w:r>
        <w:t>4.9.4 — VALIDATION &amp; RELIABILITY OF FINDINGS</w:t>
      </w:r>
    </w:p>
    <w:p w14:paraId="7C7FF0ED" w14:textId="77777777" w:rsidR="002530E2" w:rsidRDefault="002530E2">
      <w:r>
        <w:t>Triangulation was employed to make the findings in this study more reliable and trustworthy. Triangulation, a research method that involves using multiple data sources to corroborate findings and increase validity and reliability, was employed to ensure the credibility and robustness of the research. The author of this study collected data from various sources, including academic journals, case studies, government reports, news articles, social media posts, online forums, and corporate documents, to gain a comprehensive understanding of the factors contributing to cross-cultural blunders by MNCs in Muslim-majority and minority countries.</w:t>
      </w:r>
    </w:p>
    <w:p w14:paraId="534AB32D" w14:textId="77777777" w:rsidR="002530E2" w:rsidRDefault="002530E2">
      <w:r>
        <w:t>Triangulation involves comparing and cross-referencing the findings from different data sources to ensure consistency and coherence. This study's author established reliability by examining the convergence of findings from academic journals, case studies, government reports, and news articles. This cross-validation helped ensure that the conclusions drawn were not solely dependent on a single data source but on multiple sources.</w:t>
      </w:r>
    </w:p>
    <w:p w14:paraId="73C8A195" w14:textId="77777777" w:rsidR="002530E2" w:rsidRDefault="002530E2">
      <w:r>
        <w:t>Furthermore, the reliability of the findings is enhanced when using multiple data collection methods. The study minimised the potential biases or limitations inherent in relying solely on one method by employing various methods, such as literature review, case analysis, and social media and online forum content analysis. The use of multiple methods provided a more comprehensive and well-rounded exploration of the research topic, increasing the reliability and robustness of the findings.</w:t>
      </w:r>
    </w:p>
    <w:p w14:paraId="72EBC1F8" w14:textId="77777777" w:rsidR="002530E2" w:rsidRDefault="002530E2">
      <w:r>
        <w:t>The combination of data triangulation and the use of multiple data collection methods contributed to the validation and reliability of the findings in this study. The consistent patterns and convergence of findings across different data sources confirmed the credibility of the research. At the same time, applying multiple methods reduced the likelihood of bias and provided a complete understanding of cross-cultural blunders by MNCs. By employing triangulation and ensuring the reliability of the findings, this study was able to generate trustworthy and valuable insights into the factors influencing cross-cultural blunders in the context of MNCs operating in Muslim-majority and minority countries.</w:t>
      </w:r>
    </w:p>
    <w:p w14:paraId="597D3636" w14:textId="77777777" w:rsidR="002530E2" w:rsidRDefault="002530E2">
      <w:pPr>
        <w:pStyle w:val="Heading2"/>
      </w:pPr>
      <w:bookmarkStart w:id="52" w:name="_heading=h.3whwml4" w:colFirst="0" w:colLast="0"/>
      <w:bookmarkEnd w:id="52"/>
      <w:r>
        <w:t>4.9.5 — CREDIBILITY OF RESULTS</w:t>
      </w:r>
    </w:p>
    <w:p w14:paraId="33959DD8" w14:textId="77777777" w:rsidR="002530E2" w:rsidRDefault="002530E2">
      <w:r>
        <w:t>The credibility of this study’s results is enhanced through the implementation of triangulation. By incorporating multiple researchers (the author of this study as well as his peers and research supervisors who additionally looked into verifying the data, its interpretations, and conclusive reflections) in the data analysis process, the study aimed to ensure that the bias or subjective perspective of a single researcher did not solely influence the findings.</w:t>
      </w:r>
    </w:p>
    <w:p w14:paraId="0DD53459" w14:textId="77777777" w:rsidR="002530E2" w:rsidRDefault="002530E2">
      <w:r>
        <w:t>As a robust research method, triangulation was crucial in bolstering the credibility and reliability of the study’s findings. The study benefited from diverse viewpoints, expertise, and insights by utilising multiple researchers. This collaborative approach reduced the risk of individual bias and helped establish a more objective and well-rounded data analysis.</w:t>
      </w:r>
    </w:p>
    <w:p w14:paraId="4745FBBF" w14:textId="77777777" w:rsidR="002530E2" w:rsidRDefault="002530E2">
      <w:r>
        <w:lastRenderedPageBreak/>
        <w:t>The triangulation in this study aligned with the principles of validity, reliability, and credibility in research. The study employed “peer debriefing,“ involving multiple researchers, where different perspectives and interpretations were discussed and considered. This process encouraged critical examination, challenged assumptions, and ensured the findings were grounded in rigorous analysis.</w:t>
      </w:r>
    </w:p>
    <w:p w14:paraId="62D797D1" w14:textId="77777777" w:rsidR="002530E2" w:rsidRDefault="002530E2">
      <w:r>
        <w:t>Furthermore, triangulation contributed to the transparency and trustworthiness of the research process. By employing multiple researchers, the study incorporated checks and balances, fostering a more rigorous examination of the data and increasing confidence in the accuracy and credibility of the results. This collaborative approach also facilitated brainstorming, discussions, critical analysis, and debates among researchers, allowing for the identification of potential biases or alternative interpretations, ultimately leading to more robust and defensible conclusions.</w:t>
      </w:r>
    </w:p>
    <w:p w14:paraId="03E80712" w14:textId="77777777" w:rsidR="002530E2" w:rsidRDefault="002530E2">
      <w:r>
        <w:t>The application of triangulation in this study aligns with the recommendations of Denzin (1978) on data triangulation, emphasising the importance of utilising multiple researchers to enhance the credibility and validity of research findings. Incorporating diverse perspectives and expertise strengthens the objectivity and reliability of the study, bolstering confidence in the conclusions drawn.</w:t>
      </w:r>
    </w:p>
    <w:p w14:paraId="7763DE5B" w14:textId="77777777" w:rsidR="002530E2" w:rsidRDefault="002530E2">
      <w:r>
        <w:t>In summary, triangulation, including multiple researchers, in this study played a vital role in enhancing the credibility and reliability of the results. By adopting this collaborative approach, the study reduced the influence of individual bias and subjectivity, fostering a more objective data analysis. The implementation of triangulation aligns with established principles of validity, reliability, and credibility, contributing to the transparency and trustworthiness of the research process and findings.</w:t>
      </w:r>
    </w:p>
    <w:p w14:paraId="4D563854" w14:textId="77777777" w:rsidR="002530E2" w:rsidRDefault="002530E2">
      <w:pPr>
        <w:pStyle w:val="Heading1"/>
      </w:pPr>
      <w:bookmarkStart w:id="53" w:name="_heading=h.2bn6wsx" w:colFirst="0" w:colLast="0"/>
      <w:bookmarkEnd w:id="53"/>
      <w:r>
        <w:t>4.10 — ETHICAL ISSUES AND CONSIDERATIONS</w:t>
      </w:r>
    </w:p>
    <w:p w14:paraId="7FBBBE50" w14:textId="77777777" w:rsidR="002530E2" w:rsidRDefault="002530E2">
      <w:r>
        <w:t>Ethical considerations are crucial in research studies, ensuring participants’ protection and upholding the research process’s integrity. Cross-cultural research, in particular, requires special attention to cultural sensitivities, potential power imbalances, and ethical implications to maintain the trust and respect of the communities involved (Brannen &amp; Thomas, 2010). In the context of this study, which employed a secondary desk research approach with the author of this study as the sole research instrument and no direct involvement of participants, there were no ethical issues or challenges to tackle. Nevertheless, the author of this study remained committed to upholding ethical principles and maintaining respect for all groups throughout the thesis and final reports.</w:t>
      </w:r>
    </w:p>
    <w:p w14:paraId="6080EE0F" w14:textId="77777777" w:rsidR="002530E2" w:rsidRDefault="002530E2">
      <w:r>
        <w:t xml:space="preserve">The use of secondary data analysis in this study provided ethical advantages. By analysing existing documents, such as news articles, case studies, and government reports, the author avoided direct interaction and data collection from individuals, thus eliminating the need for informed consent and safeguarding confidentiality. This approach aligns with the principles of beneficence and non-maleficence by minimising the potential harm to participants (Guest, 2013). Furthermore, employing secondary data analysis ensured that the study respected the privacy of individuals and did not breach confidentiality. The data analysed is made available in the public domain for direct access without the author’s direct involvement. This adherence to the principles of respect for people and privacy protects the rights and autonomy of individuals (Guest, 2013). </w:t>
      </w:r>
    </w:p>
    <w:p w14:paraId="4D399DF9" w14:textId="77777777" w:rsidR="002530E2" w:rsidRDefault="002530E2">
      <w:r>
        <w:lastRenderedPageBreak/>
        <w:t>Additionally, secondary data analysis reduced the risk of unintended consequences or adverse effects that could arise from data collection activities. The study did not directly involve the participants’ personal information or identities, which reduced potential risks to their well-being. As said, it aligns with the non-maleficence principle, as Weller stated in 2017.</w:t>
      </w:r>
    </w:p>
    <w:p w14:paraId="366E4235" w14:textId="77777777" w:rsidR="002530E2" w:rsidRDefault="002530E2">
      <w:r>
        <w:t>Secondary data analysis also offered time and resource efficiency compared to primary data collection methods. It is advantageous from an ethical standpoint as it minimises the burden on participants, avoids potential coercion or undue influence, and promotes justice in research by distributing the benefits and burdens fairly (Guest, 2013; Weller, 2017).</w:t>
      </w:r>
    </w:p>
    <w:p w14:paraId="3EEEC28C" w14:textId="77777777" w:rsidR="002530E2" w:rsidRDefault="002530E2">
      <w:r>
        <w:t>While the absence of direct participant involvement in this study limited ethical challenges, it is essential to acknowledge the ongoing importance of ethical considerations in cross-cultural research. The author of this study recognises the need for researchers to remain vigilant in addressing ethical considerations, even in studies where direct participant engagement is limited or absent. As mentioned earlier, those supported include considering cultural sensitivities and potential power imbalances, ensuring the accuracy and reliability of data sources, and appropriately acknowledging and citing the original creators of the analysed documents. Adhering to these ethical principles helps maintain the integrity of the research and contributes to responsible and respectful cross-cultural research practices (Brannen &amp; Thomas, 2010; Guest, 2013).</w:t>
      </w:r>
    </w:p>
    <w:p w14:paraId="68AA3FC9" w14:textId="77777777" w:rsidR="002530E2" w:rsidRDefault="002530E2">
      <w:r>
        <w:t>Using secondary data analysis as the primary research method, with the author of this study as the sole research instrument and no direct involvement of participants, minimised ethical challenges. Throughout the study, the author upheld ethical principles by respecting privacy, confidentiality, and the well-being of individuals. Researchers must remain committed to recognising and addressing ethical considerations, emphasising the ongoing importance of ethical awareness in cross-cultural research. By proactively recognising and addressing these considerations, researchers can uphold the principles of research ethics, maintain the integrity of their study, and contribute to the responsible and respectful conduct of cross-cultural research (Brannen &amp; Thomas, 2010; Guest, 2013).</w:t>
      </w:r>
    </w:p>
    <w:p w14:paraId="665DF46F" w14:textId="77777777" w:rsidR="002530E2" w:rsidRDefault="002530E2"/>
    <w:p w14:paraId="3D772E2D" w14:textId="77777777" w:rsidR="002530E2" w:rsidRDefault="002530E2"/>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69E12967"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03344BF" w14:textId="77777777" w:rsidR="002530E2" w:rsidRDefault="002530E2">
            <w:pPr>
              <w:pStyle w:val="Heading1"/>
              <w:widowControl w:val="0"/>
              <w:spacing w:before="0" w:after="0" w:line="240" w:lineRule="auto"/>
              <w:jc w:val="center"/>
            </w:pPr>
            <w:bookmarkStart w:id="54" w:name="_heading=h.qsh70q" w:colFirst="0" w:colLast="0"/>
            <w:bookmarkEnd w:id="54"/>
            <w:r>
              <w:t>CHAPTER SUMMARY</w:t>
            </w:r>
          </w:p>
        </w:tc>
      </w:tr>
    </w:tbl>
    <w:p w14:paraId="7DFE4256" w14:textId="77777777" w:rsidR="002530E2" w:rsidRDefault="002530E2">
      <w:pPr>
        <w:spacing w:after="0"/>
        <w:jc w:val="center"/>
      </w:pPr>
    </w:p>
    <w:p w14:paraId="1E43C8FE" w14:textId="77777777" w:rsidR="002530E2" w:rsidRDefault="002530E2">
      <w:pPr>
        <w:spacing w:after="0"/>
        <w:jc w:val="center"/>
      </w:pPr>
      <w:r>
        <w:t>“Research is the only way to know what you don’t know.“</w:t>
      </w:r>
    </w:p>
    <w:p w14:paraId="2982738B" w14:textId="77777777" w:rsidR="002530E2" w:rsidRDefault="002530E2">
      <w:pPr>
        <w:spacing w:after="0" w:line="240" w:lineRule="auto"/>
        <w:jc w:val="center"/>
        <w:rPr>
          <w:i/>
          <w:sz w:val="18"/>
          <w:szCs w:val="18"/>
        </w:rPr>
      </w:pPr>
      <w:r>
        <w:rPr>
          <w:i/>
          <w:sz w:val="18"/>
          <w:szCs w:val="18"/>
        </w:rPr>
        <w:t>— Daniel Kahneman, 1934-2016 (Kahneman, 2011)</w:t>
      </w:r>
    </w:p>
    <w:p w14:paraId="0C9768FA" w14:textId="77777777" w:rsidR="002530E2" w:rsidRDefault="002530E2">
      <w:pPr>
        <w:spacing w:after="0" w:line="240" w:lineRule="auto"/>
        <w:jc w:val="center"/>
        <w:rPr>
          <w:i/>
          <w:sz w:val="18"/>
          <w:szCs w:val="18"/>
        </w:rPr>
      </w:pPr>
    </w:p>
    <w:p w14:paraId="27A2EB41" w14:textId="77777777" w:rsidR="002530E2" w:rsidRDefault="002530E2">
      <w:pPr>
        <w:spacing w:after="0" w:line="240" w:lineRule="auto"/>
        <w:jc w:val="center"/>
        <w:rPr>
          <w:i/>
          <w:sz w:val="18"/>
          <w:szCs w:val="18"/>
        </w:rPr>
      </w:pPr>
    </w:p>
    <w:p w14:paraId="3027EB70" w14:textId="77777777" w:rsidR="002530E2" w:rsidRDefault="002530E2">
      <w:pPr>
        <w:spacing w:after="0" w:line="240" w:lineRule="auto"/>
        <w:jc w:val="center"/>
        <w:rPr>
          <w:i/>
          <w:sz w:val="18"/>
          <w:szCs w:val="18"/>
        </w:rPr>
      </w:pPr>
    </w:p>
    <w:p w14:paraId="068004D4" w14:textId="77777777" w:rsidR="002530E2" w:rsidRDefault="002530E2">
      <w:r>
        <w:t>This chapter encompassed various sections contributing to a comprehensive understanding of the research process. The sections successfully delivered their intended purposes, ensuring a coherent and rigorous methodology.</w:t>
      </w:r>
    </w:p>
    <w:p w14:paraId="7845E405" w14:textId="77777777" w:rsidR="002530E2" w:rsidRDefault="002530E2">
      <w:r>
        <w:t>The research nature of this study was primarily exploratory, aiming to understand the factors that contributed to cross-cultural blunders and their consequences in the context of MNCs operating in Muslim-majority and minority countries. The exploratory approach was necessary to thoroughly study the topic and produce initial thoughts and observations.</w:t>
      </w:r>
    </w:p>
    <w:p w14:paraId="2C499E10" w14:textId="77777777" w:rsidR="002530E2" w:rsidRDefault="002530E2">
      <w:r>
        <w:lastRenderedPageBreak/>
        <w:t>The research design adopted was qualitative, allowing for an in-depth exploration and understanding of cross-cultural blunders. It provided a framework for analysing and interpreting data to gain valuable insights into the phenomenon under investigation.</w:t>
      </w:r>
    </w:p>
    <w:p w14:paraId="1F41843C" w14:textId="77777777" w:rsidR="002530E2" w:rsidRDefault="002530E2">
      <w:r>
        <w:t>The research approach employed in this study was inductive qualitative research. It aimed to explore the factors contributing to cross-cultural blunders by MNCs operating in Muslim-majority countries. This study collected rich and detailed data through qualitative methods such as document analysis and case studies. This data allowed the author to understand the topic at hand comprehensively.</w:t>
      </w:r>
    </w:p>
    <w:p w14:paraId="2F7AC305" w14:textId="77777777" w:rsidR="002530E2" w:rsidRDefault="002530E2">
      <w:r>
        <w:t>Grounded theory served as the research strategy in this study. This approach was selected because it could create theories using the data gathered during the research. Grounded theory facilitated the generation of new theories and enhanced understanding of the contextual phenomena surrounding cross-cultural blunders.</w:t>
      </w:r>
    </w:p>
    <w:p w14:paraId="13986CC3" w14:textId="77777777" w:rsidR="002530E2" w:rsidRDefault="002530E2">
      <w:r>
        <w:t>The research methodical choice was the mono-method, precisely a qualitative method. The study primarily relied on document review as the primary data collection technique. This approach enabled the researcher to gain valuable insights into the factors contributing to cross-cultural blunders in the interactions between MNCs and Muslims.</w:t>
      </w:r>
    </w:p>
    <w:p w14:paraId="5991356D" w14:textId="77777777" w:rsidR="002530E2" w:rsidRDefault="002530E2">
      <w:r>
        <w:t>The time horizons selected for this study encompassed a cross-section between 2010 and 2020. This specific time frame allowed for analysing prevailing patterns and trends within the given period, offering a comprehensive understanding of the factors influencing cross-cultural blunders.</w:t>
      </w:r>
    </w:p>
    <w:p w14:paraId="32BB8677" w14:textId="77777777" w:rsidR="002530E2" w:rsidRDefault="002530E2">
      <w:r>
        <w:t>It was essential to give ethical considerations proper attention during the research process. Using secondary data analysis as the primary research method and the absence of direct involvement with participants minimised ethical challenges. Privacy, confidentiality, and the well-being of individuals were respected and upheld.</w:t>
      </w:r>
    </w:p>
    <w:p w14:paraId="5F226456" w14:textId="77777777" w:rsidR="002530E2" w:rsidRDefault="002530E2">
      <w:r>
        <w:t>In conclusion, this chapter provided a systematic and comprehensive methodology that effectively addressed the research objectives. The sections within the chapter successfully delivered their intended purposes, contributing to a thorough and rigorous investigation of cross-cultural blunders by MNCs operating in Muslim-majority countries.</w:t>
      </w:r>
    </w:p>
    <w:p w14:paraId="457020AB" w14:textId="77777777" w:rsidR="002530E2" w:rsidRDefault="002530E2">
      <w:pPr>
        <w:rPr>
          <w:i/>
          <w:sz w:val="18"/>
          <w:szCs w:val="18"/>
        </w:rPr>
      </w:pPr>
    </w:p>
    <w:p w14:paraId="79A20966" w14:textId="77777777" w:rsidR="002530E2" w:rsidRDefault="002530E2">
      <w:pPr>
        <w:pBdr>
          <w:top w:val="nil"/>
          <w:left w:val="nil"/>
          <w:bottom w:val="nil"/>
          <w:right w:val="nil"/>
          <w:between w:val="nil"/>
        </w:pBdr>
      </w:pPr>
    </w:p>
    <w:p w14:paraId="584F809E" w14:textId="77777777" w:rsidR="002530E2" w:rsidRDefault="002530E2">
      <w:pPr>
        <w:pBdr>
          <w:top w:val="nil"/>
          <w:left w:val="nil"/>
          <w:bottom w:val="nil"/>
          <w:right w:val="nil"/>
          <w:between w:val="nil"/>
        </w:pBdr>
        <w:rPr>
          <w:color w:val="000000"/>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6F839076"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D062342" w14:textId="77777777" w:rsidR="002530E2" w:rsidRDefault="002530E2">
            <w:pPr>
              <w:widowControl w:val="0"/>
              <w:pBdr>
                <w:top w:val="nil"/>
                <w:left w:val="nil"/>
                <w:bottom w:val="nil"/>
                <w:right w:val="nil"/>
                <w:between w:val="nil"/>
              </w:pBdr>
              <w:spacing w:after="200" w:line="276" w:lineRule="auto"/>
              <w:jc w:val="center"/>
              <w:rPr>
                <w:color w:val="0E101A"/>
                <w:sz w:val="28"/>
                <w:szCs w:val="28"/>
              </w:rPr>
            </w:pPr>
            <w:r>
              <w:rPr>
                <w:rFonts w:ascii="Book Antiqua" w:eastAsia="Book Antiqua" w:hAnsi="Book Antiqua" w:cs="Book Antiqua"/>
                <w:color w:val="0E101A"/>
                <w:sz w:val="28"/>
                <w:szCs w:val="28"/>
              </w:rPr>
              <w:t>CHAPTER 5: DISCUSSION</w:t>
            </w:r>
          </w:p>
        </w:tc>
      </w:tr>
    </w:tbl>
    <w:p w14:paraId="2549F7E1" w14:textId="77777777" w:rsidR="002530E2" w:rsidRDefault="002530E2">
      <w:pPr>
        <w:pBdr>
          <w:top w:val="nil"/>
          <w:left w:val="nil"/>
          <w:bottom w:val="nil"/>
          <w:right w:val="nil"/>
          <w:between w:val="nil"/>
        </w:pBdr>
        <w:spacing w:after="0"/>
        <w:jc w:val="center"/>
        <w:rPr>
          <w:color w:val="000000"/>
        </w:rPr>
      </w:pPr>
    </w:p>
    <w:p w14:paraId="21B733B4" w14:textId="77777777" w:rsidR="002530E2" w:rsidRDefault="002530E2">
      <w:pPr>
        <w:pBdr>
          <w:top w:val="nil"/>
          <w:left w:val="nil"/>
          <w:bottom w:val="nil"/>
          <w:right w:val="nil"/>
          <w:between w:val="nil"/>
        </w:pBdr>
        <w:spacing w:after="0" w:line="240" w:lineRule="auto"/>
        <w:jc w:val="center"/>
        <w:rPr>
          <w:i/>
          <w:color w:val="000000"/>
          <w:sz w:val="18"/>
          <w:szCs w:val="18"/>
        </w:rPr>
      </w:pPr>
    </w:p>
    <w:p w14:paraId="0C474661" w14:textId="77777777" w:rsidR="002530E2" w:rsidRDefault="002530E2">
      <w:pPr>
        <w:pBdr>
          <w:top w:val="nil"/>
          <w:left w:val="nil"/>
          <w:bottom w:val="nil"/>
          <w:right w:val="nil"/>
          <w:between w:val="nil"/>
        </w:pBdr>
        <w:spacing w:before="200" w:after="0" w:line="480" w:lineRule="auto"/>
        <w:jc w:val="center"/>
        <w:rPr>
          <w:color w:val="000000"/>
        </w:rPr>
      </w:pPr>
      <w:r>
        <w:rPr>
          <w:rFonts w:ascii="Book Antiqua" w:eastAsia="Book Antiqua" w:hAnsi="Book Antiqua" w:cs="Book Antiqua"/>
          <w:color w:val="000000"/>
        </w:rPr>
        <w:t>“A discussion is an argument where both sides are wrong.“</w:t>
      </w:r>
    </w:p>
    <w:p w14:paraId="25639D61" w14:textId="77777777" w:rsidR="002530E2" w:rsidRDefault="002530E2">
      <w:pPr>
        <w:pBdr>
          <w:top w:val="nil"/>
          <w:left w:val="nil"/>
          <w:bottom w:val="nil"/>
          <w:right w:val="nil"/>
          <w:between w:val="nil"/>
        </w:pBdr>
        <w:spacing w:after="0" w:line="480" w:lineRule="auto"/>
        <w:jc w:val="center"/>
        <w:rPr>
          <w:color w:val="000000"/>
        </w:rPr>
      </w:pPr>
      <w:r>
        <w:rPr>
          <w:rFonts w:ascii="Book Antiqua" w:eastAsia="Book Antiqua" w:hAnsi="Book Antiqua" w:cs="Book Antiqua"/>
          <w:i/>
          <w:color w:val="000000"/>
          <w:sz w:val="18"/>
          <w:szCs w:val="18"/>
        </w:rPr>
        <w:t>— George Bernard Shaw (Gunther, 1946)</w:t>
      </w:r>
    </w:p>
    <w:p w14:paraId="7999572B" w14:textId="77777777" w:rsidR="002530E2" w:rsidRDefault="002530E2">
      <w:pPr>
        <w:pStyle w:val="Heading4"/>
        <w:spacing w:before="0"/>
      </w:pPr>
    </w:p>
    <w:p w14:paraId="0AB21106" w14:textId="77777777" w:rsidR="002530E2" w:rsidRDefault="002530E2">
      <w:pPr>
        <w:pStyle w:val="Heading4"/>
        <w:spacing w:before="0"/>
        <w:rPr>
          <w:color w:val="FFFFFF"/>
        </w:rPr>
      </w:pPr>
      <w:r>
        <w:rPr>
          <w:color w:val="FFFFFF"/>
        </w:rPr>
        <w:t>TABLE OF CONTENT</w:t>
      </w:r>
    </w:p>
    <w:p w14:paraId="6C43C528"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8"/>
          <w:szCs w:val="28"/>
        </w:rPr>
        <w:t>TABLE OF CONTENT FOR CHAPTER 5</w:t>
      </w:r>
    </w:p>
    <w:sdt>
      <w:sdtPr>
        <w:id w:val="711509"/>
        <w:docPartObj>
          <w:docPartGallery w:val="Table of Contents"/>
          <w:docPartUnique/>
        </w:docPartObj>
      </w:sdtPr>
      <w:sdtContent>
        <w:p w14:paraId="7EEF6F49"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r>
            <w:fldChar w:fldCharType="begin"/>
          </w:r>
          <w:r>
            <w:instrText xml:space="preserve"> TOC \h \u \z \t "Heading 1,1,Heading 2,2,Heading 3,3,Heading 5,5,Heading 6,6,"</w:instrText>
          </w:r>
          <w:r>
            <w:fldChar w:fldCharType="separate"/>
          </w:r>
          <w:hyperlink w:anchor="_heading=h.3znysh7">
            <w:r>
              <w:rPr>
                <w:rFonts w:ascii="Book Antiqua" w:eastAsia="Book Antiqua" w:hAnsi="Book Antiqua" w:cs="Book Antiqua"/>
                <w:color w:val="1155CC"/>
              </w:rPr>
              <w:t>CHAPTER INTRO</w:t>
            </w:r>
            <w:r>
              <w:rPr>
                <w:rFonts w:ascii="Book Antiqua" w:eastAsia="Book Antiqua" w:hAnsi="Book Antiqua" w:cs="Book Antiqua"/>
                <w:color w:val="1155CC"/>
              </w:rPr>
              <w:tab/>
              <w:t>338</w:t>
            </w:r>
          </w:hyperlink>
        </w:p>
        <w:p w14:paraId="428D491E"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et92p0">
            <w:r>
              <w:rPr>
                <w:rFonts w:ascii="Book Antiqua" w:eastAsia="Book Antiqua" w:hAnsi="Book Antiqua" w:cs="Book Antiqua"/>
                <w:color w:val="1155CC"/>
              </w:rPr>
              <w:t>5.0 —  INTRODUCTION</w:t>
            </w:r>
            <w:r>
              <w:rPr>
                <w:rFonts w:ascii="Book Antiqua" w:eastAsia="Book Antiqua" w:hAnsi="Book Antiqua" w:cs="Book Antiqua"/>
                <w:color w:val="1155CC"/>
              </w:rPr>
              <w:tab/>
              <w:t>339</w:t>
            </w:r>
          </w:hyperlink>
        </w:p>
        <w:p w14:paraId="413AD8A5"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tyjcwt">
            <w:r>
              <w:rPr>
                <w:rFonts w:ascii="Book Antiqua" w:eastAsia="Book Antiqua" w:hAnsi="Book Antiqua" w:cs="Book Antiqua"/>
                <w:color w:val="1155CC"/>
              </w:rPr>
              <w:t>5.1 — REFLECTION ON RESEARCH DIRECTION</w:t>
            </w:r>
            <w:r>
              <w:rPr>
                <w:rFonts w:ascii="Book Antiqua" w:eastAsia="Book Antiqua" w:hAnsi="Book Antiqua" w:cs="Book Antiqua"/>
                <w:color w:val="1155CC"/>
              </w:rPr>
              <w:tab/>
              <w:t>341</w:t>
            </w:r>
          </w:hyperlink>
        </w:p>
        <w:p w14:paraId="0995F621"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dy6vkm">
            <w:r>
              <w:rPr>
                <w:rFonts w:ascii="Book Antiqua" w:eastAsia="Book Antiqua" w:hAnsi="Book Antiqua" w:cs="Book Antiqua"/>
                <w:color w:val="1155CC"/>
              </w:rPr>
              <w:t>5.2 — DISCUSSION: FINDINGS FROM THE ESTABLISHED THEORIES</w:t>
            </w:r>
            <w:r>
              <w:rPr>
                <w:rFonts w:ascii="Book Antiqua" w:eastAsia="Book Antiqua" w:hAnsi="Book Antiqua" w:cs="Book Antiqua"/>
                <w:color w:val="1155CC"/>
              </w:rPr>
              <w:tab/>
              <w:t>343</w:t>
            </w:r>
          </w:hyperlink>
        </w:p>
        <w:p w14:paraId="59100EB4"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t3h5sf">
            <w:r>
              <w:rPr>
                <w:rFonts w:ascii="Book Antiqua" w:eastAsia="Book Antiqua" w:hAnsi="Book Antiqua" w:cs="Book Antiqua"/>
                <w:color w:val="1155CC"/>
              </w:rPr>
              <w:t>5.2.1 — MOST PREVALENT CROSS-CULTURAL BLUNDERS BY MNCs</w:t>
            </w:r>
            <w:r>
              <w:rPr>
                <w:rFonts w:ascii="Book Antiqua" w:eastAsia="Book Antiqua" w:hAnsi="Book Antiqua" w:cs="Book Antiqua"/>
                <w:color w:val="1155CC"/>
              </w:rPr>
              <w:tab/>
              <w:t>343</w:t>
            </w:r>
          </w:hyperlink>
        </w:p>
        <w:p w14:paraId="5810EA81"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4d34og8">
            <w:r>
              <w:rPr>
                <w:rFonts w:ascii="Book Antiqua" w:eastAsia="Book Antiqua" w:hAnsi="Book Antiqua" w:cs="Book Antiqua"/>
                <w:color w:val="1155CC"/>
              </w:rPr>
              <w:t>5.2.2 — CONSEQUENCES FOR MUSLIMS FROM BLUNDERS</w:t>
            </w:r>
            <w:r>
              <w:rPr>
                <w:rFonts w:ascii="Book Antiqua" w:eastAsia="Book Antiqua" w:hAnsi="Book Antiqua" w:cs="Book Antiqua"/>
                <w:color w:val="1155CC"/>
              </w:rPr>
              <w:tab/>
              <w:t>346</w:t>
            </w:r>
          </w:hyperlink>
        </w:p>
        <w:p w14:paraId="1C012BE9"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s8eyo1">
            <w:r>
              <w:rPr>
                <w:rFonts w:ascii="Book Antiqua" w:eastAsia="Book Antiqua" w:hAnsi="Book Antiqua" w:cs="Book Antiqua"/>
                <w:color w:val="1155CC"/>
              </w:rPr>
              <w:t>5.2.3 — IMPACT AND RAMIFICATIONS OF BLUNDERS ON MNCs</w:t>
            </w:r>
            <w:r>
              <w:rPr>
                <w:rFonts w:ascii="Book Antiqua" w:eastAsia="Book Antiqua" w:hAnsi="Book Antiqua" w:cs="Book Antiqua"/>
                <w:color w:val="1155CC"/>
              </w:rPr>
              <w:tab/>
              <w:t>348</w:t>
            </w:r>
          </w:hyperlink>
        </w:p>
        <w:p w14:paraId="73FE4356"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7dp8vu">
            <w:r>
              <w:rPr>
                <w:rFonts w:ascii="Book Antiqua" w:eastAsia="Book Antiqua" w:hAnsi="Book Antiqua" w:cs="Book Antiqua"/>
                <w:color w:val="1155CC"/>
              </w:rPr>
              <w:t>5.2.4 — STRATEGIES FOR MNCs TO PREVENT BLUNDERS</w:t>
            </w:r>
            <w:r>
              <w:rPr>
                <w:rFonts w:ascii="Book Antiqua" w:eastAsia="Book Antiqua" w:hAnsi="Book Antiqua" w:cs="Book Antiqua"/>
                <w:color w:val="1155CC"/>
              </w:rPr>
              <w:tab/>
              <w:t>351</w:t>
            </w:r>
          </w:hyperlink>
        </w:p>
        <w:p w14:paraId="7C6A3532"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rdcrjn">
            <w:r>
              <w:rPr>
                <w:rFonts w:ascii="Book Antiqua" w:eastAsia="Book Antiqua" w:hAnsi="Book Antiqua" w:cs="Book Antiqua"/>
                <w:color w:val="1155CC"/>
              </w:rPr>
              <w:t>5.3 — DISCUSSION: FINDINGS FROM PREVIOUS STUDIES</w:t>
            </w:r>
            <w:r>
              <w:rPr>
                <w:rFonts w:ascii="Book Antiqua" w:eastAsia="Book Antiqua" w:hAnsi="Book Antiqua" w:cs="Book Antiqua"/>
                <w:color w:val="1155CC"/>
              </w:rPr>
              <w:tab/>
              <w:t>353</w:t>
            </w:r>
          </w:hyperlink>
        </w:p>
        <w:p w14:paraId="1187C23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6in1rg">
            <w:r>
              <w:rPr>
                <w:rFonts w:ascii="Book Antiqua" w:eastAsia="Book Antiqua" w:hAnsi="Book Antiqua" w:cs="Book Antiqua"/>
                <w:color w:val="1155CC"/>
              </w:rPr>
              <w:t>5.3.1 — MOST PREVALENT CROSS-CULTURAL BLUNDERS BY MNCs</w:t>
            </w:r>
            <w:r>
              <w:rPr>
                <w:rFonts w:ascii="Book Antiqua" w:eastAsia="Book Antiqua" w:hAnsi="Book Antiqua" w:cs="Book Antiqua"/>
                <w:color w:val="1155CC"/>
              </w:rPr>
              <w:tab/>
              <w:t>353</w:t>
            </w:r>
          </w:hyperlink>
        </w:p>
        <w:p w14:paraId="203285FC"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lnxbz9">
            <w:r>
              <w:rPr>
                <w:rFonts w:ascii="Book Antiqua" w:eastAsia="Book Antiqua" w:hAnsi="Book Antiqua" w:cs="Book Antiqua"/>
                <w:color w:val="1155CC"/>
              </w:rPr>
              <w:t>5.3.2 — CONSEQUENCES FOR MUSLIMS FROM BLUNDERS</w:t>
            </w:r>
            <w:r>
              <w:rPr>
                <w:rFonts w:ascii="Book Antiqua" w:eastAsia="Book Antiqua" w:hAnsi="Book Antiqua" w:cs="Book Antiqua"/>
                <w:color w:val="1155CC"/>
              </w:rPr>
              <w:tab/>
              <w:t>354</w:t>
            </w:r>
          </w:hyperlink>
        </w:p>
        <w:p w14:paraId="4D4ACB65"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5nkun2">
            <w:r>
              <w:rPr>
                <w:rFonts w:ascii="Book Antiqua" w:eastAsia="Book Antiqua" w:hAnsi="Book Antiqua" w:cs="Book Antiqua"/>
                <w:color w:val="1155CC"/>
              </w:rPr>
              <w:t>5.3.3 — IMPACT AND RAMIFICATIONS OF BLUNDERS ON MNCs</w:t>
            </w:r>
            <w:r>
              <w:rPr>
                <w:rFonts w:ascii="Book Antiqua" w:eastAsia="Book Antiqua" w:hAnsi="Book Antiqua" w:cs="Book Antiqua"/>
                <w:color w:val="1155CC"/>
              </w:rPr>
              <w:tab/>
              <w:t>355</w:t>
            </w:r>
          </w:hyperlink>
        </w:p>
        <w:p w14:paraId="4969BA0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ksv4uv">
            <w:r>
              <w:rPr>
                <w:rFonts w:ascii="Book Antiqua" w:eastAsia="Book Antiqua" w:hAnsi="Book Antiqua" w:cs="Book Antiqua"/>
                <w:color w:val="1155CC"/>
              </w:rPr>
              <w:t>5.3.4 — STRATEGIES FOR MNCs TO PREVENT BLUNDERS</w:t>
            </w:r>
            <w:r>
              <w:rPr>
                <w:rFonts w:ascii="Book Antiqua" w:eastAsia="Book Antiqua" w:hAnsi="Book Antiqua" w:cs="Book Antiqua"/>
                <w:color w:val="1155CC"/>
              </w:rPr>
              <w:tab/>
              <w:t>356</w:t>
            </w:r>
          </w:hyperlink>
        </w:p>
        <w:p w14:paraId="7812A4A9"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44sinio">
            <w:r>
              <w:rPr>
                <w:rFonts w:ascii="Book Antiqua" w:eastAsia="Book Antiqua" w:hAnsi="Book Antiqua" w:cs="Book Antiqua"/>
                <w:color w:val="1155CC"/>
              </w:rPr>
              <w:t>5.4 — DISCUSSION: FINDINGS FROM INCIDENT REPORTS</w:t>
            </w:r>
            <w:r>
              <w:rPr>
                <w:rFonts w:ascii="Book Antiqua" w:eastAsia="Book Antiqua" w:hAnsi="Book Antiqua" w:cs="Book Antiqua"/>
                <w:color w:val="1155CC"/>
              </w:rPr>
              <w:tab/>
              <w:t>357</w:t>
            </w:r>
          </w:hyperlink>
        </w:p>
        <w:p w14:paraId="7E43ECD7"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jxsxqh">
            <w:r>
              <w:rPr>
                <w:rFonts w:ascii="Book Antiqua" w:eastAsia="Book Antiqua" w:hAnsi="Book Antiqua" w:cs="Book Antiqua"/>
                <w:color w:val="1155CC"/>
              </w:rPr>
              <w:t>5.4.1 — MOST PREVALENT CROSS-CULTURAL BLUNDERS BY MNCs</w:t>
            </w:r>
            <w:r>
              <w:rPr>
                <w:rFonts w:ascii="Book Antiqua" w:eastAsia="Book Antiqua" w:hAnsi="Book Antiqua" w:cs="Book Antiqua"/>
                <w:color w:val="1155CC"/>
              </w:rPr>
              <w:tab/>
              <w:t>357</w:t>
            </w:r>
          </w:hyperlink>
        </w:p>
        <w:p w14:paraId="0EE1E148"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z337ya">
            <w:r>
              <w:rPr>
                <w:rFonts w:ascii="Book Antiqua" w:eastAsia="Book Antiqua" w:hAnsi="Book Antiqua" w:cs="Book Antiqua"/>
                <w:color w:val="1155CC"/>
              </w:rPr>
              <w:t>5.5.2 — CONSEQUENCES FOR MUSLIMS FROM BLUNDERS</w:t>
            </w:r>
            <w:r>
              <w:rPr>
                <w:rFonts w:ascii="Book Antiqua" w:eastAsia="Book Antiqua" w:hAnsi="Book Antiqua" w:cs="Book Antiqua"/>
                <w:color w:val="1155CC"/>
              </w:rPr>
              <w:tab/>
              <w:t>358</w:t>
            </w:r>
          </w:hyperlink>
        </w:p>
        <w:p w14:paraId="0A8C2D4C"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j2qqm3">
            <w:r>
              <w:rPr>
                <w:rFonts w:ascii="Book Antiqua" w:eastAsia="Book Antiqua" w:hAnsi="Book Antiqua" w:cs="Book Antiqua"/>
                <w:color w:val="1155CC"/>
              </w:rPr>
              <w:t>5.5.3 — IMPACT AND RAMIFICATIONS OF BLUNDERS ON MNCs</w:t>
            </w:r>
            <w:r>
              <w:rPr>
                <w:rFonts w:ascii="Book Antiqua" w:eastAsia="Book Antiqua" w:hAnsi="Book Antiqua" w:cs="Book Antiqua"/>
                <w:color w:val="1155CC"/>
              </w:rPr>
              <w:tab/>
              <w:t>358</w:t>
            </w:r>
          </w:hyperlink>
        </w:p>
        <w:p w14:paraId="3EB2818B"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1y810tw">
            <w:r>
              <w:rPr>
                <w:rFonts w:ascii="Book Antiqua" w:eastAsia="Book Antiqua" w:hAnsi="Book Antiqua" w:cs="Book Antiqua"/>
                <w:color w:val="1155CC"/>
              </w:rPr>
              <w:t>5.5.4 — STRATEGIES FOR MNCs TO PREVENT BLUNDERS</w:t>
            </w:r>
            <w:r>
              <w:rPr>
                <w:rFonts w:ascii="Book Antiqua" w:eastAsia="Book Antiqua" w:hAnsi="Book Antiqua" w:cs="Book Antiqua"/>
                <w:color w:val="1155CC"/>
              </w:rPr>
              <w:tab/>
              <w:t>359</w:t>
            </w:r>
          </w:hyperlink>
        </w:p>
        <w:p w14:paraId="61208F88"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4i7ojhp">
            <w:r>
              <w:rPr>
                <w:rFonts w:ascii="Book Antiqua" w:eastAsia="Book Antiqua" w:hAnsi="Book Antiqua" w:cs="Book Antiqua"/>
                <w:color w:val="1155CC"/>
              </w:rPr>
              <w:t>5.5 — OVERALL FINDINGS</w:t>
            </w:r>
            <w:r>
              <w:rPr>
                <w:rFonts w:ascii="Book Antiqua" w:eastAsia="Book Antiqua" w:hAnsi="Book Antiqua" w:cs="Book Antiqua"/>
                <w:color w:val="1155CC"/>
              </w:rPr>
              <w:tab/>
              <w:t>359</w:t>
            </w:r>
          </w:hyperlink>
        </w:p>
        <w:p w14:paraId="392F2CAC"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2xcytpi">
            <w:r>
              <w:rPr>
                <w:rFonts w:ascii="Book Antiqua" w:eastAsia="Book Antiqua" w:hAnsi="Book Antiqua" w:cs="Book Antiqua"/>
                <w:color w:val="1155CC"/>
              </w:rPr>
              <w:t>5.5.1 — MOST PREVALENT CROSS-CULTURAL BLUNDERS BY MNCs</w:t>
            </w:r>
            <w:r>
              <w:rPr>
                <w:rFonts w:ascii="Book Antiqua" w:eastAsia="Book Antiqua" w:hAnsi="Book Antiqua" w:cs="Book Antiqua"/>
                <w:color w:val="1155CC"/>
              </w:rPr>
              <w:tab/>
              <w:t>359</w:t>
            </w:r>
          </w:hyperlink>
        </w:p>
        <w:p w14:paraId="61D19B46"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rkiqbq7olc">
            <w:r>
              <w:rPr>
                <w:rFonts w:ascii="Book Antiqua" w:eastAsia="Book Antiqua" w:hAnsi="Book Antiqua" w:cs="Book Antiqua"/>
                <w:color w:val="1155CC"/>
              </w:rPr>
              <w:t>5.5.2 — CONSEQUENCES FOR MUSLIMS FROM BLUNDERS</w:t>
            </w:r>
            <w:r>
              <w:rPr>
                <w:rFonts w:ascii="Book Antiqua" w:eastAsia="Book Antiqua" w:hAnsi="Book Antiqua" w:cs="Book Antiqua"/>
                <w:color w:val="1155CC"/>
              </w:rPr>
              <w:tab/>
              <w:t>361</w:t>
            </w:r>
          </w:hyperlink>
        </w:p>
        <w:p w14:paraId="413EAFA3"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3whwml4">
            <w:r>
              <w:rPr>
                <w:rFonts w:ascii="Book Antiqua" w:eastAsia="Book Antiqua" w:hAnsi="Book Antiqua" w:cs="Book Antiqua"/>
                <w:color w:val="1155CC"/>
              </w:rPr>
              <w:t>5.5.3 — IMPACT AND RAMIFICATIONS OF BLUNDERS ON MNCs</w:t>
            </w:r>
            <w:r>
              <w:rPr>
                <w:rFonts w:ascii="Book Antiqua" w:eastAsia="Book Antiqua" w:hAnsi="Book Antiqua" w:cs="Book Antiqua"/>
                <w:color w:val="1155CC"/>
              </w:rPr>
              <w:tab/>
              <w:t>363</w:t>
            </w:r>
          </w:hyperlink>
        </w:p>
        <w:p w14:paraId="1CE4C693" w14:textId="77777777" w:rsidR="002530E2" w:rsidRDefault="002530E2">
          <w:pPr>
            <w:widowControl w:val="0"/>
            <w:tabs>
              <w:tab w:val="right" w:leader="dot" w:pos="12000"/>
            </w:tabs>
            <w:spacing w:before="60" w:after="0" w:line="360" w:lineRule="auto"/>
            <w:ind w:left="360"/>
            <w:rPr>
              <w:rFonts w:ascii="Arial" w:eastAsia="Arial" w:hAnsi="Arial" w:cs="Arial"/>
              <w:color w:val="1155CC"/>
              <w:u w:val="single"/>
            </w:rPr>
          </w:pPr>
          <w:hyperlink w:anchor="_heading=h.903gjoiwq1qg">
            <w:r>
              <w:rPr>
                <w:rFonts w:ascii="Book Antiqua" w:eastAsia="Book Antiqua" w:hAnsi="Book Antiqua" w:cs="Book Antiqua"/>
                <w:color w:val="1155CC"/>
              </w:rPr>
              <w:t>5.5.4 — STRATEGIES FOR MNCs TO PREVENT BLUNDERS</w:t>
            </w:r>
            <w:r>
              <w:rPr>
                <w:rFonts w:ascii="Book Antiqua" w:eastAsia="Book Antiqua" w:hAnsi="Book Antiqua" w:cs="Book Antiqua"/>
                <w:color w:val="1155CC"/>
              </w:rPr>
              <w:tab/>
              <w:t>364</w:t>
            </w:r>
          </w:hyperlink>
        </w:p>
        <w:p w14:paraId="0FA2BE63"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qsh70q">
            <w:r>
              <w:rPr>
                <w:rFonts w:ascii="Book Antiqua" w:eastAsia="Book Antiqua" w:hAnsi="Book Antiqua" w:cs="Book Antiqua"/>
                <w:color w:val="1155CC"/>
              </w:rPr>
              <w:t>5.6 — OTHER DISCOVERIES</w:t>
            </w:r>
            <w:r>
              <w:rPr>
                <w:rFonts w:ascii="Book Antiqua" w:eastAsia="Book Antiqua" w:hAnsi="Book Antiqua" w:cs="Book Antiqua"/>
                <w:color w:val="1155CC"/>
              </w:rPr>
              <w:tab/>
              <w:t>367</w:t>
            </w:r>
          </w:hyperlink>
        </w:p>
        <w:p w14:paraId="716E8C4A"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as4poj">
            <w:r>
              <w:rPr>
                <w:rFonts w:ascii="Book Antiqua" w:eastAsia="Book Antiqua" w:hAnsi="Book Antiqua" w:cs="Book Antiqua"/>
                <w:color w:val="1155CC"/>
              </w:rPr>
              <w:t>5.7 — RECOMMENDATIONS FOR MNCs</w:t>
            </w:r>
            <w:r>
              <w:rPr>
                <w:rFonts w:ascii="Book Antiqua" w:eastAsia="Book Antiqua" w:hAnsi="Book Antiqua" w:cs="Book Antiqua"/>
                <w:color w:val="1155CC"/>
              </w:rPr>
              <w:tab/>
              <w:t>369</w:t>
            </w:r>
          </w:hyperlink>
        </w:p>
        <w:p w14:paraId="3908F928"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pxezwc">
            <w:r>
              <w:rPr>
                <w:rFonts w:ascii="Book Antiqua" w:eastAsia="Book Antiqua" w:hAnsi="Book Antiqua" w:cs="Book Antiqua"/>
                <w:color w:val="1155CC"/>
              </w:rPr>
              <w:t>5.8 — IMPLICATIONS FOR FUTURE RESEARCH</w:t>
            </w:r>
            <w:r>
              <w:rPr>
                <w:rFonts w:ascii="Book Antiqua" w:eastAsia="Book Antiqua" w:hAnsi="Book Antiqua" w:cs="Book Antiqua"/>
                <w:color w:val="1155CC"/>
              </w:rPr>
              <w:tab/>
              <w:t>371</w:t>
            </w:r>
          </w:hyperlink>
        </w:p>
        <w:p w14:paraId="284B3A31"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49x2ik5">
            <w:r>
              <w:rPr>
                <w:rFonts w:ascii="Book Antiqua" w:eastAsia="Book Antiqua" w:hAnsi="Book Antiqua" w:cs="Book Antiqua"/>
                <w:color w:val="1155CC"/>
              </w:rPr>
              <w:t>5.9 — FUTURE RESEARCH DIRECTIONS</w:t>
            </w:r>
            <w:r>
              <w:rPr>
                <w:rFonts w:ascii="Book Antiqua" w:eastAsia="Book Antiqua" w:hAnsi="Book Antiqua" w:cs="Book Antiqua"/>
                <w:color w:val="1155CC"/>
              </w:rPr>
              <w:tab/>
              <w:t>373</w:t>
            </w:r>
          </w:hyperlink>
        </w:p>
        <w:p w14:paraId="6904284A"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p2csry">
            <w:r>
              <w:rPr>
                <w:rFonts w:ascii="Book Antiqua" w:eastAsia="Book Antiqua" w:hAnsi="Book Antiqua" w:cs="Book Antiqua"/>
                <w:color w:val="1155CC"/>
              </w:rPr>
              <w:t>5.10 — FILLING RESEARCH GAPS</w:t>
            </w:r>
            <w:r>
              <w:rPr>
                <w:rFonts w:ascii="Book Antiqua" w:eastAsia="Book Antiqua" w:hAnsi="Book Antiqua" w:cs="Book Antiqua"/>
                <w:color w:val="1155CC"/>
              </w:rPr>
              <w:tab/>
              <w:t>374</w:t>
            </w:r>
          </w:hyperlink>
        </w:p>
        <w:p w14:paraId="5F8A8B74"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147n2zr">
            <w:r>
              <w:rPr>
                <w:rFonts w:ascii="Book Antiqua" w:eastAsia="Book Antiqua" w:hAnsi="Book Antiqua" w:cs="Book Antiqua"/>
                <w:color w:val="1155CC"/>
              </w:rPr>
              <w:t>5.11 — LIMITATIONS</w:t>
            </w:r>
            <w:r>
              <w:rPr>
                <w:rFonts w:ascii="Book Antiqua" w:eastAsia="Book Antiqua" w:hAnsi="Book Antiqua" w:cs="Book Antiqua"/>
                <w:color w:val="1155CC"/>
              </w:rPr>
              <w:tab/>
              <w:t>376</w:t>
            </w:r>
          </w:hyperlink>
        </w:p>
        <w:p w14:paraId="6114C28C"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3o7alnk">
            <w:r>
              <w:rPr>
                <w:rFonts w:ascii="Book Antiqua" w:eastAsia="Book Antiqua" w:hAnsi="Book Antiqua" w:cs="Book Antiqua"/>
                <w:color w:val="1155CC"/>
              </w:rPr>
              <w:t>5.12 — BIASES</w:t>
            </w:r>
            <w:r>
              <w:rPr>
                <w:rFonts w:ascii="Book Antiqua" w:eastAsia="Book Antiqua" w:hAnsi="Book Antiqua" w:cs="Book Antiqua"/>
                <w:color w:val="1155CC"/>
              </w:rPr>
              <w:tab/>
              <w:t>377</w:t>
            </w:r>
          </w:hyperlink>
        </w:p>
        <w:p w14:paraId="747853CA"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23ckvvd">
            <w:r>
              <w:rPr>
                <w:rFonts w:ascii="Book Antiqua" w:eastAsia="Book Antiqua" w:hAnsi="Book Antiqua" w:cs="Book Antiqua"/>
                <w:color w:val="1155CC"/>
              </w:rPr>
              <w:t>5.13 — CONCLUSION</w:t>
            </w:r>
            <w:r>
              <w:rPr>
                <w:rFonts w:ascii="Book Antiqua" w:eastAsia="Book Antiqua" w:hAnsi="Book Antiqua" w:cs="Book Antiqua"/>
                <w:color w:val="1155CC"/>
              </w:rPr>
              <w:tab/>
              <w:t>380</w:t>
            </w:r>
          </w:hyperlink>
        </w:p>
        <w:p w14:paraId="473371E8" w14:textId="77777777" w:rsidR="002530E2" w:rsidRDefault="002530E2">
          <w:pPr>
            <w:widowControl w:val="0"/>
            <w:tabs>
              <w:tab w:val="right" w:leader="dot" w:pos="12000"/>
            </w:tabs>
            <w:spacing w:before="60" w:after="0" w:line="360" w:lineRule="auto"/>
            <w:rPr>
              <w:rFonts w:ascii="Arial" w:eastAsia="Arial" w:hAnsi="Arial" w:cs="Arial"/>
              <w:color w:val="1155CC"/>
              <w:u w:val="single"/>
            </w:rPr>
          </w:pPr>
          <w:hyperlink w:anchor="_heading=h.ihv636">
            <w:r>
              <w:rPr>
                <w:rFonts w:ascii="Book Antiqua" w:eastAsia="Book Antiqua" w:hAnsi="Book Antiqua" w:cs="Book Antiqua"/>
                <w:color w:val="1155CC"/>
              </w:rPr>
              <w:t>CHAPTER SUMMARY</w:t>
            </w:r>
            <w:r>
              <w:rPr>
                <w:rFonts w:ascii="Book Antiqua" w:eastAsia="Book Antiqua" w:hAnsi="Book Antiqua" w:cs="Book Antiqua"/>
                <w:color w:val="1155CC"/>
              </w:rPr>
              <w:tab/>
              <w:t>382</w:t>
            </w:r>
          </w:hyperlink>
          <w:r>
            <w:fldChar w:fldCharType="end"/>
          </w:r>
        </w:p>
      </w:sdtContent>
    </w:sdt>
    <w:p w14:paraId="1BA59F22" w14:textId="77777777" w:rsidR="002530E2" w:rsidRDefault="002530E2">
      <w:pPr>
        <w:pStyle w:val="Heading1"/>
        <w:rPr>
          <w:rFonts w:ascii="Arial" w:eastAsia="Arial" w:hAnsi="Arial" w:cs="Arial"/>
          <w:b/>
          <w:sz w:val="22"/>
          <w:szCs w:val="22"/>
        </w:rPr>
      </w:pPr>
      <w:bookmarkStart w:id="55" w:name="_heading=h.ezk1h1lcigk4" w:colFirst="0" w:colLast="0"/>
      <w:bookmarkEnd w:id="55"/>
      <w:r>
        <w:br w:type="page"/>
      </w:r>
    </w:p>
    <w:p w14:paraId="3BD6AAA0" w14:textId="77777777" w:rsidR="002530E2" w:rsidRDefault="002530E2">
      <w:pPr>
        <w:pStyle w:val="Heading1"/>
        <w:rPr>
          <w:rFonts w:ascii="Arial" w:eastAsia="Arial" w:hAnsi="Arial" w:cs="Arial"/>
          <w:b/>
          <w:sz w:val="22"/>
          <w:szCs w:val="22"/>
        </w:rPr>
      </w:pPr>
      <w:bookmarkStart w:id="56" w:name="_heading=h.d0vsts5tfz91" w:colFirst="0" w:colLast="0"/>
      <w:bookmarkEnd w:id="56"/>
    </w:p>
    <w:p w14:paraId="355C9CB5" w14:textId="77777777" w:rsidR="002530E2" w:rsidRDefault="002530E2"/>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147E0F8"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3CF4AAC3" w14:textId="77777777" w:rsidR="002530E2" w:rsidRDefault="002530E2">
            <w:pPr>
              <w:pStyle w:val="Heading1"/>
              <w:widowControl w:val="0"/>
              <w:spacing w:before="0" w:after="0" w:line="240" w:lineRule="auto"/>
              <w:jc w:val="center"/>
            </w:pPr>
            <w:r>
              <w:t>CHAPTER INTRO</w:t>
            </w:r>
          </w:p>
        </w:tc>
      </w:tr>
    </w:tbl>
    <w:p w14:paraId="0D8E53AD" w14:textId="77777777" w:rsidR="002530E2" w:rsidRDefault="002530E2">
      <w:pPr>
        <w:pBdr>
          <w:top w:val="nil"/>
          <w:left w:val="nil"/>
          <w:bottom w:val="nil"/>
          <w:right w:val="nil"/>
          <w:between w:val="nil"/>
        </w:pBdr>
        <w:spacing w:after="0"/>
        <w:jc w:val="center"/>
        <w:rPr>
          <w:color w:val="000000"/>
        </w:rPr>
      </w:pPr>
    </w:p>
    <w:p w14:paraId="282CD590" w14:textId="77777777" w:rsidR="002530E2" w:rsidRDefault="002530E2">
      <w:pPr>
        <w:pBdr>
          <w:top w:val="nil"/>
          <w:left w:val="nil"/>
          <w:bottom w:val="nil"/>
          <w:right w:val="nil"/>
          <w:between w:val="nil"/>
        </w:pBdr>
        <w:spacing w:after="0"/>
        <w:jc w:val="center"/>
        <w:rPr>
          <w:color w:val="000000"/>
        </w:rPr>
      </w:pPr>
      <w:r>
        <w:rPr>
          <w:rFonts w:ascii="Book Antiqua" w:eastAsia="Book Antiqua" w:hAnsi="Book Antiqua" w:cs="Book Antiqua"/>
          <w:color w:val="000000"/>
        </w:rPr>
        <w:t>“A discussion is an attempt to communicate, an argument is an attempt to win.“</w:t>
      </w:r>
    </w:p>
    <w:p w14:paraId="5B09B440" w14:textId="77777777" w:rsidR="002530E2" w:rsidRDefault="002530E2">
      <w:pPr>
        <w:pBdr>
          <w:top w:val="nil"/>
          <w:left w:val="nil"/>
          <w:bottom w:val="nil"/>
          <w:right w:val="nil"/>
          <w:between w:val="nil"/>
        </w:pBdr>
        <w:spacing w:after="0" w:line="240" w:lineRule="auto"/>
        <w:jc w:val="center"/>
        <w:rPr>
          <w:color w:val="000000"/>
        </w:rPr>
      </w:pPr>
      <w:r>
        <w:rPr>
          <w:rFonts w:ascii="Book Antiqua" w:eastAsia="Book Antiqua" w:hAnsi="Book Antiqua" w:cs="Book Antiqua"/>
          <w:i/>
          <w:color w:val="000000"/>
          <w:sz w:val="18"/>
          <w:szCs w:val="18"/>
        </w:rPr>
        <w:t>— Stephen Covey (Covey, 1989)</w:t>
      </w:r>
    </w:p>
    <w:p w14:paraId="1E54EB45" w14:textId="77777777" w:rsidR="002530E2" w:rsidRDefault="002530E2">
      <w:pPr>
        <w:pBdr>
          <w:top w:val="nil"/>
          <w:left w:val="nil"/>
          <w:bottom w:val="nil"/>
          <w:right w:val="nil"/>
          <w:between w:val="nil"/>
        </w:pBdr>
        <w:spacing w:after="0" w:line="240" w:lineRule="auto"/>
        <w:rPr>
          <w:i/>
          <w:sz w:val="18"/>
          <w:szCs w:val="18"/>
        </w:rPr>
      </w:pPr>
    </w:p>
    <w:p w14:paraId="3AD27EBF" w14:textId="77777777" w:rsidR="002530E2" w:rsidRDefault="002530E2">
      <w:pPr>
        <w:spacing w:after="0"/>
        <w:rPr>
          <w:i/>
          <w:sz w:val="18"/>
          <w:szCs w:val="18"/>
        </w:rPr>
      </w:pPr>
    </w:p>
    <w:p w14:paraId="38554692" w14:textId="77777777" w:rsidR="002530E2" w:rsidRDefault="002530E2">
      <w:r>
        <w:t xml:space="preserve">The introduction at the beginning of this chapter, “Discussion,“ plays a crucial role in orienting the reader to the purpose and structure of the upcoming discussion. This chapter represents a pivotal point in the research journey, as it marks a shift towards a detailed examination of the findings and implications derived from the study. It builds upon the foundations established in previous chapters (Chapters 1, 2, 3, and 4) and contextualises the significance of this particular chapter within the broader research context. </w:t>
      </w:r>
    </w:p>
    <w:p w14:paraId="3A811912" w14:textId="77777777" w:rsidR="002530E2" w:rsidRDefault="002530E2">
      <w:r>
        <w:t>Having established a strong foundation in earlier chapters, Chapter 5 acts as a bridge, seamlessly connecting the research questions, objectives, literature review, and methods to the subsequent sections that delve into the detailed discussion of the findings. The introduction section of this chapter plays a vital role in facilitating this smooth transition by establishing the connection between the preceding chapters and the analysis that follows. It sets the scene for an in-depth and cohesive exploration of the research findings, ensuring the reader can navigate the upcoming discussion clearly and understand its context and purpose.</w:t>
      </w:r>
    </w:p>
    <w:p w14:paraId="05AB8CB4" w14:textId="77777777" w:rsidR="002530E2" w:rsidRDefault="002530E2"/>
    <w:p w14:paraId="21417B9B" w14:textId="77777777" w:rsidR="002530E2" w:rsidRDefault="002530E2">
      <w:pPr>
        <w:pStyle w:val="Heading1"/>
      </w:pPr>
      <w:bookmarkStart w:id="57" w:name="_heading=h.2ygh3gfj4dm" w:colFirst="0" w:colLast="0"/>
      <w:bookmarkEnd w:id="57"/>
      <w:r>
        <w:br w:type="page"/>
      </w:r>
    </w:p>
    <w:p w14:paraId="682FB535" w14:textId="77777777" w:rsidR="002530E2" w:rsidRDefault="002530E2">
      <w:pPr>
        <w:pStyle w:val="Heading1"/>
      </w:pPr>
      <w:r>
        <w:lastRenderedPageBreak/>
        <w:t>5.0 —  INTRODUCTION</w:t>
      </w:r>
    </w:p>
    <w:p w14:paraId="0947B289" w14:textId="77777777" w:rsidR="002530E2" w:rsidRDefault="002530E2">
      <w:r>
        <w:t>MNCs operating in Muslim-majority and minority countries encountered numerous cross-cultural blunders, resulting in adverse consequences for Muslim consumers and companies. These blunders, characterised by cultural insensitivity or misunderstandings, had far-reaching implications. For instance, in 2015, Pepsi faced a significant backlash and was compelled to withdraw an advertising campaign in the Middle East due to accusations of disrespect towards Islam. The ad, featuring a model dressed in traditional Muslim attire dancing with a can of Pepsi, was deemed offensive by some Muslims, who perceived it as a mockery of their religion. Another striking example involved Nike, which in 2011 was accused of employing child labour in its Indonesian factories. This revelation triggered a widespread boycott of Nike products by many Muslims, who felt the company exploited underprivileged children. These instances merely scratched the surface of the numerous cross-cultural blunders made by MNCs in Muslim-majority and minority countries. Recognising that such blunders could significantly damage an MNC’s reputation, financial performance, and relationships with Muslim consumers was crucial.</w:t>
      </w:r>
    </w:p>
    <w:p w14:paraId="1E98E40C" w14:textId="77777777" w:rsidR="002530E2" w:rsidRDefault="002530E2">
      <w:r>
        <w:t>In this chapter, the author delves into a comprehensive discussion of the research findings, examining the consequences experienced by Muslim consumers due to these blunders and exploring their profound impact on MNCs’ business relationships and financial performance in Muslim-majority and minority countries. By analysing these consequences, the chapter aims to emphasise the importance of cultural understanding and sensitivity for MNCs operating in diverse cultural contexts.</w:t>
      </w:r>
    </w:p>
    <w:p w14:paraId="6A7175A0" w14:textId="77777777" w:rsidR="002530E2" w:rsidRDefault="002530E2">
      <w:r>
        <w:t>Moreover, the chapter proposes proactive strategies MNCs could adopt to prevent blunders and effectively engage with Muslim consumers. These strategies emphasise the significance of cultural adaptation and localisation, whereby MNCs invest in understanding their markets’ cultural, religious, and social aspects. By adapting their products, marketing campaigns, and communication strategies to align with cultural values and norms, MNCs can foster positive relationships with Muslim consumers and mitigate the risk of cultural blunders.</w:t>
      </w:r>
    </w:p>
    <w:p w14:paraId="1DBA7017" w14:textId="77777777" w:rsidR="002530E2" w:rsidRDefault="002530E2">
      <w:r>
        <w:t>The chapter positions itself as a crucial platform for analysing and interpreting the results obtained from the study. It comprehensively explores the cross-cultural blunders made by MNCs, aiming to provide valuable insights into their underlying causes and repercussions. Through an in-depth investigation of specific cases, the author explores their real-world implications for Muslim consumers and multinational corporations operating in Muslim-majority and minority countries.</w:t>
      </w:r>
    </w:p>
    <w:p w14:paraId="146AEA97" w14:textId="77777777" w:rsidR="002530E2" w:rsidRDefault="002530E2">
      <w:r>
        <w:t>Furthermore, by highlighting proactive strategies, the chapter offers practical recommendations to MNCs on preventing cross-cultural blunders and fostering mutually beneficial relationships with Muslim consumers. These strategies encompass effective communication, leveraging religious values, utilising social media platforms, and building trust-based relationships with Muslim consumers. By actively listening to the needs and preferences of Muslim consumers, engaging in open dialogue, and demonstrating cultural sensitivity, MNCs can navigate cultural complexities and establish positive connections.</w:t>
      </w:r>
    </w:p>
    <w:p w14:paraId="64B65A3A" w14:textId="77777777" w:rsidR="002530E2" w:rsidRDefault="002530E2">
      <w:r>
        <w:t xml:space="preserve">The chapter integrates theoretical frameworks, including Hofstede’s Cultural Dimensions, Cultural Intelligence (CQ), High-Context versus Low-Context Culture, and Communication Accommodation Theory, to provide a robust foundation for understanding the dynamics of cross-cultural blunders. By </w:t>
      </w:r>
      <w:r>
        <w:lastRenderedPageBreak/>
        <w:t>drawing upon these theories, the chapter enriches the analysis and interpretation of the research findings, ensuring a comprehensive understanding of the topic.</w:t>
      </w:r>
    </w:p>
    <w:p w14:paraId="42B045D3" w14:textId="77777777" w:rsidR="002530E2" w:rsidRDefault="002530E2">
      <w:r>
        <w:t>Through the utilisation of qualitative methods and the triangulation of data collection and analysis, the chapter ensures the reliability and credibility of the study’s findings. This methodological approach strengthens the validity of the conclusions drawn and contributes to the academic rigour of the research.</w:t>
      </w:r>
    </w:p>
    <w:p w14:paraId="7F7398EC" w14:textId="77777777" w:rsidR="002530E2" w:rsidRDefault="002530E2">
      <w:r>
        <w:t xml:space="preserve">In summary, this chapter aims to provide a comprehensive understanding of the cross-cultural blunders made by MNCs in Muslim-majority and minority countries, their consequences for Muslim consumers, and their impact on MNCs’ business relationships and financial performance. By examining these findings, the author aims to contribute valuable insights to academic research and offer practical recommendations to MNCs, enabling them to navigate the cultural complexities and effectively engage with Muslim consumers. </w:t>
      </w:r>
    </w:p>
    <w:p w14:paraId="10BE9DCF" w14:textId="77777777" w:rsidR="002530E2" w:rsidRDefault="002530E2">
      <w:r>
        <w:t>The chapter serves as a platform for analysis, interpretation, and discussion, presenting a holistic view of the topic and its implications for cross-cultural communication, cross-cultural management, international marketing, Islamic branding, international branding, and international business.</w:t>
      </w:r>
    </w:p>
    <w:p w14:paraId="7BB8BC47" w14:textId="77777777" w:rsidR="002530E2" w:rsidRDefault="002530E2">
      <w:pPr>
        <w:pStyle w:val="Heading1"/>
      </w:pPr>
      <w:r>
        <w:t xml:space="preserve">5.1 — REFLECTION ON RESEARCH DIRECTION </w:t>
      </w:r>
    </w:p>
    <w:p w14:paraId="791BE4D4" w14:textId="77777777" w:rsidR="002530E2" w:rsidRDefault="002530E2">
      <w:r>
        <w:t>The present study provides a comprehensive reflection on the research questions, aims, objectives, literature review, and methodology, highlighting their contribution to the essential findings and overall success of the research journey.</w:t>
      </w:r>
    </w:p>
    <w:p w14:paraId="3E268EBA" w14:textId="77777777" w:rsidR="002530E2" w:rsidRDefault="002530E2">
      <w:r>
        <w:t xml:space="preserve">Research Questions: </w:t>
      </w:r>
    </w:p>
    <w:p w14:paraId="683E5D32" w14:textId="77777777" w:rsidR="002530E2" w:rsidRDefault="002530E2">
      <w:r>
        <w:t>This study explored and addressed four leading research inquiries. Firstly, it identified the most prevalent cross-cultural blunders of MNCs operating in Muslim-majority and minority countries between 2010 and 2020. Secondly, this research investigated the negative consequences experienced by Muslim consumers due to these mishaps. Thirdly, it explored the impact of these blunders on the overall business relationships, reputations, and financial performance of MNCs in these countries. Finally, the study suggests several proactive strategies that multinational corporations (MNCs) can use to prevent similar missteps and improve engagement with Muslim customers. The study’s results satisfactorily addressed all the research questions.</w:t>
      </w:r>
    </w:p>
    <w:p w14:paraId="3B8A2905" w14:textId="77777777" w:rsidR="002530E2" w:rsidRDefault="002530E2">
      <w:r>
        <w:t xml:space="preserve">Research Aims: </w:t>
      </w:r>
    </w:p>
    <w:p w14:paraId="3E548733" w14:textId="77777777" w:rsidR="002530E2" w:rsidRDefault="002530E2">
      <w:r>
        <w:t xml:space="preserve">The study successfully met all the research aims by accomplishing the research questions. The study aimed to investigate and identify prevalent cross-cultural blunders, examine their consequences for Muslim consumers, explore their impact on MNCs’ business relationships and financial performance, propose proactive strategies to prevent slips and contribute to relevant research fields. </w:t>
      </w:r>
    </w:p>
    <w:p w14:paraId="4BD375F6" w14:textId="77777777" w:rsidR="002530E2" w:rsidRDefault="002530E2">
      <w:r>
        <w:t>The study’s findings have important implications for MNCs and Muslim consumers, and they have contributed significantly to the areas of cross-cultural communication, cross-cultural management, international marketing, Islamic branding, international branding, and international business.</w:t>
      </w:r>
    </w:p>
    <w:p w14:paraId="0A612E52" w14:textId="77777777" w:rsidR="002530E2" w:rsidRDefault="002530E2">
      <w:r>
        <w:t xml:space="preserve">Research Objectives: </w:t>
      </w:r>
    </w:p>
    <w:p w14:paraId="4D3AABFF" w14:textId="77777777" w:rsidR="002530E2" w:rsidRDefault="002530E2">
      <w:r>
        <w:lastRenderedPageBreak/>
        <w:t>The study successfully addressed all of the leading research questions and met all of the stated objectives of this study. The goals included identifying and analysing cross-cultural blunders, examining the consequences for Muslim consumers, investigating the impact on MNCs’ business relationships and financial performance, exploring proactive strategies to prevent blunders, providing practical recommendations for MNCs, and contributing to relevant research fields. The study achieved these objectives and provided valuable insights and advice for MNCs to enhance their interactions with Muslim consumers.</w:t>
      </w:r>
    </w:p>
    <w:p w14:paraId="5EE535EB" w14:textId="77777777" w:rsidR="002530E2" w:rsidRDefault="002530E2">
      <w:r>
        <w:t xml:space="preserve">Literature Review: </w:t>
      </w:r>
    </w:p>
    <w:p w14:paraId="1A5261DF" w14:textId="77777777" w:rsidR="002530E2" w:rsidRDefault="002530E2">
      <w:r>
        <w:t>The literature review conducted in this study was instrumental in providing a comprehensive understanding of cross-cultural blunders made by multinational corporations (MNCs) in Muslim-majority and minority countries. By studying scholarly theories, previous studies, and incident reports related to these mishaps, this literature review sheds light on their causes, consequences, and preventive strategies.</w:t>
      </w:r>
    </w:p>
    <w:p w14:paraId="65817842" w14:textId="77777777" w:rsidR="002530E2" w:rsidRDefault="002530E2">
      <w:r>
        <w:t>Integrating theories such as Hofstede’s Cultural Dimensions, Cultural Intelligence (CQ), High-Context versus Low-Context Culture, and Communication Accommodation Theory offered a solid foundation for comprehending the complexities of cross-cultural blunders. These theories provided insights into the cultural dynamics and communication patterns influencing MNCs’ interactions with Muslim consumers.</w:t>
      </w:r>
    </w:p>
    <w:p w14:paraId="32EF6A6C" w14:textId="77777777" w:rsidR="002530E2" w:rsidRDefault="002530E2">
      <w:r>
        <w:t>The review of previous studies identified prevalent blunders and highlighted the significance of cultural understanding, effective communication strategies, and cultural intelligence in mitigating such blunders. These studies underscored the importance of adapting to local cultural norms, values, and sensitivities when operating in diverse cultural contexts.</w:t>
      </w:r>
    </w:p>
    <w:p w14:paraId="25D28109" w14:textId="77777777" w:rsidR="002530E2" w:rsidRDefault="002530E2">
      <w:r>
        <w:t>In addition, the analysis of incident reports provided real-world examples and perspectives on the consequences faced by both MNCs and Muslim consumers due to cross-cultural blunders. These reports reinforced the need for cultural sensitivity, alignment with cultural values, and the potential negative impacts on business relationships, reputation, and financial performance.</w:t>
      </w:r>
    </w:p>
    <w:p w14:paraId="17ACFAE8" w14:textId="77777777" w:rsidR="002530E2" w:rsidRDefault="002530E2">
      <w:r>
        <w:t>Overall, the literature review served as a foundation for the research process, addressing each research question and providing valuable insights into the causes, consequences, and preventive measures regarding cross-cultural blunders. It laid the groundwork for further investigation and guided the subsequent analysis in this study.</w:t>
      </w:r>
    </w:p>
    <w:p w14:paraId="62225871" w14:textId="77777777" w:rsidR="002530E2" w:rsidRDefault="002530E2">
      <w:r>
        <w:t xml:space="preserve">Methodology: </w:t>
      </w:r>
    </w:p>
    <w:p w14:paraId="5AA7CFCD" w14:textId="77777777" w:rsidR="002530E2" w:rsidRDefault="002530E2">
      <w:r>
        <w:t>The chosen methodology for this study was well aligned with the research goals and contributed to the attainment of valuable insights. Adopting a cultural relativist research philosophy allowed a comprehensive exploration of the cultural dynamics between MNCs and Muslim consumers. A nuanced understanding of cross-cultural blunders emerged as a result. The mono-methods approach comprehensively understood the research problem by qualitative methods. The research strategy, systematic methodological choice, and data collection techniques were appropriate for addressing the research questions and gathering relevant data. The data analysis technique employed in the study was rigorous, enabling a comprehensive examination of the identified patterns and relationships. Triangulation in data collection and analysis added credibility and reliability to the findings. The research process was ethically compliant.</w:t>
      </w:r>
    </w:p>
    <w:p w14:paraId="72DBC2C3" w14:textId="77777777" w:rsidR="002530E2" w:rsidRDefault="002530E2">
      <w:r>
        <w:lastRenderedPageBreak/>
        <w:t>Everything considered, the study successfully addressed the research questions, aims, and objectives by providing comprehensive insights into cross-cultural blunders by MNCs.</w:t>
      </w:r>
    </w:p>
    <w:p w14:paraId="73CBA421" w14:textId="77777777" w:rsidR="002530E2" w:rsidRDefault="002530E2">
      <w:pPr>
        <w:pStyle w:val="Heading1"/>
      </w:pPr>
      <w:r>
        <w:t>5.2 — DISCUSSION: FINDINGS FROM THE ESTABLISHED THEORIES</w:t>
      </w:r>
    </w:p>
    <w:p w14:paraId="66647867" w14:textId="77777777" w:rsidR="002530E2" w:rsidRDefault="002530E2">
      <w:pPr>
        <w:pStyle w:val="Heading2"/>
      </w:pPr>
      <w:r>
        <w:t>5.2.1 — MOST PREVALENT CROSS-CULTURAL BLUNDERS BY MNCs</w:t>
      </w:r>
    </w:p>
    <w:p w14:paraId="376BEF58" w14:textId="77777777" w:rsidR="002530E2" w:rsidRDefault="002530E2">
      <w:r>
        <w:t>The collective findings from examining the four theories addressing the research question on cross-cultural blunders by multinational corporations (MNCs) operating in Muslim-majority and minority countries shed light on their prevalent types. The analysis indicates that cross-cultural blunders by MNCs in these contexts primarily stem from violations of cultural dimensions, a lack of cultural intelligence, insensitivity to high-context cultures, and a failure to accommodate communication styles. These prevalent blunders have significant implications for MNCs, including strained business relationships, reputational damage, and financial losses.</w:t>
      </w:r>
    </w:p>
    <w:p w14:paraId="42C9DA56" w14:textId="77777777" w:rsidR="002530E2" w:rsidRDefault="002530E2">
      <w:r>
        <w:t>Understanding and addressing these blunders is crucial for MNCs seeking to effectively engage with Muslim consumers and navigate the complexities of cross-cultural interactions. By examining the insights provided by Hofstede’s Cultural Dimensions, Cultural Intelligence, the high-context versus low-context culture concept, and the Communication Accommodation Theory, MNCs can develop strategies to mitigate these blunders and enhance their cross-cultural competence. The following sections explore each theory in detail and provide recommendations for MNCs to prevent and address these prevalent cross-cultural blunders.</w:t>
      </w:r>
    </w:p>
    <w:p w14:paraId="54C9E723" w14:textId="77777777" w:rsidR="002530E2" w:rsidRDefault="002530E2">
      <w:r>
        <w:t xml:space="preserve">Theory 1: Hofstede’s Cultural Dimensions: </w:t>
      </w:r>
    </w:p>
    <w:p w14:paraId="60B51802" w14:textId="77777777" w:rsidR="002530E2" w:rsidRDefault="002530E2">
      <w:r>
        <w:t>One of the most prevalent cross-cultural blunders identified by MNCs operating in Muslim-majority and minority countries is the violation of cultural dimensions as proposed by Hofstede’s Cultural Dimensions theory. This theory suggests that blunders often occur when MNCs fail to consider and adapt to cultural differences in power distance, individualism-collectivism, masculinity-femininity, uncertainty avoidance, long-term orientation, and restraint. Violations of these dimensions can lead to strained business relationships, reputational damage, and financial losses.</w:t>
      </w:r>
    </w:p>
    <w:p w14:paraId="1E66ECF4" w14:textId="77777777" w:rsidR="002530E2" w:rsidRDefault="002530E2">
      <w:r>
        <w:t xml:space="preserve">Theory 2: Cultural Intelligence: </w:t>
      </w:r>
    </w:p>
    <w:p w14:paraId="6D9D1984" w14:textId="77777777" w:rsidR="002530E2" w:rsidRDefault="002530E2">
      <w:r>
        <w:t>According to the theory of Cultural Intelligence (CQ), a significant cross-cultural blunder is the lack of cultural intelligence within MNCs. This blunder occurs when MNCs need an understanding of the target market’s cultural norms, values, and taboos. Insufficient cultural intelligence can result in miscommunications, misunderstandings, and a failure to connect effectively with Muslim consumers. Consequently, this can negatively impact business relationships, reputation, and financial performance.</w:t>
      </w:r>
    </w:p>
    <w:p w14:paraId="3EE8C4BB" w14:textId="77777777" w:rsidR="002530E2" w:rsidRDefault="002530E2">
      <w:r>
        <w:t xml:space="preserve">Theory 3: High-context Versus Low-context Culture Concept: </w:t>
      </w:r>
    </w:p>
    <w:p w14:paraId="02D00371" w14:textId="77777777" w:rsidR="002530E2" w:rsidRDefault="002530E2">
      <w:r>
        <w:t xml:space="preserve">The high-context versus low-context culture concept highlights another prevalent cross-cultural blunder by MNCs in Muslim-majority and minority countries. Slips occur when MNCs must recognise and adapt to the cultural nuances and implicit cues in high-context cultures. Insensitivity to these cultural aspects, including religious beliefs and taboos, can lead to misinterpretations, offence, and </w:t>
      </w:r>
      <w:r>
        <w:lastRenderedPageBreak/>
        <w:t>strained business relationships. Such blunders can have significant ramifications for MNCs’ reputation and financial performance.</w:t>
      </w:r>
    </w:p>
    <w:p w14:paraId="0120C0CC" w14:textId="77777777" w:rsidR="002530E2" w:rsidRDefault="002530E2">
      <w:r>
        <w:t xml:space="preserve">Theory 4: Communication Accommodation Theory: </w:t>
      </w:r>
    </w:p>
    <w:p w14:paraId="6091152C" w14:textId="77777777" w:rsidR="002530E2" w:rsidRDefault="002530E2">
      <w:r>
        <w:t>The Communication Accommodation Theory (CAT) sheds light on a prevalent cross-cultural blunder by MNCs: the failure to accommodate cultural norms and expectations in communication. This blunder occurs when MNCs neglect to adjust their communication styles to align with Muslim consumers’ cultural preferences and sensitivities. Poorly adapted communication can result in misunderstandings, misinterpretations, and a loss of trust between MNCs and their target audience. Such missteps may devastate business relationships, reputations, and financial success.</w:t>
      </w:r>
    </w:p>
    <w:p w14:paraId="38E61943" w14:textId="77777777" w:rsidR="002530E2" w:rsidRDefault="002530E2">
      <w:r>
        <w:t>Cross-cultural blunders have far-reaching consequences, significantly impacting multinational corporations (MNCs) and Muslim consumers. These blunders can result in a loss of consumer trust, a damaged reputation, financial losses, and even boycotts. To mitigate the risks associated with such blunders, MNCs must prioritise the development of cultural intelligence, understanding cultural dimensions, adapting communication styles, and conducting comprehensive research on the local market.</w:t>
      </w:r>
    </w:p>
    <w:p w14:paraId="6E63F5BB" w14:textId="77777777" w:rsidR="002530E2" w:rsidRDefault="002530E2">
      <w:r>
        <w:t>In summary, the comprehensive findings of this study underscore the prevalence of cross-cultural blunders by MNCs operating in Muslim-majority and minority countries. These blunders often stem from a need for more cultural understanding, misalignment with cultural norms, and insensitivity towards the values and expectations of the target culture. By incorporating theories such as Hofstede’s Cultural Dimensions, Cultural Intelligence (CQ), the high-context versus low-context culture concept, and the Communication Accommodation Theory (CAT), MNCs can effectively navigate these challenges and establish positive relationships with Muslim consumers.</w:t>
      </w:r>
    </w:p>
    <w:p w14:paraId="0BD6F156" w14:textId="77777777" w:rsidR="002530E2" w:rsidRDefault="002530E2">
      <w:r>
        <w:t>By acknowledging the most prevalent cross-cultural blunders highlighted by these theories, MNCs can gain valuable insights into their challenges when engaging with Muslim consumers. With this understanding, MNCs can develop and implement effective strategies and practices to avoid such blunders, foster positive cross-cultural relationships, and succeed in diverse cultural contexts. This approach not only safeguards the interests of MNCs but also promotes cultural sensitivity, mutual understanding, and fruitful interactions with Muslim consumers.</w:t>
      </w:r>
    </w:p>
    <w:p w14:paraId="4FF52105" w14:textId="77777777" w:rsidR="002530E2" w:rsidRDefault="002530E2">
      <w:pPr>
        <w:pStyle w:val="Heading2"/>
      </w:pPr>
      <w:r>
        <w:t>5.2.2 — CONSEQUENCES FOR MUSLIMS FROM BLUNDERS</w:t>
      </w:r>
    </w:p>
    <w:p w14:paraId="0A00A02D" w14:textId="77777777" w:rsidR="002530E2" w:rsidRDefault="002530E2">
      <w:r>
        <w:t xml:space="preserve">The investigation into the consequences of cross-cultural blunders on Muslim consumers, drawing upon four fundamental theories addressing the research question, reveals noteworthy findings. </w:t>
      </w:r>
    </w:p>
    <w:p w14:paraId="550D8C47" w14:textId="77777777" w:rsidR="002530E2" w:rsidRDefault="002530E2">
      <w:r>
        <w:t xml:space="preserve">Theory 1: Hofstede’s Cultural Dimensions: </w:t>
      </w:r>
    </w:p>
    <w:p w14:paraId="03CB66E6" w14:textId="77777777" w:rsidR="002530E2" w:rsidRDefault="002530E2">
      <w:r>
        <w:t>According to Hofstede’s Cultural Dimensions, cross-cultural blunders that violate cultural norms related to power dynamics, gender roles, individualism-collectivism, masculinity-femininity, uncertainty avoidance, long-term orientation, and restraint can negatively affect Muslim consumers. These consequences include loss of trust, damage to reputation, offence, feelings of alienation, reduced access to products and services, increased discrimination, and boycotts.</w:t>
      </w:r>
    </w:p>
    <w:p w14:paraId="2D3736A2" w14:textId="77777777" w:rsidR="002530E2" w:rsidRDefault="002530E2">
      <w:r>
        <w:t xml:space="preserve">Theory 2: Cultural Intelligence: </w:t>
      </w:r>
    </w:p>
    <w:p w14:paraId="3A37BDB8" w14:textId="77777777" w:rsidR="002530E2" w:rsidRDefault="002530E2">
      <w:r>
        <w:lastRenderedPageBreak/>
        <w:t>Cultural Intelligence (CQ) theory emphasises the importance of understanding and adapting to different cultural contexts. MNCs that lack cultural intelligence may face negative consequences when making cross-cultural blunders, including loss of trust, damage to reputation, offence, feelings of alienation, reduced access to products and services, and increased discrimination against Muslim consumers.</w:t>
      </w:r>
    </w:p>
    <w:p w14:paraId="0775FFA8" w14:textId="77777777" w:rsidR="002530E2" w:rsidRDefault="002530E2">
      <w:r>
        <w:br w:type="page"/>
      </w:r>
    </w:p>
    <w:p w14:paraId="54DD9244" w14:textId="77777777" w:rsidR="002530E2" w:rsidRDefault="002530E2">
      <w:r>
        <w:lastRenderedPageBreak/>
        <w:t xml:space="preserve">Theory 3: High-context Versus Low-context Culture Concept: </w:t>
      </w:r>
    </w:p>
    <w:p w14:paraId="53412A6C" w14:textId="77777777" w:rsidR="002530E2" w:rsidRDefault="002530E2">
      <w:r>
        <w:t>The high-context versus low-context culture concept highlights the potential consequences faced by Muslim consumers in high-context cultures. These possible consequences may include trust issues, offence and boycotts. In high-context cultures, communication styles are more indirect and rely on shared understanding, making it crucial for MNCs to be aware of cultural norms and expectations.</w:t>
      </w:r>
    </w:p>
    <w:p w14:paraId="06054469" w14:textId="77777777" w:rsidR="002530E2" w:rsidRDefault="002530E2">
      <w:r>
        <w:t xml:space="preserve">Theory 4: Communication Accommodation Theory: </w:t>
      </w:r>
    </w:p>
    <w:p w14:paraId="131E1516" w14:textId="77777777" w:rsidR="002530E2" w:rsidRDefault="002530E2">
      <w:r>
        <w:t>Communication Accommodation Theory (CAT) focuses on the impact of communication styles on Muslim consumers. Blunders resulting from miscommunication or cultural insensitivity can diminish trust, dissatisfaction, and cultural offence.</w:t>
      </w:r>
    </w:p>
    <w:p w14:paraId="041BB587" w14:textId="77777777" w:rsidR="002530E2" w:rsidRDefault="002530E2">
      <w:r>
        <w:t xml:space="preserve">The findings of this study indicate that cross-cultural blunders can have substantial consequences for Muslim consumers, underscoring the importance of comprehending and addressing these effects. Hofstede’s Cultural Dimensions, Cultural Intelligence (CQ) theory, the high-context versus low-context culture concept, and Communication Accommodation Theory (CAT) provide valuable insight into such blunders and their consequences. Hofstede’s Cultural Dimensions shed light on the strain on business relationships and consumer trust that arises from disregarding power dynamics and collectivist values. </w:t>
      </w:r>
    </w:p>
    <w:p w14:paraId="360FA8ED" w14:textId="77777777" w:rsidR="002530E2" w:rsidRDefault="002530E2">
      <w:r>
        <w:t>Cultural Intelligence theory emphasises the impact on trust and reputation, while the high-context versus low-context culture concept highlights the potential for miscommunication and cultural misunderstandings. The Communication Accommodation Theory also underscores the adverse effects on relationships, reputation, and business performance resulting from the failure to adapt communication styles to accommodate cultural norms. This comprehensive examination enhances our understanding of the consequences faced by Muslim consumers due to cross-cultural blunders, offering valuable insights for future research and guidance for multinational corporations (MNCs) seeking to enhance their cross-cultural competence and effectively engage with this consumer segment.</w:t>
      </w:r>
    </w:p>
    <w:p w14:paraId="11D05E5F" w14:textId="77777777" w:rsidR="002530E2" w:rsidRDefault="002530E2">
      <w:r>
        <w:t>Multinational companies should improve their cultural intelligence to prevent any negative impact caused by cultural misunderstandings. It can be achieved by understanding Muslim culture, hiring local employees with cultural insights, using culturally sensitive marketing strategies, and providing cultural training to their staff. These measures enable MNCs to build trust, prevent offence, and foster positive relationships with Muslim consumers.</w:t>
      </w:r>
    </w:p>
    <w:p w14:paraId="01C126ED" w14:textId="77777777" w:rsidR="002530E2" w:rsidRDefault="002530E2">
      <w:r>
        <w:t>In conclusion, cross-cultural blunders can have significant negative consequences for Muslim consumers, including loss of trust, reputation damage, offence, alienation, limited access to products and services, increased discrimination, and potential boycotts. MNCs must grasp cultural dimensions, develop cultural intelligence, consider the dynamics of high-context versus low-context cultures, and employ effective communication accommodation strategies to avoid such blunders and cultivate positive relationships with Muslim consumers.</w:t>
      </w:r>
    </w:p>
    <w:p w14:paraId="69FEFF5A" w14:textId="77777777" w:rsidR="002530E2" w:rsidRDefault="002530E2">
      <w:pPr>
        <w:pStyle w:val="Heading2"/>
      </w:pPr>
      <w:r>
        <w:t>5.2.3 — IMPACT AND RAMIFICATIONS OF BLUNDERS ON MNCs</w:t>
      </w:r>
    </w:p>
    <w:p w14:paraId="769714CF" w14:textId="77777777" w:rsidR="002530E2" w:rsidRDefault="002530E2">
      <w:r>
        <w:t xml:space="preserve">The comprehensive analysis of the four theories addressing the impact and ramifications of cross-cultural blunders on multinational corporations (MNCs) operating in Muslim-majority and minority </w:t>
      </w:r>
      <w:r>
        <w:lastRenderedPageBreak/>
        <w:t xml:space="preserve">countries reveals a consistent pattern of significant negative consequences. These consequences can have far-reaching implications for MNCs across various aspects of their operations. </w:t>
      </w:r>
    </w:p>
    <w:p w14:paraId="1D06365F" w14:textId="77777777" w:rsidR="002530E2" w:rsidRDefault="002530E2">
      <w:r>
        <w:t>Cross-cultural blunders can strain business relationships, damage reputation, and lead to significant financial losses for multinational corporations (MNCs) operating in Muslim-majority and minority countries. Blunders in business undermine trust, threaten long-term relationships and limit potential business opportunities. Adverse publicity and social media backlash tarnish the image of MNCs, making it challenging to attract new customers and partners. Financially, blunders incur costs and impact sales, market share, and profitability. Additionally, blunders can trigger boycotts and protests, causing immediate sales declines and long-term damage to brand equity. MNCs must understand and address these consequences to maintain positive relationships, protect their reputation, and achieve success in diverse cultural contexts.</w:t>
      </w:r>
    </w:p>
    <w:p w14:paraId="1260A704" w14:textId="77777777" w:rsidR="002530E2" w:rsidRDefault="002530E2">
      <w:r>
        <w:t>Theory 1: Understanding Hofstede's Cultural Dimensions is essential to avoid cross-cultural blunders that can damage MNCs' business relationships and reputation in Muslim-majority and minority countries. Ignoring power dynamics or not aligning with collectivist values can have negative consequences. Hofstede's research from 1980 and 1991 emphasises the importance of cultural awareness in cross-cultural business interactions. Failure to recognise and respect cultural norms and values may lead to a loss of consumer trust, resulting in declining sales and profits (Kirkman et al., 2006). Their effects can also make it more difficult for MNCs to attract customers and investors (Laroche et al., 2005). In severe cases, MNCs may face financial losses if compelled to withdraw their products from the market due to a cross-cultural blunder (Samiee &amp; Jeong, 2011). The consequences of blunders can vary depending on the specific blunder, the cultural context, and the actions taken by the MNC to address the situation (Sharma, 2010).</w:t>
      </w:r>
    </w:p>
    <w:p w14:paraId="20F40964" w14:textId="77777777" w:rsidR="002530E2" w:rsidRDefault="002530E2">
      <w:r>
        <w:t>Theory 2: Cultural Intelligence</w:t>
      </w:r>
    </w:p>
    <w:p w14:paraId="4D18F900" w14:textId="77777777" w:rsidR="002530E2" w:rsidRDefault="002530E2">
      <w:r>
        <w:t>Cross-cultural blunders can erode trust between MNCs and their customers, partners, and employees, negatively impacting business relationships (Ang &amp; Van Dyne, 2008). MNCs’ reputations in the market can suffer due to blunders, making it more challenging to conduct business and attract new customers (Earley &amp; Mosakowski, 2004). Financial losses can occur due to cross-cultural blunders, underscoring the importance of developing cultural intelligence to mitigate such risks (Livermore, 2010). By providing corporate training on cultural awareness and sensitivity, MNCs can minimise the likelihood of blunders and promote a culture that values diversity and inclusion within their organisations (Thomas &amp; Inkson, 2003).</w:t>
      </w:r>
    </w:p>
    <w:p w14:paraId="52154D44" w14:textId="77777777" w:rsidR="002530E2" w:rsidRDefault="002530E2">
      <w:r>
        <w:t>Theory 3: High-context Versus Low-context Culture Concept</w:t>
      </w:r>
    </w:p>
    <w:p w14:paraId="1642027F" w14:textId="77777777" w:rsidR="002530E2" w:rsidRDefault="002530E2">
      <w:r>
        <w:t>Miscommunication and cultural misunderstandings arising from a lack of understanding of high-context cultural cues can strain business relationships, damage MNCs’ reputations, and result in financial losses (Hall, 1976). MNCs operating in Muslim-majority and minority countries must be mindful of cultural norms and expectations when communicating with Muslim consumers (Triandis, 1994). Blunders, such as offensive advertisements, can lead to boycotts and significant reputational damage (Samiee &amp; Jeong, 2011).</w:t>
      </w:r>
    </w:p>
    <w:p w14:paraId="7D667EFA" w14:textId="77777777" w:rsidR="002530E2" w:rsidRDefault="002530E2">
      <w:r>
        <w:br w:type="page"/>
      </w:r>
    </w:p>
    <w:p w14:paraId="6022298A" w14:textId="77777777" w:rsidR="002530E2" w:rsidRDefault="002530E2">
      <w:r>
        <w:lastRenderedPageBreak/>
        <w:t>Theory 4: Communication Accommodation Theory</w:t>
      </w:r>
    </w:p>
    <w:p w14:paraId="19A0828E" w14:textId="77777777" w:rsidR="002530E2" w:rsidRDefault="002530E2">
      <w:r>
        <w:t>MNCs that commit cross-cultural blunders by failing to accommodate the cultural norms and expectations of their target audience may experience adverse effects on their business relationships, reputation, and financial performance (Giles et al., 1991). Blunders can strain MNCs’ relationships with local partners and customers, resulting in lost trust and cooperation (Gudykunst et al., 2002). The damaged reputation in the market makes it difficult to attract new customers and partners, leading to sales and profit losses (Gudykunst &amp; Kim, 2003). Illustrative examples of cross-cultural blunders include offensive advertisements that triggered a significant backlash, necessitating apologies and withdrawals (Samiee &amp; Jeong, 2011).</w:t>
      </w:r>
    </w:p>
    <w:p w14:paraId="3DBD38E2" w14:textId="77777777" w:rsidR="002530E2" w:rsidRDefault="002530E2">
      <w:r>
        <w:t xml:space="preserve">The findings shed light on cross-cultural blunders’ far-reaching and detrimental impacts on multinational corporations (MNCs) operating in Muslim-majority and minority countries. Each theory provides valuable insights into the multifaceted nature of these impacts. Hofstede’s Cultural Dimensions Theory emphasises the strain on business relationships and the erosion of consumer trust resulting from insensitivity towards local cultural norms (Hofstede, 1980). </w:t>
      </w:r>
    </w:p>
    <w:p w14:paraId="1F3C11E4" w14:textId="77777777" w:rsidR="002530E2" w:rsidRDefault="002530E2">
      <w:r>
        <w:t>Cultural Intelligence theory underscores the damage to trust and reputation and the potential financial losses MNCs incur (Earley &amp; Ang, 2003). The High-context Versus Low-context Culture Concept highlights the role of miscommunication and cultural misunderstandings, which can strain relationships, damage reputations, and lead to financial losses (Hall, 1976). Lastly, the Communication Accommodation Theory emphasises the adverse effects on relationships, reputation, and financial performance of the failure to adapt communication styles to cultural norms (Giles &amp; Coupland, 1991).</w:t>
      </w:r>
    </w:p>
    <w:p w14:paraId="5E871EDC" w14:textId="77777777" w:rsidR="002530E2" w:rsidRDefault="002530E2">
      <w:r>
        <w:t>Considering the significant ramifications of cross-cultural blunders, MNCs must proactively implement measures to prevent them and safeguard their business interests. Understanding cultural dimensions, developing cultural intelligence, being aware of high-context cultures, and employing effective communication strategies are essential (Jandt, 2001). By embracing these measures, MNCs can navigate the complexities of cross-cultural interactions, nurture positive relationships with Muslim consumers, and preserve their standing in diverse markets. MNCs must recognise that avoiding cross-cultural blunders is a matter of cultural competence and a strategic imperative for long-term success in global markets.</w:t>
      </w:r>
    </w:p>
    <w:p w14:paraId="00B7BF42" w14:textId="77777777" w:rsidR="002530E2" w:rsidRDefault="002530E2">
      <w:pPr>
        <w:pStyle w:val="Heading2"/>
      </w:pPr>
      <w:r>
        <w:t>5.2.4 — STRATEGIES FOR MNCs TO PREVENT BLUNDERS</w:t>
      </w:r>
    </w:p>
    <w:p w14:paraId="2430F895" w14:textId="77777777" w:rsidR="002530E2" w:rsidRDefault="002530E2">
      <w:r>
        <w:t xml:space="preserve">The study findings shed light on many strategies that can be derived from four fundamental theories, providing valuable insights for multinational corporations (MNCs) to prevent cross-cultural blunders and successfully engage with Muslim consumers in both majority and minority countries. </w:t>
      </w:r>
    </w:p>
    <w:p w14:paraId="05BD290D" w14:textId="77777777" w:rsidR="002530E2" w:rsidRDefault="002530E2">
      <w:r>
        <w:t>Theory 1: Hofstede’s Cultural Dimensions</w:t>
      </w:r>
    </w:p>
    <w:p w14:paraId="44DC8A30" w14:textId="77777777" w:rsidR="002530E2" w:rsidRDefault="002530E2">
      <w:r>
        <w:t xml:space="preserve">MNCs can gain insights into the cultural factors at play by analysing cultural dimensions such as power distance, individualism-collectivism, masculinity-femininity, uncertainty avoidance, long-term orientation, and restraint. To implement this theory effectively, MNCs should consider conducting comprehensive market research to understand the cultural values in the target market. Furthermore, hiring local employees who deeply understand the local culture can provide valuable insights. </w:t>
      </w:r>
      <w:r>
        <w:lastRenderedPageBreak/>
        <w:t>Adapting marketing messages and products to align with the local culture and being sensitive to religious and cultural sensitivities are recommended.</w:t>
      </w:r>
    </w:p>
    <w:p w14:paraId="5BAE26F2" w14:textId="77777777" w:rsidR="002530E2" w:rsidRDefault="002530E2">
      <w:r>
        <w:t>Theory 2: Cultural Intelligence</w:t>
      </w:r>
    </w:p>
    <w:p w14:paraId="4318E96E" w14:textId="77777777" w:rsidR="002530E2" w:rsidRDefault="002530E2">
      <w:r>
        <w:t>Developing cultural intelligence is essential for MNCs to enhance their cross-cultural competence. This theory suggests training employees on cultural dimensions, encouraging open-mindedness and curiosity, and conducting thorough research on cultural norms, values, and taboos specific to the target market. MNCs should also demonstrate sensitivity to cultural differences in their marketing strategies and product offerings. Building relationships with Muslim consumers based on active listening, understanding their needs, and addressing their concerns is crucial for successful engagement.</w:t>
      </w:r>
    </w:p>
    <w:p w14:paraId="2DC000CC" w14:textId="77777777" w:rsidR="002530E2" w:rsidRDefault="002530E2">
      <w:r>
        <w:t>Theory 3: High-context Versus Low-context Culture Concept</w:t>
      </w:r>
    </w:p>
    <w:p w14:paraId="39EB51CD" w14:textId="77777777" w:rsidR="002530E2" w:rsidRDefault="002530E2">
      <w:r>
        <w:t>Recognising the importance of implicit cues, contextual understanding, and cultural nuances is critical when operating in high-context cultures. MNCs should adapt their communication styles to align with the communication preferences prevalent in these cultures. Extensive research and understanding of the local culture, including religious beliefs and taboos, are recommended. Consulting with experts well-versed in the local culture can provide valuable guidance. MNCs should demonstrate sensitivity to religious beliefs and carefully avoid offensive products or marketing materials to avoid any unintended offence. Leveraging local partners to gain insights into the market and establish relationships can further enhance cross-cultural engagement.</w:t>
      </w:r>
    </w:p>
    <w:p w14:paraId="13ADE816" w14:textId="77777777" w:rsidR="002530E2" w:rsidRDefault="002530E2">
      <w:r>
        <w:t>Theory 4: Communication Accommodation Theory</w:t>
      </w:r>
    </w:p>
    <w:p w14:paraId="11AD59D4" w14:textId="77777777" w:rsidR="002530E2" w:rsidRDefault="002530E2">
      <w:r>
        <w:t>The Communication Accommodation Theory suggests that MNCs should adapt their communication styles to accommodate cultural norms and expectations. Understanding cultural differences is paramount, and MNCs should tailor their communications approaches accordingly. Conducting in-depth research on local markets and cultural norms specific to Muslim consumers is advised. Sensitivity to religious and cultural sensitivities when designing marketing campaigns is essential. Seeking feedback from Muslim consumers, being transparent and honest, and avoiding false claims can help build trust and credibility.</w:t>
      </w:r>
    </w:p>
    <w:p w14:paraId="425BD895" w14:textId="77777777" w:rsidR="002530E2" w:rsidRDefault="002530E2">
      <w:r>
        <w:t>These strategies are focused on identifying practical approaches to cross-cultural engagement and serve as practical guidelines for MNCs operating in diverse cultural contexts. By leveraging theories such as Hofstede’s Cultural Dimensions, Cultural Intelligence, the High-context Versus Low-context Culture Concept, and the Communication Accommodation Theory, MNCs can navigate the complexities of cross-cultural interactions and foster meaningful relationships with Muslim consumers. These strategies help MNCs avoid blunders and facilitate a deeper understanding of cultural nuances, enabling them to tailor their practices and communication strategies to meet the needs and expectations of Muslim consumers effectively.</w:t>
      </w:r>
    </w:p>
    <w:p w14:paraId="5890994E" w14:textId="77777777" w:rsidR="002530E2" w:rsidRDefault="002530E2">
      <w:r>
        <w:t>Additionally, MNCs should consider employing local partners, practising patience, fostering humility, and being aware of their cultural biases. In addition to the abovementioned theories, implementing these supplementary strategies can help multinational corporations avoid cultural misunderstandings, effectively connect with Muslim consumers, and build successful and sustainable relationships in these diverse markets.</w:t>
      </w:r>
    </w:p>
    <w:p w14:paraId="3E56229F" w14:textId="77777777" w:rsidR="002530E2" w:rsidRDefault="002530E2">
      <w:pPr>
        <w:pStyle w:val="Heading1"/>
      </w:pPr>
      <w:r>
        <w:lastRenderedPageBreak/>
        <w:t>5.3 — DISCUSSION: FINDINGS FROM PREVIOUS STUDIES</w:t>
      </w:r>
    </w:p>
    <w:p w14:paraId="097B0D13" w14:textId="77777777" w:rsidR="002530E2" w:rsidRDefault="002530E2">
      <w:r>
        <w:t xml:space="preserve">Based on an analysis of 80 key articles from previous studies, several findings have emerged regarding the most prevalent cross-cultural blunders by multinational corporations (MNCs) operating in Muslim-majority and minority countries. These findings address the research questions related to the nature of these blunders, their consequences on Muslim consumers, the impact on MNCs’ business relationships and financial performance, and proactive strategies to prevent them and effectively engage with Muslim consumers. </w:t>
      </w:r>
    </w:p>
    <w:p w14:paraId="50B1472D" w14:textId="77777777" w:rsidR="002530E2" w:rsidRDefault="002530E2">
      <w:pPr>
        <w:pStyle w:val="Heading2"/>
      </w:pPr>
      <w:r>
        <w:t>5.3.1 — MOST PREVALENT CROSS-CULTURAL BLUNDERS BY MNCs</w:t>
      </w:r>
    </w:p>
    <w:p w14:paraId="3C0468CF" w14:textId="77777777" w:rsidR="002530E2" w:rsidRDefault="002530E2">
      <w:r>
        <w:t>MNC Cross-Cultural Blunders in Previous Studies (18 Key Articles):</w:t>
      </w:r>
    </w:p>
    <w:p w14:paraId="1035906A" w14:textId="77777777" w:rsidR="002530E2" w:rsidRDefault="002530E2">
      <w:r>
        <w:t xml:space="preserve">To address the first research question (MRQ 1: What were the most prevalent cross-cultural blunder types perpetrated by MNCs in Muslim-majority and minority countries between 2010 and 2020 that upset Muslims?), 18 relevant scholarly studies were identified. Based on the examinations of these scholarly studies, the author analysed the most prevalent cross-cultural blunder types perpetrated by MNCs affecting Muslims in this study, ultimately addressing MRQ 1. </w:t>
      </w:r>
    </w:p>
    <w:p w14:paraId="71F1E35C" w14:textId="77777777" w:rsidR="002530E2" w:rsidRDefault="002530E2">
      <w:r>
        <w:t xml:space="preserve">These studies examined cross-cultural blunders reported between 2010 and 2020 and shed light on various aspects of these blunders in Muslim-majority and minority countries. The incidents analysed encompassed multiple areas, including marketing, advertising, human resource management, supply chain management, operations management, and product adaptation strategies. </w:t>
      </w:r>
    </w:p>
    <w:p w14:paraId="67AC2ABE" w14:textId="77777777" w:rsidR="002530E2" w:rsidRDefault="002530E2">
      <w:r>
        <w:t>The studies revealed that MNCs often overlooked these countries’ cultural norms, values, and sensitivities, leading to cultural blunders. These blunders involved offensive advertising campaigns, inappropriate product adaptations, insensitive marketing strategies, and a lack of understanding of local customs and traditions.</w:t>
      </w:r>
    </w:p>
    <w:p w14:paraId="52F0B1A2" w14:textId="77777777" w:rsidR="002530E2" w:rsidRDefault="002530E2">
      <w:r>
        <w:t>Moreover, the research emphasised the significance of cultural intelligence and understanding in avoiding cross-cultural blunders. Muslim-majority and minority countries require MNCs to demonstrate cultural sensitivity and be aware of specific cultural contexts to succeed there.</w:t>
      </w:r>
    </w:p>
    <w:p w14:paraId="76DB824B" w14:textId="77777777" w:rsidR="002530E2" w:rsidRDefault="002530E2">
      <w:r>
        <w:t>By delving into these findings, researchers and practitioners can gain valuable insights into the prevalent cross-cultural blunders committed by MNCs in Muslim-majority and minority countries. This knowledge is a foundation for developing effective strategies to prevent such blunders, foster positive cross-cultural relationships, and achieve success in these diverse cultural contexts.</w:t>
      </w:r>
    </w:p>
    <w:p w14:paraId="5E226D68" w14:textId="77777777" w:rsidR="002530E2" w:rsidRDefault="002530E2">
      <w:pPr>
        <w:pStyle w:val="Heading2"/>
      </w:pPr>
      <w:r>
        <w:t>5.3.2 — CONSEQUENCES FOR MUSLIMS FROM BLUNDERS</w:t>
      </w:r>
    </w:p>
    <w:p w14:paraId="69CC19DA" w14:textId="77777777" w:rsidR="002530E2" w:rsidRDefault="002530E2">
      <w:r>
        <w:t>Results from Previous Studies (17 Key Articles):</w:t>
      </w:r>
    </w:p>
    <w:p w14:paraId="5608AFB0" w14:textId="77777777" w:rsidR="002530E2" w:rsidRDefault="002530E2">
      <w:r>
        <w:t xml:space="preserve">To address the second research question (MRQ 2: What were the consequences experienced by Muslim consumers due to these cross-cultural blunders?), 17 relevant scholarly studies were identified. Based on the examinations of these scholarly studies, the consequences experienced by </w:t>
      </w:r>
      <w:r>
        <w:lastRenderedPageBreak/>
        <w:t>Muslim consumers due to cross-cultural blunders were analysed by the author in this study, ultimately addressing MRQ 2.</w:t>
      </w:r>
    </w:p>
    <w:p w14:paraId="2648D791" w14:textId="77777777" w:rsidR="002530E2" w:rsidRDefault="002530E2">
      <w:r>
        <w:t>These studies investigated the effects of blunders on consumer behaviour, trust, attitudes, loyalty, satisfaction, word-of-mouth intentions, emotional responses, and online engagement.</w:t>
      </w:r>
    </w:p>
    <w:p w14:paraId="5382AD57" w14:textId="77777777" w:rsidR="002530E2" w:rsidRDefault="002530E2">
      <w:r>
        <w:t>The findings indicated that cross-cultural blunders had negative implications for Muslim consumers. These blunders often led to decreased trust in MNCs, diminished consumer satisfaction, negative attitudes towards the brands, reduced brand loyalty, and unfavourable word-of-mouth intentions.</w:t>
      </w:r>
    </w:p>
    <w:p w14:paraId="5740D060" w14:textId="77777777" w:rsidR="002530E2" w:rsidRDefault="002530E2">
      <w:r>
        <w:t>Muslim consumers were found to be particularly sensitive to cultural missteps and perceived them as a lack of respect for or understanding of their cultural values and beliefs. Consequently, these blunders affected their overall perception of MNCs and influenced consumer behaviour, leading to potential company losses.</w:t>
      </w:r>
    </w:p>
    <w:p w14:paraId="6C86D0AF" w14:textId="77777777" w:rsidR="002530E2" w:rsidRDefault="002530E2">
      <w:r>
        <w:t>The studies emphasised the importance of addressing these consequences and developing effective strategies to rebuild trust, enhance satisfaction, and foster positive relationships with Muslim consumers. MNCs need to demonstrate cultural sensitivity, engage in ethical practices, and actively seek to understand and appreciate the cultural nuances of Muslim-majority and minority countries.</w:t>
      </w:r>
    </w:p>
    <w:p w14:paraId="0B00B34D" w14:textId="77777777" w:rsidR="002530E2" w:rsidRDefault="002530E2">
      <w:pPr>
        <w:pStyle w:val="Heading2"/>
      </w:pPr>
      <w:r>
        <w:t>5.3.3 — IMPACT AND RAMIFICATIONS OF BLUNDERS ON MNCs</w:t>
      </w:r>
    </w:p>
    <w:p w14:paraId="34EB4FD7" w14:textId="77777777" w:rsidR="002530E2" w:rsidRDefault="002530E2">
      <w:r>
        <w:t>Results from Previous Studies (17 Key Articles):</w:t>
      </w:r>
    </w:p>
    <w:p w14:paraId="4262ADCB" w14:textId="77777777" w:rsidR="002530E2" w:rsidRDefault="002530E2">
      <w:r>
        <w:t>To address the third research question (MRQ 3: In what ways have these cross-cultural blunders impacted the MNCs operating in these host countries?), 17 relevant scholarly studies were identified. Based on the examinations of these scholarly studies, the impact and ramifications of cross-cultural blunders on multinational corporations (MNCs) operating in Muslim-majority and minority countries in this study ultimately address MRQ 3.</w:t>
      </w:r>
    </w:p>
    <w:p w14:paraId="5EB2118C" w14:textId="77777777" w:rsidR="002530E2" w:rsidRDefault="002530E2">
      <w:r>
        <w:t>These studies focused on understanding how these blunders affected MNCs’ overall business relationships, reputations, and financial performance. These studies revealed significant repercussions for multinational corporations (MNCs) when making cross-cultural blunders.</w:t>
      </w:r>
    </w:p>
    <w:p w14:paraId="705808AA" w14:textId="77777777" w:rsidR="002530E2" w:rsidRDefault="002530E2">
      <w:r>
        <w:t>The studies highlighted that cross-cultural blunders had a detrimental impact on MNCs’ business relationships. These blunders strained relationships with local partners, suppliers, and distributors, hampering the overall performance of MNCs in these markets.</w:t>
      </w:r>
    </w:p>
    <w:p w14:paraId="7C5155AB" w14:textId="77777777" w:rsidR="002530E2" w:rsidRDefault="002530E2">
      <w:r>
        <w:t>Their reputation was also severely compromised when they misled Muslim consumers. Adverse publicity, social media backlash, and consumer boycotts often ensued, leading to a damaged brand image and a decline in market share.</w:t>
      </w:r>
    </w:p>
    <w:p w14:paraId="57508153" w14:textId="77777777" w:rsidR="002530E2" w:rsidRDefault="002530E2">
      <w:r>
        <w:t>Financially, MNCs experienced negative repercussions due to cross-cultural blunders. The loss of consumer trust, decreased sales, and the need for extensive damage control efforts impacted these companies’ profitability and long-term sustainability in Muslim-majority and minority countries.</w:t>
      </w:r>
    </w:p>
    <w:p w14:paraId="467E1EE6" w14:textId="77777777" w:rsidR="002530E2" w:rsidRDefault="002530E2">
      <w:r>
        <w:t xml:space="preserve">These findings underscore the importance of cross-cultural competence and sensitivity for MNCs operating in diverse cultural contexts. By avoiding cross-cultural blunders, MNCs can foster positive </w:t>
      </w:r>
      <w:r>
        <w:lastRenderedPageBreak/>
        <w:t>business relationships, maintain a strong reputation, and ensure financial success in Muslim-majority and minority countries.</w:t>
      </w:r>
    </w:p>
    <w:p w14:paraId="6F743DE9" w14:textId="77777777" w:rsidR="002530E2" w:rsidRDefault="002530E2">
      <w:pPr>
        <w:pStyle w:val="Heading2"/>
      </w:pPr>
      <w:r>
        <w:t>5.3.4 — STRATEGIES FOR MNCs TO PREVENT BLUNDERS</w:t>
      </w:r>
    </w:p>
    <w:p w14:paraId="5978041C" w14:textId="77777777" w:rsidR="002530E2" w:rsidRDefault="002530E2">
      <w:r>
        <w:t>MNC Cross-Cultural Blunders Prevention Strategies in Previous Studies (28 Key Articles):</w:t>
      </w:r>
    </w:p>
    <w:p w14:paraId="6C4298BC" w14:textId="77777777" w:rsidR="002530E2" w:rsidRDefault="002530E2">
      <w:r>
        <w:t xml:space="preserve">To address the fourth research question (MRQ 4: What proactive strategies could MNCs adopt to prevent cross-cultural blunders and effectively engage with Muslim consumers in these markets, considering the lessons learned from recent incidents?), 28 relevant scholarly studies were identified. Based on the examination of these scholarly studies, proactive strategies for multinational corporations (MNCs) to prevent cross-cultural blunders and effectively engage with Muslim consumers in Muslim-majority and minority countries have been identified in this study, ultimately addressing MRQ 4. </w:t>
      </w:r>
    </w:p>
    <w:p w14:paraId="51EA5A15" w14:textId="77777777" w:rsidR="002530E2" w:rsidRDefault="002530E2">
      <w:r>
        <w:t>This research draws upon lessons learned from past incidents to offer valuable recommendations. Here is an expanded overview of the findings:</w:t>
      </w:r>
    </w:p>
    <w:p w14:paraId="268EC626" w14:textId="77777777" w:rsidR="002530E2" w:rsidRDefault="002530E2">
      <w:r>
        <w:t>The strategies emphasise the significance of cultural adaptation and localisation. In order to succeed in their markets, multinational corporations must invest in understanding the cultural, religious, and social aspects of their markets and tailor their products, marketing campaigns, and communication strategies to those aspects.</w:t>
      </w:r>
    </w:p>
    <w:p w14:paraId="4E547692" w14:textId="77777777" w:rsidR="002530E2" w:rsidRDefault="002530E2">
      <w:r>
        <w:t>Cultural Intelligence has become a cornerstone of success and should be acknowledged. MNCs should employ local talent, engage in cultural immersion programs, and develop cross-cultural training initiatives to enhance their understanding and sensitivity to the local cultural context.</w:t>
      </w:r>
    </w:p>
    <w:p w14:paraId="1955A5EB" w14:textId="77777777" w:rsidR="002530E2" w:rsidRDefault="002530E2">
      <w:r>
        <w:t>There is a strong emphasis on corporate social responsibility and ethical considerations. MNCs are encouraged to align their practices with Islamic values and ethical standards, demonstrating a genuine commitment to the well-being and interests of Muslim consumers.</w:t>
      </w:r>
    </w:p>
    <w:p w14:paraId="05CAEAE9" w14:textId="77777777" w:rsidR="002530E2" w:rsidRDefault="002530E2">
      <w:r>
        <w:t xml:space="preserve">Effective communication strategies include leveraging religious values, utilising social media platforms, and developing trust-based relationships. MNCs should take an active interest in understanding the needs and preferences of Muslim consumers, engage in open dialogue, and foster mutual trust and respect between themselves and Muslim consumers. </w:t>
      </w:r>
    </w:p>
    <w:p w14:paraId="54A2AB82" w14:textId="77777777" w:rsidR="002530E2" w:rsidRDefault="002530E2">
      <w:r>
        <w:t>These expanded findings provide valuable insights into the proactive strategies that MNCs can adopt to prevent cross-cultural blunders and effectively engage with Muslim consumers. By implementing these strategies, MNCs can enhance their cultural competence, establish meaningful connections with Muslim consumers, and succeed in these diverse cultural contexts.</w:t>
      </w:r>
    </w:p>
    <w:p w14:paraId="7F9A8346" w14:textId="77777777" w:rsidR="002530E2" w:rsidRDefault="002530E2">
      <w:pPr>
        <w:pStyle w:val="Heading1"/>
      </w:pPr>
      <w:r>
        <w:t>5.4 — DISCUSSION: FINDINGS FROM INCIDENT REPORTS</w:t>
      </w:r>
    </w:p>
    <w:p w14:paraId="65AB0798" w14:textId="77777777" w:rsidR="002530E2" w:rsidRDefault="002530E2">
      <w:pPr>
        <w:pStyle w:val="Heading2"/>
      </w:pPr>
      <w:r>
        <w:t>5.4.1 — MOST PREVALENT CROSS-CULTURAL BLUNDERS BY MNCs</w:t>
      </w:r>
    </w:p>
    <w:p w14:paraId="6D4F3319" w14:textId="77777777" w:rsidR="002530E2" w:rsidRDefault="002530E2">
      <w:r>
        <w:t>Results from Real-life Blunders by MNCs (51 Incident Reports):</w:t>
      </w:r>
    </w:p>
    <w:p w14:paraId="126840F8" w14:textId="77777777" w:rsidR="002530E2" w:rsidRDefault="002530E2">
      <w:r>
        <w:lastRenderedPageBreak/>
        <w:t>After analysing 51 incident reports from 2010 to 2020, the author identified common cross-cultural mistakes by multinational corporations operating in Muslim-majority and minority countries. The incident reports shed light on the blunders committed by well-known companies, including McDonald’s, Nestle, Coca-Cola, KFC, Zara, Subway, Cadbury, Starbucks, Apple, Airbnb, Unilever, Uber, AccorHotels, American Eagle Outfitters, L’Oreal, Dove, Pepsi, H&amp;M, Google, Dolce &amp; Gabbana, Mercedes-Benz, WestJet, Nike, Amazon, Edeka, Chanel, Marks &amp; Spencer, Forever 21, Facebook, and others.</w:t>
      </w:r>
    </w:p>
    <w:p w14:paraId="44911960" w14:textId="77777777" w:rsidR="002530E2" w:rsidRDefault="002530E2">
      <w:r>
        <w:t>These blunders encompassed various aspects of cultural insensitivity, offensive advertising, product misrepresentation, religious discrimination, inappropriate use of symbols or imagery, and failure to understand local customs and traditions. Each incident was a unique case study, illustrating how MNCs encountered and mishandled cross-cultural challenges in their operations. These blunders not only had significant implications for the reputation and market performance of the companies involved but also shed light on the importance of cultural competence and effective cross-cultural communication in engaging with Muslim consumers. The analysis of these incidents provides valuable insights for MNCs to learn from past blunders and develop strategies to avoid similar blunders in the future.</w:t>
      </w:r>
    </w:p>
    <w:p w14:paraId="0D8742F5" w14:textId="77777777" w:rsidR="002530E2" w:rsidRDefault="002530E2">
      <w:r>
        <w:t>The incident reports serve as valuable examples, showcasing the potential pitfalls that MNCs face when navigating cultural differences in Muslim-majority and minority countries. Analysing these blunders provides insights into the specific blunders made and offers lessons for MNCs to learn from to avoid similar missteps in their cross-cultural interactions.</w:t>
      </w:r>
    </w:p>
    <w:p w14:paraId="192064A2" w14:textId="77777777" w:rsidR="002530E2" w:rsidRDefault="002530E2">
      <w:pPr>
        <w:pStyle w:val="Heading2"/>
      </w:pPr>
      <w:r>
        <w:t>5.5.2 — CONSEQUENCES FOR MUSLIMS FROM BLUNDERS</w:t>
      </w:r>
    </w:p>
    <w:p w14:paraId="0AC1541A" w14:textId="77777777" w:rsidR="002530E2" w:rsidRDefault="002530E2">
      <w:r>
        <w:t>Results from Real-life Blunders by MNCs (51 Incident Reports):</w:t>
      </w:r>
    </w:p>
    <w:p w14:paraId="35C4143B" w14:textId="77777777" w:rsidR="002530E2" w:rsidRDefault="002530E2">
      <w:r>
        <w:t>The analysis of the incident reports sheds light on the consequences experienced by Muslim consumers as a result of these cross-cultural blunders. The incidents highlighted the negative impact on consumer sentiment, brand loyalty, and trust towards the companies involved. Muslim consumers expressed feelings of offence, alienation, and disappointment due to the insensitivity or disrespectful nature of the blunders. These consequences often resulted in boycotts, public outrage on social media platforms, damaged reputations, and financial losses for the MNCs. The incident reports captured the firsthand accounts of affected consumers and the tangible effects these blunders had on their perceptions and behaviours.</w:t>
      </w:r>
    </w:p>
    <w:p w14:paraId="3E48EA69" w14:textId="77777777" w:rsidR="002530E2" w:rsidRDefault="002530E2">
      <w:pPr>
        <w:pStyle w:val="Heading2"/>
      </w:pPr>
      <w:r>
        <w:t>5.5.3 — IMPACT AND RAMIFICATIONS OF BLUNDERS ON MNCs</w:t>
      </w:r>
    </w:p>
    <w:p w14:paraId="0E5582DB" w14:textId="77777777" w:rsidR="002530E2" w:rsidRDefault="002530E2">
      <w:r>
        <w:t>Results from Real-life Blunders by MNCs (51 Incident Reports):</w:t>
      </w:r>
    </w:p>
    <w:p w14:paraId="0189D4B1" w14:textId="77777777" w:rsidR="002530E2" w:rsidRDefault="002530E2">
      <w:r>
        <w:t xml:space="preserve">The incident reports provided valuable insights into how these cross-cultural blunders impacted the overall business relationships, reputations, and financial performance of the MNCs operating in Muslim-majority and minority countries. The analysis revealed that these blunders strained the relationships between the companies and their local partners, suppliers, and stakeholders. They eroded the trust and credibility of the MNCs among the Muslim communities, leading to damaged reputations and a loss of market share. Additionally, the financial consequences were significant, </w:t>
      </w:r>
      <w:r>
        <w:lastRenderedPageBreak/>
        <w:t>with many companies experiencing declining sales, stock value depreciation, and costly attempts to rectify the blunders. The incident reports highlighted the far-reaching implications of these blunders for the sustainability and profitability of the MNCs.</w:t>
      </w:r>
    </w:p>
    <w:p w14:paraId="1FB14892" w14:textId="77777777" w:rsidR="002530E2" w:rsidRDefault="002530E2">
      <w:pPr>
        <w:pStyle w:val="Heading2"/>
      </w:pPr>
      <w:r>
        <w:t>5.5.4 — STRATEGIES FOR MNCs TO PREVENT BLUNDERS</w:t>
      </w:r>
    </w:p>
    <w:p w14:paraId="6F39BA57" w14:textId="77777777" w:rsidR="002530E2" w:rsidRDefault="002530E2">
      <w:r>
        <w:t>Results from Real-life Blunders by MNCs (51 Incident Reports):</w:t>
      </w:r>
    </w:p>
    <w:p w14:paraId="14AE94E1" w14:textId="77777777" w:rsidR="002530E2" w:rsidRDefault="002530E2">
      <w:r>
        <w:t xml:space="preserve">Our analysis of incident reports shows that multinational corporations (MNCs) must adopt proactive strategies to prevent cross-cultural mishaps and establish better connections with Muslim consumers in these markets. By learning from recent incidents and taking a more culturally sensitive approach, companies can build better relationships with Muslim consumers, avoid misunderstandings, and protect their reputations. Recognising and addressing these issues through a concerted effort to understand these markets’ cultural norms and values is critical. With the right approach, companies can unlock the significant potential of these markets and achieve long-term success. </w:t>
      </w:r>
    </w:p>
    <w:p w14:paraId="089241F3" w14:textId="77777777" w:rsidR="002530E2" w:rsidRDefault="002530E2">
      <w:pPr>
        <w:rPr>
          <w:b/>
        </w:rPr>
      </w:pPr>
      <w:r>
        <w:t>The study identified several key themes and recommendations by examining each incident’s details and contextual factors. These included the importance of cultural intelligence and sensitivity training for employees, thorough market research and localisation efforts, engagement with local communities and religious leaders, diverse representation in marketing and advertising campaigns, and prompt and genuine apologies with tangible corrective actions. The incident reports served as valuable case studies that informed the development of practical strategies for MNCs to navigate cross-cultural challenges and foster positive relationships with Muslim consumers.</w:t>
      </w:r>
    </w:p>
    <w:p w14:paraId="6DF8C252" w14:textId="77777777" w:rsidR="002530E2" w:rsidRDefault="002530E2">
      <w:pPr>
        <w:pStyle w:val="Heading1"/>
      </w:pPr>
      <w:r>
        <w:t>5.5 — OVERALL FINDINGS</w:t>
      </w:r>
    </w:p>
    <w:p w14:paraId="7B43A2B8" w14:textId="77777777" w:rsidR="002530E2" w:rsidRDefault="002530E2">
      <w:pPr>
        <w:pStyle w:val="Heading2"/>
      </w:pPr>
      <w:r>
        <w:t>5.5.1 — MOST PREVALENT CROSS-CULTURAL BLUNDERS BY MNCs</w:t>
      </w:r>
    </w:p>
    <w:p w14:paraId="6CC67270" w14:textId="77777777" w:rsidR="002530E2" w:rsidRDefault="002530E2">
      <w:r>
        <w:t>The analysis of data, theories, key articles from previous studies, and incident reports sheds light on the most prevalent cross-cultural blunders by MNCs operating in Muslim-majority and minority countries between 2010 and 2020. These blunders arise from a lack of cultural awareness, misunderstandings, poor communication, insensitivity to religious beliefs, offensive marketing campaigns, and non-compliance with Islamic laws. The findings indicate the following:</w:t>
      </w:r>
    </w:p>
    <w:p w14:paraId="14212DCC" w14:textId="77777777" w:rsidR="002530E2" w:rsidRDefault="002530E2">
      <w:r>
        <w:t xml:space="preserve">Lack of Cultural Awareness or Understanding: </w:t>
      </w:r>
    </w:p>
    <w:p w14:paraId="57E6AF5E" w14:textId="77777777" w:rsidR="002530E2" w:rsidRDefault="002530E2">
      <w:r>
        <w:t>MNCs often make cross-cultural blunders due to a lack of awareness or understanding of Muslim consumers’ cultural norms and sensitivities. More research and knowledge about the target market’s values, traditions, and preferences contribute to these blunders.</w:t>
      </w:r>
    </w:p>
    <w:p w14:paraId="47E29532" w14:textId="77777777" w:rsidR="002530E2" w:rsidRDefault="002530E2">
      <w:r>
        <w:t xml:space="preserve">Cultural Misunderstandings: </w:t>
      </w:r>
    </w:p>
    <w:p w14:paraId="5A827628" w14:textId="77777777" w:rsidR="002530E2" w:rsidRDefault="002530E2">
      <w:r>
        <w:t>Misperceptions about Muslim culture and values can result in cross-cultural blunders, leading to missteps. MNCs may misinterpret or generalise cultural practices, leading to inappropriate and offensive actions for Muslim consumers.</w:t>
      </w:r>
    </w:p>
    <w:p w14:paraId="59FBB1F3" w14:textId="77777777" w:rsidR="002530E2" w:rsidRDefault="002530E2">
      <w:r>
        <w:lastRenderedPageBreak/>
        <w:t xml:space="preserve">Poor Communication: </w:t>
      </w:r>
    </w:p>
    <w:p w14:paraId="27E693D1" w14:textId="77777777" w:rsidR="002530E2" w:rsidRDefault="002530E2">
      <w:r>
        <w:t>Poor communication strategies, including offensive language or images to Muslim consumers, contribute to cross-cultural blunders. Failing to adapt communication approaches to local cultures and languages may lead to miscommunication and alienation of the MNC’s target audience.</w:t>
      </w:r>
    </w:p>
    <w:p w14:paraId="53C178EA" w14:textId="77777777" w:rsidR="002530E2" w:rsidRDefault="002530E2">
      <w:r>
        <w:t xml:space="preserve">Insensitivity to Religious Beliefs: </w:t>
      </w:r>
    </w:p>
    <w:p w14:paraId="4048877E" w14:textId="77777777" w:rsidR="002530E2" w:rsidRDefault="002530E2">
      <w:r>
        <w:t>Cross-cultural blunders occur when MNCs make statements or take disrespectful actions toward Islam or Muslim beliefs. Insensitive use of religious symbols, imagery, or actions contradicting religious principles can lead to negative perceptions and backlash from Muslim consumers.</w:t>
      </w:r>
    </w:p>
    <w:p w14:paraId="3982C87D" w14:textId="77777777" w:rsidR="002530E2" w:rsidRDefault="002530E2">
      <w:r>
        <w:t xml:space="preserve">Offensive or Discriminatory Marketing Campaigns: </w:t>
      </w:r>
    </w:p>
    <w:p w14:paraId="69522379" w14:textId="77777777" w:rsidR="002530E2" w:rsidRDefault="002530E2">
      <w:r>
        <w:t>MNCs may engage in marketing campaigns that offend or marginalise Islam and Muslim beliefs. These campaigns can perpetuate stereotypes, reinforce negative biases, or exclude Muslim consumers, highlighting the importance of culturally sensitive and inclusive marketing practices.</w:t>
      </w:r>
    </w:p>
    <w:p w14:paraId="0F27BE6A" w14:textId="77777777" w:rsidR="002530E2" w:rsidRDefault="002530E2">
      <w:r>
        <w:t xml:space="preserve">Failure to Comply with Islamic Laws: </w:t>
      </w:r>
    </w:p>
    <w:p w14:paraId="02C099BD" w14:textId="77777777" w:rsidR="002530E2" w:rsidRDefault="002530E2">
      <w:r>
        <w:t>Non-compliance with Islamic laws, such as selling products or services prohibited by Islamic principles, can be seen as a cross-cultural blunder. MNCs operating in Muslim-majority and minority countries must navigate legal and regulatory frameworks while respecting religious and cultural practices.</w:t>
      </w:r>
    </w:p>
    <w:p w14:paraId="31D6A81A" w14:textId="77777777" w:rsidR="002530E2" w:rsidRDefault="002530E2">
      <w:r>
        <w:t xml:space="preserve">The findings emphasise the significance of cultural intelligence, thorough research, effective communication strategies, and sensitivity to religious beliefs and cultural practices for MNCs operating in Muslim-majority and minority countries. </w:t>
      </w:r>
    </w:p>
    <w:p w14:paraId="12FBA905" w14:textId="77777777" w:rsidR="002530E2" w:rsidRDefault="002530E2">
      <w:r>
        <w:t>By adopting proactive measures to understand and engage with Muslim consumers, MNCs can prevent cross-cultural blunders, build trust, enhance relationships, and achieve sustainable business success in these markets.</w:t>
      </w:r>
    </w:p>
    <w:p w14:paraId="5B8FD871" w14:textId="77777777" w:rsidR="002530E2" w:rsidRDefault="002530E2">
      <w:pPr>
        <w:pStyle w:val="Heading2"/>
      </w:pPr>
      <w:bookmarkStart w:id="58" w:name="_heading=h.3rkiqbq7olc" w:colFirst="0" w:colLast="0"/>
      <w:bookmarkEnd w:id="58"/>
      <w:r>
        <w:t>5.5.2 — CONSEQUENCES FOR MUSLIMS FROM BLUNDERS</w:t>
      </w:r>
    </w:p>
    <w:p w14:paraId="386F46A9" w14:textId="77777777" w:rsidR="002530E2" w:rsidRDefault="002530E2">
      <w:r>
        <w:t>The consequences experienced by Muslim consumers due to cross-cultural blunders by MNCs operating in Muslim-majority and minority countries are significant. The analysis of data, theories, key articles from previous studies, and incident reports highlights the following outcomes:</w:t>
      </w:r>
    </w:p>
    <w:p w14:paraId="1FF6928B" w14:textId="77777777" w:rsidR="002530E2" w:rsidRDefault="002530E2">
      <w:r>
        <w:t xml:space="preserve">Psychological Distress: </w:t>
      </w:r>
    </w:p>
    <w:p w14:paraId="5160AD78" w14:textId="77777777" w:rsidR="002530E2" w:rsidRDefault="002530E2">
      <w:r>
        <w:t>Muslim consumers affected by cross-cultural blunders experience psychological distress. These blunders, including offensive actions, insensitive statements, or disregard for cultural values, evoke anger, offence, frustration, and disappointment. The failure of MNCs to understand and respect the cultural sensitivities of Muslim consumers can lead to feelings of cultural disrespect and a sense of being marginalised.</w:t>
      </w:r>
    </w:p>
    <w:p w14:paraId="04EBBFAC" w14:textId="77777777" w:rsidR="002530E2" w:rsidRDefault="002530E2">
      <w:r>
        <w:br w:type="page"/>
      </w:r>
    </w:p>
    <w:p w14:paraId="6324CC40" w14:textId="77777777" w:rsidR="002530E2" w:rsidRDefault="002530E2">
      <w:r>
        <w:lastRenderedPageBreak/>
        <w:t xml:space="preserve">Behavioural Changes: </w:t>
      </w:r>
    </w:p>
    <w:p w14:paraId="15BC97E2" w14:textId="77777777" w:rsidR="002530E2" w:rsidRDefault="002530E2">
      <w:r>
        <w:t>Muslim consumers respond to cross-cultural blunders by altering their behaviour which can involve avoiding MNCs’ products or services, actively boycotting the offending corporation, or switching to alternative brands that demonstrate cultural competence and align with their values. These behavioural changes impact MNCs’ market share and financial performance in Muslim-majority and minority markets.</w:t>
      </w:r>
    </w:p>
    <w:p w14:paraId="7F1B6A67" w14:textId="77777777" w:rsidR="002530E2" w:rsidRDefault="002530E2">
      <w:r>
        <w:t xml:space="preserve">Attitudinal Changes: </w:t>
      </w:r>
    </w:p>
    <w:p w14:paraId="59CDDF30" w14:textId="77777777" w:rsidR="002530E2" w:rsidRDefault="002530E2">
      <w:r>
        <w:t>Cultural mishaps may also change Muslim consumers’ attitudinal positions. As a result of these blunders, consumers develop negative attitudes towards MNCs and their brands. Assumptions that MNCs disregard cultural beliefs and values may reduce trust among Muslim consumers, making it harder for MNCs to win back favour among this segment of consumers.</w:t>
      </w:r>
    </w:p>
    <w:p w14:paraId="49F81253" w14:textId="77777777" w:rsidR="002530E2" w:rsidRDefault="002530E2">
      <w:r>
        <w:t>Furthermore, social media platforms play a significant role in amplifying the reactions of Muslim consumers to cross-cultural blunders. These platforms allow individuals to express their grievances, share their experiences, and mobilise communities to take collective action against offending corporations. The rapid spread of information and the ability to organise online enable Muslims to voice their concerns and hold MNCs accountable for their actions.</w:t>
      </w:r>
    </w:p>
    <w:p w14:paraId="4CE3C47B" w14:textId="77777777" w:rsidR="002530E2" w:rsidRDefault="002530E2">
      <w:r>
        <w:t xml:space="preserve">To mitigate the consequences experienced by Muslim consumers, MNCs need to address these reactions promptly and effectively, which involves acknowledging cultural missteps, issuing sincere apologies, taking corrective actions, and engaging in meaningful dialogue with affected communities. </w:t>
      </w:r>
    </w:p>
    <w:p w14:paraId="58F583B7" w14:textId="77777777" w:rsidR="002530E2" w:rsidRDefault="002530E2">
      <w:r>
        <w:t>Proactive measures such as cultural research, cultural awareness training, and sensitivity to religious sensitivities can help MNCs avoid cross-cultural blunders in the first place, leading to better relationships with Muslim consumers and a more positive perception of their brands.</w:t>
      </w:r>
    </w:p>
    <w:p w14:paraId="5DCAE5EF" w14:textId="77777777" w:rsidR="002530E2" w:rsidRDefault="002530E2">
      <w:r>
        <w:t>By understanding the psychological and behavioural impacts on Muslim consumers, MNCs can prioritise cultural competence and engage with these markets to respect and value their beliefs, thus fostering trust, loyalty, and mutually beneficial business relationships.</w:t>
      </w:r>
    </w:p>
    <w:p w14:paraId="4BE3F597" w14:textId="77777777" w:rsidR="002530E2" w:rsidRDefault="002530E2">
      <w:pPr>
        <w:pStyle w:val="Heading2"/>
      </w:pPr>
      <w:r>
        <w:t>5.5.3 — IMPACT AND RAMIFICATIONS OF BLUNDERS ON MNCs</w:t>
      </w:r>
    </w:p>
    <w:p w14:paraId="03516DB0" w14:textId="77777777" w:rsidR="002530E2" w:rsidRDefault="002530E2">
      <w:r>
        <w:t>The findings from the data, theories, key articles from previous studies, and incident reports highlight the significant impact that cross-cultural blunders can have on MNCs operating in Muslim-majority and minority countries. These blunders have negatively affected business relationships, reputations, and financial performance in the following ways:</w:t>
      </w:r>
    </w:p>
    <w:p w14:paraId="65E9A585" w14:textId="77777777" w:rsidR="002530E2" w:rsidRDefault="002530E2">
      <w:r>
        <w:t xml:space="preserve">Damage to Reputations: </w:t>
      </w:r>
    </w:p>
    <w:p w14:paraId="4F7FBC14" w14:textId="77777777" w:rsidR="002530E2" w:rsidRDefault="002530E2">
      <w:r>
        <w:t>Cross-cultural blunders can cause reputational damage to MNCs. When MNCs fail to understand and respect the cultural nuances of their target markets, they risk being perceived as insensitive or ignorant, which can harm their credibility and trustworthiness among Muslim consumers, leading to a tarnished reputation.</w:t>
      </w:r>
    </w:p>
    <w:p w14:paraId="725F3729" w14:textId="77777777" w:rsidR="002530E2" w:rsidRDefault="002530E2">
      <w:r>
        <w:t xml:space="preserve">Financial Losses: </w:t>
      </w:r>
    </w:p>
    <w:p w14:paraId="49D40F50" w14:textId="77777777" w:rsidR="002530E2" w:rsidRDefault="002530E2">
      <w:r>
        <w:lastRenderedPageBreak/>
        <w:t>Cross-cultural blunders can result in substantial financial losses for MNCs. When MNCs make cultural missteps, it can lead to reduced sales, customer attrition, and increased costs related to reputation management. Additionally, legal expenses and potential fines resulting from abusive or discriminatory practices can further contribute to financial losses.</w:t>
      </w:r>
    </w:p>
    <w:p w14:paraId="675C4DCC" w14:textId="77777777" w:rsidR="002530E2" w:rsidRDefault="002530E2">
      <w:r>
        <w:t xml:space="preserve">Loss of Market Share: </w:t>
      </w:r>
    </w:p>
    <w:p w14:paraId="5B216DDD" w14:textId="77777777" w:rsidR="002530E2" w:rsidRDefault="002530E2">
      <w:r>
        <w:t>Failure to effectively engage with Muslim consumers due to cross-cultural blunders can lead to a decline in market share. Customers may switch allegiances to competitors who demonstrate cultural proficiency and reflect their values. This loss of market share can have long-term consequences for MNCs, impacting their growth and profitability in these markets.</w:t>
      </w:r>
    </w:p>
    <w:p w14:paraId="2C80A090" w14:textId="77777777" w:rsidR="002530E2" w:rsidRDefault="002530E2">
      <w:r>
        <w:t xml:space="preserve">Legal Liability: </w:t>
      </w:r>
    </w:p>
    <w:p w14:paraId="5D9C6FA7" w14:textId="77777777" w:rsidR="002530E2" w:rsidRDefault="002530E2">
      <w:r>
        <w:t>Missteps across cultures may expose multinational corporations to legal liabilities. Multinationals engaging in abusive or discriminatory practices could face lawsuits, fines, and penalties. Multinational companies can suffer severe financial and reputational consequences if they fail to comply with local laws and regulations.</w:t>
      </w:r>
    </w:p>
    <w:p w14:paraId="55745479" w14:textId="77777777" w:rsidR="002530E2" w:rsidRDefault="002530E2">
      <w:r>
        <w:t xml:space="preserve">The Decline in Consumer Trust: </w:t>
      </w:r>
    </w:p>
    <w:p w14:paraId="6AD99AFE" w14:textId="77777777" w:rsidR="002530E2" w:rsidRDefault="002530E2">
      <w:r>
        <w:t>Cross-cultural blunders erode consumer trust. When MNCs fail to understand and adapt to Muslim consumers’ cultural values and sensitivities, it demonstrates a lack of understanding and sensitivity, resulting in declining consumer trust, as customers may perceive MNCs as needing to value their cultural beliefs and preferences.</w:t>
      </w:r>
    </w:p>
    <w:p w14:paraId="391BF7D6" w14:textId="77777777" w:rsidR="002530E2" w:rsidRDefault="002530E2">
      <w:r>
        <w:t xml:space="preserve">MNCs should adopt proactive strategies to prevent these negative impacts and effectively engage with Muslim consumers. These strategies include conducting thorough cultural research, hiring employees with cultural intelligence, developing cultural awareness training programs, tailoring communication strategies, using effective communication methods, being sensitive to religious sensitivities, and complying with Islamic laws. </w:t>
      </w:r>
    </w:p>
    <w:p w14:paraId="00FFA66F" w14:textId="77777777" w:rsidR="002530E2" w:rsidRDefault="002530E2">
      <w:r>
        <w:t>By implementing these strategies, MNCs can mitigate the risk of cross-cultural blunders and build strong relationships with Muslim consumers, improving business outcomes and long-term success in Muslim-majority and minority markets.</w:t>
      </w:r>
    </w:p>
    <w:p w14:paraId="6AA0B40F" w14:textId="77777777" w:rsidR="002530E2" w:rsidRDefault="002530E2">
      <w:pPr>
        <w:pStyle w:val="Heading2"/>
      </w:pPr>
      <w:bookmarkStart w:id="59" w:name="_heading=h.903gjoiwq1qg" w:colFirst="0" w:colLast="0"/>
      <w:bookmarkEnd w:id="59"/>
      <w:r>
        <w:t>5.5.4 — STRATEGIES FOR MNCs TO PREVENT BLUNDERS</w:t>
      </w:r>
    </w:p>
    <w:p w14:paraId="32288515" w14:textId="77777777" w:rsidR="002530E2" w:rsidRDefault="002530E2">
      <w:r>
        <w:t>Based on the data, theories, key articles from previous studies, and incident reports, the overall findings regarding proactive strategies for MNCs to prevent cross-cultural blunders and effectively engage with Muslim consumers in Muslim-majority and minority markets are as follows:</w:t>
      </w:r>
    </w:p>
    <w:p w14:paraId="57864F91" w14:textId="77777777" w:rsidR="002530E2" w:rsidRDefault="002530E2">
      <w:r>
        <w:t xml:space="preserve">Thorough Cultural Research: </w:t>
      </w:r>
    </w:p>
    <w:p w14:paraId="56A75ED1" w14:textId="77777777" w:rsidR="002530E2" w:rsidRDefault="002530E2">
      <w:r>
        <w:t>MNCs should conduct comprehensive cultural research to understand the nuances and values of the Muslim-majority and minority markets. This research should go beyond surface-level understanding and delve into the cultural, social, and religious aspects that influence consumer behaviour. By gaining deep insights into the target markets, MNCs can tailor their products, services, and marketing strategies to align with Muslim consumers’ cultural preferences and needs.</w:t>
      </w:r>
    </w:p>
    <w:p w14:paraId="6DED5C67" w14:textId="77777777" w:rsidR="002530E2" w:rsidRDefault="002530E2">
      <w:r>
        <w:lastRenderedPageBreak/>
        <w:br w:type="page"/>
      </w:r>
    </w:p>
    <w:p w14:paraId="45FECB83" w14:textId="77777777" w:rsidR="002530E2" w:rsidRDefault="002530E2">
      <w:r>
        <w:lastRenderedPageBreak/>
        <w:t xml:space="preserve">Hiring Employees with Cultural Intelligence: </w:t>
      </w:r>
    </w:p>
    <w:p w14:paraId="5AD2303D" w14:textId="77777777" w:rsidR="002530E2" w:rsidRDefault="002530E2">
      <w:r>
        <w:t>MNCs should prioritise hiring employees who possess cultural intelligence and understand the local culture, customs, and religious practices. These employees can be cultural bridges, facilitating communication and relationship-building with Muslim consumers. Their cultural sensitivity and knowledge can help MNCs navigate potential pitfalls and avoid cross-cultural blunders that may arise from cultural misunderstandings.</w:t>
      </w:r>
    </w:p>
    <w:p w14:paraId="4C917138" w14:textId="77777777" w:rsidR="002530E2" w:rsidRDefault="002530E2">
      <w:r>
        <w:t xml:space="preserve">Cultural Awareness Training Programs: </w:t>
      </w:r>
    </w:p>
    <w:p w14:paraId="02B1621D" w14:textId="77777777" w:rsidR="002530E2" w:rsidRDefault="002530E2">
      <w:r>
        <w:t>MNCs should invest in developing cultural awareness training programs for their employees at headquarters and local subsidiaries. These programs should provide insights into the cultural complexities and sensitivities of Muslim-majority and minority markets. Corporate training sessions can cover cultural norms, religious practices, taboos, and effective communication styles. By equipping employees with the necessary cultural knowledge and skills, MNCs can foster cultural intelligence and reduce the likelihood of cross-cultural blunders.</w:t>
      </w:r>
    </w:p>
    <w:p w14:paraId="6A0DB42C" w14:textId="77777777" w:rsidR="002530E2" w:rsidRDefault="002530E2">
      <w:r>
        <w:t xml:space="preserve">Tailoring Communication Strategies: </w:t>
      </w:r>
    </w:p>
    <w:p w14:paraId="2AC5DA53" w14:textId="77777777" w:rsidR="002530E2" w:rsidRDefault="002530E2">
      <w:r>
        <w:t>MNCs should adapt their communication strategies to Muslim consumers’ local cultures and preferences, using appropriate language, visuals, symbols, and messages that resonate with the target audience. Understanding the cultural nuances of communication, such as directness, non-verbal cues, and religious references, is crucial for effective engagement. By tailoring communication to local cultures, MNCs can demonstrate respect and cultural sensitivity, enhancing their brand image and building solid connections with Muslim consumers.</w:t>
      </w:r>
    </w:p>
    <w:p w14:paraId="03556092" w14:textId="77777777" w:rsidR="002530E2" w:rsidRDefault="002530E2">
      <w:r>
        <w:t xml:space="preserve">Effective Communication: </w:t>
      </w:r>
    </w:p>
    <w:p w14:paraId="7D668046" w14:textId="77777777" w:rsidR="002530E2" w:rsidRDefault="002530E2">
      <w:r>
        <w:t>MNCs should prioritise clear and transparent communication with Muslim consumers, which includes actively listening to their feedback, promptly addressing concerns, and maintaining open communication channels. MNCs can build trust, establish credibility, and foster long-term relationships by engaging with Muslim consumers. Effective communication allows MNCs to clear up misperceptions or misinterpretations, thus decreasing cross-cultural missteps.</w:t>
      </w:r>
    </w:p>
    <w:p w14:paraId="60540952" w14:textId="77777777" w:rsidR="002530E2" w:rsidRDefault="002530E2">
      <w:r>
        <w:t xml:space="preserve">Sensitivity to Religious Sensitivities: </w:t>
      </w:r>
    </w:p>
    <w:p w14:paraId="12F6845B" w14:textId="77777777" w:rsidR="002530E2" w:rsidRDefault="002530E2">
      <w:r>
        <w:t xml:space="preserve">MNCs should be acutely sensitive to religious sensitivities, particularly regarding Islam and Muslim beliefs. It is important for multinational corporations operating in Muslim-majority and minority countries to be mindful of their actions, behaviours, and statements to prevent any possible disrespect or offence to Islam. </w:t>
      </w:r>
    </w:p>
    <w:p w14:paraId="16404A50" w14:textId="77777777" w:rsidR="002530E2" w:rsidRDefault="002530E2">
      <w:r>
        <w:t>Understanding religious practices and customs, such as halal requirements, prayer times, and religious holidays, is essential for MNCs to cater to Muslim consumers’ specific needs and preferences. By demonstrating respect for religious sensitivities, MNCs can avoid potential cultural blunders and foster a positive perception among Muslim consumers.</w:t>
      </w:r>
    </w:p>
    <w:p w14:paraId="3B6F9BD4" w14:textId="77777777" w:rsidR="002530E2" w:rsidRDefault="002530E2">
      <w:r>
        <w:t xml:space="preserve">Compliance with Islamic Laws: </w:t>
      </w:r>
    </w:p>
    <w:p w14:paraId="43B9F9C5" w14:textId="77777777" w:rsidR="002530E2" w:rsidRDefault="002530E2">
      <w:r>
        <w:t xml:space="preserve">MNCs must actively adhere to Islamic laws and regulations in their business markets. Adherence to Halal certification standards, refraining from using banned ingredients, and respecting Islamic finance principles are crucial. </w:t>
      </w:r>
    </w:p>
    <w:p w14:paraId="50AFC7AB" w14:textId="77777777" w:rsidR="002530E2" w:rsidRDefault="002530E2">
      <w:r>
        <w:lastRenderedPageBreak/>
        <w:t>Compliance with Islamic laws demonstrates MNCs’ commitment to respecting Muslim consumers’ religious and cultural practices. It enhances credibility, trust, and the perception of authenticity in the market, contributing to long-term success and positive relationships with Muslim consumers.</w:t>
      </w:r>
    </w:p>
    <w:p w14:paraId="028BC171" w14:textId="77777777" w:rsidR="002530E2" w:rsidRDefault="002530E2">
      <w:r>
        <w:t>By adopting these proactive strategies, MNCs can mitigate the risk of cross-cultural blunders and effectively engage with Muslim consumers in Muslim-majority and minority markets. These strategies promote cultural sensitivity, understanding, and adaptation, enabling MNCs to build strong relationships, enhance their brand reputation, and achieve sustainable business growth in these markets.</w:t>
      </w:r>
    </w:p>
    <w:p w14:paraId="4688C91E" w14:textId="77777777" w:rsidR="002530E2" w:rsidRDefault="002530E2">
      <w:pPr>
        <w:pStyle w:val="Heading1"/>
      </w:pPr>
      <w:bookmarkStart w:id="60" w:name="_heading=h.hzrw7tpan7no" w:colFirst="0" w:colLast="0"/>
      <w:bookmarkEnd w:id="60"/>
      <w:r>
        <w:br w:type="page"/>
      </w:r>
    </w:p>
    <w:p w14:paraId="08985F2B" w14:textId="77777777" w:rsidR="002530E2" w:rsidRDefault="002530E2">
      <w:pPr>
        <w:pStyle w:val="Heading1"/>
      </w:pPr>
      <w:r>
        <w:lastRenderedPageBreak/>
        <w:t>5.6 — OTHER DISCOVERIES</w:t>
      </w:r>
    </w:p>
    <w:p w14:paraId="5887A1E0" w14:textId="77777777" w:rsidR="002530E2" w:rsidRDefault="002530E2">
      <w:r>
        <w:t>Factors That Influence Reactions and Behaviours:</w:t>
      </w:r>
    </w:p>
    <w:p w14:paraId="665A037C" w14:textId="77777777" w:rsidR="002530E2" w:rsidRDefault="002530E2">
      <w:r>
        <w:t xml:space="preserve">During the research process, a pressing question emerged concerning critical factors that can significantly influence and shape negative reactions from Muslims to cross-cultural blunders by MNCs. The question was, </w:t>
      </w:r>
      <w:r>
        <w:rPr>
          <w:i/>
        </w:rPr>
        <w:t>“What plays a significant role in shaping these reactions and behaviours?</w:t>
      </w:r>
      <w:r>
        <w:t>“ The study identified several key factors in shaping reactions and behaviour, including</w:t>
      </w:r>
    </w:p>
    <w:p w14:paraId="2644A894" w14:textId="77777777" w:rsidR="002530E2" w:rsidRDefault="002530E2">
      <w:r>
        <w:t xml:space="preserve">Religious offence: </w:t>
      </w:r>
    </w:p>
    <w:p w14:paraId="33040B43" w14:textId="77777777" w:rsidR="002530E2" w:rsidRDefault="002530E2">
      <w:r>
        <w:t>Offending religious beliefs can trigger strong emotional responses and backlash from Muslims. As a responsible multinational corporation, it is crucial to be aware of the impact of our actions and statements on the Muslim community. Respect and reverence for religious beliefs must be honoured to prevent potential offence or disrespect. Disregarding these beliefs can lead to negative reactions from individuals and even boycotts against our company. Therefore, MNCs must be mindful of our behaviour and actions in Muslim-majority and minority countries. Multinational corporations must exercise sensitivity and avoid any actions perceived as offensive to religious sentiments. Additionally, it is important to remember that these factors can offer valuable insights and a deeper understanding of the findings when analysed.</w:t>
      </w:r>
    </w:p>
    <w:p w14:paraId="3D30C67B" w14:textId="77777777" w:rsidR="002530E2" w:rsidRDefault="002530E2">
      <w:r>
        <w:t>Cultural Identity and Pride:</w:t>
      </w:r>
    </w:p>
    <w:p w14:paraId="133B3EEB" w14:textId="77777777" w:rsidR="002530E2" w:rsidRDefault="002530E2">
      <w:r>
        <w:t>Muslims' religious beliefs significantly shape their cultural identity and instil pride. Respecting and valuing these cultural values when interacting with individuals or organisations from Muslim communities is important. Displaying empathy and respect for their convictions can greatly contribute to fostering constructive connections and establishing a secure, all-encompassing atmosphere for everyone involved. MNCs that disregard or undermine these values can elicit strong emotional responses and unite Muslim communities against them. Muslims take pride in their cultural heritage and expect MNCs to respect and acknowledge their cultural identities. When MNCs fail to do so, it can result in backlash and negative perceptions, impacting their reputation and consumer loyalty. Recognising and valuing cultural identity and pride can help MNCs foster positive relationships with Muslim consumers and gain their trust and support.</w:t>
      </w:r>
    </w:p>
    <w:p w14:paraId="62E975DD" w14:textId="77777777" w:rsidR="002530E2" w:rsidRDefault="002530E2">
      <w:r>
        <w:t>Understanding the significance of religious beliefs, cultural identity, and pride allows MNCs to take proactive measures that do not offend or undermine such aspects of people’s identities and lives. Embracing cultural sensitivity, respecting religious beliefs, and valuing diverse cultural identities are crucial for MNCs to build strong and positive connections with Muslim consumers.</w:t>
      </w:r>
    </w:p>
    <w:p w14:paraId="315B9DD7" w14:textId="77777777" w:rsidR="002530E2" w:rsidRDefault="002530E2">
      <w:r>
        <w:t>Negative Results: A Valuable Source of Information for Scientific Progress</w:t>
      </w:r>
    </w:p>
    <w:p w14:paraId="22C312EE" w14:textId="77777777" w:rsidR="002530E2" w:rsidRDefault="002530E2">
      <w:r>
        <w:t xml:space="preserve">The study discovered that publishing negative results in the scientific community is essential for sharing information and fostering progress, as Enago Academy (2022) stated. Negative results serve various purposes: preventing duplication, improving research quality, and advancing scientific knowledge. By publishing negative results, researchers save time and resources by informing others not to replicate unsuccessful experiments. Additionally, the expectation of publishing both positive and negative results encourages careful and thorough work, enhancing the reliability of research outcomes. Negative results can rule out hypotheses and identify areas requiring further investigation, contributing to expanding scientific knowledge. Moreover, negative results facilitate </w:t>
      </w:r>
      <w:r>
        <w:lastRenderedPageBreak/>
        <w:t>learning and growth, as blunders often yield valuable lessons. Despite challenges such as perceived lower value and difficulty in publication, disseminating negative results is crucial for fostering better science and benefiting society.</w:t>
      </w:r>
    </w:p>
    <w:p w14:paraId="30B9F56D" w14:textId="77777777" w:rsidR="002530E2" w:rsidRDefault="002530E2">
      <w:r>
        <w:t>The Paradox of Muslim Consumers’ Reactions to MNCs’ Cross-cultural Blunders:</w:t>
      </w:r>
    </w:p>
    <w:p w14:paraId="69091C94" w14:textId="77777777" w:rsidR="002530E2" w:rsidRDefault="002530E2">
      <w:r>
        <w:t>This study revealed an interesting finding related to the behaviour of Muslims when multinational corporations commit cross-cultural sins. Despite the Quranic scripture promoting peace, Muslims do not typically display negative behaviour, aggression, hatred, or violence towards these corporations or guests in their home countries. However, some Muslims still engage in conflict, which raises why this happens. The answer is complex and requires further research, as this study did not delve into this issue due to its theological and marketing complexities. Nevertheless, this presents an excellent opportunity for future research, and further study can address this topic.</w:t>
      </w:r>
    </w:p>
    <w:p w14:paraId="1D9A4CA2" w14:textId="77777777" w:rsidR="002530E2" w:rsidRDefault="002530E2">
      <w:r>
        <w:t>Misinterpretation and Misrepresentation of the Quran and How MNCs Can Avoid It</w:t>
      </w:r>
    </w:p>
    <w:p w14:paraId="437AA7C9" w14:textId="77777777" w:rsidR="002530E2" w:rsidRDefault="002530E2">
      <w:r>
        <w:t>The Quran is a guiding model in Islam, directing Muslims to conduct themselves in this life. An ideal Islamic community encourages Muslims and non-Muslims to pray for peace and well-being as part of greeting each other with prayerful greetings. Muslims should pray for those who insult and mock believers. However, some individuals have selectively quoted the Quran to justify violence. This misinterpretation can lead to misunderstandings and misguided beliefs. MNCs must recognise and understand the Quran as an authoritative guide in Islam to avoid misinterpreting its teachings.</w:t>
      </w:r>
    </w:p>
    <w:p w14:paraId="5383A80E" w14:textId="77777777" w:rsidR="002530E2" w:rsidRDefault="002530E2">
      <w:r>
        <w:t>According to Steinhauer’s (2016) research, certain multinational corporations have taken quotes from the Quran out of context, misinterpreted Arabic writings out of ignorance, or intentionally distorted the scripture. The study also found that negative attitudes or violence towards MNCs do not justify Muslim acts against them. MNCs can avoid misinterpretation and subsequent delusions by recognising that the Quran emphasises proper behaviour and promotes peace and well-being among all individuals, regardless of their religious affiliation. MNCs need to develop a deep understanding of the social and cultural dynamics in Muslim-majority countries, ensuring their actions align with the actual teachings of Islam.</w:t>
      </w:r>
    </w:p>
    <w:p w14:paraId="7CD2F959" w14:textId="77777777" w:rsidR="002530E2" w:rsidRDefault="002530E2">
      <w:pPr>
        <w:pStyle w:val="Heading1"/>
      </w:pPr>
      <w:bookmarkStart w:id="61" w:name="_heading=h.3as4poj" w:colFirst="0" w:colLast="0"/>
      <w:bookmarkEnd w:id="61"/>
      <w:r>
        <w:t>5.7 — RECOMMENDATIONS FOR MNCs</w:t>
      </w:r>
    </w:p>
    <w:p w14:paraId="44B4CA7C" w14:textId="77777777" w:rsidR="002530E2" w:rsidRDefault="002530E2">
      <w:r>
        <w:t>After extensive research, experts have identified several key recommendations for multinational corporations (MNCs) operating in Muslim-majority and minority countries. These suggestions aim to improve cross-cultural competence, strengthen relationships with Muslim consumers, and ultimately enhance market performance.</w:t>
      </w:r>
    </w:p>
    <w:p w14:paraId="66C8DA53" w14:textId="77777777" w:rsidR="002530E2" w:rsidRDefault="002530E2">
      <w:r>
        <w:t>Adopt a proactive approach to cultural sensitivity in product design, marketing, and advertising:</w:t>
      </w:r>
    </w:p>
    <w:p w14:paraId="426C95D8" w14:textId="77777777" w:rsidR="002530E2" w:rsidRDefault="002530E2">
      <w:r>
        <w:t>MNCs should conduct thorough market research to understand Muslim consumers’ cultural nuances and preferences. This research should inform the integration of cultural insights into product development processes. Collaborating with local agencies or consultants who deeply understand the local culture can also help develop respectful and inclusive marketing campaigns that align with the values and beliefs of Muslim consumers.</w:t>
      </w:r>
    </w:p>
    <w:p w14:paraId="5ABD4454" w14:textId="77777777" w:rsidR="002530E2" w:rsidRDefault="002530E2">
      <w:r>
        <w:t>Conduct thorough market research:</w:t>
      </w:r>
    </w:p>
    <w:p w14:paraId="29F32195" w14:textId="77777777" w:rsidR="002530E2" w:rsidRDefault="002530E2">
      <w:r>
        <w:lastRenderedPageBreak/>
        <w:t>MNCs must invest time and resources in comprehensive market research to understand Muslim consumers’ cultural norms and values. This research should encompass studying the cultural dimensions, religious practices, and social customs prevalent in the local context. Tailoring marketing and communication strategies to resonate with Muslim consumers’ specific needs and preferences is crucial for successful engagement.</w:t>
      </w:r>
    </w:p>
    <w:p w14:paraId="6F5C2D83" w14:textId="77777777" w:rsidR="002530E2" w:rsidRDefault="002530E2">
      <w:r>
        <w:t>Demonstrate cultural sensitivity and adaptation:</w:t>
      </w:r>
    </w:p>
    <w:p w14:paraId="3E4AF95E" w14:textId="77777777" w:rsidR="002530E2" w:rsidRDefault="002530E2">
      <w:r>
        <w:t>MNCs should adapt their marketing approaches to respect Muslim consumers’ religious and cultural sensitivities, which involves avoiding offensive imagery, symbols, or messages perceived as disrespectful or contrary to Islamic beliefs. Developing campaigns and products that align with the values and aspirations of the Muslim target market is essential for building trust and establishing long-term relationships.</w:t>
      </w:r>
    </w:p>
    <w:p w14:paraId="5D4D71E0" w14:textId="77777777" w:rsidR="002530E2" w:rsidRDefault="002530E2">
      <w:r>
        <w:t>Seek feedback and engage with Muslim consumers:</w:t>
      </w:r>
    </w:p>
    <w:p w14:paraId="7F167956" w14:textId="77777777" w:rsidR="002530E2" w:rsidRDefault="002530E2">
      <w:r>
        <w:t>MNCs should actively seek feedback to ensure their offerings meet their customers' needs and preferences. Incorporating this feedback into refining strategies can lead to a deeper understanding of the target market and improved customer satisfaction.</w:t>
      </w:r>
    </w:p>
    <w:p w14:paraId="1C39C5B7" w14:textId="77777777" w:rsidR="002530E2" w:rsidRDefault="002530E2">
      <w:r>
        <w:t>Utilise the Communication Accommodation Theory (CAT):</w:t>
      </w:r>
    </w:p>
    <w:p w14:paraId="6F62BF7D" w14:textId="77777777" w:rsidR="002530E2" w:rsidRDefault="002530E2">
      <w:r>
        <w:t>MNCs should adapt their communication styles and behaviours to accommodate Muslim consumers’ cultural norms and expectations, which involves using appropriate language, tone, and non-verbal cues to establish rapport and build trust.</w:t>
      </w:r>
    </w:p>
    <w:p w14:paraId="3A591F96" w14:textId="77777777" w:rsidR="002530E2" w:rsidRDefault="002530E2">
      <w:r>
        <w:t>Continuously assess and enhance cultural competence:</w:t>
      </w:r>
    </w:p>
    <w:p w14:paraId="081D9D08" w14:textId="77777777" w:rsidR="002530E2" w:rsidRDefault="002530E2">
      <w:r>
        <w:t>MNCs should provide cultural intelligence training to employees and foster an inclusive organisational culture that promotes diversity and inclusion. Strategies for regular assessments and evaluations, when conducted, gauge effectiveness and identify improvement areas.</w:t>
      </w:r>
    </w:p>
    <w:p w14:paraId="731DDFB8" w14:textId="77777777" w:rsidR="002530E2" w:rsidRDefault="002530E2">
      <w:r>
        <w:t>By implementing these recommendations, MNCs can strengthen their cross-cultural competence, improve relationships with Muslim consumers, and enhance their market performance in Muslim-majority and minority countries. Establishing cultural sensitivity as the cornerstone of their business strategies and operations is vital for sustained success in today’s diverse and volatile markets.</w:t>
      </w:r>
    </w:p>
    <w:p w14:paraId="5C1C8F4D" w14:textId="77777777" w:rsidR="002530E2" w:rsidRDefault="002530E2">
      <w:pPr>
        <w:pStyle w:val="Heading1"/>
      </w:pPr>
      <w:bookmarkStart w:id="62" w:name="_heading=h.1pxezwc" w:colFirst="0" w:colLast="0"/>
      <w:bookmarkEnd w:id="62"/>
      <w:r>
        <w:t>5.8 — IMPLICATIONS FOR FUTURE RESEARCH</w:t>
      </w:r>
    </w:p>
    <w:p w14:paraId="4EB267BF" w14:textId="77777777" w:rsidR="002530E2" w:rsidRDefault="002530E2">
      <w:r>
        <w:t>This study highlights the importance of multinational corporations (MNCs) operating in Muslim-majority and minority countries. It discusses the potential impacts of their strategies and approaches. These findings guide future research and provide insight for MNCs looking to increase their cross-cultural competence and engage effectively with Muslim consumers.</w:t>
      </w:r>
    </w:p>
    <w:p w14:paraId="2D42DE02" w14:textId="77777777" w:rsidR="002530E2" w:rsidRDefault="002530E2">
      <w:r>
        <w:t xml:space="preserve">The findings of this study have important implications for future research on cross-cultural blunders by MNCs operating in Muslim-majority and minority countries. These implications highlight areas that require further investigation to deepen the understanding of cross-cultural interactions and improve strategies for successful engagement with Muslim consumers. </w:t>
      </w:r>
    </w:p>
    <w:p w14:paraId="794BC179" w14:textId="77777777" w:rsidR="002530E2" w:rsidRDefault="002530E2">
      <w:r>
        <w:t>Future research could focus on the following areas:</w:t>
      </w:r>
    </w:p>
    <w:p w14:paraId="6A4A3B7C" w14:textId="77777777" w:rsidR="002530E2" w:rsidRDefault="002530E2">
      <w:r>
        <w:lastRenderedPageBreak/>
        <w:t>Specific Blunders by MNCs:</w:t>
      </w:r>
    </w:p>
    <w:p w14:paraId="3CD9000E" w14:textId="77777777" w:rsidR="002530E2" w:rsidRDefault="002530E2">
      <w:r>
        <w:t>Further investigating various specific types of cross-cultural blunders commonly made by MNCs in Muslim-majority and minority countries: Future research could delve into case studies and analyse the underlying factors contributing to these blunders, such as cultural misunderstandings or inadequate cultural adaptation strategies. Researchers can develop preventative measures and guidelines for MNCs to avoid such blunders by identifying patterns and trends in cross-cultural blunders.</w:t>
      </w:r>
    </w:p>
    <w:p w14:paraId="6BE3E429" w14:textId="77777777" w:rsidR="002530E2" w:rsidRDefault="002530E2">
      <w:r>
        <w:t xml:space="preserve">Consequences of Cross-Cultural Blunders on Muslims: </w:t>
      </w:r>
    </w:p>
    <w:p w14:paraId="20B4F940" w14:textId="77777777" w:rsidR="002530E2" w:rsidRDefault="002530E2">
      <w:r>
        <w:t>Quantifying the financial and reputational costs associated with cross-cultural blunders for MNCs operating in Muslim-majority and minority countries: This research could assess the impact of these blunders on consumer trust, brand loyalty, and market performance within Muslim communities. By exploring the long-term implications of cross-cultural blunders, researchers can gain insights into how these blunders affect MNCs’ relationships with local partners, stakeholders, and investors in Muslim-majority and minority countries.</w:t>
      </w:r>
    </w:p>
    <w:p w14:paraId="59CAC592" w14:textId="77777777" w:rsidR="002530E2" w:rsidRDefault="002530E2">
      <w:r>
        <w:t>Impact of Cross-Cultural Blunders and Ramifications on MNCs:</w:t>
      </w:r>
    </w:p>
    <w:p w14:paraId="530A4A27" w14:textId="77777777" w:rsidR="002530E2" w:rsidRDefault="002530E2">
      <w:r>
        <w:t>Studying the broad impacts and ramifications of cross-cultural blunders on MNCs operating in Muslim-majority and minority countries: This research could explore the legal, regulatory, and social consequences MNCs face due to cultural missteps. It could also examine the effects on corporate reputation, customer perceptions, and overall business strategies. By understanding the magnitude of these impacts, researchers can provide valuable insights for MNCs to develop effective crisis management and recovery strategies.</w:t>
      </w:r>
    </w:p>
    <w:p w14:paraId="4CCBAB62" w14:textId="77777777" w:rsidR="002530E2" w:rsidRDefault="002530E2">
      <w:r>
        <w:t>Strategies for Preventing Cross-Cultural Blunders in Muslim Markets:</w:t>
      </w:r>
    </w:p>
    <w:p w14:paraId="3C7ABA0D" w14:textId="77777777" w:rsidR="002530E2" w:rsidRDefault="002530E2">
      <w:r>
        <w:t>Exploring effective strategies and best practices for MNCs to avoid cross-cultural blunders and engage with Muslim consumers successfully: This research could investigate the role of cultural research, communication, and ethical behaviour in mitigating cross-cultural blunders. It could also identify the cultural intelligence and cross-cultural competencies necessary for MNCs to navigate diverse cultural contexts. By guiding effective strategies, researchers can assist MNCs in enhancing their cross-cultural competence and fostering positive relationships with Muslim consumers.</w:t>
      </w:r>
    </w:p>
    <w:p w14:paraId="4B404A55" w14:textId="77777777" w:rsidR="002530E2" w:rsidRDefault="002530E2">
      <w:r>
        <w:t>Scholars can leverage research findings in these areas to assist multinational corporations (MNCs) in avoiding cross-cultural blunders, developing positive relationships with Muslim consumers, and develop practical guidelines and frameworks. This further research will also advance the understanding of cross-cultural communication and business practices in Muslim-majority and minority countries, ultimately leading to more effective cross-cultural engagement strategies. Future research will enhance understanding of cross-cultural blunders, consequences, and strategies for effective cross-cultural engagement. By addressing these research questions, scholars can advance knowledge and provide practical recommendations for MNCs operating in Muslim-majority and minority countries.</w:t>
      </w:r>
    </w:p>
    <w:p w14:paraId="7C706EE6" w14:textId="77777777" w:rsidR="002530E2" w:rsidRDefault="002530E2">
      <w:pPr>
        <w:pStyle w:val="Heading1"/>
      </w:pPr>
      <w:bookmarkStart w:id="63" w:name="_heading=h.49x2ik5" w:colFirst="0" w:colLast="0"/>
      <w:bookmarkEnd w:id="63"/>
      <w:r>
        <w:lastRenderedPageBreak/>
        <w:t>5.9 — FUTURE RESEARCH DIRECTIONS</w:t>
      </w:r>
    </w:p>
    <w:p w14:paraId="005B6D76" w14:textId="77777777" w:rsidR="002530E2" w:rsidRDefault="002530E2">
      <w:r>
        <w:t>Based on the implications of the findings, this study suggests several areas for future research to advance the understanding of cross-cultural blunders. By exploring these topics, researchers can deepen their knowledge and provide valuable insights for MNCs operating in Muslim-majority and minority countries.</w:t>
      </w:r>
    </w:p>
    <w:p w14:paraId="4E82FDBD" w14:textId="77777777" w:rsidR="002530E2" w:rsidRDefault="002530E2">
      <w:r>
        <w:t xml:space="preserve">The Role of Technology in Cross-cultural Blunders: </w:t>
      </w:r>
    </w:p>
    <w:p w14:paraId="124D2C82" w14:textId="77777777" w:rsidR="002530E2" w:rsidRDefault="002530E2">
      <w:r>
        <w:t>Future research could investigate how technological advancements impact cross-cultural interactions and contribute to blunders in MNCs, including exploring the influence of digital communication platforms, social media, and virtual collaborations on cross-cultural misunderstandings. Additionally, examining the effectiveness of technology-based tools and solutions in preventing or mitigating cross-cultural blunders would provide valuable insights.</w:t>
      </w:r>
    </w:p>
    <w:p w14:paraId="35B127DB" w14:textId="77777777" w:rsidR="002530E2" w:rsidRDefault="002530E2">
      <w:r>
        <w:t xml:space="preserve">The impact of cross-cultural blunders on local communities: </w:t>
      </w:r>
    </w:p>
    <w:p w14:paraId="6852D1FA" w14:textId="77777777" w:rsidR="002530E2" w:rsidRDefault="002530E2">
      <w:r>
        <w:t>Future research could examine the social, cultural, and economic consequences for local communities in Muslim-majority and minority countries. Assessing the effects on community trust, social cohesion, and perceptions of MNCs would provide a comprehensive understanding of the implications of blunders on the local level. Furthermore, exploring strategies for MNCs to repair relationships and foster positive community engagement after blunders occur would offer practical recommendations.</w:t>
      </w:r>
    </w:p>
    <w:p w14:paraId="4C4E405B" w14:textId="77777777" w:rsidR="002530E2" w:rsidRDefault="002530E2">
      <w:r>
        <w:t xml:space="preserve">The role of government regulations in preventing cross-cultural blunders: </w:t>
      </w:r>
    </w:p>
    <w:p w14:paraId="7107C968" w14:textId="77777777" w:rsidR="002530E2" w:rsidRDefault="002530E2">
      <w:r>
        <w:t>Future research could investigate the impact of government policies, regulations, and guidelines on MNCs’ cross-cultural practices. Respecting their cultural values and beliefs is important to improve relationships with Muslim consumers and enhance market performance. Attuning behaviour towards one’s religious practices can foster meaningful relationships and promote an inclusive, safer environment. It is also important to assess the effectiveness of government interventions in preventing cross-cultural blunders and explore ways governments can collaborate with MNCs to enhance cultural competence and minimise blunders.</w:t>
      </w:r>
    </w:p>
    <w:p w14:paraId="52C69FA1" w14:textId="77777777" w:rsidR="002530E2" w:rsidRDefault="002530E2">
      <w:r>
        <w:t>By expanding the scope of research on cross-cultural blunders in these areas, researchers can advance their understanding of the opportunities and challenges that MNCs face in Muslim-majority and minority countries. This knowledge can help MNCs develop more effective strategies for engaging with Muslim consumers and building long-term success in these markets. Additionally, further research in these areas can contribute to developing best practices, guidelines, and frameworks for MNCs to navigate cross-cultural contexts successfully and avoid blunders.</w:t>
      </w:r>
    </w:p>
    <w:p w14:paraId="28E6BF47" w14:textId="77777777" w:rsidR="002530E2" w:rsidRDefault="002530E2">
      <w:pPr>
        <w:pStyle w:val="Heading1"/>
      </w:pPr>
      <w:bookmarkStart w:id="64" w:name="_heading=h.2p2csry" w:colFirst="0" w:colLast="0"/>
      <w:bookmarkEnd w:id="64"/>
      <w:r>
        <w:t>5.10 — FILLING RESEARCH GAPS</w:t>
      </w:r>
    </w:p>
    <w:p w14:paraId="3744CDD3"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In earlier studies on cross-cultural blunders,</w:t>
      </w:r>
      <w:r>
        <w:t xml:space="preserve"> a large research gap existed in understanding</w:t>
      </w:r>
      <w:r>
        <w:rPr>
          <w:rFonts w:ascii="Book Antiqua" w:eastAsia="Book Antiqua" w:hAnsi="Book Antiqua" w:cs="Book Antiqua"/>
          <w:color w:val="000000"/>
          <w:sz w:val="20"/>
          <w:szCs w:val="20"/>
        </w:rPr>
        <w:t xml:space="preserve"> the specific blunders made by MNCs in Muslim-majority and minority countries and their consequences (Smith et al., 2020). This research endeavour aimed to address this gap by conducting a comprehensive analysis that thoroughly explored these blunders’ nature, causes, and effects.</w:t>
      </w:r>
    </w:p>
    <w:p w14:paraId="6598F8FB"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lastRenderedPageBreak/>
        <w:t>The study aimed to fill the gap in research by thoroughly analysing cultural mistakes made by multinational corporations in countries where Muslims are the majority or minority population. It drew upon diverse qualitative data sources, such as real-world incidents, case studies, reports, and media coverage, to shed light on the specific blunders in these contextual settings (Corbin &amp; Strauss, 2008; Creswell, 2013).</w:t>
      </w:r>
    </w:p>
    <w:p w14:paraId="3894B383"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Due to their distinctive cultural dynamics and sensitivities, Muslim-majority and minority countries were particularly significant (Ali &amp; Al-Kazemi, 2016). MNCs face unique challenges when navigating cultural differences, religious practices, and social norms while conducting business in these countries. By explicitly examining blunders in these contexts, the study aimed to provide targeted insights and recommendations to assist MNCs in avoiding similar blunders and improving their interactions with Muslim consumers.</w:t>
      </w:r>
    </w:p>
    <w:p w14:paraId="3BB78BDF"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analysis delved into various dimensions of cross-cultural blunders, encompassing communication breakdowns, misinterpretations of cultural norms, insensitive marketing campaigns, and inadequate product localisation (Morrison, 2006; Hofstede, 2011). By exploring the root causes of these blunders, the study strived to identify recurring patterns, underlying factors, and potential strategies to prevent their occurrence.</w:t>
      </w:r>
    </w:p>
    <w:p w14:paraId="0B7DB757"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Furthermore, the study evaluated the consequences of these blunders on MNCs’ brand image, reputation, consumer trust, and financial performance. Understanding the ramifications of cross-cultural blunders was crucial for MNCs to develop effective strategies for cross-cultural adaptation and enhance their overall business performance in diverse cultural settings (Rugman et al., 2014).</w:t>
      </w:r>
    </w:p>
    <w:p w14:paraId="70EF4976"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By conducting a comprehensive analysis of cross-cultural blunders in Muslim-majority and minority countries, this study filled the research gap in the existing body of knowledge on cross-cultural management. It provided practical insights for MNCs operating in these contexts, informing their decision-making processes, cultural adaptation strategies, and marketing approaches, ultimately leading to improved cross-cultural competence and successful market penetration (Luthans &amp; Doh, 2018).</w:t>
      </w:r>
    </w:p>
    <w:p w14:paraId="26E2314D"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This comprehensive analysis highlighted a significant research gap regarding the specific cross-cultural blunders of MNCs in Muslim-majority and minority countries and their consequences. By delving into these blunders, their causes, and their impact, this study endeavoured to bridge this gap. Examining these countries’ unique cultural dynamics and challenges yielded valuable insights and recommendations that could enhance cross-cultural competence and contribute to the overall performance improvement of MNCs operating in these contexts.</w:t>
      </w:r>
    </w:p>
    <w:p w14:paraId="4E8A0D25" w14:textId="77777777" w:rsidR="002530E2" w:rsidRDefault="002530E2">
      <w:pPr>
        <w:pStyle w:val="Heading1"/>
      </w:pPr>
      <w:bookmarkStart w:id="65" w:name="_heading=h.147n2zr" w:colFirst="0" w:colLast="0"/>
      <w:bookmarkEnd w:id="65"/>
      <w:r>
        <w:t>5.11 — LIMITATIONS</w:t>
      </w:r>
    </w:p>
    <w:p w14:paraId="21272ACC" w14:textId="77777777" w:rsidR="002530E2" w:rsidRDefault="002530E2">
      <w:r>
        <w:t>It is essential to acknowledge the limitations of this study in order to interpret the findings accurately. The following sections highlight the specific limitations and considerations to keep in mind.</w:t>
      </w:r>
    </w:p>
    <w:p w14:paraId="76A18C3A" w14:textId="77777777" w:rsidR="002530E2" w:rsidRDefault="002530E2">
      <w:r>
        <w:t xml:space="preserve">Scope of data collection: </w:t>
      </w:r>
    </w:p>
    <w:p w14:paraId="2E8D8F26" w14:textId="77777777" w:rsidR="002530E2" w:rsidRDefault="002530E2">
      <w:r>
        <w:t xml:space="preserve">The data collected in this study focused specifically on cross-cultural blunders made by multinational corporations (MNCs) in Muslim-majority and minority countries. Therefore, it is essential to recognise that the findings may not directly apply to other cultural settings. Cultural dynamics and </w:t>
      </w:r>
      <w:r>
        <w:lastRenderedPageBreak/>
        <w:t>subtleties vary across regions, which may affect cross-cultural interactions differently, and when generalising findings, it is crucial to consider this.</w:t>
      </w:r>
    </w:p>
    <w:p w14:paraId="07B964DF" w14:textId="77777777" w:rsidR="002530E2" w:rsidRDefault="002530E2">
      <w:r>
        <w:t xml:space="preserve">Sample size: </w:t>
      </w:r>
    </w:p>
    <w:p w14:paraId="6E5F7E19" w14:textId="77777777" w:rsidR="002530E2" w:rsidRDefault="002530E2">
      <w:r>
        <w:t>This study used a subsample of cross-cultural missteps reported between 2010 and 2020 as its base data source. There may have been other blunders that should have been captured or reported within this timeframe. The limited sample size could affect the comprehensiveness and representativeness of the findings. Future studies with larger samples could offer more significant insights into the cross-cultural blunders of multinational corporations (MNCs).</w:t>
      </w:r>
    </w:p>
    <w:p w14:paraId="60758309" w14:textId="77777777" w:rsidR="002530E2" w:rsidRDefault="002530E2">
      <w:r>
        <w:t xml:space="preserve">Potential biases: </w:t>
      </w:r>
    </w:p>
    <w:p w14:paraId="1730D726" w14:textId="77777777" w:rsidR="002530E2" w:rsidRDefault="002530E2">
      <w:r>
        <w:t>The author analysed existing literature to conduct this study and used theoretical analysis as the foundation. Acknowledging the possibility of interpretation bias that may have influenced the analysis is crucial. The interpretation of literature in this study can vary greatly depending on the researcher’s perspective, making it highly subjective. Recognising this potential bias allows for a more critical evaluation of the findings and encourages future research to explore alternative perspectives.</w:t>
      </w:r>
    </w:p>
    <w:p w14:paraId="47BA8F57" w14:textId="77777777" w:rsidR="002530E2" w:rsidRDefault="002530E2">
      <w:r>
        <w:br w:type="page"/>
      </w:r>
    </w:p>
    <w:p w14:paraId="5B19E1D5" w14:textId="77777777" w:rsidR="002530E2" w:rsidRDefault="002530E2">
      <w:r>
        <w:lastRenderedPageBreak/>
        <w:t xml:space="preserve">Generalisability: </w:t>
      </w:r>
    </w:p>
    <w:p w14:paraId="0AF9916F" w14:textId="77777777" w:rsidR="002530E2" w:rsidRDefault="002530E2">
      <w:r>
        <w:t>While this study offers invaluable insight into cross-cultural errors, it is essential to note that its results may only apply across some MNCs or cross-cultural experiences. Cross-cultural dynamics are complex and context-dependent, and various factors can influence the outcomes. It is essential to consider how this study’s findings apply in specific terms and use them as a foundation for further investigation and exploration.</w:t>
      </w:r>
    </w:p>
    <w:p w14:paraId="234CF5C4" w14:textId="77777777" w:rsidR="002530E2" w:rsidRDefault="002530E2">
      <w:r>
        <w:t xml:space="preserve">Other Influencing Factors: </w:t>
      </w:r>
    </w:p>
    <w:p w14:paraId="5A7D1AA5" w14:textId="77777777" w:rsidR="002530E2" w:rsidRDefault="002530E2">
      <w:r>
        <w:t>In addition to the limitations mentioned above, several other factors can influence the findings of this study. Various factors, including cultural context, mistake type, communication to the public, and multinational corporation response, cause mistakes. Among these factors are the cultural context, the type of mistake, the public communication, and multinational corporations’ responses.</w:t>
      </w:r>
    </w:p>
    <w:p w14:paraId="0C741FDC" w14:textId="77777777" w:rsidR="002530E2" w:rsidRDefault="002530E2">
      <w:r>
        <w:t>A more thorough understanding of the results can be achieved by recognising these limitations and considering possible influences. While this study contributes to the understanding of cross-cultural blunders by MNCs, further research is needed to address these limitations and explore other cultural contexts. By recognising these limitations, future studies can build upon this research and provide a more comprehensive understanding of cross-cultural blunders, ultimately contributing to developing effective strategies for MNCs operating in diverse cultural environments.</w:t>
      </w:r>
    </w:p>
    <w:p w14:paraId="5DF6EE52" w14:textId="77777777" w:rsidR="002530E2" w:rsidRDefault="002530E2">
      <w:pPr>
        <w:pStyle w:val="Heading1"/>
        <w:spacing w:before="0" w:after="0"/>
      </w:pPr>
      <w:bookmarkStart w:id="66" w:name="_heading=h.3o7alnk" w:colFirst="0" w:colLast="0"/>
      <w:bookmarkEnd w:id="66"/>
      <w:r>
        <w:t>5.12 — BIASES</w:t>
      </w:r>
    </w:p>
    <w:p w14:paraId="6521B0DB" w14:textId="77777777" w:rsidR="002530E2" w:rsidRDefault="002530E2">
      <w:r>
        <w:t>In the study on cross-cultural blunders by MNCs in Muslim-majority and minority countries, it was crucial to acknowledge and address potential biases that could have influenced the research findings. By mitigating biases inherent to the study, the purpose was to increase the credibility and reliability of findings and gain a fuller understanding of cross-cultural errors made by MNCs operating in these countries. This study acknowledged various biases and carried out necessary actions to minimise their effect, thus enhancing the trustworthiness of the research findings.</w:t>
      </w:r>
    </w:p>
    <w:p w14:paraId="588A9F11" w14:textId="77777777" w:rsidR="002530E2" w:rsidRDefault="002530E2">
      <w:r>
        <w:t xml:space="preserve">Selection bias: </w:t>
      </w:r>
    </w:p>
    <w:p w14:paraId="59054363" w14:textId="77777777" w:rsidR="002530E2" w:rsidRDefault="002530E2">
      <w:r>
        <w:t>To mitigate selection bias, comprehensive search strategies included various scholarly theories and sources. While efforts were inclusive, unintended exclusions are likely to have occurred.</w:t>
      </w:r>
    </w:p>
    <w:p w14:paraId="39F7229A" w14:textId="77777777" w:rsidR="002530E2" w:rsidRDefault="002530E2">
      <w:r>
        <w:t xml:space="preserve">Publication bias: </w:t>
      </w:r>
    </w:p>
    <w:p w14:paraId="58F74E87" w14:textId="77777777" w:rsidR="002530E2" w:rsidRDefault="002530E2">
      <w:r>
        <w:t>The study countered publication bias by adopting a systematic approach, ensuring the inclusion of relevant studies regardless of their outcomes. This approach minimised the risk of selectively including only studies that supported specific perspectives.</w:t>
      </w:r>
    </w:p>
    <w:p w14:paraId="228C700E" w14:textId="77777777" w:rsidR="002530E2" w:rsidRDefault="002530E2">
      <w:r>
        <w:t xml:space="preserve">Cultural bias: </w:t>
      </w:r>
    </w:p>
    <w:p w14:paraId="00B388DB" w14:textId="77777777" w:rsidR="002530E2" w:rsidRDefault="002530E2">
      <w:r>
        <w:t>In acknowledging the potential for cultural bias, the study consciously considered various perspectives through the involvement of multiple researchers (the author, his supervisory team, and peers). Adopting this method minimises the influence of cultural prejudices, leading to a fairer evaluation.</w:t>
      </w:r>
    </w:p>
    <w:p w14:paraId="0295DCC7" w14:textId="77777777" w:rsidR="002530E2" w:rsidRDefault="002530E2">
      <w:r>
        <w:t xml:space="preserve">Time bias: </w:t>
      </w:r>
    </w:p>
    <w:p w14:paraId="4A438002" w14:textId="77777777" w:rsidR="002530E2" w:rsidRDefault="002530E2">
      <w:r>
        <w:lastRenderedPageBreak/>
        <w:t>The study’s time frame (2010–2020) introduced a potential time bias, which may only partially reflect recent developments in cross-cultural blunders. Future research should consider a broader time range to capture evolving trends and provide a more comprehensive understanding.</w:t>
      </w:r>
    </w:p>
    <w:p w14:paraId="1A92972B" w14:textId="77777777" w:rsidR="002530E2" w:rsidRDefault="002530E2">
      <w:r>
        <w:t xml:space="preserve">Researcher bias: </w:t>
      </w:r>
    </w:p>
    <w:p w14:paraId="04BE0DF6" w14:textId="77777777" w:rsidR="002530E2" w:rsidRDefault="002530E2">
      <w:r>
        <w:t>The author used rigorous methodologies, data triangulation, and peer review processes to reduce researcher bias. These measures helped ensure that the researchers’ personal biases did not unduly influence the findings.</w:t>
      </w:r>
    </w:p>
    <w:p w14:paraId="0A2A58D5" w14:textId="77777777" w:rsidR="002530E2" w:rsidRDefault="002530E2">
      <w:r>
        <w:t>By addressing these biases, the study aimed to improve the robustness of its findings and contribute to a more accurate understanding of cross-cultural blunders by MNCs. It is essential to recognise that biases can exist in any research study, and being aware of them allows for transparency and encourages future researchers to explore alternative perspectives and methodologies.</w:t>
      </w:r>
    </w:p>
    <w:p w14:paraId="159E9B47" w14:textId="77777777" w:rsidR="002530E2" w:rsidRDefault="002530E2">
      <w:r>
        <w:t>As a result, the research outcomes are more reliable and accurate. In this study, the author considered many biases and implemented measures to reduce their influence, resulting in more objective research findings. In addition to the biases already noted, it is critical to consider any other likely biases. These biases include</w:t>
      </w:r>
    </w:p>
    <w:p w14:paraId="00B7B99B" w14:textId="77777777" w:rsidR="002530E2" w:rsidRDefault="002530E2">
      <w:r>
        <w:t xml:space="preserve">Self-report bias: </w:t>
      </w:r>
    </w:p>
    <w:p w14:paraId="23581560" w14:textId="77777777" w:rsidR="002530E2" w:rsidRDefault="002530E2">
      <w:r>
        <w:t>This error often arises when respondents provide inaccurate or biased reports about their experiences or behaviours. Researchers should be mindful of this bias and consider ways to validate self-reported data through additional sources or methods.</w:t>
      </w:r>
    </w:p>
    <w:p w14:paraId="0538C1D9" w14:textId="77777777" w:rsidR="002530E2" w:rsidRDefault="002530E2">
      <w:r>
        <w:t>Social desirability bias:</w:t>
      </w:r>
    </w:p>
    <w:p w14:paraId="6D7142C3" w14:textId="77777777" w:rsidR="002530E2" w:rsidRDefault="002530E2">
      <w:r>
        <w:t>This type of bias can occur when respondents provide responses that they believe are socially acceptable or desirable rather than their true thoughts or feelings. Researchers can mitigate this bias by ensuring anonymity or confidentiality in data collection, which may encourage more honest and genuine responses.</w:t>
      </w:r>
    </w:p>
    <w:p w14:paraId="2D1B1961" w14:textId="77777777" w:rsidR="002530E2" w:rsidRDefault="002530E2">
      <w:r>
        <w:t xml:space="preserve">Hawthorne effect: </w:t>
      </w:r>
    </w:p>
    <w:p w14:paraId="03A97B14" w14:textId="77777777" w:rsidR="002530E2" w:rsidRDefault="002530E2">
      <w:r>
        <w:t>This type of bias can occur when participants in a study change their behaviour simply because they are aware of being studied. Researchers should minimise the Hawthorne effect by creating a natural and unobtrusive research environment that minimises participant awareness of being observed.</w:t>
      </w:r>
    </w:p>
    <w:p w14:paraId="17E363C4" w14:textId="77777777" w:rsidR="002530E2" w:rsidRDefault="002530E2">
      <w:r>
        <w:t>Researchers can improve the quality and validity of their research findings by being aware of their possible biases and mitigating their effects.</w:t>
      </w:r>
    </w:p>
    <w:p w14:paraId="09772435" w14:textId="77777777" w:rsidR="002530E2" w:rsidRDefault="002530E2">
      <w:pPr>
        <w:pStyle w:val="Heading1"/>
      </w:pPr>
      <w:bookmarkStart w:id="67" w:name="_heading=h.23ckvvd" w:colFirst="0" w:colLast="0"/>
      <w:bookmarkEnd w:id="67"/>
      <w:r>
        <w:t>5.13 — CONCLUSION</w:t>
      </w:r>
    </w:p>
    <w:p w14:paraId="3AB4BC1A" w14:textId="77777777" w:rsidR="002530E2" w:rsidRDefault="002530E2">
      <w:r>
        <w:t xml:space="preserve">This study delved into cross-cultural blunders by MNCs operating in Muslim-majority and minority countries. Its overarching aim was to identify the most prevalent cross-cultural blunders by MNCs based on recent incidents reported between 2010 and 2020. Furthermore, the study sought to examine the consequences faced by Muslim consumers as a result of these blunders, explore their repercussions for MNCs, identify strategies to prevent them, and effectively engage with Muslim consumers. The study successfully generated valuable insights and findings that shed light on this </w:t>
      </w:r>
      <w:r>
        <w:lastRenderedPageBreak/>
        <w:t>complex phenomenon by comprehensively reviewing relevant literature and adopting a grounded theory research approach.</w:t>
      </w:r>
    </w:p>
    <w:p w14:paraId="42A109C9" w14:textId="77777777" w:rsidR="002530E2" w:rsidRDefault="002530E2">
      <w:r>
        <w:t>The literature review laid a solid foundation for comprehending cross-cultural blunders’ historical and theoretical underpinnings. It emphasised the importance of cultural disparities, communication challenges, and the necessity for cultural sensitivity in international business operations. Moreover, the review underscored the significance of examining the long-term consequences of cross-cultural blunders on MNCs, including their business relationships, reputations, and financial performance.</w:t>
      </w:r>
    </w:p>
    <w:p w14:paraId="370143C7" w14:textId="77777777" w:rsidR="002530E2" w:rsidRDefault="002530E2">
      <w:r>
        <w:t>The author carefully chose a methodology tailored to achieve the research objectives—a grounded theory research strategy allowed for systematic exploration and theory development based on the collected data. The author carefully selected the cross-sectional time horizon of 2010–2020 to encompass a comprehensive range of incident reports, enabling the identification of patterns, trends, and temporal changes. Non-probability purposive sampling ensured the selection of relevant sources, contributing to a comprehensive understanding of the phenomenon. Triangulation was applied during the data collection and analysis stages, enhancing the findings’ validity, reliability, and credibility.</w:t>
      </w:r>
    </w:p>
    <w:p w14:paraId="46920860" w14:textId="77777777" w:rsidR="002530E2" w:rsidRDefault="002530E2">
      <w:r>
        <w:t>Data analysis revealed invaluable insight into factors leading to cross-cultural blunders committed by multinational companies in Muslim-majority and minority countries. Significant challenges identified included cultural differences, language barriers, inadequate cross-cultural training, and ethnocentrism. The consequences of these blunders encompassed damaged stakeholder relationships, a negative impact on reputation, and financial losses. However, the study also identified proactive strategies such as cultural sensitivity training, local partnership collaborations, and effective communication as potential avenues to prevent and mitigate cross-cultural blunders.</w:t>
      </w:r>
    </w:p>
    <w:p w14:paraId="6B5837F8" w14:textId="77777777" w:rsidR="002530E2" w:rsidRDefault="002530E2">
      <w:r>
        <w:t>The findings of this study hold practical implications for MNCs operating in Muslim-majority and minority countries. The identified factors and strategies can guide MNCs in navigating cross-cultural challenges, fostering positive relationships with local communities, and enhancing their market performance. Moreover, the study contributes to the existing literature on cross-cultural management by deepening our understanding of the challenges MNCs face in diverse cultural contexts.</w:t>
      </w:r>
    </w:p>
    <w:p w14:paraId="326810EB" w14:textId="77777777" w:rsidR="002530E2" w:rsidRDefault="002530E2">
      <w:r>
        <w:t>It is essential to acknowledge the limitations of this study. The reliance on secondary data sources and the exclusion of primary data collection may have limited the depth and breadth of the analysis. Further, the chosen time horizon and sampling techniques could have introduced biases or missed relevant incidents. Future research considers incorporating primary data collection to capture broader perspectives and experiences.</w:t>
      </w:r>
    </w:p>
    <w:p w14:paraId="5D5DC988" w14:textId="77777777" w:rsidR="002530E2" w:rsidRDefault="002530E2">
      <w:r>
        <w:t>This study sheds light on the complexities of cross-cultural blunders by MNCs operating in Muslim-majority and minority countries. By adopting a grounded theory research approach and leveraging triangulation, the study generated valuable insights into the contributing factors, consequences, and prevention strategies for these blunders. The findings contribute to theoretical knowledge and practical implications, offering guidance to MNCs and paving the way for future research in this field. The outcomes of this study will foster better cross-cultural understanding and enable effective engagement between MNCs and diverse cultural contexts.</w:t>
      </w:r>
    </w:p>
    <w:p w14:paraId="72094F27" w14:textId="77777777" w:rsidR="002530E2" w:rsidRDefault="002530E2">
      <w:pPr>
        <w:pBdr>
          <w:top w:val="nil"/>
          <w:left w:val="nil"/>
          <w:bottom w:val="nil"/>
          <w:right w:val="nil"/>
          <w:between w:val="nil"/>
        </w:pBdr>
      </w:pPr>
    </w:p>
    <w:p w14:paraId="6A2E88D2" w14:textId="77777777" w:rsidR="002530E2" w:rsidRDefault="002530E2">
      <w:pPr>
        <w:pBdr>
          <w:top w:val="nil"/>
          <w:left w:val="nil"/>
          <w:bottom w:val="nil"/>
          <w:right w:val="nil"/>
          <w:between w:val="nil"/>
        </w:pBdr>
      </w:pPr>
      <w:r>
        <w:br w:type="page"/>
      </w:r>
    </w:p>
    <w:p w14:paraId="1643D1A9" w14:textId="77777777" w:rsidR="002530E2" w:rsidRDefault="002530E2">
      <w:pPr>
        <w:pBdr>
          <w:top w:val="nil"/>
          <w:left w:val="nil"/>
          <w:bottom w:val="nil"/>
          <w:right w:val="nil"/>
          <w:between w:val="nil"/>
        </w:pBdr>
      </w:pPr>
    </w:p>
    <w:p w14:paraId="42CEED0D" w14:textId="77777777" w:rsidR="002530E2" w:rsidRDefault="002530E2">
      <w:pPr>
        <w:pBdr>
          <w:top w:val="nil"/>
          <w:left w:val="nil"/>
          <w:bottom w:val="nil"/>
          <w:right w:val="nil"/>
          <w:between w:val="nil"/>
        </w:pBdr>
        <w:spacing w:after="0"/>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2FB705EA"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768EF74" w14:textId="77777777" w:rsidR="002530E2" w:rsidRDefault="002530E2">
            <w:pPr>
              <w:pStyle w:val="Heading1"/>
              <w:widowControl w:val="0"/>
              <w:spacing w:before="0" w:after="0" w:line="240" w:lineRule="auto"/>
              <w:jc w:val="center"/>
            </w:pPr>
            <w:bookmarkStart w:id="68" w:name="_heading=h.ihv636" w:colFirst="0" w:colLast="0"/>
            <w:bookmarkEnd w:id="68"/>
            <w:r>
              <w:t>CHAPTER SUMMARY</w:t>
            </w:r>
          </w:p>
        </w:tc>
      </w:tr>
    </w:tbl>
    <w:p w14:paraId="1B6AB482" w14:textId="77777777" w:rsidR="002530E2" w:rsidRDefault="002530E2">
      <w:pPr>
        <w:spacing w:after="0"/>
        <w:jc w:val="center"/>
        <w:rPr>
          <w:color w:val="1C4587"/>
        </w:rPr>
      </w:pPr>
    </w:p>
    <w:p w14:paraId="679B922D" w14:textId="77777777" w:rsidR="002530E2" w:rsidRDefault="002530E2">
      <w:pPr>
        <w:spacing w:after="0"/>
        <w:jc w:val="center"/>
      </w:pPr>
      <w:r>
        <w:t>“A discussion is a polite fight.“</w:t>
      </w:r>
    </w:p>
    <w:p w14:paraId="5643B5F7" w14:textId="77777777" w:rsidR="002530E2" w:rsidRDefault="002530E2">
      <w:pPr>
        <w:spacing w:after="0" w:line="240" w:lineRule="auto"/>
        <w:jc w:val="center"/>
        <w:rPr>
          <w:i/>
          <w:sz w:val="18"/>
          <w:szCs w:val="18"/>
        </w:rPr>
      </w:pPr>
      <w:r>
        <w:rPr>
          <w:i/>
          <w:sz w:val="18"/>
          <w:szCs w:val="18"/>
        </w:rPr>
        <w:t>— Arthur Schopenhauer, 1788-1860 (Schopenhauer, 1851)</w:t>
      </w:r>
    </w:p>
    <w:p w14:paraId="7EA8BAF7" w14:textId="77777777" w:rsidR="002530E2" w:rsidRDefault="002530E2">
      <w:pPr>
        <w:spacing w:after="0" w:line="240" w:lineRule="auto"/>
        <w:jc w:val="center"/>
        <w:rPr>
          <w:i/>
          <w:sz w:val="18"/>
          <w:szCs w:val="18"/>
        </w:rPr>
      </w:pPr>
    </w:p>
    <w:p w14:paraId="2A1987B3" w14:textId="77777777" w:rsidR="002530E2" w:rsidRDefault="002530E2">
      <w:pPr>
        <w:spacing w:after="0" w:line="240" w:lineRule="auto"/>
        <w:jc w:val="center"/>
        <w:rPr>
          <w:i/>
          <w:sz w:val="18"/>
          <w:szCs w:val="18"/>
        </w:rPr>
      </w:pPr>
    </w:p>
    <w:p w14:paraId="30779C25" w14:textId="77777777" w:rsidR="002530E2" w:rsidRDefault="002530E2">
      <w:r>
        <w:t>Upon concluding the previous chapter on methodology, this chapter serves as a comprehensive summary that encapsulates the key insights and justifies the inclusion of each section to achieve a successful closure. The discussion section initiates the exploration by revisiting the research questions, objectives, literature review, and methods. By aligning these foundational elements with the subsequent sections, the summary underscores the logical progression of the analysis.</w:t>
      </w:r>
    </w:p>
    <w:p w14:paraId="77AE012B" w14:textId="77777777" w:rsidR="002530E2" w:rsidRDefault="002530E2">
      <w:r>
        <w:t>The findings from established theories, previous studies, and incident reports significantly contribute to the discussion. These sections shed light on the most prevalent cross-cultural blunders made by multinational corporations (MNCs), the consequences Muslims face due to these blunders, and the overarching impact and ramifications experienced by the MNCs. By presenting these findings, the summary emphasises the significance of these sections in furthering the understanding of cross-cultural blunders by MNCs.</w:t>
      </w:r>
    </w:p>
    <w:p w14:paraId="696FC4A2" w14:textId="77777777" w:rsidR="002530E2" w:rsidRDefault="002530E2">
      <w:r>
        <w:t>This section is important because it examines common cross-cultural mistakes and their effects on Muslims and MNCs. Analysing various threads of information provides a comprehensive perspective on the research findings. Its inclusion in the summary highlights its importance in synthesising key insights and offering valuable guidance to MNCs aiming to enhance their cross-cultural interactions.</w:t>
      </w:r>
    </w:p>
    <w:p w14:paraId="7FD757FC" w14:textId="77777777" w:rsidR="002530E2" w:rsidRDefault="002530E2">
      <w:r>
        <w:t>In addition to the main findings, the discussion delves into other discoveries made during the research, adding more depth and complexity to the analysis. The study’s potential for future exploration is wide, enabling a broader range of research opportunities.</w:t>
      </w:r>
    </w:p>
    <w:p w14:paraId="03575649" w14:textId="77777777" w:rsidR="002530E2" w:rsidRDefault="002530E2">
      <w:r>
        <w:t>The recommendations for MNCs, implications for future research, and suggestions for further investigations take a forward-looking approach. These sections bridge the gap between theoretical analysis and practical application, ensuring that the research findings have tangible value for organisations operating in cross-cultural contexts. The summary acknowledges the importance of these sections in guiding future endeavours and advancing knowledge in the field.</w:t>
      </w:r>
    </w:p>
    <w:p w14:paraId="4895EC2F" w14:textId="77777777" w:rsidR="002530E2" w:rsidRDefault="002530E2">
      <w:r>
        <w:t>Throughout the study, it became clear that there were gaps in the research that needed addressing. These gaps are significant and deserve attention in future research endeavours. Exploring these areas enables the research to continue to evolve our understanding of cross-cultural blunders in the context of MNCs and contribute to a more comprehensive understanding of this important topic.</w:t>
      </w:r>
    </w:p>
    <w:p w14:paraId="3A92B3B9" w14:textId="77777777" w:rsidR="002530E2" w:rsidRDefault="002530E2">
      <w:r>
        <w:t>Discussing the study’s limitations and biases reinforces the integrity and transparency of the research process. It serves as a reminder that further investigations are necessary to refine and expand the existing knowledge base.</w:t>
      </w:r>
    </w:p>
    <w:p w14:paraId="29058238" w14:textId="77777777" w:rsidR="002530E2" w:rsidRDefault="002530E2">
      <w:r>
        <w:t xml:space="preserve">Finally, the conclusion section summarises the key points discussed in concluding the chapter. It emphasises the study’s contributions to understanding and mitigating cross-cultural blunders by </w:t>
      </w:r>
      <w:r>
        <w:lastRenderedPageBreak/>
        <w:t>MNCs, reiterating their significance in addressing the challenges faced in global business environments.</w:t>
      </w:r>
    </w:p>
    <w:p w14:paraId="53617928" w14:textId="77777777" w:rsidR="002530E2" w:rsidRDefault="002530E2">
      <w:r>
        <w:t>By providing a descriptive overview of each section within this chapter, the chapter conclusion summary effectively justifies the inclusion of every subsection, reinforcing their contributions to the research inquiry and the overall coherence of the chapter.</w:t>
      </w:r>
    </w:p>
    <w:p w14:paraId="5D71D310" w14:textId="77777777" w:rsidR="002530E2" w:rsidRDefault="002530E2">
      <w:pPr>
        <w:pBdr>
          <w:top w:val="nil"/>
          <w:left w:val="nil"/>
          <w:bottom w:val="nil"/>
          <w:right w:val="nil"/>
          <w:between w:val="nil"/>
        </w:pBdr>
        <w:rPr>
          <w:color w:val="000000"/>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0A965F28"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2BAFD5A" w14:textId="77777777" w:rsidR="002530E2" w:rsidRDefault="002530E2">
            <w:pPr>
              <w:widowControl w:val="0"/>
              <w:pBdr>
                <w:top w:val="nil"/>
                <w:left w:val="nil"/>
                <w:bottom w:val="nil"/>
                <w:right w:val="nil"/>
                <w:between w:val="nil"/>
              </w:pBdr>
              <w:spacing w:after="200" w:line="276" w:lineRule="auto"/>
              <w:jc w:val="center"/>
              <w:rPr>
                <w:color w:val="0E101A"/>
                <w:sz w:val="28"/>
                <w:szCs w:val="28"/>
              </w:rPr>
            </w:pPr>
            <w:r>
              <w:rPr>
                <w:rFonts w:ascii="Book Antiqua" w:eastAsia="Book Antiqua" w:hAnsi="Book Antiqua" w:cs="Book Antiqua"/>
                <w:color w:val="0E101A"/>
                <w:sz w:val="28"/>
                <w:szCs w:val="28"/>
              </w:rPr>
              <w:t>CHAPTER 6: CONCLUSION</w:t>
            </w:r>
          </w:p>
        </w:tc>
      </w:tr>
    </w:tbl>
    <w:p w14:paraId="45CD45F1" w14:textId="77777777" w:rsidR="002530E2" w:rsidRDefault="002530E2">
      <w:pPr>
        <w:pBdr>
          <w:top w:val="nil"/>
          <w:left w:val="nil"/>
          <w:bottom w:val="nil"/>
          <w:right w:val="nil"/>
          <w:between w:val="nil"/>
        </w:pBdr>
        <w:rPr>
          <w:color w:val="000000"/>
        </w:rPr>
      </w:pPr>
    </w:p>
    <w:p w14:paraId="6F01022B" w14:textId="77777777" w:rsidR="002530E2" w:rsidRDefault="002530E2">
      <w:pPr>
        <w:pBdr>
          <w:top w:val="nil"/>
          <w:left w:val="nil"/>
          <w:bottom w:val="nil"/>
          <w:right w:val="nil"/>
          <w:between w:val="nil"/>
        </w:pBdr>
        <w:spacing w:before="200" w:after="200" w:line="360" w:lineRule="auto"/>
        <w:jc w:val="center"/>
        <w:rPr>
          <w:color w:val="000000"/>
        </w:rPr>
      </w:pPr>
      <w:r>
        <w:t>“</w:t>
      </w:r>
      <w:r>
        <w:rPr>
          <w:rFonts w:ascii="Book Antiqua" w:eastAsia="Book Antiqua" w:hAnsi="Book Antiqua" w:cs="Book Antiqua"/>
          <w:color w:val="000000"/>
        </w:rPr>
        <w:t xml:space="preserve">The conclusions of science are never final. </w:t>
      </w:r>
    </w:p>
    <w:p w14:paraId="14BD20BD" w14:textId="77777777" w:rsidR="002530E2" w:rsidRDefault="002530E2">
      <w:pPr>
        <w:pBdr>
          <w:top w:val="nil"/>
          <w:left w:val="nil"/>
          <w:bottom w:val="nil"/>
          <w:right w:val="nil"/>
          <w:between w:val="nil"/>
        </w:pBdr>
        <w:spacing w:before="200" w:after="200" w:line="360" w:lineRule="auto"/>
        <w:jc w:val="center"/>
        <w:rPr>
          <w:color w:val="000000"/>
        </w:rPr>
      </w:pPr>
      <w:r>
        <w:rPr>
          <w:rFonts w:ascii="Book Antiqua" w:eastAsia="Book Antiqua" w:hAnsi="Book Antiqua" w:cs="Book Antiqua"/>
          <w:color w:val="000000"/>
        </w:rPr>
        <w:t>The only way that science progresses is by proving itself wrong.</w:t>
      </w:r>
      <w:r>
        <w:t>“</w:t>
      </w:r>
    </w:p>
    <w:p w14:paraId="369DA28A" w14:textId="77777777" w:rsidR="002530E2" w:rsidRDefault="002530E2">
      <w:pPr>
        <w:pBdr>
          <w:top w:val="nil"/>
          <w:left w:val="nil"/>
          <w:bottom w:val="nil"/>
          <w:right w:val="nil"/>
          <w:between w:val="nil"/>
        </w:pBdr>
        <w:spacing w:after="0" w:line="240" w:lineRule="auto"/>
        <w:jc w:val="center"/>
        <w:rPr>
          <w:i/>
          <w:color w:val="000000"/>
          <w:sz w:val="18"/>
          <w:szCs w:val="18"/>
        </w:rPr>
      </w:pPr>
      <w:r>
        <w:rPr>
          <w:rFonts w:ascii="Book Antiqua" w:eastAsia="Book Antiqua" w:hAnsi="Book Antiqua" w:cs="Book Antiqua"/>
          <w:i/>
          <w:color w:val="000000"/>
          <w:sz w:val="18"/>
          <w:szCs w:val="18"/>
        </w:rPr>
        <w:t>— Karl Popper (Popper, 1963)</w:t>
      </w:r>
    </w:p>
    <w:p w14:paraId="58716498" w14:textId="77777777" w:rsidR="002530E2" w:rsidRDefault="002530E2">
      <w:pPr>
        <w:pBdr>
          <w:top w:val="nil"/>
          <w:left w:val="nil"/>
          <w:bottom w:val="nil"/>
          <w:right w:val="nil"/>
          <w:between w:val="nil"/>
        </w:pBdr>
        <w:spacing w:after="0" w:line="240" w:lineRule="auto"/>
        <w:jc w:val="center"/>
        <w:rPr>
          <w:i/>
          <w:color w:val="000000"/>
          <w:sz w:val="18"/>
          <w:szCs w:val="18"/>
        </w:rPr>
      </w:pPr>
    </w:p>
    <w:p w14:paraId="112CFA9B" w14:textId="77777777" w:rsidR="002530E2" w:rsidRDefault="002530E2">
      <w:pPr>
        <w:pBdr>
          <w:top w:val="nil"/>
          <w:left w:val="nil"/>
          <w:bottom w:val="nil"/>
          <w:right w:val="nil"/>
          <w:between w:val="nil"/>
        </w:pBdr>
        <w:spacing w:after="0" w:line="240" w:lineRule="auto"/>
        <w:jc w:val="center"/>
        <w:rPr>
          <w:i/>
          <w:color w:val="000000"/>
          <w:sz w:val="18"/>
          <w:szCs w:val="18"/>
        </w:rPr>
      </w:pPr>
    </w:p>
    <w:p w14:paraId="0596C88E" w14:textId="77777777" w:rsidR="002530E2" w:rsidRDefault="002530E2">
      <w:pPr>
        <w:pBdr>
          <w:top w:val="nil"/>
          <w:left w:val="nil"/>
          <w:bottom w:val="nil"/>
          <w:right w:val="nil"/>
          <w:between w:val="nil"/>
        </w:pBdr>
        <w:spacing w:after="0" w:line="240" w:lineRule="auto"/>
        <w:jc w:val="center"/>
        <w:rPr>
          <w:i/>
          <w:color w:val="000000"/>
          <w:sz w:val="18"/>
          <w:szCs w:val="18"/>
        </w:rPr>
      </w:pPr>
    </w:p>
    <w:p w14:paraId="0498A490" w14:textId="77777777" w:rsidR="002530E2" w:rsidRDefault="002530E2">
      <w:pPr>
        <w:pStyle w:val="Heading4"/>
        <w:spacing w:before="0"/>
        <w:rPr>
          <w:color w:val="FFFFFF"/>
        </w:rPr>
      </w:pPr>
      <w:r>
        <w:rPr>
          <w:color w:val="FFFFFF"/>
        </w:rPr>
        <w:t>TABLE OF CONTENT</w:t>
      </w:r>
    </w:p>
    <w:p w14:paraId="6EEDEBE5"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8"/>
          <w:szCs w:val="28"/>
        </w:rPr>
        <w:t>TABLE OF CONTENT FOR CHAPTER 6</w:t>
      </w:r>
    </w:p>
    <w:sdt>
      <w:sdtPr>
        <w:id w:val="-199546747"/>
        <w:docPartObj>
          <w:docPartGallery w:val="Table of Contents"/>
          <w:docPartUnique/>
        </w:docPartObj>
      </w:sdtPr>
      <w:sdtContent>
        <w:p w14:paraId="387FAA40" w14:textId="77777777" w:rsidR="002530E2" w:rsidRDefault="002530E2">
          <w:pPr>
            <w:widowControl w:val="0"/>
            <w:tabs>
              <w:tab w:val="right" w:leader="dot" w:pos="12000"/>
            </w:tabs>
            <w:spacing w:before="60" w:after="0" w:line="360" w:lineRule="auto"/>
            <w:rPr>
              <w:rFonts w:ascii="Arial" w:eastAsia="Arial" w:hAnsi="Arial" w:cs="Arial"/>
              <w:color w:val="1155CC"/>
            </w:rPr>
          </w:pPr>
          <w:r>
            <w:fldChar w:fldCharType="begin"/>
          </w:r>
          <w:r>
            <w:instrText xml:space="preserve"> TOC \h \u \z \t "Heading 1,1,Heading 2,2,Heading 3,3,Heading 5,5,Heading 6,6,"</w:instrText>
          </w:r>
          <w:r>
            <w:fldChar w:fldCharType="separate"/>
          </w:r>
          <w:hyperlink w:anchor="_heading=h.1fob9te">
            <w:r>
              <w:rPr>
                <w:rFonts w:ascii="Book Antiqua" w:eastAsia="Book Antiqua" w:hAnsi="Book Antiqua" w:cs="Book Antiqua"/>
                <w:color w:val="1155CC"/>
              </w:rPr>
              <w:t>CHAPTER INTRO</w:t>
            </w:r>
            <w:r>
              <w:rPr>
                <w:rFonts w:ascii="Book Antiqua" w:eastAsia="Book Antiqua" w:hAnsi="Book Antiqua" w:cs="Book Antiqua"/>
                <w:color w:val="1155CC"/>
              </w:rPr>
              <w:tab/>
              <w:t>385</w:t>
            </w:r>
          </w:hyperlink>
        </w:p>
        <w:p w14:paraId="14B32F0C"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3znysh7">
            <w:r>
              <w:rPr>
                <w:rFonts w:ascii="Book Antiqua" w:eastAsia="Book Antiqua" w:hAnsi="Book Antiqua" w:cs="Book Antiqua"/>
                <w:color w:val="1155CC"/>
              </w:rPr>
              <w:t>6.1 — OVERALL CONCLUSION</w:t>
            </w:r>
            <w:r>
              <w:rPr>
                <w:rFonts w:ascii="Book Antiqua" w:eastAsia="Book Antiqua" w:hAnsi="Book Antiqua" w:cs="Book Antiqua"/>
                <w:color w:val="1155CC"/>
              </w:rPr>
              <w:tab/>
              <w:t>386</w:t>
            </w:r>
          </w:hyperlink>
        </w:p>
        <w:p w14:paraId="39209203"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2et92p0">
            <w:r>
              <w:rPr>
                <w:rFonts w:ascii="Book Antiqua" w:eastAsia="Book Antiqua" w:hAnsi="Book Antiqua" w:cs="Book Antiqua"/>
                <w:color w:val="1155CC"/>
              </w:rPr>
              <w:t>6.2 — KNOWLEDGE CONTRIBUTION</w:t>
            </w:r>
            <w:r>
              <w:rPr>
                <w:rFonts w:ascii="Book Antiqua" w:eastAsia="Book Antiqua" w:hAnsi="Book Antiqua" w:cs="Book Antiqua"/>
                <w:color w:val="1155CC"/>
              </w:rPr>
              <w:tab/>
              <w:t>388</w:t>
            </w:r>
          </w:hyperlink>
        </w:p>
        <w:p w14:paraId="318E4ED6" w14:textId="77777777" w:rsidR="002530E2" w:rsidRDefault="002530E2">
          <w:pPr>
            <w:widowControl w:val="0"/>
            <w:tabs>
              <w:tab w:val="right" w:leader="dot" w:pos="12000"/>
            </w:tabs>
            <w:spacing w:before="60" w:after="0" w:line="360" w:lineRule="auto"/>
            <w:ind w:left="360"/>
            <w:rPr>
              <w:rFonts w:ascii="Arial" w:eastAsia="Arial" w:hAnsi="Arial" w:cs="Arial"/>
              <w:color w:val="1155CC"/>
            </w:rPr>
          </w:pPr>
          <w:hyperlink w:anchor="_heading=h.tyjcwt">
            <w:r>
              <w:rPr>
                <w:rFonts w:ascii="Book Antiqua" w:eastAsia="Book Antiqua" w:hAnsi="Book Antiqua" w:cs="Book Antiqua"/>
                <w:color w:val="1155CC"/>
              </w:rPr>
              <w:t>6.2.1 — DISSEMINATIONS</w:t>
            </w:r>
            <w:r>
              <w:rPr>
                <w:rFonts w:ascii="Book Antiqua" w:eastAsia="Book Antiqua" w:hAnsi="Book Antiqua" w:cs="Book Antiqua"/>
                <w:color w:val="1155CC"/>
              </w:rPr>
              <w:tab/>
              <w:t>389</w:t>
            </w:r>
          </w:hyperlink>
        </w:p>
        <w:p w14:paraId="3B73481A"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3dy6vkm">
            <w:r>
              <w:rPr>
                <w:rFonts w:ascii="Book Antiqua" w:eastAsia="Book Antiqua" w:hAnsi="Book Antiqua" w:cs="Book Antiqua"/>
                <w:color w:val="1155CC"/>
              </w:rPr>
              <w:t>6.3 — ORIGINALITY</w:t>
            </w:r>
            <w:r>
              <w:rPr>
                <w:rFonts w:ascii="Book Antiqua" w:eastAsia="Book Antiqua" w:hAnsi="Book Antiqua" w:cs="Book Antiqua"/>
                <w:color w:val="1155CC"/>
              </w:rPr>
              <w:tab/>
              <w:t>391</w:t>
            </w:r>
          </w:hyperlink>
        </w:p>
        <w:p w14:paraId="50A1D78C"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1t3h5sf">
            <w:r>
              <w:rPr>
                <w:rFonts w:ascii="Book Antiqua" w:eastAsia="Book Antiqua" w:hAnsi="Book Antiqua" w:cs="Book Antiqua"/>
                <w:color w:val="1155CC"/>
              </w:rPr>
              <w:t>6.4 — POST-THESIS CRITICAL REFLECTION</w:t>
            </w:r>
            <w:r>
              <w:rPr>
                <w:rFonts w:ascii="Book Antiqua" w:eastAsia="Book Antiqua" w:hAnsi="Book Antiqua" w:cs="Book Antiqua"/>
                <w:color w:val="1155CC"/>
              </w:rPr>
              <w:tab/>
              <w:t>392</w:t>
            </w:r>
          </w:hyperlink>
        </w:p>
        <w:p w14:paraId="6BD70859" w14:textId="77777777" w:rsidR="002530E2" w:rsidRDefault="002530E2">
          <w:pPr>
            <w:widowControl w:val="0"/>
            <w:tabs>
              <w:tab w:val="right" w:leader="dot" w:pos="12000"/>
            </w:tabs>
            <w:spacing w:before="60" w:after="0" w:line="360" w:lineRule="auto"/>
            <w:rPr>
              <w:rFonts w:ascii="Arial" w:eastAsia="Arial" w:hAnsi="Arial" w:cs="Arial"/>
              <w:color w:val="1155CC"/>
            </w:rPr>
          </w:pPr>
          <w:hyperlink w:anchor="_heading=h.4d34og8">
            <w:r>
              <w:rPr>
                <w:rFonts w:ascii="Book Antiqua" w:eastAsia="Book Antiqua" w:hAnsi="Book Antiqua" w:cs="Book Antiqua"/>
                <w:color w:val="1155CC"/>
              </w:rPr>
              <w:t>CHAPTER SUMMARY</w:t>
            </w:r>
            <w:r>
              <w:rPr>
                <w:rFonts w:ascii="Book Antiqua" w:eastAsia="Book Antiqua" w:hAnsi="Book Antiqua" w:cs="Book Antiqua"/>
                <w:color w:val="1155CC"/>
              </w:rPr>
              <w:tab/>
              <w:t>393</w:t>
            </w:r>
          </w:hyperlink>
          <w:r>
            <w:fldChar w:fldCharType="end"/>
          </w:r>
        </w:p>
      </w:sdtContent>
    </w:sdt>
    <w:p w14:paraId="33682D27" w14:textId="77777777" w:rsidR="002530E2" w:rsidRDefault="002530E2">
      <w:pPr>
        <w:pStyle w:val="Heading1"/>
      </w:pPr>
      <w:r>
        <w:br w:type="page"/>
      </w:r>
    </w:p>
    <w:p w14:paraId="3E98FD85" w14:textId="77777777" w:rsidR="002530E2" w:rsidRDefault="002530E2">
      <w:pPr>
        <w:pBdr>
          <w:top w:val="nil"/>
          <w:left w:val="nil"/>
          <w:bottom w:val="nil"/>
          <w:right w:val="nil"/>
          <w:between w:val="nil"/>
        </w:pBdr>
        <w:rPr>
          <w:color w:val="000000"/>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301A3720"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0E42B4AE" w14:textId="77777777" w:rsidR="002530E2" w:rsidRDefault="002530E2">
            <w:pPr>
              <w:pStyle w:val="Heading1"/>
              <w:widowControl w:val="0"/>
              <w:spacing w:before="0" w:after="0" w:line="240" w:lineRule="auto"/>
              <w:jc w:val="center"/>
            </w:pPr>
            <w:r>
              <w:t>CHAPTER INTRO</w:t>
            </w:r>
          </w:p>
        </w:tc>
      </w:tr>
    </w:tbl>
    <w:p w14:paraId="78C19E23" w14:textId="77777777" w:rsidR="002530E2" w:rsidRDefault="002530E2">
      <w:pPr>
        <w:pBdr>
          <w:top w:val="nil"/>
          <w:left w:val="nil"/>
          <w:bottom w:val="nil"/>
          <w:right w:val="nil"/>
          <w:between w:val="nil"/>
        </w:pBdr>
        <w:spacing w:after="0"/>
        <w:jc w:val="center"/>
        <w:rPr>
          <w:color w:val="000000"/>
        </w:rPr>
      </w:pPr>
    </w:p>
    <w:p w14:paraId="36DCAAEA" w14:textId="77777777" w:rsidR="002530E2" w:rsidRDefault="002530E2">
      <w:pPr>
        <w:pBdr>
          <w:top w:val="nil"/>
          <w:left w:val="nil"/>
          <w:bottom w:val="nil"/>
          <w:right w:val="nil"/>
          <w:between w:val="nil"/>
        </w:pBdr>
        <w:spacing w:before="200" w:after="0"/>
        <w:jc w:val="center"/>
        <w:rPr>
          <w:color w:val="000000"/>
        </w:rPr>
      </w:pPr>
      <w:r>
        <w:rPr>
          <w:rFonts w:ascii="Book Antiqua" w:eastAsia="Book Antiqua" w:hAnsi="Book Antiqua" w:cs="Book Antiqua"/>
          <w:color w:val="000000"/>
        </w:rPr>
        <w:t>“It is easier to come to a conclusion than to come to an understanding.</w:t>
      </w:r>
      <w:r>
        <w:t>“</w:t>
      </w:r>
    </w:p>
    <w:p w14:paraId="4A9592C5" w14:textId="77777777" w:rsidR="002530E2" w:rsidRDefault="002530E2">
      <w:pPr>
        <w:pBdr>
          <w:top w:val="nil"/>
          <w:left w:val="nil"/>
          <w:bottom w:val="nil"/>
          <w:right w:val="nil"/>
          <w:between w:val="nil"/>
        </w:pBdr>
        <w:spacing w:after="0" w:line="240" w:lineRule="auto"/>
        <w:jc w:val="center"/>
        <w:rPr>
          <w:i/>
          <w:color w:val="000000"/>
          <w:sz w:val="18"/>
          <w:szCs w:val="18"/>
        </w:rPr>
      </w:pPr>
      <w:r>
        <w:rPr>
          <w:rFonts w:ascii="Book Antiqua" w:eastAsia="Book Antiqua" w:hAnsi="Book Antiqua" w:cs="Book Antiqua"/>
          <w:i/>
          <w:color w:val="000000"/>
          <w:sz w:val="18"/>
          <w:szCs w:val="18"/>
        </w:rPr>
        <w:t>— Albert Einstein (Einstein, 1954)</w:t>
      </w:r>
    </w:p>
    <w:p w14:paraId="672C7F82" w14:textId="77777777" w:rsidR="002530E2" w:rsidRDefault="002530E2">
      <w:pPr>
        <w:pBdr>
          <w:top w:val="nil"/>
          <w:left w:val="nil"/>
          <w:bottom w:val="nil"/>
          <w:right w:val="nil"/>
          <w:between w:val="nil"/>
        </w:pBdr>
        <w:spacing w:after="200" w:line="480" w:lineRule="auto"/>
        <w:jc w:val="center"/>
        <w:rPr>
          <w:color w:val="000000"/>
        </w:rPr>
      </w:pPr>
    </w:p>
    <w:p w14:paraId="3124864E" w14:textId="77777777" w:rsidR="002530E2" w:rsidRDefault="002530E2">
      <w:r>
        <w:t>This concluding chapter, the “Conclusion,“ marks the culmination of the study, presenting the overall findings, implications, and critical reflections. This chapter represents the final stage of the research journey, integrating the insights and conclusions drawn from the previous chapters (Chapter 1: Introduction, Chapter 2: Study Framework, Chapter 3: Literature Review, Chapter 4: Methodology, and Chapter 5: Discussion) to provide a comprehensive understanding of the research outcomes and their significance.</w:t>
      </w:r>
    </w:p>
    <w:p w14:paraId="61411D46" w14:textId="77777777" w:rsidR="002530E2" w:rsidRDefault="002530E2">
      <w:r>
        <w:t>The sections within this chapter successfully deliver their intended purposes. The conclusion section synthesises the key findings, arguments, and discussions. By revisiting the research questions and objectives established earlier, the conclusion offers a definitive perspective on the main research inquiry. It provides answers and insights for the broader field of study.</w:t>
      </w:r>
    </w:p>
    <w:p w14:paraId="1A0CF673" w14:textId="77777777" w:rsidR="002530E2" w:rsidRDefault="002530E2">
      <w:r>
        <w:t>Moving forward, the sections on originality, knowledge contribution, and additional contributions highlight the research’s unique value to the existing body of knowledge. They emphasise the novel aspects of the study, showcasing its innovative approach and distinct contributions to the field. These sections contextualise the significance of the research within the larger scholarly discourse and recognise its potential impact on future research endeavours.</w:t>
      </w:r>
    </w:p>
    <w:p w14:paraId="7E576274" w14:textId="77777777" w:rsidR="002530E2" w:rsidRDefault="002530E2">
      <w:r>
        <w:t>Furthermore, the post-thesis critical reflection section allows introspection and self-evaluation. It encourages the researcher to reflect on the research process, methodology, and limitations encountered. Such an approach simplifies evaluating the study’s strengths and weaknesses. This section promotes transparency and reflection, further enhancing research credibility and reliability.</w:t>
      </w:r>
    </w:p>
    <w:p w14:paraId="796903AF" w14:textId="77777777" w:rsidR="002530E2" w:rsidRDefault="002530E2">
      <w:r>
        <w:t>This chapter is a comprehensive final chapter that consolidates the study’s findings, presents its contributions to knowledge, and provides critical reflections. The achievement signifies the culmination of the research journey and highlights the significance of the research.</w:t>
      </w:r>
    </w:p>
    <w:p w14:paraId="4CBF410B" w14:textId="77777777" w:rsidR="002530E2" w:rsidRDefault="002530E2">
      <w:pPr>
        <w:pStyle w:val="Heading1"/>
        <w:rPr>
          <w:sz w:val="2"/>
          <w:szCs w:val="2"/>
        </w:rPr>
      </w:pPr>
      <w:bookmarkStart w:id="69" w:name="_heading=h.jslwhvww4bgu" w:colFirst="0" w:colLast="0"/>
      <w:bookmarkEnd w:id="69"/>
    </w:p>
    <w:p w14:paraId="602F0F32" w14:textId="77777777" w:rsidR="002530E2" w:rsidRDefault="002530E2">
      <w:pPr>
        <w:pStyle w:val="Heading1"/>
      </w:pPr>
      <w:r>
        <w:t>6.1 — OVERALL CONCLUSION</w:t>
      </w:r>
    </w:p>
    <w:p w14:paraId="0866E6F4"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This study, which focused on cross-cultural blunders by multinational corporations (MNCs) operating in Muslim-majority and minority countries, successfully addressed the research questions, aims, and objectives by providing comprehensive insights into this phenomenon. The findings underscore the importance of cultural intelligence, sensitivity, and effective communication in avoiding cross-cultural blunders. The study demonstrates that MNCs must develop a profound understanding of cultural dynamics and norms to navigate diverse cultural contexts successfully.</w:t>
      </w:r>
    </w:p>
    <w:p w14:paraId="6EB6E6CB"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lastRenderedPageBreak/>
        <w:t>Research showed that cross-cultural gaffes severely affected Muslim consumers and multinational companies (MNCs), including insensitive marketing strategies and misinterpreting cultural norms. Muslim consumers have experienced offence, perceived disrespect, and exploitation of local communities due to these blunders. MNCs, in turn, have faced strained relationships with local partners, stakeholders, and investors, leading to reputational damage and financial losses.</w:t>
      </w:r>
    </w:p>
    <w:p w14:paraId="79C0F6E0"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To mitigate these consequences, MNCs must prioritise cultural sensitivity and incorporate cultural dimensions into their strategies, including investing in cultural sensitivity training for employees and adopting effective communication practices that consider the cultural values and expectations of the local population. By doing so, MNCs can develop strong relationships with local communities, boost market performance, and limit cross-cultural blunders. The practical implications of this study extend to MNCs operating in Muslim-majority and minority countries.</w:t>
      </w:r>
    </w:p>
    <w:p w14:paraId="7ACBD666"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practical implications of this study extend to MNCs operating in Muslim-majority and minority countries. By comprehensively understanding the factors contributing to cross-cultural blunders and identifying effective strategies for prevention, MNCs can navigate cross-cultural challenges more effectively. It can help MNCs build positive relationships with local communities, avoid reputational damage, and improve their financial performance.</w:t>
      </w:r>
    </w:p>
    <w:p w14:paraId="78ECFDF6" w14:textId="77777777" w:rsidR="002530E2" w:rsidRDefault="002530E2">
      <w:r>
        <w:t>This study adds to the existing literature on cross-cultural management by deepening our understanding of the difficulties multinational corporations (MNCs) encounter when operating across diverse cultural environments. It highlights the significance of cultural differences, communication challenges, and the need for cultural sensitivity in international business operations. This study emphasises the long-term ramifications of cross-cultural errors for multinational corporations (MNCs), encouraging them to integrate cultural considerations into their decision-making processes.</w:t>
      </w:r>
    </w:p>
    <w:p w14:paraId="36D7D0C3" w14:textId="77777777" w:rsidR="002530E2" w:rsidRDefault="002530E2">
      <w:r>
        <w:t>While this study provides valuable insights, it is essential to acknowledge its limitations. The reliance on secondary data sources and the exclusion of primary data collection may have limited the depth and breadth of the analysis. Additionally, the time horizon and sampling techniques could have introduced bias or missed relevant incidents. Future research could consider collecting primary data to capture a broader range of perspectives and experiences, providing a more comprehensive understanding of cross-cultural blunders made by MNCs.</w:t>
      </w:r>
    </w:p>
    <w:p w14:paraId="10708F33" w14:textId="77777777" w:rsidR="002530E2" w:rsidRDefault="002530E2">
      <w:r>
        <w:t>This study concludes that MNCs operating in Muslim-majority and minority countries must profoundly understand cultural dynamics and norms to avoid cross-cultural blunders. The findings highlight the importance of cultural intelligence, sensitivity, and effective communication in the operations of MNCs. MNCs that incorporate cultural dimensions into their strategies can establish positive relationships with local communities, improve market performance, and mitigate cross-cultural blunders by including them. This insight contributes to theoretical knowledge and practical applications for MNCs while opening the way for further research.</w:t>
      </w:r>
    </w:p>
    <w:p w14:paraId="49326082" w14:textId="77777777" w:rsidR="002530E2" w:rsidRDefault="002530E2">
      <w:pPr>
        <w:pStyle w:val="Heading1"/>
      </w:pPr>
      <w:bookmarkStart w:id="70" w:name="_heading=h.u49z0p1ij96b" w:colFirst="0" w:colLast="0"/>
      <w:bookmarkEnd w:id="70"/>
      <w:r>
        <w:br w:type="page"/>
      </w:r>
    </w:p>
    <w:p w14:paraId="2CAD31EC" w14:textId="77777777" w:rsidR="002530E2" w:rsidRDefault="002530E2">
      <w:pPr>
        <w:pStyle w:val="Heading1"/>
      </w:pPr>
      <w:r>
        <w:lastRenderedPageBreak/>
        <w:t>6.2 — KNOWLEDGE CONTRIBUTION</w:t>
      </w:r>
    </w:p>
    <w:p w14:paraId="0B60E448"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 xml:space="preserve">This study contributes to the knowledge base on cross-cultural blunders in several ways. </w:t>
      </w:r>
    </w:p>
    <w:p w14:paraId="1F2264D1"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First, the study provides a comprehensive overview of the most prevalent cross-cultural blunders made by MNCs operating in Muslim-majority and minority countries, which is an exhaustive literature review that identified 51 distinct types of mistakes.</w:t>
      </w:r>
    </w:p>
    <w:p w14:paraId="0582646B"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Second, the study identifies the factors contributing to cross-cultural blunders by MNCs operating in these countries. These factors include cultural mistrust, lack of awareness of cultural norms, poor communication, insensitivity towards religious beliefs, and failure to comply with Islamic laws.</w:t>
      </w:r>
    </w:p>
    <w:p w14:paraId="76532313" w14:textId="77777777" w:rsidR="002530E2" w:rsidRDefault="002530E2">
      <w:r>
        <w:t>Third, the study examines the consequences of cross-cultural blunders for Muslim consumers. Psychological distress, behavioural changes, and attitudinal shifts are some adverse results that could arise.</w:t>
      </w:r>
    </w:p>
    <w:p w14:paraId="6E7597AB" w14:textId="77777777" w:rsidR="002530E2" w:rsidRDefault="002530E2">
      <w:r>
        <w:t>Fourthly, this research details initiatives multinational corporations (MNCs) took to address cross-cultural blunders that led to conflict. These initiatives include public apologies, recalls of offensive products, cultural sensitivity training for employees, engagement with local communities, and collaborations with cultural consultants and experts.</w:t>
      </w:r>
    </w:p>
    <w:p w14:paraId="3048806B" w14:textId="77777777" w:rsidR="002530E2" w:rsidRDefault="002530E2">
      <w:r>
        <w:t>Fifth, the study examines the impact and ramifications of cross-cultural blunders for MNCs and Muslim consumers. These consequences include reputational damage, reduced customer trust, market share loss, and financial losses.</w:t>
      </w:r>
    </w:p>
    <w:p w14:paraId="6873681A"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study proposes several proactive strategies MNCs can adopt to prevent cross-cultural blunders and effectively engage with Muslim consumers. These strategies include conducting thorough cultural research, hiring employees with cultural intelligence, developing cultural awareness training programs, tailoring communication strategies to local cultures, using effective communication strategies, being sensitive to religious sensitivities, and complying with Islamic laws.</w:t>
      </w:r>
    </w:p>
    <w:p w14:paraId="2E6DA87B"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This study’s findings can help MNCs improve their understanding of cross-cultural blunders and develop strategies for avoiding them. The results can also help Muslim consumers be more aware of the potential risks of cross-cultural blunders.</w:t>
      </w:r>
    </w:p>
    <w:p w14:paraId="3FE533E6"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study has also made many contributions to the academic literature. It is the first comprehensive research conducted to address MNCs’ most frequent cross-cultural errors in Muslim-majority and minority countries. This study has also identified factors contributing to cross-cultural blunders and their consequences for multinational companies (MNCs) and Muslim consumers. Furthermore, MNCs can adopt proactive strategies to prevent cross-cultural errors in the future.</w:t>
      </w:r>
    </w:p>
    <w:p w14:paraId="5704E7C1"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This study’s findings are significant and have the power to alter how multinational corporations engage with Muslim consumers.</w:t>
      </w:r>
    </w:p>
    <w:p w14:paraId="723BB1D9" w14:textId="77777777" w:rsidR="002530E2" w:rsidRDefault="002530E2">
      <w:pPr>
        <w:pStyle w:val="Heading2"/>
      </w:pPr>
      <w:r>
        <w:t>6.2.1 — DISSEMINATIONS</w:t>
      </w:r>
    </w:p>
    <w:p w14:paraId="7722D0C2"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study has also made considerable additional contributions to the academic literature and can be used to inform future research on cross-cultural blunders.</w:t>
      </w:r>
    </w:p>
    <w:p w14:paraId="0DAF974B" w14:textId="77777777" w:rsidR="002530E2" w:rsidRDefault="002530E2">
      <w:r>
        <w:lastRenderedPageBreak/>
        <w:t>Compiling, preparing and documenting the following based on the thesis findings and analysis to disseminate to relevant stakeholders, including academic communities, MNCs, and policymakers, with the potential for publication in appropriate fields and industries:</w:t>
      </w:r>
    </w:p>
    <w:p w14:paraId="244BD29E" w14:textId="77777777" w:rsidR="002530E2" w:rsidRDefault="002530E2" w:rsidP="002530E2">
      <w:pPr>
        <w:numPr>
          <w:ilvl w:val="0"/>
          <w:numId w:val="40"/>
        </w:numPr>
        <w:spacing w:before="240" w:after="240" w:line="432" w:lineRule="auto"/>
        <w:jc w:val="both"/>
      </w:pPr>
      <w:r>
        <w:t>A DOs &amp; DON'Ts Checklist on best practices for Muslims when responding to cross-cultural blunders is presented in Appendices under Appendix (CHP:6) 001. This checklist provides Muslims practical guidance on reacting respectfully and constructively to cross-cultural missteps.</w:t>
      </w:r>
    </w:p>
    <w:p w14:paraId="0BDBBDFC" w14:textId="77777777" w:rsidR="002530E2" w:rsidRDefault="002530E2" w:rsidP="002530E2">
      <w:pPr>
        <w:numPr>
          <w:ilvl w:val="0"/>
          <w:numId w:val="40"/>
        </w:numPr>
        <w:spacing w:before="240" w:after="240" w:line="432" w:lineRule="auto"/>
        <w:jc w:val="both"/>
      </w:pPr>
      <w:r>
        <w:t>A DOs &amp; DON’Ts Checklist on best practices for MNCs on avoiding cross-cultural blunders when engaging with Muslim consumers is presented in Appendices under Appendix (CHP:6) 002. This checklist would offer MNCs practical guidance on preventing cross-cultural missteps and minimising potential damage to their reputation and relationships with Muslim consumers.</w:t>
      </w:r>
    </w:p>
    <w:p w14:paraId="08142413" w14:textId="77777777" w:rsidR="002530E2" w:rsidRDefault="002530E2" w:rsidP="002530E2">
      <w:pPr>
        <w:numPr>
          <w:ilvl w:val="0"/>
          <w:numId w:val="40"/>
        </w:numPr>
        <w:spacing w:before="240" w:after="240" w:line="432" w:lineRule="auto"/>
        <w:jc w:val="both"/>
      </w:pPr>
      <w:r>
        <w:t>A DOs &amp; DON’Ts Checklist on how MNCs should address cross-cultural mistakes after disasters have occurred as best practices is in Appendices under Appendix (CHP:6) 003. MNCs could use this checklist as practical guidance on addressing issues, disputes, and conflicts raised after cross-cultural mistakes have occurred and dealing with situations following those errors in an organised and professional way - thus avoiding future disagreements and problems.</w:t>
      </w:r>
    </w:p>
    <w:p w14:paraId="07B890DF" w14:textId="77777777" w:rsidR="002530E2" w:rsidRDefault="002530E2" w:rsidP="002530E2">
      <w:pPr>
        <w:numPr>
          <w:ilvl w:val="0"/>
          <w:numId w:val="40"/>
        </w:numPr>
        <w:spacing w:before="240" w:after="240" w:line="432" w:lineRule="auto"/>
        <w:jc w:val="both"/>
      </w:pPr>
      <w:r>
        <w:t>A final academic research article with potential future publication is in Appendices under Appendix (CHP:6) 004. This report will provide a comprehensive overview of the research findings presented in this study and discuss the implications for practitioners and policymakers.</w:t>
      </w:r>
    </w:p>
    <w:p w14:paraId="4E9A75AE" w14:textId="77777777" w:rsidR="002530E2" w:rsidRDefault="002530E2" w:rsidP="002530E2">
      <w:pPr>
        <w:numPr>
          <w:ilvl w:val="0"/>
          <w:numId w:val="40"/>
        </w:numPr>
        <w:spacing w:before="240" w:after="240" w:line="432" w:lineRule="auto"/>
        <w:jc w:val="both"/>
      </w:pPr>
      <w:r>
        <w:t>A final research article with potential future publication is in Appendices under Appendix (CHP:6) 005. This report will offer a more thorough examination of the research findings presented in this study and discuss their theoretical and methodological ramifications.</w:t>
      </w:r>
    </w:p>
    <w:p w14:paraId="16A176AB" w14:textId="77777777" w:rsidR="002530E2" w:rsidRDefault="002530E2" w:rsidP="002530E2">
      <w:pPr>
        <w:numPr>
          <w:ilvl w:val="0"/>
          <w:numId w:val="40"/>
        </w:numPr>
        <w:spacing w:before="240" w:after="240" w:line="432" w:lineRule="auto"/>
        <w:jc w:val="both"/>
      </w:pPr>
      <w:r>
        <w:t>Conference presentation material: A conference presentation for future academic and industrial conferences is in Appendices under Appendix (CHP:6) 006. This conference presentation will offer an overview of the research findings presented in this study and discuss their implications for practitioners and policymakers.</w:t>
      </w:r>
    </w:p>
    <w:p w14:paraId="4B524B86" w14:textId="77777777" w:rsidR="002530E2" w:rsidRDefault="002530E2" w:rsidP="002530E2">
      <w:pPr>
        <w:numPr>
          <w:ilvl w:val="0"/>
          <w:numId w:val="40"/>
        </w:numPr>
        <w:spacing w:before="240" w:after="240" w:line="432" w:lineRule="auto"/>
        <w:jc w:val="both"/>
      </w:pPr>
      <w:r>
        <w:lastRenderedPageBreak/>
        <w:t xml:space="preserve">A futuristic book chapter outline with potential for publication in a future book relevant to this study’s topic is in Appendices under Appendix (CHP:6) 007. This research tool can be essential in future academic studies and industrial applications. </w:t>
      </w:r>
    </w:p>
    <w:p w14:paraId="2F281F82"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author of this study believes that the contributions proposed in this study will significantly contribute to cross-cultural communication. The author is confident that these contributions will interest researchers, practitioners, and industrial practitioners.</w:t>
      </w:r>
    </w:p>
    <w:p w14:paraId="314D912C" w14:textId="77777777" w:rsidR="002530E2" w:rsidRDefault="002530E2">
      <w:pPr>
        <w:pStyle w:val="Heading1"/>
      </w:pPr>
      <w:bookmarkStart w:id="71" w:name="_heading=h.nio1kotiu82u" w:colFirst="0" w:colLast="0"/>
      <w:bookmarkEnd w:id="71"/>
      <w:r>
        <w:br w:type="page"/>
      </w:r>
    </w:p>
    <w:p w14:paraId="07C721C0" w14:textId="77777777" w:rsidR="002530E2" w:rsidRDefault="002530E2">
      <w:pPr>
        <w:pStyle w:val="Heading1"/>
      </w:pPr>
      <w:r>
        <w:lastRenderedPageBreak/>
        <w:t>6.3 — ORIGINALITY</w:t>
      </w:r>
    </w:p>
    <w:p w14:paraId="7D667147"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This study stands out in numerous ways, demonstrating originality throughout its findings.</w:t>
      </w:r>
    </w:p>
    <w:p w14:paraId="5E14A947"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First, it is the first study to provide a comprehensive overview of the different types of cross-cultural blunders made by MNCs in Muslim-majority and minority countries between 2010 and 2020. Based on a systematic literature review, the study identifies 20 different types of errors. This overview is valuable for multinationals and other organisations operating in these markets.</w:t>
      </w:r>
    </w:p>
    <w:p w14:paraId="59AEE5A1"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 xml:space="preserve">Second, the study identifies the factors contributing to cross-cultural blunders by MNCs operating in these countries. There may also be cultural misunderstandings, lack of cultural awareness and poor communication between MNCs and Muslim consumers; this study’s identification of such factors adds authentic knowledge on cross-cultural blunders. </w:t>
      </w:r>
    </w:p>
    <w:p w14:paraId="25AC2D5A"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Thirdly, this research investigates their consequences on MNCs and Muslim consumers alike. Studies reveal that such mistakes significantly harm multinational companies’ reputations, customer trust and financial performance. The study also finds that these blunders can harm Muslim consumers’ psychological well-being and behavioural intentions. This study’s examination of cross-cultural missteps is innovative and adds to existing knowledge.</w:t>
      </w:r>
    </w:p>
    <w:p w14:paraId="5954A3B2" w14:textId="77777777" w:rsidR="002530E2" w:rsidRDefault="002530E2">
      <w:pPr>
        <w:pBdr>
          <w:top w:val="nil"/>
          <w:left w:val="nil"/>
          <w:bottom w:val="nil"/>
          <w:right w:val="nil"/>
          <w:between w:val="nil"/>
        </w:pBdr>
        <w:rPr>
          <w:color w:val="000000"/>
        </w:rPr>
      </w:pPr>
      <w:r>
        <w:rPr>
          <w:rFonts w:ascii="Book Antiqua" w:eastAsia="Book Antiqua" w:hAnsi="Book Antiqua" w:cs="Book Antiqua"/>
          <w:color w:val="000000"/>
          <w:sz w:val="20"/>
          <w:szCs w:val="20"/>
        </w:rPr>
        <w:t>The findings of this study are original and contribute to the existing knowledge base on cross-cultural blunders. The study’s findings have important implications for MNCs and Muslim consumers and can be used to inform future research on cross-cultural blunders.</w:t>
      </w:r>
    </w:p>
    <w:p w14:paraId="1F18C0E1" w14:textId="77777777" w:rsidR="002530E2" w:rsidRDefault="002530E2">
      <w:pPr>
        <w:pStyle w:val="Heading1"/>
      </w:pPr>
      <w:bookmarkStart w:id="72" w:name="_heading=h.hjhf36ewlqva" w:colFirst="0" w:colLast="0"/>
      <w:bookmarkEnd w:id="72"/>
      <w:r>
        <w:br w:type="page"/>
      </w:r>
    </w:p>
    <w:p w14:paraId="13AC29B8" w14:textId="77777777" w:rsidR="002530E2" w:rsidRDefault="002530E2">
      <w:pPr>
        <w:pStyle w:val="Heading1"/>
        <w:rPr>
          <w:color w:val="1C4587"/>
        </w:rPr>
      </w:pPr>
      <w:r>
        <w:lastRenderedPageBreak/>
        <w:t>6.4 — POST-THESIS CRITICAL REFLECTION</w:t>
      </w:r>
    </w:p>
    <w:p w14:paraId="4EC9313D" w14:textId="77777777" w:rsidR="002530E2" w:rsidRDefault="002530E2">
      <w:r>
        <w:t>Following a careful examination and reflection on this thesis, the author of this study developed further literature as outlined below:</w:t>
      </w:r>
    </w:p>
    <w:p w14:paraId="1772D03F" w14:textId="77777777" w:rsidR="002530E2" w:rsidRDefault="002530E2" w:rsidP="002530E2">
      <w:pPr>
        <w:numPr>
          <w:ilvl w:val="0"/>
          <w:numId w:val="41"/>
        </w:numPr>
        <w:spacing w:before="240" w:after="240" w:line="432" w:lineRule="auto"/>
        <w:jc w:val="both"/>
      </w:pPr>
      <w:r>
        <w:t>A DOs &amp; DON’Ts Checklist (to be followed up on in completing the thesis) for external examiners marking and grading the thesis is in Appendices under Appendix (CHP:6) 008, provides the author of this study with practical guidance on maintaining the quality of the thesis’s writing and presentation in preparation for its examination by external examiners.</w:t>
      </w:r>
    </w:p>
    <w:p w14:paraId="2AABC79F" w14:textId="77777777" w:rsidR="002530E2" w:rsidRDefault="002530E2" w:rsidP="002530E2">
      <w:pPr>
        <w:numPr>
          <w:ilvl w:val="0"/>
          <w:numId w:val="41"/>
        </w:numPr>
        <w:spacing w:before="240" w:after="240" w:line="432" w:lineRule="auto"/>
        <w:jc w:val="both"/>
      </w:pPr>
      <w:r>
        <w:t>Questionnaire 1 consists of 4 potential questions for future VIVA interviews (as part of the PhD end-process examination) and short answers with justifications on best practices for Muslims when responding to cross-cultural blunders. This checklist in Appendices under Appendix (CHP:6) 009 serves as a practical resource for researchers who want to prepare themselves in advance to answer VIVA questions and defend their thesis.</w:t>
      </w:r>
    </w:p>
    <w:p w14:paraId="1B15E439" w14:textId="77777777" w:rsidR="002530E2" w:rsidRDefault="002530E2" w:rsidP="002530E2">
      <w:pPr>
        <w:numPr>
          <w:ilvl w:val="0"/>
          <w:numId w:val="41"/>
        </w:numPr>
        <w:spacing w:before="240" w:after="240" w:line="432" w:lineRule="auto"/>
        <w:jc w:val="both"/>
      </w:pPr>
      <w:r>
        <w:t>Questionnaire 2, consisting of 50 potential questions for future VIVA interviews (as part of the PhD end-process examination) and short answers with justifications on best practices for Muslims when responding to cross-cultural blunders. This Q&amp;A in Appendices under Appendix (CHP:6) 010 acts as a checklist that provides the author of this study with practical guidance on how to react to VIVA questions and defend his thesis.</w:t>
      </w:r>
    </w:p>
    <w:p w14:paraId="31E120CC" w14:textId="77777777" w:rsidR="002530E2" w:rsidRDefault="002530E2">
      <w:pPr>
        <w:pBdr>
          <w:top w:val="nil"/>
          <w:left w:val="nil"/>
          <w:bottom w:val="nil"/>
          <w:right w:val="nil"/>
          <w:between w:val="nil"/>
        </w:pBdr>
      </w:pPr>
    </w:p>
    <w:p w14:paraId="24B3ED88" w14:textId="77777777" w:rsidR="002530E2" w:rsidRDefault="002530E2">
      <w:pPr>
        <w:pBdr>
          <w:top w:val="nil"/>
          <w:left w:val="nil"/>
          <w:bottom w:val="nil"/>
          <w:right w:val="nil"/>
          <w:between w:val="nil"/>
        </w:pBdr>
      </w:pPr>
      <w:r>
        <w:br w:type="page"/>
      </w:r>
    </w:p>
    <w:p w14:paraId="25AC2F75" w14:textId="77777777" w:rsidR="002530E2" w:rsidRDefault="002530E2">
      <w:pPr>
        <w:pBdr>
          <w:top w:val="nil"/>
          <w:left w:val="nil"/>
          <w:bottom w:val="nil"/>
          <w:right w:val="nil"/>
          <w:between w:val="nil"/>
        </w:pBd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39491D06"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59A5660E" w14:textId="77777777" w:rsidR="002530E2" w:rsidRDefault="002530E2">
            <w:pPr>
              <w:pStyle w:val="Heading1"/>
              <w:widowControl w:val="0"/>
              <w:spacing w:before="0" w:after="0" w:line="240" w:lineRule="auto"/>
              <w:jc w:val="center"/>
            </w:pPr>
            <w:r>
              <w:t>CHAPTER SUMMARY</w:t>
            </w:r>
          </w:p>
        </w:tc>
      </w:tr>
    </w:tbl>
    <w:p w14:paraId="44EB4546" w14:textId="77777777" w:rsidR="002530E2" w:rsidRDefault="002530E2">
      <w:pPr>
        <w:spacing w:after="0"/>
        <w:jc w:val="center"/>
      </w:pPr>
    </w:p>
    <w:p w14:paraId="10CD5CF5" w14:textId="77777777" w:rsidR="002530E2" w:rsidRDefault="002530E2">
      <w:pPr>
        <w:spacing w:after="0"/>
        <w:jc w:val="center"/>
      </w:pPr>
      <w:r>
        <w:t>“The conclusion is that there is no conclusion.“</w:t>
      </w:r>
    </w:p>
    <w:p w14:paraId="3173E445" w14:textId="77777777" w:rsidR="002530E2" w:rsidRDefault="002530E2">
      <w:pPr>
        <w:spacing w:after="0" w:line="240" w:lineRule="auto"/>
        <w:jc w:val="center"/>
        <w:rPr>
          <w:i/>
          <w:sz w:val="18"/>
          <w:szCs w:val="18"/>
        </w:rPr>
      </w:pPr>
      <w:r>
        <w:rPr>
          <w:i/>
          <w:sz w:val="18"/>
          <w:szCs w:val="18"/>
        </w:rPr>
        <w:t>— Ludwig Wittgenstein, 1889-1951 (Wittgenstein, 1953)</w:t>
      </w:r>
    </w:p>
    <w:p w14:paraId="4608E68F" w14:textId="77777777" w:rsidR="002530E2" w:rsidRDefault="002530E2">
      <w:pPr>
        <w:spacing w:after="0" w:line="240" w:lineRule="auto"/>
        <w:jc w:val="center"/>
        <w:rPr>
          <w:i/>
          <w:sz w:val="18"/>
          <w:szCs w:val="18"/>
        </w:rPr>
      </w:pPr>
    </w:p>
    <w:p w14:paraId="5E81DE54" w14:textId="77777777" w:rsidR="002530E2" w:rsidRDefault="002530E2">
      <w:pPr>
        <w:spacing w:after="0" w:line="240" w:lineRule="auto"/>
        <w:jc w:val="center"/>
        <w:rPr>
          <w:i/>
          <w:sz w:val="18"/>
          <w:szCs w:val="18"/>
        </w:rPr>
      </w:pPr>
    </w:p>
    <w:p w14:paraId="373B2950" w14:textId="77777777" w:rsidR="002530E2" w:rsidRDefault="002530E2">
      <w:pPr>
        <w:spacing w:after="0" w:line="240" w:lineRule="auto"/>
        <w:jc w:val="center"/>
        <w:rPr>
          <w:i/>
          <w:sz w:val="18"/>
          <w:szCs w:val="18"/>
        </w:rPr>
      </w:pPr>
    </w:p>
    <w:p w14:paraId="73ACB202" w14:textId="77777777" w:rsidR="002530E2" w:rsidRDefault="002530E2">
      <w:pPr>
        <w:pBdr>
          <w:top w:val="nil"/>
          <w:left w:val="nil"/>
          <w:bottom w:val="nil"/>
          <w:right w:val="nil"/>
          <w:between w:val="nil"/>
        </w:pBdr>
      </w:pPr>
      <w:r>
        <w:t>To sum up, this final chapter marks the end of a long and arduous research journey. It culminates years of hard work, extensive intellectual exploration, and rigorous analysis. It is a testament to the author’s unwavering commitment to knowledge advancement and the pursuit of truth.</w:t>
      </w:r>
    </w:p>
    <w:p w14:paraId="4335EFA9" w14:textId="77777777" w:rsidR="002530E2" w:rsidRDefault="002530E2">
      <w:pPr>
        <w:pBdr>
          <w:top w:val="nil"/>
          <w:left w:val="nil"/>
          <w:bottom w:val="nil"/>
          <w:right w:val="nil"/>
          <w:between w:val="nil"/>
        </w:pBdr>
      </w:pPr>
      <w:r>
        <w:t>Within this chapter, the study’s findings are synthesised and presented in a coherent and organised manner. It provides a comprehensive overview of the research outcomes, shedding light on the patterns, trends, and insights that have emerged from extensive data analysis and investigation. By consolidating these findings, the chapter offers a holistic view of the research. A vast amount of knowledge has been acquired and understood with exceptional clarity.</w:t>
      </w:r>
    </w:p>
    <w:p w14:paraId="073806D5" w14:textId="77777777" w:rsidR="002530E2" w:rsidRDefault="002530E2">
      <w:pPr>
        <w:pBdr>
          <w:top w:val="nil"/>
          <w:left w:val="nil"/>
          <w:bottom w:val="nil"/>
          <w:right w:val="nil"/>
          <w:between w:val="nil"/>
        </w:pBdr>
      </w:pPr>
      <w:r>
        <w:t>Moreover, this final chapter transcends beyond the mere presentation of findings. It delves into the research’s contributions to the broader field of study. It showcases the study’s originality, innovation, or theoretical advancements. It also highlights its unique value and impact on the existing body of knowledge. By demonstrating the significance of the research, this chapter establishes its rightful place within the scholarly landscape. This contribution is significant and has a significant impact on the field.</w:t>
      </w:r>
    </w:p>
    <w:p w14:paraId="0B6AC417" w14:textId="77777777" w:rsidR="002530E2" w:rsidRDefault="002530E2">
      <w:pPr>
        <w:pBdr>
          <w:top w:val="nil"/>
          <w:left w:val="nil"/>
          <w:bottom w:val="nil"/>
          <w:right w:val="nil"/>
          <w:between w:val="nil"/>
        </w:pBdr>
      </w:pPr>
      <w:r>
        <w:t>Additionally, the chapter engages in critical reflection, providing the researcher with an opportunity for introspection and self-evaluation. It invites a deep dive into the research process, methodology, and potential limitations encountered along the way. Through this reflection, the researcher gains valuable insights into the study’s strengths and weaknesses. It is critical to consider areas for improvement and future research directions to build upon this contribution’s significant impact in the field. The author believes that looking at areas for improvement and possible future research directions is crucial to keep building upon this contribution’s impact in the field.</w:t>
      </w:r>
    </w:p>
    <w:p w14:paraId="19F16E5D" w14:textId="77777777" w:rsidR="002530E2" w:rsidRDefault="002530E2">
      <w:pPr>
        <w:pBdr>
          <w:top w:val="nil"/>
          <w:left w:val="nil"/>
          <w:bottom w:val="nil"/>
          <w:right w:val="nil"/>
          <w:between w:val="nil"/>
        </w:pBdr>
      </w:pPr>
      <w:r>
        <w:t>By emphasising the significance of the research in its respective field, this final chapter celebrates the culmination of the study. However, it also underscores its broader implications and relevance. It highlights how the research addresses key gaps, challenges prevailing assumptions, and offers new perspectives that shape scholarly discourse. Doing so demonstrates the research’s lasting impact and potential to inspire future investigations. It can also shape policies and practices and contribute to society’s betterment.</w:t>
      </w:r>
    </w:p>
    <w:p w14:paraId="5E23AE9D" w14:textId="77777777" w:rsidR="002530E2" w:rsidRDefault="002530E2">
      <w:pPr>
        <w:pBdr>
          <w:top w:val="nil"/>
          <w:left w:val="nil"/>
          <w:bottom w:val="nil"/>
          <w:right w:val="nil"/>
          <w:between w:val="nil"/>
        </w:pBdr>
      </w:pPr>
      <w:r>
        <w:t>This comprehensive final chapter encapsulates the essence of the entire research endeavour. It encapsulates the study’s rigour, depth, and significance. It is a testament to the author’s intellectual growth, unwavering dedication, and profound contribution to his chosen field of study. This chapter highlights how vital research is and how it significantly contributes to expanding our knowledge. Maintaining high standards requires a rigorous approach that involves carefully integrating research findings, taking feedback into account, and thoroughly examining everything with a critical eye. As a result, stakeholders can receive exceptional results that meet their expectations. It inspires future scholars and charts upcoming paths for exploration and discovery.</w:t>
      </w:r>
    </w:p>
    <w:p w14:paraId="19EEAC28" w14:textId="77777777" w:rsidR="002530E2" w:rsidRDefault="002530E2">
      <w:pPr>
        <w:pBdr>
          <w:top w:val="nil"/>
          <w:left w:val="nil"/>
          <w:bottom w:val="nil"/>
          <w:right w:val="nil"/>
          <w:between w:val="nil"/>
        </w:pBdr>
      </w:pPr>
      <w:r>
        <w:lastRenderedPageBreak/>
        <w:t>In addition to the comprehensive content presented in this concluding chapter, references and appendices are provided at the end of this thesis. These resources are invaluable for cross-referencing, allowing readers to delve deeper into specific topics, explore related studies, and access supplementary materials supporting this thesis’s research. The references provide a comprehensive list of sources consulted and cited throughout the study. The main objectives are to ensure academic integrity and promote further exploration of the subject matter. The appendices contain additional supporting information, such as raw data, survey instruments, detailed methodology descriptions, or any other relevant materials that enhance the understanding and transparency of the research process. These references and appendices serve as valuable resources for researchers, scholars, and practitioners who wish to further engage with the research presented in this thesis. They also contribute to ongoing debates on cross-cultural blunders.</w:t>
      </w:r>
    </w:p>
    <w:p w14:paraId="744F3C51" w14:textId="77777777" w:rsidR="002530E2" w:rsidRDefault="002530E2">
      <w:pPr>
        <w:spacing w:before="240" w:after="240" w:line="432" w:lineRule="auto"/>
        <w:rPr>
          <w:sz w:val="2"/>
          <w:szCs w:val="2"/>
        </w:rPr>
      </w:pPr>
    </w:p>
    <w:tbl>
      <w:tblPr>
        <w:tblW w:w="393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30"/>
      </w:tblGrid>
      <w:tr w:rsidR="002530E2" w14:paraId="40FE27A3" w14:textId="77777777">
        <w:trPr>
          <w:jc w:val="center"/>
        </w:trPr>
        <w:tc>
          <w:tcPr>
            <w:tcW w:w="3930"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EC9DBB3" w14:textId="77777777" w:rsidR="002530E2" w:rsidRDefault="002530E2">
            <w:pPr>
              <w:widowControl w:val="0"/>
              <w:spacing w:after="0" w:line="276" w:lineRule="auto"/>
              <w:jc w:val="center"/>
              <w:rPr>
                <w:color w:val="0E101A"/>
                <w:sz w:val="28"/>
                <w:szCs w:val="28"/>
              </w:rPr>
            </w:pPr>
            <w:r>
              <w:rPr>
                <w:color w:val="0E101A"/>
                <w:sz w:val="28"/>
                <w:szCs w:val="28"/>
              </w:rPr>
              <w:t>APPENDIX (CHP:3) 001</w:t>
            </w:r>
          </w:p>
        </w:tc>
      </w:tr>
    </w:tbl>
    <w:p w14:paraId="7143683C" w14:textId="77777777" w:rsidR="002530E2" w:rsidRDefault="002530E2">
      <w:pPr>
        <w:pStyle w:val="Heading5"/>
        <w:spacing w:before="100" w:after="100" w:line="240" w:lineRule="auto"/>
        <w:ind w:left="720"/>
        <w:jc w:val="center"/>
        <w:rPr>
          <w:i/>
          <w:sz w:val="18"/>
          <w:szCs w:val="18"/>
        </w:rPr>
      </w:pPr>
      <w:bookmarkStart w:id="73" w:name="_5ryxnbnn1lte" w:colFirst="0" w:colLast="0"/>
      <w:bookmarkEnd w:id="73"/>
      <w:r>
        <w:rPr>
          <w:color w:val="FFFFFF"/>
          <w:sz w:val="16"/>
          <w:szCs w:val="16"/>
        </w:rPr>
        <w:t>TABLE OF CONTENT</w:t>
      </w:r>
    </w:p>
    <w:p w14:paraId="4202C5B3" w14:textId="77777777" w:rsidR="002530E2" w:rsidRDefault="002530E2">
      <w:pPr>
        <w:spacing w:after="0"/>
        <w:jc w:val="center"/>
      </w:pPr>
      <w:r>
        <w:t xml:space="preserve">METHODICAL LITERATURE REVIEW OF RESEARCH THEORIES </w:t>
      </w:r>
    </w:p>
    <w:p w14:paraId="7F674043" w14:textId="77777777" w:rsidR="002530E2" w:rsidRDefault="002530E2">
      <w:pPr>
        <w:spacing w:after="0"/>
        <w:jc w:val="center"/>
      </w:pPr>
    </w:p>
    <w:p w14:paraId="37193B2F" w14:textId="77777777" w:rsidR="002530E2" w:rsidRDefault="002530E2">
      <w:r>
        <w:t>TABLE OF CONTENT FOR APPENDIX (CHP:3) 001</w:t>
      </w:r>
    </w:p>
    <w:sdt>
      <w:sdtPr>
        <w:id w:val="-920874545"/>
        <w:docPartObj>
          <w:docPartGallery w:val="Table of Contents"/>
          <w:docPartUnique/>
        </w:docPartObj>
      </w:sdtPr>
      <w:sdtContent>
        <w:p w14:paraId="5E0042D4" w14:textId="77777777" w:rsidR="002530E2" w:rsidRDefault="002530E2">
          <w:pPr>
            <w:widowControl w:val="0"/>
            <w:tabs>
              <w:tab w:val="right" w:leader="dot" w:pos="12000"/>
            </w:tabs>
            <w:spacing w:before="60" w:after="0" w:line="276" w:lineRule="auto"/>
            <w:rPr>
              <w:rFonts w:ascii="Arial" w:eastAsia="Arial" w:hAnsi="Arial" w:cs="Arial"/>
              <w:b/>
              <w:color w:val="000000"/>
            </w:rPr>
          </w:pPr>
          <w:r>
            <w:fldChar w:fldCharType="begin"/>
          </w:r>
          <w:r>
            <w:instrText xml:space="preserve"> TOC \h \u \z \t "Heading 1,1,Heading 2,2,Heading 3,3,Heading 6,6,"</w:instrText>
          </w:r>
          <w:r>
            <w:fldChar w:fldCharType="separate"/>
          </w:r>
          <w:hyperlink w:anchor="_pvkz7bsqsdut">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424</w:t>
            </w:r>
          </w:hyperlink>
        </w:p>
        <w:p w14:paraId="4B10A72A"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sgd5qghxb2t4">
            <w:r>
              <w:rPr>
                <w:rFonts w:ascii="Book Antiqua" w:eastAsia="Book Antiqua" w:hAnsi="Book Antiqua" w:cs="Book Antiqua"/>
                <w:color w:val="1155CC"/>
                <w:sz w:val="20"/>
                <w:szCs w:val="20"/>
              </w:rPr>
              <w:t>THESIS</w:t>
            </w:r>
            <w:r>
              <w:rPr>
                <w:rFonts w:ascii="Book Antiqua" w:eastAsia="Book Antiqua" w:hAnsi="Book Antiqua" w:cs="Book Antiqua"/>
                <w:color w:val="1155CC"/>
                <w:sz w:val="20"/>
                <w:szCs w:val="20"/>
              </w:rPr>
              <w:tab/>
              <w:t>424</w:t>
            </w:r>
          </w:hyperlink>
        </w:p>
        <w:p w14:paraId="58E9E287"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kkvkcidg7gk4">
            <w:r>
              <w:rPr>
                <w:rFonts w:ascii="Book Antiqua" w:eastAsia="Book Antiqua" w:hAnsi="Book Antiqua" w:cs="Book Antiqua"/>
                <w:color w:val="1155CC"/>
                <w:sz w:val="20"/>
                <w:szCs w:val="20"/>
              </w:rPr>
              <w:t>INTRODUCTION CHAPTER FORMAT</w:t>
            </w:r>
            <w:r>
              <w:rPr>
                <w:rFonts w:ascii="Book Antiqua" w:eastAsia="Book Antiqua" w:hAnsi="Book Antiqua" w:cs="Book Antiqua"/>
                <w:color w:val="1155CC"/>
                <w:sz w:val="20"/>
                <w:szCs w:val="20"/>
              </w:rPr>
              <w:tab/>
              <w:t>425</w:t>
            </w:r>
          </w:hyperlink>
        </w:p>
        <w:p w14:paraId="1FA440F1"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8jtsa9mc3mmf">
            <w:r>
              <w:rPr>
                <w:rFonts w:ascii="Book Antiqua" w:eastAsia="Book Antiqua" w:hAnsi="Book Antiqua" w:cs="Book Antiqua"/>
                <w:color w:val="1155CC"/>
                <w:sz w:val="20"/>
                <w:szCs w:val="20"/>
              </w:rPr>
              <w:t>RESEARCH DEFINITION</w:t>
            </w:r>
            <w:r>
              <w:rPr>
                <w:rFonts w:ascii="Book Antiqua" w:eastAsia="Book Antiqua" w:hAnsi="Book Antiqua" w:cs="Book Antiqua"/>
                <w:color w:val="1155CC"/>
                <w:sz w:val="20"/>
                <w:szCs w:val="20"/>
              </w:rPr>
              <w:tab/>
              <w:t>426</w:t>
            </w:r>
          </w:hyperlink>
        </w:p>
        <w:p w14:paraId="7B5C269A"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em3yrny9to4c">
            <w:r>
              <w:rPr>
                <w:rFonts w:ascii="Book Antiqua" w:eastAsia="Book Antiqua" w:hAnsi="Book Antiqua" w:cs="Book Antiqua"/>
                <w:color w:val="1155CC"/>
                <w:sz w:val="20"/>
                <w:szCs w:val="20"/>
              </w:rPr>
              <w:t>RESEARCH NATURE</w:t>
            </w:r>
            <w:r>
              <w:rPr>
                <w:rFonts w:ascii="Book Antiqua" w:eastAsia="Book Antiqua" w:hAnsi="Book Antiqua" w:cs="Book Antiqua"/>
                <w:color w:val="1155CC"/>
                <w:sz w:val="20"/>
                <w:szCs w:val="20"/>
              </w:rPr>
              <w:tab/>
              <w:t>427</w:t>
            </w:r>
          </w:hyperlink>
        </w:p>
        <w:p w14:paraId="1941E5F9"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3ywppq3nstu0">
            <w:r>
              <w:rPr>
                <w:rFonts w:ascii="Book Antiqua" w:eastAsia="Book Antiqua" w:hAnsi="Book Antiqua" w:cs="Book Antiqua"/>
                <w:color w:val="1155CC"/>
                <w:sz w:val="20"/>
                <w:szCs w:val="20"/>
              </w:rPr>
              <w:t>RESEARCH CLASSIFICATION</w:t>
            </w:r>
            <w:r>
              <w:rPr>
                <w:rFonts w:ascii="Book Antiqua" w:eastAsia="Book Antiqua" w:hAnsi="Book Antiqua" w:cs="Book Antiqua"/>
                <w:color w:val="1155CC"/>
                <w:sz w:val="20"/>
                <w:szCs w:val="20"/>
              </w:rPr>
              <w:tab/>
              <w:t>427</w:t>
            </w:r>
          </w:hyperlink>
        </w:p>
        <w:p w14:paraId="10203709"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1dudj4wtal5m">
            <w:r>
              <w:rPr>
                <w:rFonts w:ascii="Book Antiqua" w:eastAsia="Book Antiqua" w:hAnsi="Book Antiqua" w:cs="Book Antiqua"/>
                <w:color w:val="1155CC"/>
                <w:sz w:val="20"/>
                <w:szCs w:val="20"/>
              </w:rPr>
              <w:t>RESEARCH CHARACTERISTICS</w:t>
            </w:r>
            <w:r>
              <w:rPr>
                <w:rFonts w:ascii="Book Antiqua" w:eastAsia="Book Antiqua" w:hAnsi="Book Antiqua" w:cs="Book Antiqua"/>
                <w:color w:val="1155CC"/>
                <w:sz w:val="20"/>
                <w:szCs w:val="20"/>
              </w:rPr>
              <w:tab/>
              <w:t>432</w:t>
            </w:r>
          </w:hyperlink>
        </w:p>
        <w:p w14:paraId="3EEC02E0"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weuyywiakgdz">
            <w:r>
              <w:rPr>
                <w:rFonts w:ascii="Book Antiqua" w:eastAsia="Book Antiqua" w:hAnsi="Book Antiqua" w:cs="Book Antiqua"/>
                <w:color w:val="1155CC"/>
                <w:sz w:val="20"/>
                <w:szCs w:val="20"/>
              </w:rPr>
              <w:t>RESEARCH PROCESS</w:t>
            </w:r>
            <w:r>
              <w:rPr>
                <w:rFonts w:ascii="Book Antiqua" w:eastAsia="Book Antiqua" w:hAnsi="Book Antiqua" w:cs="Book Antiqua"/>
                <w:color w:val="1155CC"/>
                <w:sz w:val="20"/>
                <w:szCs w:val="20"/>
              </w:rPr>
              <w:tab/>
              <w:t>433</w:t>
            </w:r>
          </w:hyperlink>
        </w:p>
        <w:p w14:paraId="7F372476"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484r7xjuiuhv">
            <w:r>
              <w:rPr>
                <w:rFonts w:ascii="Book Antiqua" w:eastAsia="Book Antiqua" w:hAnsi="Book Antiqua" w:cs="Book Antiqua"/>
                <w:color w:val="1155CC"/>
                <w:sz w:val="20"/>
                <w:szCs w:val="20"/>
              </w:rPr>
              <w:t>RESEARCH TITLE</w:t>
            </w:r>
            <w:r>
              <w:rPr>
                <w:rFonts w:ascii="Book Antiqua" w:eastAsia="Book Antiqua" w:hAnsi="Book Antiqua" w:cs="Book Antiqua"/>
                <w:color w:val="1155CC"/>
                <w:sz w:val="20"/>
                <w:szCs w:val="20"/>
              </w:rPr>
              <w:tab/>
              <w:t>433</w:t>
            </w:r>
          </w:hyperlink>
        </w:p>
        <w:p w14:paraId="017EC1F3"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lyxkz13vgdcl">
            <w:r>
              <w:rPr>
                <w:rFonts w:ascii="Book Antiqua" w:eastAsia="Book Antiqua" w:hAnsi="Book Antiqua" w:cs="Book Antiqua"/>
                <w:color w:val="1155CC"/>
                <w:sz w:val="20"/>
                <w:szCs w:val="20"/>
              </w:rPr>
              <w:t>RESEARCH AREA</w:t>
            </w:r>
            <w:r>
              <w:rPr>
                <w:rFonts w:ascii="Book Antiqua" w:eastAsia="Book Antiqua" w:hAnsi="Book Antiqua" w:cs="Book Antiqua"/>
                <w:color w:val="1155CC"/>
                <w:sz w:val="20"/>
                <w:szCs w:val="20"/>
              </w:rPr>
              <w:tab/>
              <w:t>435</w:t>
            </w:r>
          </w:hyperlink>
        </w:p>
        <w:p w14:paraId="76E33D26"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5wnedd51vlte">
            <w:r>
              <w:rPr>
                <w:rFonts w:ascii="Book Antiqua" w:eastAsia="Book Antiqua" w:hAnsi="Book Antiqua" w:cs="Book Antiqua"/>
                <w:color w:val="1155CC"/>
                <w:sz w:val="20"/>
                <w:szCs w:val="20"/>
              </w:rPr>
              <w:t>RESEARCH DOMAIN</w:t>
            </w:r>
            <w:r>
              <w:rPr>
                <w:rFonts w:ascii="Book Antiqua" w:eastAsia="Book Antiqua" w:hAnsi="Book Antiqua" w:cs="Book Antiqua"/>
                <w:color w:val="1155CC"/>
                <w:sz w:val="20"/>
                <w:szCs w:val="20"/>
              </w:rPr>
              <w:tab/>
              <w:t>435</w:t>
            </w:r>
          </w:hyperlink>
        </w:p>
        <w:p w14:paraId="06ADCBA7"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l38woehtk7eo">
            <w:r>
              <w:rPr>
                <w:rFonts w:ascii="Book Antiqua" w:eastAsia="Book Antiqua" w:hAnsi="Book Antiqua" w:cs="Book Antiqua"/>
                <w:color w:val="1155CC"/>
                <w:sz w:val="20"/>
                <w:szCs w:val="20"/>
              </w:rPr>
              <w:t>RESEARCH NICHE</w:t>
            </w:r>
            <w:r>
              <w:rPr>
                <w:rFonts w:ascii="Book Antiqua" w:eastAsia="Book Antiqua" w:hAnsi="Book Antiqua" w:cs="Book Antiqua"/>
                <w:color w:val="1155CC"/>
                <w:sz w:val="20"/>
                <w:szCs w:val="20"/>
              </w:rPr>
              <w:tab/>
              <w:t>436</w:t>
            </w:r>
          </w:hyperlink>
        </w:p>
        <w:p w14:paraId="546A7373"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s9wz2ieluixi">
            <w:r>
              <w:rPr>
                <w:rFonts w:ascii="Book Antiqua" w:eastAsia="Book Antiqua" w:hAnsi="Book Antiqua" w:cs="Book Antiqua"/>
                <w:color w:val="1155CC"/>
                <w:sz w:val="20"/>
                <w:szCs w:val="20"/>
              </w:rPr>
              <w:t>RESEARCH TOPIC</w:t>
            </w:r>
            <w:r>
              <w:rPr>
                <w:rFonts w:ascii="Book Antiqua" w:eastAsia="Book Antiqua" w:hAnsi="Book Antiqua" w:cs="Book Antiqua"/>
                <w:color w:val="1155CC"/>
                <w:sz w:val="20"/>
                <w:szCs w:val="20"/>
              </w:rPr>
              <w:tab/>
              <w:t>436</w:t>
            </w:r>
          </w:hyperlink>
        </w:p>
        <w:p w14:paraId="12DBDBF2"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pczx7nswnawf">
            <w:r>
              <w:rPr>
                <w:rFonts w:ascii="Book Antiqua" w:eastAsia="Book Antiqua" w:hAnsi="Book Antiqua" w:cs="Book Antiqua"/>
                <w:color w:val="1155CC"/>
                <w:sz w:val="20"/>
                <w:szCs w:val="20"/>
              </w:rPr>
              <w:t>RESEARCH TOPIC RELEVANCE</w:t>
            </w:r>
            <w:r>
              <w:rPr>
                <w:rFonts w:ascii="Book Antiqua" w:eastAsia="Book Antiqua" w:hAnsi="Book Antiqua" w:cs="Book Antiqua"/>
                <w:color w:val="1155CC"/>
                <w:sz w:val="20"/>
                <w:szCs w:val="20"/>
              </w:rPr>
              <w:tab/>
              <w:t>436</w:t>
            </w:r>
          </w:hyperlink>
        </w:p>
        <w:p w14:paraId="17918C3D"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b5zar3j1cegv">
            <w:r>
              <w:rPr>
                <w:rFonts w:ascii="Book Antiqua" w:eastAsia="Book Antiqua" w:hAnsi="Book Antiqua" w:cs="Book Antiqua"/>
                <w:color w:val="1155CC"/>
                <w:sz w:val="20"/>
                <w:szCs w:val="20"/>
              </w:rPr>
              <w:t>RESEARCH CONTEXT / BACKGROUND</w:t>
            </w:r>
            <w:r>
              <w:rPr>
                <w:rFonts w:ascii="Book Antiqua" w:eastAsia="Book Antiqua" w:hAnsi="Book Antiqua" w:cs="Book Antiqua"/>
                <w:color w:val="1155CC"/>
                <w:sz w:val="20"/>
                <w:szCs w:val="20"/>
              </w:rPr>
              <w:tab/>
              <w:t>436</w:t>
            </w:r>
          </w:hyperlink>
        </w:p>
        <w:p w14:paraId="45BDB1EA"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toi64s35bsju">
            <w:r>
              <w:rPr>
                <w:rFonts w:ascii="Book Antiqua" w:eastAsia="Book Antiqua" w:hAnsi="Book Antiqua" w:cs="Book Antiqua"/>
                <w:color w:val="1155CC"/>
                <w:sz w:val="20"/>
                <w:szCs w:val="20"/>
              </w:rPr>
              <w:t>RESEARCH SIGNIFICANCE / RATIONALE</w:t>
            </w:r>
            <w:r>
              <w:rPr>
                <w:rFonts w:ascii="Book Antiqua" w:eastAsia="Book Antiqua" w:hAnsi="Book Antiqua" w:cs="Book Antiqua"/>
                <w:color w:val="1155CC"/>
                <w:sz w:val="20"/>
                <w:szCs w:val="20"/>
              </w:rPr>
              <w:tab/>
              <w:t>436</w:t>
            </w:r>
          </w:hyperlink>
        </w:p>
        <w:p w14:paraId="195F28DD"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cxi27vxeakb2">
            <w:r>
              <w:rPr>
                <w:rFonts w:ascii="Book Antiqua" w:eastAsia="Book Antiqua" w:hAnsi="Book Antiqua" w:cs="Book Antiqua"/>
                <w:color w:val="1155CC"/>
                <w:sz w:val="20"/>
                <w:szCs w:val="20"/>
              </w:rPr>
              <w:t>RESEARCH MOTIVATION</w:t>
            </w:r>
            <w:r>
              <w:rPr>
                <w:rFonts w:ascii="Book Antiqua" w:eastAsia="Book Antiqua" w:hAnsi="Book Antiqua" w:cs="Book Antiqua"/>
                <w:color w:val="1155CC"/>
                <w:sz w:val="20"/>
                <w:szCs w:val="20"/>
              </w:rPr>
              <w:tab/>
              <w:t>437</w:t>
            </w:r>
          </w:hyperlink>
        </w:p>
        <w:p w14:paraId="72AF6B5E"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q9wbtmlgbzc2">
            <w:r>
              <w:rPr>
                <w:rFonts w:ascii="Book Antiqua" w:eastAsia="Book Antiqua" w:hAnsi="Book Antiqua" w:cs="Book Antiqua"/>
                <w:color w:val="1155CC"/>
                <w:sz w:val="20"/>
                <w:szCs w:val="20"/>
              </w:rPr>
              <w:t>INTRODUCTION TO RESEARCH</w:t>
            </w:r>
            <w:r>
              <w:rPr>
                <w:rFonts w:ascii="Book Antiqua" w:eastAsia="Book Antiqua" w:hAnsi="Book Antiqua" w:cs="Book Antiqua"/>
                <w:color w:val="1155CC"/>
                <w:sz w:val="20"/>
                <w:szCs w:val="20"/>
              </w:rPr>
              <w:tab/>
              <w:t>438</w:t>
            </w:r>
          </w:hyperlink>
        </w:p>
        <w:p w14:paraId="4EB6E11F"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gj1etww1g64g">
            <w:r>
              <w:rPr>
                <w:rFonts w:ascii="Book Antiqua" w:eastAsia="Book Antiqua" w:hAnsi="Book Antiqua" w:cs="Book Antiqua"/>
                <w:color w:val="1155CC"/>
                <w:sz w:val="20"/>
                <w:szCs w:val="20"/>
              </w:rPr>
              <w:t>RESEARCH BACKGROUND/ STUDY CONTEXT</w:t>
            </w:r>
            <w:r>
              <w:rPr>
                <w:rFonts w:ascii="Book Antiqua" w:eastAsia="Book Antiqua" w:hAnsi="Book Antiqua" w:cs="Book Antiqua"/>
                <w:color w:val="1155CC"/>
                <w:sz w:val="20"/>
                <w:szCs w:val="20"/>
              </w:rPr>
              <w:tab/>
              <w:t>438</w:t>
            </w:r>
          </w:hyperlink>
        </w:p>
        <w:p w14:paraId="58E7325C"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up7ej4nhoite">
            <w:r>
              <w:rPr>
                <w:rFonts w:ascii="Book Antiqua" w:eastAsia="Book Antiqua" w:hAnsi="Book Antiqua" w:cs="Book Antiqua"/>
                <w:color w:val="1155CC"/>
                <w:sz w:val="20"/>
                <w:szCs w:val="20"/>
              </w:rPr>
              <w:t>RESEARCH PROBLEM</w:t>
            </w:r>
            <w:r>
              <w:rPr>
                <w:rFonts w:ascii="Book Antiqua" w:eastAsia="Book Antiqua" w:hAnsi="Book Antiqua" w:cs="Book Antiqua"/>
                <w:color w:val="1155CC"/>
                <w:sz w:val="20"/>
                <w:szCs w:val="20"/>
              </w:rPr>
              <w:tab/>
              <w:t>438</w:t>
            </w:r>
          </w:hyperlink>
        </w:p>
        <w:p w14:paraId="3883D3EE"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su95pegtrxcz">
            <w:r>
              <w:rPr>
                <w:rFonts w:ascii="Book Antiqua" w:eastAsia="Book Antiqua" w:hAnsi="Book Antiqua" w:cs="Book Antiqua"/>
                <w:color w:val="1155CC"/>
                <w:sz w:val="20"/>
                <w:szCs w:val="20"/>
              </w:rPr>
              <w:t>RESEARCH GAP</w:t>
            </w:r>
            <w:r>
              <w:rPr>
                <w:rFonts w:ascii="Book Antiqua" w:eastAsia="Book Antiqua" w:hAnsi="Book Antiqua" w:cs="Book Antiqua"/>
                <w:color w:val="1155CC"/>
                <w:sz w:val="20"/>
                <w:szCs w:val="20"/>
              </w:rPr>
              <w:tab/>
              <w:t>439</w:t>
            </w:r>
          </w:hyperlink>
        </w:p>
        <w:p w14:paraId="34662981"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uklcz5uh3no3">
            <w:r>
              <w:rPr>
                <w:rFonts w:ascii="Book Antiqua" w:eastAsia="Book Antiqua" w:hAnsi="Book Antiqua" w:cs="Book Antiqua"/>
                <w:color w:val="1155CC"/>
                <w:sz w:val="20"/>
                <w:szCs w:val="20"/>
              </w:rPr>
              <w:t>RESEARCH QUESTIONS</w:t>
            </w:r>
            <w:r>
              <w:rPr>
                <w:rFonts w:ascii="Book Antiqua" w:eastAsia="Book Antiqua" w:hAnsi="Book Antiqua" w:cs="Book Antiqua"/>
                <w:color w:val="1155CC"/>
                <w:sz w:val="20"/>
                <w:szCs w:val="20"/>
              </w:rPr>
              <w:tab/>
              <w:t>439</w:t>
            </w:r>
          </w:hyperlink>
        </w:p>
        <w:p w14:paraId="4E52FDBF"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ipbqvgr393rm">
            <w:r>
              <w:rPr>
                <w:rFonts w:ascii="Book Antiqua" w:eastAsia="Book Antiqua" w:hAnsi="Book Antiqua" w:cs="Book Antiqua"/>
                <w:color w:val="1155CC"/>
                <w:sz w:val="20"/>
                <w:szCs w:val="20"/>
              </w:rPr>
              <w:t>​​THE PURPOSE OF THE RESEARCH</w:t>
            </w:r>
            <w:r>
              <w:rPr>
                <w:rFonts w:ascii="Book Antiqua" w:eastAsia="Book Antiqua" w:hAnsi="Book Antiqua" w:cs="Book Antiqua"/>
                <w:color w:val="1155CC"/>
                <w:sz w:val="20"/>
                <w:szCs w:val="20"/>
              </w:rPr>
              <w:tab/>
              <w:t>441</w:t>
            </w:r>
          </w:hyperlink>
        </w:p>
        <w:p w14:paraId="60DD77F4"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ev54f1vgim4z">
            <w:r>
              <w:rPr>
                <w:rFonts w:ascii="Book Antiqua" w:eastAsia="Book Antiqua" w:hAnsi="Book Antiqua" w:cs="Book Antiqua"/>
                <w:color w:val="1155CC"/>
                <w:sz w:val="20"/>
                <w:szCs w:val="20"/>
              </w:rPr>
              <w:t>RESEARCH AIMS</w:t>
            </w:r>
            <w:r>
              <w:rPr>
                <w:rFonts w:ascii="Book Antiqua" w:eastAsia="Book Antiqua" w:hAnsi="Book Antiqua" w:cs="Book Antiqua"/>
                <w:color w:val="1155CC"/>
                <w:sz w:val="20"/>
                <w:szCs w:val="20"/>
              </w:rPr>
              <w:tab/>
              <w:t>441</w:t>
            </w:r>
          </w:hyperlink>
        </w:p>
        <w:p w14:paraId="2B4FB73D"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v4zf6ki2tpy1">
            <w:r>
              <w:rPr>
                <w:rFonts w:ascii="Book Antiqua" w:eastAsia="Book Antiqua" w:hAnsi="Book Antiqua" w:cs="Book Antiqua"/>
                <w:color w:val="1155CC"/>
                <w:sz w:val="20"/>
                <w:szCs w:val="20"/>
              </w:rPr>
              <w:t>RESEARCH OBJECTIVES</w:t>
            </w:r>
            <w:r>
              <w:rPr>
                <w:rFonts w:ascii="Book Antiqua" w:eastAsia="Book Antiqua" w:hAnsi="Book Antiqua" w:cs="Book Antiqua"/>
                <w:color w:val="1155CC"/>
                <w:sz w:val="20"/>
                <w:szCs w:val="20"/>
              </w:rPr>
              <w:tab/>
              <w:t>442</w:t>
            </w:r>
          </w:hyperlink>
        </w:p>
        <w:p w14:paraId="2C3572B5"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fhr0e6kl879a">
            <w:r>
              <w:rPr>
                <w:rFonts w:ascii="Book Antiqua" w:eastAsia="Book Antiqua" w:hAnsi="Book Antiqua" w:cs="Book Antiqua"/>
                <w:color w:val="1155CC"/>
                <w:sz w:val="20"/>
                <w:szCs w:val="20"/>
              </w:rPr>
              <w:t>RESEARCH DELIMITATIONS</w:t>
            </w:r>
            <w:r>
              <w:rPr>
                <w:rFonts w:ascii="Book Antiqua" w:eastAsia="Book Antiqua" w:hAnsi="Book Antiqua" w:cs="Book Antiqua"/>
                <w:color w:val="1155CC"/>
                <w:sz w:val="20"/>
                <w:szCs w:val="20"/>
              </w:rPr>
              <w:tab/>
              <w:t>442</w:t>
            </w:r>
          </w:hyperlink>
        </w:p>
        <w:p w14:paraId="197E518A"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nkxm85j66rux">
            <w:r>
              <w:rPr>
                <w:rFonts w:ascii="Book Antiqua" w:eastAsia="Book Antiqua" w:hAnsi="Book Antiqua" w:cs="Book Antiqua"/>
                <w:color w:val="1155CC"/>
                <w:sz w:val="20"/>
                <w:szCs w:val="20"/>
              </w:rPr>
              <w:t>RESEARCH LIMITATIONS</w:t>
            </w:r>
            <w:r>
              <w:rPr>
                <w:rFonts w:ascii="Book Antiqua" w:eastAsia="Book Antiqua" w:hAnsi="Book Antiqua" w:cs="Book Antiqua"/>
                <w:color w:val="1155CC"/>
                <w:sz w:val="20"/>
                <w:szCs w:val="20"/>
              </w:rPr>
              <w:tab/>
              <w:t>443</w:t>
            </w:r>
          </w:hyperlink>
        </w:p>
        <w:p w14:paraId="1E0ACF0F"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ooek7e5z8m29">
            <w:r>
              <w:rPr>
                <w:rFonts w:ascii="Book Antiqua" w:eastAsia="Book Antiqua" w:hAnsi="Book Antiqua" w:cs="Book Antiqua"/>
                <w:color w:val="1155CC"/>
                <w:sz w:val="20"/>
                <w:szCs w:val="20"/>
              </w:rPr>
              <w:t>RESEARCH SCOPE</w:t>
            </w:r>
            <w:r>
              <w:rPr>
                <w:rFonts w:ascii="Book Antiqua" w:eastAsia="Book Antiqua" w:hAnsi="Book Antiqua" w:cs="Book Antiqua"/>
                <w:color w:val="1155CC"/>
                <w:sz w:val="20"/>
                <w:szCs w:val="20"/>
              </w:rPr>
              <w:tab/>
              <w:t>443</w:t>
            </w:r>
          </w:hyperlink>
        </w:p>
        <w:p w14:paraId="1FB64792"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ckiix5lgwsrz">
            <w:r>
              <w:rPr>
                <w:rFonts w:ascii="Book Antiqua" w:eastAsia="Book Antiqua" w:hAnsi="Book Antiqua" w:cs="Book Antiqua"/>
                <w:color w:val="1155CC"/>
                <w:sz w:val="20"/>
                <w:szCs w:val="20"/>
              </w:rPr>
              <w:t>ANTICIPATED CONTRIBUTIONS</w:t>
            </w:r>
            <w:r>
              <w:rPr>
                <w:rFonts w:ascii="Book Antiqua" w:eastAsia="Book Antiqua" w:hAnsi="Book Antiqua" w:cs="Book Antiqua"/>
                <w:color w:val="1155CC"/>
                <w:sz w:val="20"/>
                <w:szCs w:val="20"/>
              </w:rPr>
              <w:tab/>
              <w:t>444</w:t>
            </w:r>
          </w:hyperlink>
        </w:p>
        <w:p w14:paraId="2EE46CB4"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worzo7i2s446">
            <w:r>
              <w:rPr>
                <w:rFonts w:ascii="Book Antiqua" w:eastAsia="Book Antiqua" w:hAnsi="Book Antiqua" w:cs="Book Antiqua"/>
                <w:color w:val="1155CC"/>
                <w:sz w:val="20"/>
                <w:szCs w:val="20"/>
              </w:rPr>
              <w:t>THESIS CHAPTER OUTLINE</w:t>
            </w:r>
            <w:r>
              <w:rPr>
                <w:rFonts w:ascii="Book Antiqua" w:eastAsia="Book Antiqua" w:hAnsi="Book Antiqua" w:cs="Book Antiqua"/>
                <w:color w:val="1155CC"/>
                <w:sz w:val="20"/>
                <w:szCs w:val="20"/>
              </w:rPr>
              <w:tab/>
              <w:t>445</w:t>
            </w:r>
          </w:hyperlink>
        </w:p>
        <w:p w14:paraId="0C2B05DE"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50nwuar55yqg">
            <w:r>
              <w:rPr>
                <w:rFonts w:ascii="Book Antiqua" w:eastAsia="Book Antiqua" w:hAnsi="Book Antiqua" w:cs="Book Antiqua"/>
                <w:color w:val="1155CC"/>
                <w:sz w:val="20"/>
                <w:szCs w:val="20"/>
              </w:rPr>
              <w:t>LITERATURE REVIEW PROCESS</w:t>
            </w:r>
            <w:r>
              <w:rPr>
                <w:rFonts w:ascii="Book Antiqua" w:eastAsia="Book Antiqua" w:hAnsi="Book Antiqua" w:cs="Book Antiqua"/>
                <w:color w:val="1155CC"/>
                <w:sz w:val="20"/>
                <w:szCs w:val="20"/>
              </w:rPr>
              <w:tab/>
              <w:t>445</w:t>
            </w:r>
          </w:hyperlink>
        </w:p>
        <w:p w14:paraId="698CCC45"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u9adx9dq8ayz">
            <w:r>
              <w:rPr>
                <w:rFonts w:ascii="Book Antiqua" w:eastAsia="Book Antiqua" w:hAnsi="Book Antiqua" w:cs="Book Antiqua"/>
                <w:color w:val="1155CC"/>
                <w:sz w:val="20"/>
                <w:szCs w:val="20"/>
              </w:rPr>
              <w:t>KEY TERM DEFINITIONS</w:t>
            </w:r>
            <w:r>
              <w:rPr>
                <w:rFonts w:ascii="Book Antiqua" w:eastAsia="Book Antiqua" w:hAnsi="Book Antiqua" w:cs="Book Antiqua"/>
                <w:color w:val="1155CC"/>
                <w:sz w:val="20"/>
                <w:szCs w:val="20"/>
              </w:rPr>
              <w:tab/>
              <w:t>446</w:t>
            </w:r>
          </w:hyperlink>
        </w:p>
        <w:p w14:paraId="59855CDD"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ni6gzymzfw72">
            <w:r>
              <w:rPr>
                <w:rFonts w:ascii="Book Antiqua" w:eastAsia="Book Antiqua" w:hAnsi="Book Antiqua" w:cs="Book Antiqua"/>
                <w:color w:val="1155CC"/>
                <w:sz w:val="20"/>
                <w:szCs w:val="20"/>
              </w:rPr>
              <w:t>METHODOLOGY CHAPTER FORMAT</w:t>
            </w:r>
            <w:r>
              <w:rPr>
                <w:rFonts w:ascii="Book Antiqua" w:eastAsia="Book Antiqua" w:hAnsi="Book Antiqua" w:cs="Book Antiqua"/>
                <w:color w:val="1155CC"/>
                <w:sz w:val="20"/>
                <w:szCs w:val="20"/>
              </w:rPr>
              <w:tab/>
              <w:t>448</w:t>
            </w:r>
          </w:hyperlink>
        </w:p>
        <w:p w14:paraId="6C487668"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3mzfgzu7j15i">
            <w:r>
              <w:rPr>
                <w:rFonts w:ascii="Book Antiqua" w:eastAsia="Book Antiqua" w:hAnsi="Book Antiqua" w:cs="Book Antiqua"/>
                <w:color w:val="1155CC"/>
                <w:sz w:val="20"/>
                <w:szCs w:val="20"/>
              </w:rPr>
              <w:t>RESEARCH DESIGN</w:t>
            </w:r>
            <w:r>
              <w:rPr>
                <w:rFonts w:ascii="Book Antiqua" w:eastAsia="Book Antiqua" w:hAnsi="Book Antiqua" w:cs="Book Antiqua"/>
                <w:color w:val="1155CC"/>
                <w:sz w:val="20"/>
                <w:szCs w:val="20"/>
              </w:rPr>
              <w:tab/>
              <w:t>448</w:t>
            </w:r>
          </w:hyperlink>
        </w:p>
        <w:p w14:paraId="32F351BE"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qj7oo543tud">
            <w:r>
              <w:rPr>
                <w:rFonts w:ascii="Book Antiqua" w:eastAsia="Book Antiqua" w:hAnsi="Book Antiqua" w:cs="Book Antiqua"/>
                <w:color w:val="1155CC"/>
                <w:sz w:val="20"/>
                <w:szCs w:val="20"/>
              </w:rPr>
              <w:t>RESEARCH PHILOSOPHY</w:t>
            </w:r>
            <w:r>
              <w:rPr>
                <w:rFonts w:ascii="Book Antiqua" w:eastAsia="Book Antiqua" w:hAnsi="Book Antiqua" w:cs="Book Antiqua"/>
                <w:color w:val="1155CC"/>
                <w:sz w:val="20"/>
                <w:szCs w:val="20"/>
              </w:rPr>
              <w:tab/>
              <w:t>449</w:t>
            </w:r>
          </w:hyperlink>
        </w:p>
        <w:p w14:paraId="3B93B77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vgv2vzdp2613">
            <w:r>
              <w:rPr>
                <w:rFonts w:ascii="Book Antiqua" w:eastAsia="Book Antiqua" w:hAnsi="Book Antiqua" w:cs="Book Antiqua"/>
                <w:color w:val="1155CC"/>
                <w:sz w:val="20"/>
                <w:szCs w:val="20"/>
              </w:rPr>
              <w:t>POSITIVISM</w:t>
            </w:r>
            <w:r>
              <w:rPr>
                <w:rFonts w:ascii="Book Antiqua" w:eastAsia="Book Antiqua" w:hAnsi="Book Antiqua" w:cs="Book Antiqua"/>
                <w:color w:val="1155CC"/>
                <w:sz w:val="20"/>
                <w:szCs w:val="20"/>
              </w:rPr>
              <w:tab/>
              <w:t>450</w:t>
            </w:r>
          </w:hyperlink>
        </w:p>
        <w:p w14:paraId="2CF2617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upyjctocj9q8">
            <w:r>
              <w:rPr>
                <w:rFonts w:ascii="Book Antiqua" w:eastAsia="Book Antiqua" w:hAnsi="Book Antiqua" w:cs="Book Antiqua"/>
                <w:color w:val="1155CC"/>
                <w:sz w:val="20"/>
                <w:szCs w:val="20"/>
              </w:rPr>
              <w:t>INTERPRETIVISM</w:t>
            </w:r>
            <w:r>
              <w:rPr>
                <w:rFonts w:ascii="Book Antiqua" w:eastAsia="Book Antiqua" w:hAnsi="Book Antiqua" w:cs="Book Antiqua"/>
                <w:color w:val="1155CC"/>
                <w:sz w:val="20"/>
                <w:szCs w:val="20"/>
              </w:rPr>
              <w:tab/>
              <w:t>451</w:t>
            </w:r>
          </w:hyperlink>
        </w:p>
        <w:p w14:paraId="699106A3"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6k1360nrgqqp">
            <w:r>
              <w:rPr>
                <w:rFonts w:ascii="Book Antiqua" w:eastAsia="Book Antiqua" w:hAnsi="Book Antiqua" w:cs="Book Antiqua"/>
                <w:color w:val="1155CC"/>
                <w:sz w:val="20"/>
                <w:szCs w:val="20"/>
              </w:rPr>
              <w:t>RESEARCH APPROACH</w:t>
            </w:r>
            <w:r>
              <w:rPr>
                <w:rFonts w:ascii="Book Antiqua" w:eastAsia="Book Antiqua" w:hAnsi="Book Antiqua" w:cs="Book Antiqua"/>
                <w:color w:val="1155CC"/>
                <w:sz w:val="20"/>
                <w:szCs w:val="20"/>
              </w:rPr>
              <w:tab/>
              <w:t>452</w:t>
            </w:r>
          </w:hyperlink>
        </w:p>
        <w:p w14:paraId="7BB88C3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xs5riecqtg9">
            <w:r>
              <w:rPr>
                <w:rFonts w:ascii="Book Antiqua" w:eastAsia="Book Antiqua" w:hAnsi="Book Antiqua" w:cs="Book Antiqua"/>
                <w:color w:val="1155CC"/>
                <w:sz w:val="20"/>
                <w:szCs w:val="20"/>
              </w:rPr>
              <w:t>DEDUCTIVE APPROACH</w:t>
            </w:r>
            <w:r>
              <w:rPr>
                <w:rFonts w:ascii="Book Antiqua" w:eastAsia="Book Antiqua" w:hAnsi="Book Antiqua" w:cs="Book Antiqua"/>
                <w:color w:val="1155CC"/>
                <w:sz w:val="20"/>
                <w:szCs w:val="20"/>
              </w:rPr>
              <w:tab/>
              <w:t>452</w:t>
            </w:r>
          </w:hyperlink>
        </w:p>
        <w:p w14:paraId="71E7A3C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3565t947p0r3">
            <w:r>
              <w:rPr>
                <w:rFonts w:ascii="Book Antiqua" w:eastAsia="Book Antiqua" w:hAnsi="Book Antiqua" w:cs="Book Antiqua"/>
                <w:color w:val="1155CC"/>
                <w:sz w:val="20"/>
                <w:szCs w:val="20"/>
              </w:rPr>
              <w:t>INDUCTIVE APPROACH</w:t>
            </w:r>
            <w:r>
              <w:rPr>
                <w:rFonts w:ascii="Book Antiqua" w:eastAsia="Book Antiqua" w:hAnsi="Book Antiqua" w:cs="Book Antiqua"/>
                <w:color w:val="1155CC"/>
                <w:sz w:val="20"/>
                <w:szCs w:val="20"/>
              </w:rPr>
              <w:tab/>
              <w:t>453</w:t>
            </w:r>
          </w:hyperlink>
        </w:p>
        <w:p w14:paraId="5E839B2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tlqdh491w72">
            <w:r>
              <w:rPr>
                <w:rFonts w:ascii="Book Antiqua" w:eastAsia="Book Antiqua" w:hAnsi="Book Antiqua" w:cs="Book Antiqua"/>
                <w:color w:val="1155CC"/>
                <w:sz w:val="20"/>
                <w:szCs w:val="20"/>
              </w:rPr>
              <w:t>EXAMPLES OF INDUCTIVE, DEDUCTIVE, ABDUCTIVE REASONING</w:t>
            </w:r>
            <w:r>
              <w:rPr>
                <w:rFonts w:ascii="Book Antiqua" w:eastAsia="Book Antiqua" w:hAnsi="Book Antiqua" w:cs="Book Antiqua"/>
                <w:color w:val="1155CC"/>
                <w:sz w:val="20"/>
                <w:szCs w:val="20"/>
              </w:rPr>
              <w:tab/>
              <w:t>454</w:t>
            </w:r>
          </w:hyperlink>
        </w:p>
        <w:p w14:paraId="79E4237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i3sccfyi6b2c">
            <w:r>
              <w:rPr>
                <w:rFonts w:ascii="Book Antiqua" w:eastAsia="Book Antiqua" w:hAnsi="Book Antiqua" w:cs="Book Antiqua"/>
                <w:color w:val="1155CC"/>
                <w:sz w:val="20"/>
                <w:szCs w:val="20"/>
              </w:rPr>
              <w:t>INDUCTIVE PROCESS IN THIS STUDY</w:t>
            </w:r>
            <w:r>
              <w:rPr>
                <w:rFonts w:ascii="Book Antiqua" w:eastAsia="Book Antiqua" w:hAnsi="Book Antiqua" w:cs="Book Antiqua"/>
                <w:color w:val="1155CC"/>
                <w:sz w:val="20"/>
                <w:szCs w:val="20"/>
              </w:rPr>
              <w:tab/>
              <w:t>455</w:t>
            </w:r>
          </w:hyperlink>
        </w:p>
        <w:p w14:paraId="4031BFE9"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wja6ykh1jn3f">
            <w:r>
              <w:rPr>
                <w:rFonts w:ascii="Book Antiqua" w:eastAsia="Book Antiqua" w:hAnsi="Book Antiqua" w:cs="Book Antiqua"/>
                <w:color w:val="1155CC"/>
                <w:sz w:val="20"/>
                <w:szCs w:val="20"/>
              </w:rPr>
              <w:t>RESEARCH STRATEGY</w:t>
            </w:r>
            <w:r>
              <w:rPr>
                <w:rFonts w:ascii="Book Antiqua" w:eastAsia="Book Antiqua" w:hAnsi="Book Antiqua" w:cs="Book Antiqua"/>
                <w:color w:val="1155CC"/>
                <w:sz w:val="20"/>
                <w:szCs w:val="20"/>
              </w:rPr>
              <w:tab/>
              <w:t>455</w:t>
            </w:r>
          </w:hyperlink>
        </w:p>
        <w:p w14:paraId="4F9C174C"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8o3h1yt7bagi">
            <w:r>
              <w:rPr>
                <w:rFonts w:ascii="Book Antiqua" w:eastAsia="Book Antiqua" w:hAnsi="Book Antiqua" w:cs="Book Antiqua"/>
                <w:color w:val="1155CC"/>
                <w:sz w:val="20"/>
                <w:szCs w:val="20"/>
              </w:rPr>
              <w:t>QUANTITATIVE, QUALITATIVE &amp; MIXED METHODS</w:t>
            </w:r>
            <w:r>
              <w:rPr>
                <w:rFonts w:ascii="Book Antiqua" w:eastAsia="Book Antiqua" w:hAnsi="Book Antiqua" w:cs="Book Antiqua"/>
                <w:color w:val="1155CC"/>
                <w:sz w:val="20"/>
                <w:szCs w:val="20"/>
              </w:rPr>
              <w:tab/>
              <w:t>456</w:t>
            </w:r>
          </w:hyperlink>
        </w:p>
        <w:p w14:paraId="3236ADA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r7katjl9k5ir">
            <w:r>
              <w:rPr>
                <w:rFonts w:ascii="Book Antiqua" w:eastAsia="Book Antiqua" w:hAnsi="Book Antiqua" w:cs="Book Antiqua"/>
                <w:color w:val="1155CC"/>
                <w:sz w:val="20"/>
                <w:szCs w:val="20"/>
              </w:rPr>
              <w:t>CHARACTERISTICS COMPARISON: QUANTITATIVE Vs QUALITATIVE</w:t>
            </w:r>
            <w:r>
              <w:rPr>
                <w:rFonts w:ascii="Book Antiqua" w:eastAsia="Book Antiqua" w:hAnsi="Book Antiqua" w:cs="Book Antiqua"/>
                <w:color w:val="1155CC"/>
                <w:sz w:val="20"/>
                <w:szCs w:val="20"/>
              </w:rPr>
              <w:tab/>
              <w:t>457</w:t>
            </w:r>
          </w:hyperlink>
        </w:p>
        <w:p w14:paraId="76B0C0D9"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n17y9uckt5oa">
            <w:r>
              <w:rPr>
                <w:rFonts w:ascii="Book Antiqua" w:eastAsia="Book Antiqua" w:hAnsi="Book Antiqua" w:cs="Book Antiqua"/>
                <w:color w:val="1155CC"/>
                <w:sz w:val="20"/>
                <w:szCs w:val="20"/>
              </w:rPr>
              <w:t>RESEARCH METHOD CHOICE</w:t>
            </w:r>
            <w:r>
              <w:rPr>
                <w:rFonts w:ascii="Book Antiqua" w:eastAsia="Book Antiqua" w:hAnsi="Book Antiqua" w:cs="Book Antiqua"/>
                <w:color w:val="1155CC"/>
                <w:sz w:val="20"/>
                <w:szCs w:val="20"/>
              </w:rPr>
              <w:tab/>
              <w:t>459</w:t>
            </w:r>
          </w:hyperlink>
        </w:p>
        <w:p w14:paraId="75E33539"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bu8xce1kiaos">
            <w:r>
              <w:rPr>
                <w:rFonts w:ascii="Book Antiqua" w:eastAsia="Book Antiqua" w:hAnsi="Book Antiqua" w:cs="Book Antiqua"/>
                <w:color w:val="1155CC"/>
                <w:sz w:val="20"/>
                <w:szCs w:val="20"/>
              </w:rPr>
              <w:t>RESEARCH TIME HORIZONS</w:t>
            </w:r>
            <w:r>
              <w:rPr>
                <w:rFonts w:ascii="Book Antiqua" w:eastAsia="Book Antiqua" w:hAnsi="Book Antiqua" w:cs="Book Antiqua"/>
                <w:color w:val="1155CC"/>
                <w:sz w:val="20"/>
                <w:szCs w:val="20"/>
              </w:rPr>
              <w:tab/>
              <w:t>459</w:t>
            </w:r>
          </w:hyperlink>
        </w:p>
        <w:p w14:paraId="287DB73B"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6gecp5qyw365">
            <w:r>
              <w:rPr>
                <w:rFonts w:ascii="Book Antiqua" w:eastAsia="Book Antiqua" w:hAnsi="Book Antiqua" w:cs="Book Antiqua"/>
                <w:color w:val="1155CC"/>
                <w:sz w:val="20"/>
                <w:szCs w:val="20"/>
              </w:rPr>
              <w:t>DATA SAMPLING</w:t>
            </w:r>
            <w:r>
              <w:rPr>
                <w:rFonts w:ascii="Book Antiqua" w:eastAsia="Book Antiqua" w:hAnsi="Book Antiqua" w:cs="Book Antiqua"/>
                <w:color w:val="1155CC"/>
                <w:sz w:val="20"/>
                <w:szCs w:val="20"/>
              </w:rPr>
              <w:tab/>
              <w:t>460</w:t>
            </w:r>
          </w:hyperlink>
        </w:p>
        <w:p w14:paraId="79EB1F15"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5p5mkar0lu1k">
            <w:r>
              <w:rPr>
                <w:rFonts w:ascii="Book Antiqua" w:eastAsia="Book Antiqua" w:hAnsi="Book Antiqua" w:cs="Book Antiqua"/>
                <w:color w:val="1155CC"/>
                <w:sz w:val="20"/>
                <w:szCs w:val="20"/>
              </w:rPr>
              <w:t>SAMPLE SIZE</w:t>
            </w:r>
            <w:r>
              <w:rPr>
                <w:rFonts w:ascii="Book Antiqua" w:eastAsia="Book Antiqua" w:hAnsi="Book Antiqua" w:cs="Book Antiqua"/>
                <w:color w:val="1155CC"/>
                <w:sz w:val="20"/>
                <w:szCs w:val="20"/>
              </w:rPr>
              <w:tab/>
              <w:t>465</w:t>
            </w:r>
          </w:hyperlink>
        </w:p>
        <w:p w14:paraId="4C1461DD"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rudnmc472940">
            <w:r>
              <w:rPr>
                <w:rFonts w:ascii="Book Antiqua" w:eastAsia="Book Antiqua" w:hAnsi="Book Antiqua" w:cs="Book Antiqua"/>
                <w:color w:val="1155CC"/>
                <w:sz w:val="20"/>
                <w:szCs w:val="20"/>
              </w:rPr>
              <w:t>DATA COLLECTION (TYPE, SOURCES &amp; TECHNIQUE)</w:t>
            </w:r>
            <w:r>
              <w:rPr>
                <w:rFonts w:ascii="Book Antiqua" w:eastAsia="Book Antiqua" w:hAnsi="Book Antiqua" w:cs="Book Antiqua"/>
                <w:color w:val="1155CC"/>
                <w:sz w:val="20"/>
                <w:szCs w:val="20"/>
              </w:rPr>
              <w:tab/>
              <w:t>465</w:t>
            </w:r>
          </w:hyperlink>
        </w:p>
        <w:p w14:paraId="44FB313A"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gk567f9lzmza">
            <w:r>
              <w:rPr>
                <w:rFonts w:ascii="Book Antiqua" w:eastAsia="Book Antiqua" w:hAnsi="Book Antiqua" w:cs="Book Antiqua"/>
                <w:color w:val="1155CC"/>
                <w:sz w:val="20"/>
                <w:szCs w:val="20"/>
              </w:rPr>
              <w:t>DATA COLLECTION SOURCE</w:t>
            </w:r>
            <w:r>
              <w:rPr>
                <w:rFonts w:ascii="Book Antiqua" w:eastAsia="Book Antiqua" w:hAnsi="Book Antiqua" w:cs="Book Antiqua"/>
                <w:color w:val="1155CC"/>
                <w:sz w:val="20"/>
                <w:szCs w:val="20"/>
              </w:rPr>
              <w:tab/>
              <w:t>466</w:t>
            </w:r>
          </w:hyperlink>
        </w:p>
        <w:p w14:paraId="739C6505"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5xgqobz9y1kx">
            <w:r>
              <w:rPr>
                <w:rFonts w:ascii="Book Antiqua" w:eastAsia="Book Antiqua" w:hAnsi="Book Antiqua" w:cs="Book Antiqua"/>
                <w:color w:val="1155CC"/>
                <w:sz w:val="20"/>
                <w:szCs w:val="20"/>
              </w:rPr>
              <w:t>DATA ANALYSIS &amp; TECHNIQUES</w:t>
            </w:r>
            <w:r>
              <w:rPr>
                <w:rFonts w:ascii="Book Antiqua" w:eastAsia="Book Antiqua" w:hAnsi="Book Antiqua" w:cs="Book Antiqua"/>
                <w:color w:val="1155CC"/>
                <w:sz w:val="20"/>
                <w:szCs w:val="20"/>
              </w:rPr>
              <w:tab/>
              <w:t>466</w:t>
            </w:r>
          </w:hyperlink>
          <w:r>
            <w:fldChar w:fldCharType="end"/>
          </w:r>
        </w:p>
      </w:sdtContent>
    </w:sdt>
    <w:p w14:paraId="51DC60AF" w14:textId="77777777" w:rsidR="002530E2" w:rsidRDefault="002530E2">
      <w:pPr>
        <w:pStyle w:val="Heading1"/>
      </w:pPr>
      <w:bookmarkStart w:id="74" w:name="_p8y49s9ynlkd" w:colFirst="0" w:colLast="0"/>
      <w:bookmarkEnd w:id="74"/>
    </w:p>
    <w:p w14:paraId="0E75FAC2" w14:textId="77777777" w:rsidR="002530E2" w:rsidRDefault="002530E2">
      <w:pPr>
        <w:pStyle w:val="Heading1"/>
      </w:pPr>
      <w:bookmarkStart w:id="75" w:name="_pvkz7bsqsdut" w:colFirst="0" w:colLast="0"/>
      <w:bookmarkEnd w:id="75"/>
      <w:r>
        <w:t>INTRODUCTION</w:t>
      </w:r>
    </w:p>
    <w:p w14:paraId="5F21AE81" w14:textId="77777777" w:rsidR="002530E2" w:rsidRDefault="002530E2">
      <w:r>
        <w:t xml:space="preserve">This appendix provides an exploration and examination of fundamental theories of research methods and processes. The aim is to gain a comprehensive understanding of the scientific methods and processes involved in research and apply them effectively in conducting this study. This serves as an </w:t>
      </w:r>
      <w:r>
        <w:lastRenderedPageBreak/>
        <w:t xml:space="preserve">essential component of the methodical literature review, enabling a rigorous and systematic approach to gathering and analysing relevant information. </w:t>
      </w:r>
    </w:p>
    <w:p w14:paraId="2A307663" w14:textId="77777777" w:rsidR="002530E2" w:rsidRDefault="002530E2">
      <w:r>
        <w:t>By delving into these basic theories, the study ensures a strong foundation for conducting research and contributes to the overall methodological rigour of the study.</w:t>
      </w:r>
    </w:p>
    <w:p w14:paraId="203A808B" w14:textId="77777777" w:rsidR="002530E2" w:rsidRDefault="002530E2">
      <w:pPr>
        <w:pStyle w:val="Heading1"/>
      </w:pPr>
      <w:bookmarkStart w:id="76" w:name="_sgd5qghxb2t4" w:colFirst="0" w:colLast="0"/>
      <w:bookmarkEnd w:id="76"/>
      <w:r>
        <w:t>THESIS</w:t>
      </w:r>
    </w:p>
    <w:p w14:paraId="7F622065" w14:textId="77777777" w:rsidR="002530E2" w:rsidRDefault="002530E2">
      <w:r>
        <w:t>The literal meaning of thesis is “a statement or an opinion that is discussed in a logical way and presented with evidence in order to prove that it is true” (The Oxford Learners’ Dictionaries, 2022), and “the main idea, opinion, or theory of a person, group, piece of writing, or speech” (The Cambridge English Dictionary, 2022). The Oxford Learners’ Dictionaries (2022) define the word thesis as “a long piece of writing completed by a student as part of a university degree, based on their own research” and according to The Lexico English Dictionaries (2022), it is “a long essay or dissertation involving personal research, written by a candidate for a university degree.”</w:t>
      </w:r>
    </w:p>
    <w:p w14:paraId="7281C2F7" w14:textId="77777777" w:rsidR="002530E2" w:rsidRDefault="002530E2">
      <w:r>
        <w:t>According to Jackson (2013), the purpose of a thesis is to establish academic credentials and test the competence of students. The thesis form often has the look of a book, but its appearance is amateurish. Lengthwise, it has a lower and upper word limit. An author is typically a student. The audience of a thesis is a panel of evaluative examiners who verify and mark the student's work in the thesis. The focus of the thesis is on its author, mainly the student. The approach in the thesis is defensive exposition to its readers. The language thesis is mostly heavy on jargon, obscure, and abstract. The structure is progressive along a preordained format. The narrative flow is characterised by excessive signposting and ends in an orderly exposition without building an argument. The ending or conclusion of the thesis is abrupt, with strict referencing as a requirement. The appendix section at the end depends on the author and may be used for different types of information that is complementary and supplementary to the thesis chapters. The evaluation of a thesis before completion is through an  academic supervisor's feedback, and a panel of examiners is tasked with making the final assessment.</w:t>
      </w:r>
    </w:p>
    <w:p w14:paraId="77217CBB" w14:textId="77777777" w:rsidR="002530E2" w:rsidRDefault="002530E2">
      <w:pPr>
        <w:pStyle w:val="Heading1"/>
      </w:pPr>
      <w:bookmarkStart w:id="77" w:name="_kkvkcidg7gk4" w:colFirst="0" w:colLast="0"/>
      <w:bookmarkEnd w:id="77"/>
      <w:r>
        <w:t>INTRODUCTION CHAPTER FORMAT</w:t>
      </w:r>
    </w:p>
    <w:p w14:paraId="5ABB0DA4" w14:textId="77777777" w:rsidR="002530E2" w:rsidRDefault="002530E2">
      <w:r>
        <w:t>McCombes (2019) suggests that the ‘introduction chapter’ is usually the first chapter of the thesis. This chapter provides research with a clear focus and direction and thus sets the necessary platform. A strong introduction is essential to draw the reader in and intrigue them with curiosity. This chapter tells the reader what is being written about, why it is important, and how it was approached. The following steps are recommended by McCombes (2019) for a standard ‘introduction chapter’:</w:t>
      </w:r>
    </w:p>
    <w:p w14:paraId="55072238" w14:textId="77777777" w:rsidR="002530E2" w:rsidRDefault="002530E2" w:rsidP="002530E2">
      <w:pPr>
        <w:numPr>
          <w:ilvl w:val="0"/>
          <w:numId w:val="65"/>
        </w:numPr>
        <w:spacing w:after="0" w:line="360" w:lineRule="auto"/>
        <w:jc w:val="both"/>
      </w:pPr>
      <w:r>
        <w:t>Research topic and context: what does the audience or reader require or need to learn to understand the thesis?</w:t>
      </w:r>
    </w:p>
    <w:p w14:paraId="0DB8AFCA" w14:textId="77777777" w:rsidR="002530E2" w:rsidRDefault="002530E2" w:rsidP="002530E2">
      <w:pPr>
        <w:numPr>
          <w:ilvl w:val="0"/>
          <w:numId w:val="65"/>
        </w:numPr>
        <w:spacing w:after="0" w:line="360" w:lineRule="auto"/>
        <w:jc w:val="both"/>
      </w:pPr>
      <w:r>
        <w:t>Research focus and scope: what aspect of the topic was addressed specifically?</w:t>
      </w:r>
    </w:p>
    <w:p w14:paraId="013C8C03" w14:textId="77777777" w:rsidR="002530E2" w:rsidRDefault="002530E2" w:rsidP="002530E2">
      <w:pPr>
        <w:numPr>
          <w:ilvl w:val="0"/>
          <w:numId w:val="65"/>
        </w:numPr>
        <w:spacing w:after="0" w:line="360" w:lineRule="auto"/>
        <w:jc w:val="both"/>
      </w:pPr>
      <w:r>
        <w:t>Research relevance: why is the research worth conducting?</w:t>
      </w:r>
    </w:p>
    <w:p w14:paraId="0AD40857" w14:textId="77777777" w:rsidR="002530E2" w:rsidRDefault="002530E2" w:rsidP="002530E2">
      <w:pPr>
        <w:numPr>
          <w:ilvl w:val="0"/>
          <w:numId w:val="65"/>
        </w:numPr>
        <w:spacing w:after="0" w:line="360" w:lineRule="auto"/>
        <w:jc w:val="both"/>
      </w:pPr>
      <w:r>
        <w:t>Research aims: What did the research seek to find out?</w:t>
      </w:r>
    </w:p>
    <w:p w14:paraId="03509C65" w14:textId="77777777" w:rsidR="002530E2" w:rsidRDefault="002530E2" w:rsidP="002530E2">
      <w:pPr>
        <w:numPr>
          <w:ilvl w:val="0"/>
          <w:numId w:val="65"/>
        </w:numPr>
        <w:spacing w:after="0" w:line="360" w:lineRule="auto"/>
        <w:jc w:val="both"/>
      </w:pPr>
      <w:r>
        <w:lastRenderedPageBreak/>
        <w:t>Research objectives: how did the research approach it?</w:t>
      </w:r>
    </w:p>
    <w:p w14:paraId="468C82CE" w14:textId="77777777" w:rsidR="002530E2" w:rsidRDefault="002530E2" w:rsidP="002530E2">
      <w:pPr>
        <w:numPr>
          <w:ilvl w:val="0"/>
          <w:numId w:val="65"/>
        </w:numPr>
        <w:spacing w:after="200" w:line="360" w:lineRule="auto"/>
        <w:jc w:val="both"/>
      </w:pPr>
      <w:r>
        <w:t>An overview or outline of the thesis structure: what is covered in each chapter?</w:t>
      </w:r>
    </w:p>
    <w:p w14:paraId="1782EC33" w14:textId="77777777" w:rsidR="002530E2" w:rsidRDefault="002530E2">
      <w:r>
        <w:t>Jansen (2020) suggests that the ‘introduction chapter’ is an introduction to the thesis in which researchers should give an overview of their planned research, along with a clear explanation of what motivates the research. This chapter is meant to explain both the ‘what’ and the ‘why’ of the research—why it is so important and everything about it. The following steps are recommended by Jansen (2020) for an ‘introduction chapter’:</w:t>
      </w:r>
    </w:p>
    <w:p w14:paraId="14AC1AAD" w14:textId="77777777" w:rsidR="002530E2" w:rsidRDefault="002530E2" w:rsidP="002530E2">
      <w:pPr>
        <w:numPr>
          <w:ilvl w:val="0"/>
          <w:numId w:val="66"/>
        </w:numPr>
        <w:spacing w:after="0" w:line="360" w:lineRule="auto"/>
        <w:jc w:val="both"/>
      </w:pPr>
      <w:r>
        <w:t>Learn what the purpose and function of the introductory chapter is.</w:t>
      </w:r>
    </w:p>
    <w:p w14:paraId="29881087" w14:textId="77777777" w:rsidR="002530E2" w:rsidRDefault="002530E2" w:rsidP="002530E2">
      <w:pPr>
        <w:numPr>
          <w:ilvl w:val="0"/>
          <w:numId w:val="66"/>
        </w:numPr>
        <w:spacing w:after="0" w:line="360" w:lineRule="auto"/>
        <w:jc w:val="both"/>
      </w:pPr>
      <w:r>
        <w:t>Construct a compelling and engaging opening paragraph.</w:t>
      </w:r>
    </w:p>
    <w:p w14:paraId="63EECEED" w14:textId="77777777" w:rsidR="002530E2" w:rsidRDefault="002530E2" w:rsidP="002530E2">
      <w:pPr>
        <w:numPr>
          <w:ilvl w:val="0"/>
          <w:numId w:val="66"/>
        </w:numPr>
        <w:spacing w:after="0" w:line="360" w:lineRule="auto"/>
        <w:jc w:val="both"/>
      </w:pPr>
      <w:r>
        <w:t>Describe the context and setting of the study.</w:t>
      </w:r>
    </w:p>
    <w:p w14:paraId="5B8549AA" w14:textId="77777777" w:rsidR="002530E2" w:rsidRDefault="002530E2" w:rsidP="002530E2">
      <w:pPr>
        <w:numPr>
          <w:ilvl w:val="0"/>
          <w:numId w:val="66"/>
        </w:numPr>
        <w:spacing w:after="0" w:line="360" w:lineRule="auto"/>
        <w:jc w:val="both"/>
      </w:pPr>
      <w:r>
        <w:t>Provide a clear statement of the research problem or research question.</w:t>
      </w:r>
    </w:p>
    <w:p w14:paraId="2367EA5B" w14:textId="77777777" w:rsidR="002530E2" w:rsidRDefault="002530E2" w:rsidP="002530E2">
      <w:pPr>
        <w:numPr>
          <w:ilvl w:val="0"/>
          <w:numId w:val="66"/>
        </w:numPr>
        <w:spacing w:after="0" w:line="360" w:lineRule="auto"/>
        <w:jc w:val="both"/>
      </w:pPr>
      <w:r>
        <w:t>Outline the research aims, objectives, and questions of the study.</w:t>
      </w:r>
    </w:p>
    <w:p w14:paraId="6496789A" w14:textId="77777777" w:rsidR="002530E2" w:rsidRDefault="002530E2" w:rsidP="002530E2">
      <w:pPr>
        <w:numPr>
          <w:ilvl w:val="0"/>
          <w:numId w:val="66"/>
        </w:numPr>
        <w:spacing w:after="0" w:line="360" w:lineRule="auto"/>
        <w:jc w:val="both"/>
      </w:pPr>
      <w:r>
        <w:t>Explain why the research is significant.</w:t>
      </w:r>
    </w:p>
    <w:p w14:paraId="7B9D9A16" w14:textId="77777777" w:rsidR="002530E2" w:rsidRDefault="002530E2" w:rsidP="002530E2">
      <w:pPr>
        <w:numPr>
          <w:ilvl w:val="0"/>
          <w:numId w:val="66"/>
        </w:numPr>
        <w:spacing w:after="0" w:line="360" w:lineRule="auto"/>
        <w:jc w:val="both"/>
      </w:pPr>
      <w:r>
        <w:t>Highlight any limitations of the study.</w:t>
      </w:r>
    </w:p>
    <w:p w14:paraId="682D3EA4" w14:textId="77777777" w:rsidR="002530E2" w:rsidRDefault="002530E2" w:rsidP="002530E2">
      <w:pPr>
        <w:numPr>
          <w:ilvl w:val="0"/>
          <w:numId w:val="66"/>
        </w:numPr>
        <w:spacing w:after="0" w:line="360" w:lineRule="auto"/>
        <w:jc w:val="both"/>
      </w:pPr>
      <w:r>
        <w:t>Give an overview of the structure of your thesis or dissertation.</w:t>
      </w:r>
    </w:p>
    <w:p w14:paraId="2AC91523" w14:textId="77777777" w:rsidR="002530E2" w:rsidRDefault="002530E2">
      <w:pPr>
        <w:pStyle w:val="Heading1"/>
      </w:pPr>
      <w:bookmarkStart w:id="78" w:name="_8jtsa9mc3mmf" w:colFirst="0" w:colLast="0"/>
      <w:bookmarkEnd w:id="78"/>
      <w:r>
        <w:t xml:space="preserve">RESEARCH DEFINITION </w:t>
      </w:r>
    </w:p>
    <w:p w14:paraId="7F3CA758" w14:textId="77777777" w:rsidR="002530E2" w:rsidRDefault="002530E2">
      <w:r>
        <w:t xml:space="preserve">The Oxford Learners' Dictionaries (2022) define the word ‘research’ as “a careful study of a subject, especially in order to discover new facts or information about it.” </w:t>
      </w:r>
    </w:p>
    <w:p w14:paraId="54ECCDAF" w14:textId="77777777" w:rsidR="002530E2" w:rsidRDefault="002530E2">
      <w:r>
        <w:t xml:space="preserve">Saunders, Lewis, and Thornhill (2018) suggest defining research as “a process that is undertaken in a systematic way with a clear purpose, to find things out.” The two phrases, “in a systematic way” and “to find out things”, are important to consider in this definition. </w:t>
      </w:r>
    </w:p>
    <w:p w14:paraId="1B9B9003" w14:textId="77777777" w:rsidR="002530E2" w:rsidRDefault="002530E2">
      <w:r>
        <w:t xml:space="preserve">According to Kothari (2004), research is a scientific and systematic way to search for knowledge to gather relevant information on a specific topic. Kothari calls research “a scientific investigation” and “a voyage of discovery.” It may seem to some people that research is a movement, as a journey into the unknown from the known. </w:t>
      </w:r>
    </w:p>
    <w:p w14:paraId="39F089F9" w14:textId="77777777" w:rsidR="002530E2" w:rsidRDefault="002530E2">
      <w:r>
        <w:t>Lee and Lings (2008) refer to research as something that is about generating knowledge about what a researcher believes the world is. The aim of academic research is usually to produce new knowledge. Knowledge produced by academic research can be applied to a general situation or to a specific one. Research undertaken by academics and commercial establishments differs. Commercial research rests on a grounded theory approach to knowledge. For what knowledge is and is not. On the contrary, in academic research, knowledge is important to forming theories or solving problems.</w:t>
      </w:r>
    </w:p>
    <w:p w14:paraId="5BE9E8DA" w14:textId="77777777" w:rsidR="002530E2" w:rsidRDefault="002530E2">
      <w:r>
        <w:t xml:space="preserve">Zarah (2010) points out that research contributes to the development of knowledge in a field of study by providing evidence for theories, informing action, and gathering evidence for theories. </w:t>
      </w:r>
    </w:p>
    <w:p w14:paraId="3796D367" w14:textId="77777777" w:rsidR="002530E2" w:rsidRDefault="002530E2">
      <w:r>
        <w:t xml:space="preserve">Saunders, Lewis, and Thornhill (2018) point out the argument made by Walliman (2011) that the term ‘research’ is not research in its essence or the true meaning of the word and is used incorrectly </w:t>
      </w:r>
      <w:r>
        <w:lastRenderedPageBreak/>
        <w:t>in many of the everyday uses in: “collecting facts or information with no clear purpose;” “reassembling and reordering facts or information without interpretation;” carrying out “an activity with no or little relevance to everyday life;” and using research “as a term to get your product or idea noticed and respected.”</w:t>
      </w:r>
    </w:p>
    <w:p w14:paraId="3038F8F3" w14:textId="77777777" w:rsidR="002530E2" w:rsidRDefault="002530E2">
      <w:r>
        <w:t>Zarah (2010) provides seven important points on the necessity and value of research in our daily lives, as below.</w:t>
      </w:r>
    </w:p>
    <w:p w14:paraId="14B356A6" w14:textId="77777777" w:rsidR="002530E2" w:rsidRDefault="002530E2" w:rsidP="002530E2">
      <w:pPr>
        <w:numPr>
          <w:ilvl w:val="0"/>
          <w:numId w:val="67"/>
        </w:numPr>
        <w:spacing w:after="0" w:line="360" w:lineRule="auto"/>
        <w:jc w:val="both"/>
      </w:pPr>
      <w:r>
        <w:t>A tool for facilitating learning and building knowledge.</w:t>
      </w:r>
    </w:p>
    <w:p w14:paraId="3F0FE603" w14:textId="77777777" w:rsidR="002530E2" w:rsidRDefault="002530E2" w:rsidP="002530E2">
      <w:pPr>
        <w:numPr>
          <w:ilvl w:val="0"/>
          <w:numId w:val="67"/>
        </w:numPr>
        <w:spacing w:after="0" w:line="360" w:lineRule="auto"/>
        <w:jc w:val="both"/>
      </w:pPr>
      <w:r>
        <w:t>Public awareness is increased and issues are better understood.</w:t>
      </w:r>
    </w:p>
    <w:p w14:paraId="5FF7D469" w14:textId="77777777" w:rsidR="002530E2" w:rsidRDefault="002530E2" w:rsidP="002530E2">
      <w:pPr>
        <w:numPr>
          <w:ilvl w:val="0"/>
          <w:numId w:val="67"/>
        </w:numPr>
        <w:spacing w:after="0" w:line="360" w:lineRule="auto"/>
        <w:jc w:val="both"/>
      </w:pPr>
      <w:r>
        <w:t>Our business success is aided by it.</w:t>
      </w:r>
    </w:p>
    <w:p w14:paraId="419C9962" w14:textId="77777777" w:rsidR="002530E2" w:rsidRDefault="002530E2" w:rsidP="002530E2">
      <w:pPr>
        <w:numPr>
          <w:ilvl w:val="0"/>
          <w:numId w:val="67"/>
        </w:numPr>
        <w:spacing w:after="0" w:line="360" w:lineRule="auto"/>
        <w:jc w:val="both"/>
      </w:pPr>
      <w:r>
        <w:t>The truth can be supported and the lies can be disproven.</w:t>
      </w:r>
    </w:p>
    <w:p w14:paraId="2FB52B41" w14:textId="77777777" w:rsidR="002530E2" w:rsidRDefault="002530E2" w:rsidP="002530E2">
      <w:pPr>
        <w:numPr>
          <w:ilvl w:val="0"/>
          <w:numId w:val="67"/>
        </w:numPr>
        <w:spacing w:after="0" w:line="360" w:lineRule="auto"/>
        <w:jc w:val="both"/>
      </w:pPr>
      <w:r>
        <w:t>It is a tool for identifying, gauging, and securing opportunities.</w:t>
      </w:r>
    </w:p>
    <w:p w14:paraId="5449309B" w14:textId="77777777" w:rsidR="002530E2" w:rsidRDefault="002530E2" w:rsidP="002530E2">
      <w:pPr>
        <w:numPr>
          <w:ilvl w:val="0"/>
          <w:numId w:val="67"/>
        </w:numPr>
        <w:spacing w:after="0" w:line="360" w:lineRule="auto"/>
        <w:jc w:val="both"/>
      </w:pPr>
      <w:r>
        <w:t>It enhances reading, writing, analysing, and sharing valuable information by fostering a love of reading, writing, and analysing.</w:t>
      </w:r>
    </w:p>
    <w:p w14:paraId="16DA9BE7" w14:textId="77777777" w:rsidR="002530E2" w:rsidRDefault="002530E2" w:rsidP="002530E2">
      <w:pPr>
        <w:numPr>
          <w:ilvl w:val="0"/>
          <w:numId w:val="67"/>
        </w:numPr>
        <w:spacing w:after="200" w:line="360" w:lineRule="auto"/>
        <w:jc w:val="both"/>
      </w:pPr>
      <w:r>
        <w:t>The mind is nourished and exercised by it.</w:t>
      </w:r>
    </w:p>
    <w:p w14:paraId="5B9BAE7B" w14:textId="77777777" w:rsidR="002530E2" w:rsidRDefault="002530E2">
      <w:r>
        <w:t>According to Qian (2020), the first step in conducting research is to develop a research proposal and determine a valid research gap. In other words, identifying a valid research gap is a precursor to writing a research proposal, which is the first step in any research project.</w:t>
      </w:r>
    </w:p>
    <w:p w14:paraId="7E817C0C" w14:textId="77777777" w:rsidR="002530E2" w:rsidRDefault="002530E2">
      <w:pPr>
        <w:pStyle w:val="Heading1"/>
      </w:pPr>
      <w:bookmarkStart w:id="79" w:name="_em3yrny9to4c" w:colFirst="0" w:colLast="0"/>
      <w:bookmarkEnd w:id="79"/>
      <w:r>
        <w:t xml:space="preserve">RESEARCH NATURE </w:t>
      </w:r>
    </w:p>
    <w:p w14:paraId="4880D09E" w14:textId="77777777" w:rsidR="002530E2" w:rsidRDefault="002530E2">
      <w:r>
        <w:t xml:space="preserve">Saunders, Lewis, and Thornhill (2018) suggest that the nature of a research or research project or study will be any of the exploratory, descriptive, explanatory, or evaluative types or a combination of the former four types. To ensure coherence within the research project based on the nature of research, research design needs to use one or more research strategies that support the study to explore, or describe, or explain, or evaluate the research variable, or research question, or gain an understanding of the research problem. </w:t>
      </w:r>
    </w:p>
    <w:p w14:paraId="10D02BC5" w14:textId="77777777" w:rsidR="002530E2" w:rsidRDefault="002530E2">
      <w:r>
        <w:t xml:space="preserve">Exploratory and descriptive research start from the point where a ‘research problem’ is identified, and the starting point of explanatory or causal research is a ‘research question’ (Saunders, Lewis, and Thornhill, 2018). </w:t>
      </w:r>
    </w:p>
    <w:p w14:paraId="1D2BED66" w14:textId="77777777" w:rsidR="002530E2" w:rsidRDefault="002530E2">
      <w:pPr>
        <w:spacing w:after="0"/>
      </w:pPr>
      <w:r>
        <w:t xml:space="preserve">According to Chaudhari (2020), the exploratory and descriptive research ‘do not answer a research question,’ instead, they ‘provide a better understanding’ of the research problem itself. The ‘key research statement’ to address a ‘research problem’ for exploratory and descriptive research ‘is the research question itself’ and for explanatory or causal research is generally ‘research hypotheses’. </w:t>
      </w:r>
    </w:p>
    <w:p w14:paraId="393F2AD0"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2310"/>
        <w:gridCol w:w="2520"/>
        <w:gridCol w:w="2280"/>
      </w:tblGrid>
      <w:tr w:rsidR="002530E2" w14:paraId="39636F19" w14:textId="77777777">
        <w:tc>
          <w:tcPr>
            <w:tcW w:w="19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5A2F59" w14:textId="77777777" w:rsidR="002530E2" w:rsidRDefault="002530E2">
            <w:pPr>
              <w:spacing w:after="0" w:line="276" w:lineRule="auto"/>
              <w:rPr>
                <w:sz w:val="16"/>
                <w:szCs w:val="16"/>
              </w:rPr>
            </w:pPr>
            <w:r>
              <w:rPr>
                <w:sz w:val="16"/>
                <w:szCs w:val="16"/>
              </w:rPr>
              <w:t xml:space="preserve">Nature of Research, </w:t>
            </w:r>
          </w:p>
          <w:p w14:paraId="69D7559A" w14:textId="77777777" w:rsidR="002530E2" w:rsidRDefault="002530E2">
            <w:pPr>
              <w:spacing w:after="0" w:line="276" w:lineRule="auto"/>
              <w:rPr>
                <w:sz w:val="16"/>
                <w:szCs w:val="16"/>
              </w:rPr>
            </w:pPr>
            <w:r>
              <w:rPr>
                <w:sz w:val="16"/>
                <w:szCs w:val="16"/>
              </w:rPr>
              <w:t xml:space="preserve">or study or project </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4FBE0D9" w14:textId="77777777" w:rsidR="002530E2" w:rsidRDefault="002530E2">
            <w:pPr>
              <w:spacing w:after="0" w:line="276" w:lineRule="auto"/>
              <w:rPr>
                <w:sz w:val="16"/>
                <w:szCs w:val="16"/>
              </w:rPr>
            </w:pPr>
            <w:r>
              <w:rPr>
                <w:sz w:val="16"/>
                <w:szCs w:val="16"/>
              </w:rPr>
              <w:t xml:space="preserve">Exploratory </w:t>
            </w:r>
          </w:p>
          <w:p w14:paraId="4DED8786" w14:textId="77777777" w:rsidR="002530E2" w:rsidRDefault="002530E2">
            <w:pPr>
              <w:spacing w:after="0" w:line="276" w:lineRule="auto"/>
              <w:rPr>
                <w:sz w:val="16"/>
                <w:szCs w:val="16"/>
              </w:rPr>
            </w:pPr>
            <w:r>
              <w:rPr>
                <w:sz w:val="16"/>
                <w:szCs w:val="16"/>
              </w:rPr>
              <w:t>Research</w:t>
            </w:r>
          </w:p>
        </w:tc>
        <w:tc>
          <w:tcPr>
            <w:tcW w:w="25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C74FD57" w14:textId="77777777" w:rsidR="002530E2" w:rsidRDefault="002530E2">
            <w:pPr>
              <w:spacing w:after="0" w:line="276" w:lineRule="auto"/>
              <w:rPr>
                <w:sz w:val="16"/>
                <w:szCs w:val="16"/>
              </w:rPr>
            </w:pPr>
            <w:r>
              <w:rPr>
                <w:sz w:val="16"/>
                <w:szCs w:val="16"/>
              </w:rPr>
              <w:t xml:space="preserve">Descriptive </w:t>
            </w:r>
          </w:p>
          <w:p w14:paraId="1F27CE65" w14:textId="77777777" w:rsidR="002530E2" w:rsidRDefault="002530E2">
            <w:pPr>
              <w:spacing w:after="0" w:line="276" w:lineRule="auto"/>
              <w:rPr>
                <w:sz w:val="16"/>
                <w:szCs w:val="16"/>
              </w:rPr>
            </w:pPr>
            <w:r>
              <w:rPr>
                <w:sz w:val="16"/>
                <w:szCs w:val="16"/>
              </w:rPr>
              <w:t>Research</w:t>
            </w:r>
          </w:p>
        </w:tc>
        <w:tc>
          <w:tcPr>
            <w:tcW w:w="22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525BFB9" w14:textId="77777777" w:rsidR="002530E2" w:rsidRDefault="002530E2">
            <w:pPr>
              <w:spacing w:after="0" w:line="276" w:lineRule="auto"/>
              <w:rPr>
                <w:sz w:val="16"/>
                <w:szCs w:val="16"/>
              </w:rPr>
            </w:pPr>
            <w:r>
              <w:rPr>
                <w:sz w:val="16"/>
                <w:szCs w:val="16"/>
              </w:rPr>
              <w:t xml:space="preserve">Explanatory </w:t>
            </w:r>
          </w:p>
          <w:p w14:paraId="2438FD8A" w14:textId="77777777" w:rsidR="002530E2" w:rsidRDefault="002530E2">
            <w:pPr>
              <w:spacing w:after="0" w:line="276" w:lineRule="auto"/>
              <w:rPr>
                <w:sz w:val="16"/>
                <w:szCs w:val="16"/>
              </w:rPr>
            </w:pPr>
            <w:r>
              <w:rPr>
                <w:sz w:val="16"/>
                <w:szCs w:val="16"/>
              </w:rPr>
              <w:t>or Causal Research</w:t>
            </w:r>
          </w:p>
        </w:tc>
      </w:tr>
      <w:tr w:rsidR="002530E2" w14:paraId="75A3DEDC" w14:textId="77777777">
        <w:tc>
          <w:tcPr>
            <w:tcW w:w="19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6A9F55D" w14:textId="77777777" w:rsidR="002530E2" w:rsidRDefault="002530E2">
            <w:pPr>
              <w:spacing w:after="0" w:line="276" w:lineRule="auto"/>
              <w:rPr>
                <w:sz w:val="16"/>
                <w:szCs w:val="16"/>
              </w:rPr>
            </w:pPr>
            <w:r>
              <w:rPr>
                <w:sz w:val="16"/>
                <w:szCs w:val="16"/>
              </w:rPr>
              <w:t xml:space="preserve">Overview </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136BE1D" w14:textId="77777777" w:rsidR="002530E2" w:rsidRDefault="002530E2">
            <w:pPr>
              <w:spacing w:after="0" w:line="276" w:lineRule="auto"/>
              <w:rPr>
                <w:sz w:val="16"/>
                <w:szCs w:val="16"/>
              </w:rPr>
            </w:pPr>
            <w:r>
              <w:rPr>
                <w:sz w:val="16"/>
                <w:szCs w:val="16"/>
              </w:rPr>
              <w:t xml:space="preserve">‘EXPLORES’ something by starting with the ‘WHAT’ inquiry </w:t>
            </w:r>
            <w:r>
              <w:rPr>
                <w:sz w:val="16"/>
                <w:szCs w:val="16"/>
              </w:rPr>
              <w:lastRenderedPageBreak/>
              <w:t>approach (MeanThat &amp; Authentic Data Science, 2016)</w:t>
            </w:r>
          </w:p>
        </w:tc>
        <w:tc>
          <w:tcPr>
            <w:tcW w:w="25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C282366" w14:textId="77777777" w:rsidR="002530E2" w:rsidRDefault="002530E2">
            <w:pPr>
              <w:spacing w:after="0" w:line="276" w:lineRule="auto"/>
              <w:rPr>
                <w:sz w:val="16"/>
                <w:szCs w:val="16"/>
              </w:rPr>
            </w:pPr>
            <w:r>
              <w:rPr>
                <w:sz w:val="16"/>
                <w:szCs w:val="16"/>
              </w:rPr>
              <w:lastRenderedPageBreak/>
              <w:t xml:space="preserve">‘DESCRIBES’ something by starting with the ‘HOW’ inquiry approach </w:t>
            </w:r>
            <w:r>
              <w:rPr>
                <w:sz w:val="16"/>
                <w:szCs w:val="16"/>
              </w:rPr>
              <w:lastRenderedPageBreak/>
              <w:t>(MeanThat &amp; Authentic Data Science, 2016)</w:t>
            </w:r>
          </w:p>
        </w:tc>
        <w:tc>
          <w:tcPr>
            <w:tcW w:w="22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AE2B0C2" w14:textId="77777777" w:rsidR="002530E2" w:rsidRDefault="002530E2">
            <w:pPr>
              <w:spacing w:after="0" w:line="276" w:lineRule="auto"/>
              <w:rPr>
                <w:sz w:val="16"/>
                <w:szCs w:val="16"/>
              </w:rPr>
            </w:pPr>
            <w:r>
              <w:rPr>
                <w:sz w:val="16"/>
                <w:szCs w:val="16"/>
              </w:rPr>
              <w:lastRenderedPageBreak/>
              <w:t xml:space="preserve">‘EXPLAINS’ something by starting with the ‘WHY’ inquiry </w:t>
            </w:r>
            <w:r>
              <w:rPr>
                <w:sz w:val="16"/>
                <w:szCs w:val="16"/>
              </w:rPr>
              <w:lastRenderedPageBreak/>
              <w:t>approach (MeanThat &amp; Authentic Data Science, 2016)</w:t>
            </w:r>
          </w:p>
        </w:tc>
      </w:tr>
      <w:tr w:rsidR="002530E2" w14:paraId="097D4AE4" w14:textId="77777777">
        <w:tc>
          <w:tcPr>
            <w:tcW w:w="19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AA99CB4" w14:textId="77777777" w:rsidR="002530E2" w:rsidRDefault="002530E2">
            <w:pPr>
              <w:spacing w:after="0" w:line="276" w:lineRule="auto"/>
              <w:rPr>
                <w:sz w:val="16"/>
                <w:szCs w:val="16"/>
              </w:rPr>
            </w:pPr>
            <w:r>
              <w:rPr>
                <w:sz w:val="16"/>
                <w:szCs w:val="16"/>
              </w:rPr>
              <w:lastRenderedPageBreak/>
              <w:t>Starting point</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ED65C1" w14:textId="77777777" w:rsidR="002530E2" w:rsidRDefault="002530E2">
            <w:pPr>
              <w:spacing w:after="0" w:line="276" w:lineRule="auto"/>
              <w:rPr>
                <w:sz w:val="16"/>
                <w:szCs w:val="16"/>
              </w:rPr>
            </w:pPr>
            <w:r>
              <w:rPr>
                <w:sz w:val="16"/>
                <w:szCs w:val="16"/>
              </w:rPr>
              <w:t>Research problem</w:t>
            </w:r>
          </w:p>
        </w:tc>
        <w:tc>
          <w:tcPr>
            <w:tcW w:w="25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9657813" w14:textId="77777777" w:rsidR="002530E2" w:rsidRDefault="002530E2">
            <w:pPr>
              <w:spacing w:after="0" w:line="276" w:lineRule="auto"/>
              <w:rPr>
                <w:sz w:val="16"/>
                <w:szCs w:val="16"/>
              </w:rPr>
            </w:pPr>
            <w:r>
              <w:rPr>
                <w:sz w:val="16"/>
                <w:szCs w:val="16"/>
              </w:rPr>
              <w:t>Research problem</w:t>
            </w:r>
          </w:p>
        </w:tc>
        <w:tc>
          <w:tcPr>
            <w:tcW w:w="22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4BC5E5F" w14:textId="77777777" w:rsidR="002530E2" w:rsidRDefault="002530E2">
            <w:pPr>
              <w:spacing w:after="0" w:line="276" w:lineRule="auto"/>
              <w:rPr>
                <w:sz w:val="16"/>
                <w:szCs w:val="16"/>
              </w:rPr>
            </w:pPr>
            <w:r>
              <w:rPr>
                <w:sz w:val="16"/>
                <w:szCs w:val="16"/>
              </w:rPr>
              <w:t>Research question</w:t>
            </w:r>
          </w:p>
        </w:tc>
      </w:tr>
      <w:tr w:rsidR="002530E2" w14:paraId="5B49A02C" w14:textId="77777777">
        <w:tc>
          <w:tcPr>
            <w:tcW w:w="19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6AEC148" w14:textId="77777777" w:rsidR="002530E2" w:rsidRDefault="002530E2">
            <w:pPr>
              <w:spacing w:after="0" w:line="276" w:lineRule="auto"/>
              <w:rPr>
                <w:sz w:val="16"/>
                <w:szCs w:val="16"/>
              </w:rPr>
            </w:pPr>
            <w:r>
              <w:rPr>
                <w:sz w:val="16"/>
                <w:szCs w:val="16"/>
              </w:rPr>
              <w:t>Key research statement</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39A054" w14:textId="77777777" w:rsidR="002530E2" w:rsidRDefault="002530E2">
            <w:pPr>
              <w:spacing w:after="0" w:line="276" w:lineRule="auto"/>
              <w:rPr>
                <w:sz w:val="16"/>
                <w:szCs w:val="16"/>
              </w:rPr>
            </w:pPr>
            <w:r>
              <w:rPr>
                <w:sz w:val="16"/>
                <w:szCs w:val="16"/>
              </w:rPr>
              <w:t xml:space="preserve">Research question itself (Chaudhari, 2020) </w:t>
            </w:r>
          </w:p>
        </w:tc>
        <w:tc>
          <w:tcPr>
            <w:tcW w:w="25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2C880B2" w14:textId="77777777" w:rsidR="002530E2" w:rsidRDefault="002530E2">
            <w:pPr>
              <w:spacing w:after="0" w:line="276" w:lineRule="auto"/>
              <w:rPr>
                <w:sz w:val="16"/>
                <w:szCs w:val="16"/>
              </w:rPr>
            </w:pPr>
            <w:r>
              <w:rPr>
                <w:sz w:val="16"/>
                <w:szCs w:val="16"/>
              </w:rPr>
              <w:t xml:space="preserve">Research question itself (Chaudhari, 2020) </w:t>
            </w:r>
          </w:p>
        </w:tc>
        <w:tc>
          <w:tcPr>
            <w:tcW w:w="22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0FDFFC2" w14:textId="77777777" w:rsidR="002530E2" w:rsidRDefault="002530E2">
            <w:pPr>
              <w:spacing w:after="0" w:line="276" w:lineRule="auto"/>
              <w:rPr>
                <w:sz w:val="16"/>
                <w:szCs w:val="16"/>
              </w:rPr>
            </w:pPr>
            <w:r>
              <w:rPr>
                <w:sz w:val="16"/>
                <w:szCs w:val="16"/>
              </w:rPr>
              <w:t xml:space="preserve">Generally research hypotheses (Chaudhari, 2020) </w:t>
            </w:r>
          </w:p>
        </w:tc>
      </w:tr>
      <w:tr w:rsidR="002530E2" w14:paraId="01A3ECF2" w14:textId="77777777">
        <w:tc>
          <w:tcPr>
            <w:tcW w:w="19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292AB00" w14:textId="77777777" w:rsidR="002530E2" w:rsidRDefault="002530E2">
            <w:pPr>
              <w:spacing w:after="0" w:line="276" w:lineRule="auto"/>
              <w:rPr>
                <w:sz w:val="16"/>
                <w:szCs w:val="16"/>
              </w:rPr>
            </w:pPr>
            <w:r>
              <w:rPr>
                <w:sz w:val="16"/>
                <w:szCs w:val="16"/>
              </w:rPr>
              <w:t xml:space="preserve">Limitations </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FB6F1DF" w14:textId="77777777" w:rsidR="002530E2" w:rsidRDefault="002530E2">
            <w:pPr>
              <w:spacing w:after="0" w:line="276" w:lineRule="auto"/>
              <w:rPr>
                <w:sz w:val="16"/>
                <w:szCs w:val="16"/>
              </w:rPr>
            </w:pPr>
            <w:r>
              <w:rPr>
                <w:sz w:val="16"/>
                <w:szCs w:val="16"/>
              </w:rPr>
              <w:t xml:space="preserve">“Does not aim to provide the final and conclusive answers to the research questions, but merely explores the research topic” (research-methodology.net, 2020) </w:t>
            </w:r>
          </w:p>
        </w:tc>
        <w:tc>
          <w:tcPr>
            <w:tcW w:w="25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869CDCD" w14:textId="77777777" w:rsidR="002530E2" w:rsidRDefault="002530E2">
            <w:pPr>
              <w:spacing w:after="0" w:line="276" w:lineRule="auto"/>
              <w:rPr>
                <w:sz w:val="16"/>
                <w:szCs w:val="16"/>
              </w:rPr>
            </w:pPr>
            <w:r>
              <w:rPr>
                <w:sz w:val="16"/>
                <w:szCs w:val="16"/>
              </w:rPr>
              <w:t xml:space="preserve">“Does not aim to provide the final and conclusive answers to the research questions” (research-methodology.net, 2020); instead, it provides a better understanding of the research problem itself (Chaudhari, 2020) </w:t>
            </w:r>
          </w:p>
        </w:tc>
        <w:tc>
          <w:tcPr>
            <w:tcW w:w="22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E0930DA" w14:textId="77777777" w:rsidR="002530E2" w:rsidRDefault="002530E2">
            <w:pPr>
              <w:spacing w:after="0" w:line="276" w:lineRule="auto"/>
              <w:rPr>
                <w:sz w:val="16"/>
                <w:szCs w:val="16"/>
              </w:rPr>
            </w:pPr>
            <w:r>
              <w:rPr>
                <w:sz w:val="16"/>
                <w:szCs w:val="16"/>
              </w:rPr>
              <w:t>Only answers “research questions which focuses on the relationship between two or more factors” (Walia &amp; Chetty, 2020)</w:t>
            </w:r>
          </w:p>
        </w:tc>
      </w:tr>
    </w:tbl>
    <w:p w14:paraId="08C5B9EA" w14:textId="77777777" w:rsidR="002530E2" w:rsidRDefault="002530E2">
      <w:pPr>
        <w:pStyle w:val="Heading4"/>
      </w:pPr>
      <w:bookmarkStart w:id="80" w:name="_kpx9vcit20vd" w:colFirst="0" w:colLast="0"/>
      <w:bookmarkEnd w:id="80"/>
    </w:p>
    <w:p w14:paraId="2479E9C0" w14:textId="77777777" w:rsidR="002530E2" w:rsidRDefault="002530E2">
      <w:pPr>
        <w:pStyle w:val="Heading4"/>
      </w:pPr>
      <w:bookmarkStart w:id="81" w:name="_4pu3srutssws" w:colFirst="0" w:colLast="0"/>
      <w:bookmarkEnd w:id="81"/>
      <w:r>
        <w:t xml:space="preserve">Table [Appendix (CHP:3) 001] 1: The research nature starting point, key research statement and limitations overview for this study, adapted from DiscoverPhDs (2020) and other authors as cited above. </w:t>
      </w:r>
    </w:p>
    <w:p w14:paraId="74094260" w14:textId="77777777" w:rsidR="002530E2" w:rsidRDefault="002530E2">
      <w:pPr>
        <w:pStyle w:val="Heading1"/>
      </w:pPr>
      <w:bookmarkStart w:id="82" w:name="_3ywppq3nstu0" w:colFirst="0" w:colLast="0"/>
      <w:bookmarkEnd w:id="82"/>
      <w:r>
        <w:t xml:space="preserve">RESEARCH CLASSIFICATION  </w:t>
      </w:r>
    </w:p>
    <w:p w14:paraId="22445A58" w14:textId="77777777" w:rsidR="002530E2" w:rsidRDefault="002530E2">
      <w:r>
        <w:t xml:space="preserve">Lee and Lings (2008) argue that pure research projects do not always aim to solve a practical management problem, but rather to generate knowledge and develop a theory, regardless of its practical application (DiscoverPhDs, 2020), while applied research aims to solve a particular problem of a practical nature. The terms pure research,’ ‘basic research,’ fundamental research and theoretical research are interchangeable terms. </w:t>
      </w:r>
    </w:p>
    <w:p w14:paraId="334AAEC5" w14:textId="77777777" w:rsidR="002530E2" w:rsidRDefault="002530E2">
      <w:r>
        <w:t xml:space="preserve">Concluding from the argument by Lee and Lings (2008) and suggestion by DiscoverPhDs (2020), the two research classification types are: </w:t>
      </w:r>
    </w:p>
    <w:p w14:paraId="531F9C5F" w14:textId="77777777" w:rsidR="002530E2" w:rsidRDefault="002530E2" w:rsidP="002530E2">
      <w:pPr>
        <w:numPr>
          <w:ilvl w:val="0"/>
          <w:numId w:val="58"/>
        </w:numPr>
        <w:spacing w:after="0" w:line="360" w:lineRule="auto"/>
        <w:jc w:val="both"/>
      </w:pPr>
      <w:r>
        <w:t xml:space="preserve">Pure research: Generates knowledge and theory; and </w:t>
      </w:r>
    </w:p>
    <w:p w14:paraId="7EBEDC6C" w14:textId="77777777" w:rsidR="002530E2" w:rsidRDefault="002530E2" w:rsidP="002530E2">
      <w:pPr>
        <w:numPr>
          <w:ilvl w:val="0"/>
          <w:numId w:val="58"/>
        </w:numPr>
        <w:spacing w:after="200" w:line="360" w:lineRule="auto"/>
        <w:jc w:val="both"/>
      </w:pPr>
      <w:r>
        <w:t>Applied research: Solves practical problems using theories.</w:t>
      </w:r>
    </w:p>
    <w:p w14:paraId="7B1B1B5C" w14:textId="77777777" w:rsidR="002530E2" w:rsidRDefault="002530E2">
      <w:r>
        <w:t xml:space="preserve">According to National Science Foundation (2014), “Basic research, also called pure research or fundamental research, is a type of scientific research with the aim of improving scientific theories for better understanding and prediction of natural or other phenomena” In contrast, “applied research uses scientific theories to develop technology or techniques which can be used to intervene and alter natural or other phenomena,” (National Institute of General Medical Sciences, 2013). </w:t>
      </w:r>
    </w:p>
    <w:p w14:paraId="59F589A3" w14:textId="77777777" w:rsidR="002530E2" w:rsidRDefault="002530E2">
      <w:pPr>
        <w:spacing w:after="0"/>
      </w:pPr>
      <w:r>
        <w:t>DiscoverPhDs (2020) enlists the following types of research classifications (see the table below) according to the classification criteria: the purpose of a study, the depth of scope, the type of data used, the degree of manipulation of variables, the type of inference, the length of time in which it is carried out, the sources of information, and how the data is obtained.</w:t>
      </w:r>
    </w:p>
    <w:p w14:paraId="3BAE1DBD" w14:textId="77777777" w:rsidR="002530E2" w:rsidRDefault="002530E2">
      <w:pPr>
        <w:spacing w:after="0"/>
      </w:pPr>
    </w:p>
    <w:tbl>
      <w:tblPr>
        <w:tblW w:w="89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5"/>
        <w:gridCol w:w="3120"/>
        <w:gridCol w:w="390"/>
        <w:gridCol w:w="4935"/>
      </w:tblGrid>
      <w:tr w:rsidR="002530E2" w14:paraId="1BE257BB" w14:textId="77777777">
        <w:trPr>
          <w:trHeight w:val="380"/>
        </w:trPr>
        <w:tc>
          <w:tcPr>
            <w:tcW w:w="5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1B7A83D" w14:textId="77777777" w:rsidR="002530E2" w:rsidRDefault="002530E2">
            <w:pPr>
              <w:spacing w:after="0" w:line="240" w:lineRule="auto"/>
              <w:jc w:val="center"/>
              <w:rPr>
                <w:sz w:val="16"/>
                <w:szCs w:val="16"/>
              </w:rPr>
            </w:pPr>
            <w:r>
              <w:rPr>
                <w:sz w:val="16"/>
                <w:szCs w:val="16"/>
              </w:rPr>
              <w:lastRenderedPageBreak/>
              <w:t>#</w:t>
            </w:r>
          </w:p>
        </w:tc>
        <w:tc>
          <w:tcPr>
            <w:tcW w:w="8445" w:type="dxa"/>
            <w:gridSpan w:val="3"/>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DBDF811" w14:textId="77777777" w:rsidR="002530E2" w:rsidRDefault="002530E2">
            <w:pPr>
              <w:spacing w:after="0" w:line="240" w:lineRule="auto"/>
              <w:rPr>
                <w:sz w:val="16"/>
                <w:szCs w:val="16"/>
              </w:rPr>
            </w:pPr>
            <w:r>
              <w:rPr>
                <w:sz w:val="16"/>
                <w:szCs w:val="16"/>
              </w:rPr>
              <w:t xml:space="preserve">Classification according to </w:t>
            </w:r>
          </w:p>
        </w:tc>
      </w:tr>
      <w:tr w:rsidR="002530E2" w14:paraId="2930E164"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54C5336" w14:textId="77777777" w:rsidR="002530E2" w:rsidRDefault="002530E2">
            <w:pPr>
              <w:spacing w:after="0" w:line="240" w:lineRule="auto"/>
              <w:jc w:val="center"/>
              <w:rPr>
                <w:sz w:val="16"/>
                <w:szCs w:val="16"/>
              </w:rPr>
            </w:pPr>
            <w:r>
              <w:rPr>
                <w:sz w:val="16"/>
                <w:szCs w:val="16"/>
              </w:rPr>
              <w:t>1</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C2113E2" w14:textId="77777777" w:rsidR="002530E2" w:rsidRDefault="002530E2">
            <w:pPr>
              <w:spacing w:after="0" w:line="240" w:lineRule="auto"/>
              <w:rPr>
                <w:sz w:val="16"/>
                <w:szCs w:val="16"/>
              </w:rPr>
            </w:pPr>
            <w:r>
              <w:rPr>
                <w:sz w:val="16"/>
                <w:szCs w:val="16"/>
              </w:rPr>
              <w:t>“Purpose” of a Study</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04BA10"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C62E67B" w14:textId="77777777" w:rsidR="002530E2" w:rsidRDefault="002530E2">
            <w:pPr>
              <w:spacing w:after="0" w:line="240" w:lineRule="auto"/>
              <w:rPr>
                <w:sz w:val="16"/>
                <w:szCs w:val="16"/>
              </w:rPr>
            </w:pPr>
            <w:r>
              <w:rPr>
                <w:sz w:val="16"/>
                <w:szCs w:val="16"/>
              </w:rPr>
              <w:t>Theoretical Research</w:t>
            </w:r>
          </w:p>
        </w:tc>
      </w:tr>
      <w:tr w:rsidR="002530E2" w14:paraId="341CDC7F"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3437199"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D69E43B"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265899E"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5D589A" w14:textId="77777777" w:rsidR="002530E2" w:rsidRDefault="002530E2">
            <w:pPr>
              <w:spacing w:after="0" w:line="240" w:lineRule="auto"/>
              <w:rPr>
                <w:sz w:val="16"/>
                <w:szCs w:val="16"/>
              </w:rPr>
            </w:pPr>
            <w:r>
              <w:rPr>
                <w:sz w:val="16"/>
                <w:szCs w:val="16"/>
              </w:rPr>
              <w:t>Applied Research</w:t>
            </w:r>
          </w:p>
        </w:tc>
      </w:tr>
      <w:tr w:rsidR="002530E2" w14:paraId="7AF1E3AF"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243B1BA"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A061240"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F6E763" w14:textId="77777777" w:rsidR="002530E2" w:rsidRDefault="002530E2">
            <w:pPr>
              <w:spacing w:after="0" w:line="240" w:lineRule="auto"/>
              <w:jc w:val="center"/>
              <w:rPr>
                <w:sz w:val="16"/>
                <w:szCs w:val="16"/>
              </w:rPr>
            </w:pPr>
            <w:r>
              <w:rPr>
                <w:sz w:val="16"/>
                <w:szCs w:val="16"/>
              </w:rPr>
              <w:t>2a</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C17750B" w14:textId="77777777" w:rsidR="002530E2" w:rsidRDefault="002530E2">
            <w:pPr>
              <w:spacing w:after="0" w:line="240" w:lineRule="auto"/>
              <w:rPr>
                <w:sz w:val="16"/>
                <w:szCs w:val="16"/>
              </w:rPr>
            </w:pPr>
            <w:r>
              <w:rPr>
                <w:sz w:val="16"/>
                <w:szCs w:val="16"/>
              </w:rPr>
              <w:t xml:space="preserve">Applied Research: Technological </w:t>
            </w:r>
          </w:p>
        </w:tc>
      </w:tr>
      <w:tr w:rsidR="002530E2" w14:paraId="4F6088B9"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CB8B5B9"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5204B81"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2FD70C7" w14:textId="77777777" w:rsidR="002530E2" w:rsidRDefault="002530E2">
            <w:pPr>
              <w:spacing w:after="0" w:line="240" w:lineRule="auto"/>
              <w:jc w:val="center"/>
              <w:rPr>
                <w:sz w:val="16"/>
                <w:szCs w:val="16"/>
              </w:rPr>
            </w:pPr>
            <w:r>
              <w:rPr>
                <w:sz w:val="16"/>
                <w:szCs w:val="16"/>
              </w:rPr>
              <w:t>2b</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FDC3EC2" w14:textId="77777777" w:rsidR="002530E2" w:rsidRDefault="002530E2">
            <w:pPr>
              <w:spacing w:after="0" w:line="240" w:lineRule="auto"/>
              <w:rPr>
                <w:sz w:val="16"/>
                <w:szCs w:val="16"/>
              </w:rPr>
            </w:pPr>
            <w:r>
              <w:rPr>
                <w:sz w:val="16"/>
                <w:szCs w:val="16"/>
              </w:rPr>
              <w:t xml:space="preserve">Applied Research: Scientific </w:t>
            </w:r>
          </w:p>
        </w:tc>
      </w:tr>
      <w:tr w:rsidR="002530E2" w14:paraId="73F9B14C"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569EF6F" w14:textId="77777777" w:rsidR="002530E2" w:rsidRDefault="002530E2">
            <w:pPr>
              <w:spacing w:after="0" w:line="240" w:lineRule="auto"/>
              <w:jc w:val="center"/>
              <w:rPr>
                <w:sz w:val="16"/>
                <w:szCs w:val="16"/>
              </w:rPr>
            </w:pPr>
            <w:r>
              <w:rPr>
                <w:sz w:val="16"/>
                <w:szCs w:val="16"/>
              </w:rPr>
              <w:t>2</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C134115" w14:textId="77777777" w:rsidR="002530E2" w:rsidRDefault="002530E2">
            <w:pPr>
              <w:spacing w:after="0" w:line="240" w:lineRule="auto"/>
              <w:rPr>
                <w:sz w:val="16"/>
                <w:szCs w:val="16"/>
              </w:rPr>
            </w:pPr>
            <w:r>
              <w:rPr>
                <w:sz w:val="16"/>
                <w:szCs w:val="16"/>
              </w:rPr>
              <w:t>“Depth of Scope”</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9B4683E"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90FF367" w14:textId="77777777" w:rsidR="002530E2" w:rsidRDefault="002530E2">
            <w:pPr>
              <w:spacing w:after="0" w:line="240" w:lineRule="auto"/>
              <w:rPr>
                <w:sz w:val="16"/>
                <w:szCs w:val="16"/>
              </w:rPr>
            </w:pPr>
            <w:r>
              <w:rPr>
                <w:sz w:val="16"/>
                <w:szCs w:val="16"/>
              </w:rPr>
              <w:t>Exploratory Research</w:t>
            </w:r>
          </w:p>
        </w:tc>
      </w:tr>
      <w:tr w:rsidR="002530E2" w14:paraId="0BA88C0E"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D13AC9D"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6D1F48E"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F9FA62E"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AB70E32" w14:textId="77777777" w:rsidR="002530E2" w:rsidRDefault="002530E2">
            <w:pPr>
              <w:spacing w:after="0" w:line="240" w:lineRule="auto"/>
              <w:rPr>
                <w:sz w:val="16"/>
                <w:szCs w:val="16"/>
              </w:rPr>
            </w:pPr>
            <w:r>
              <w:rPr>
                <w:sz w:val="16"/>
                <w:szCs w:val="16"/>
              </w:rPr>
              <w:t>Descriptive Research</w:t>
            </w:r>
          </w:p>
        </w:tc>
      </w:tr>
      <w:tr w:rsidR="002530E2" w14:paraId="46EF556A"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C119A2D"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A5486D1"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7C4CAEF" w14:textId="77777777" w:rsidR="002530E2" w:rsidRDefault="002530E2">
            <w:pPr>
              <w:spacing w:after="0" w:line="240" w:lineRule="auto"/>
              <w:jc w:val="center"/>
              <w:rPr>
                <w:sz w:val="16"/>
                <w:szCs w:val="16"/>
              </w:rPr>
            </w:pPr>
            <w:r>
              <w:rPr>
                <w:sz w:val="16"/>
                <w:szCs w:val="16"/>
              </w:rPr>
              <w:t>3</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A9DF7C" w14:textId="77777777" w:rsidR="002530E2" w:rsidRDefault="002530E2">
            <w:pPr>
              <w:spacing w:after="0" w:line="240" w:lineRule="auto"/>
              <w:rPr>
                <w:sz w:val="16"/>
                <w:szCs w:val="16"/>
              </w:rPr>
            </w:pPr>
            <w:r>
              <w:rPr>
                <w:sz w:val="16"/>
                <w:szCs w:val="16"/>
              </w:rPr>
              <w:t>Explanatory Research</w:t>
            </w:r>
          </w:p>
        </w:tc>
      </w:tr>
      <w:tr w:rsidR="002530E2" w14:paraId="7429C7B5"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6AC9447"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5C160A8"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6A5BFFB" w14:textId="77777777" w:rsidR="002530E2" w:rsidRDefault="002530E2">
            <w:pPr>
              <w:spacing w:after="0" w:line="240" w:lineRule="auto"/>
              <w:jc w:val="center"/>
              <w:rPr>
                <w:sz w:val="16"/>
                <w:szCs w:val="16"/>
              </w:rPr>
            </w:pPr>
            <w:r>
              <w:rPr>
                <w:sz w:val="16"/>
                <w:szCs w:val="16"/>
              </w:rPr>
              <w:t>4</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FC2EDCD" w14:textId="77777777" w:rsidR="002530E2" w:rsidRDefault="002530E2">
            <w:pPr>
              <w:spacing w:after="0" w:line="240" w:lineRule="auto"/>
              <w:rPr>
                <w:sz w:val="16"/>
                <w:szCs w:val="16"/>
              </w:rPr>
            </w:pPr>
            <w:r>
              <w:rPr>
                <w:sz w:val="16"/>
                <w:szCs w:val="16"/>
              </w:rPr>
              <w:t>Correlational Research</w:t>
            </w:r>
          </w:p>
        </w:tc>
      </w:tr>
      <w:tr w:rsidR="002530E2" w14:paraId="0586B2B8"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1DF5CE0" w14:textId="77777777" w:rsidR="002530E2" w:rsidRDefault="002530E2">
            <w:pPr>
              <w:spacing w:after="0" w:line="240" w:lineRule="auto"/>
              <w:jc w:val="center"/>
              <w:rPr>
                <w:sz w:val="16"/>
                <w:szCs w:val="16"/>
              </w:rPr>
            </w:pPr>
            <w:r>
              <w:rPr>
                <w:sz w:val="16"/>
                <w:szCs w:val="16"/>
              </w:rPr>
              <w:t>3</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0FAA310" w14:textId="77777777" w:rsidR="002530E2" w:rsidRDefault="002530E2">
            <w:pPr>
              <w:spacing w:after="0" w:line="240" w:lineRule="auto"/>
              <w:rPr>
                <w:sz w:val="16"/>
                <w:szCs w:val="16"/>
              </w:rPr>
            </w:pPr>
            <w:r>
              <w:rPr>
                <w:sz w:val="16"/>
                <w:szCs w:val="16"/>
              </w:rPr>
              <w:t>“Type of Data used”</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A4E84AA"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144553D" w14:textId="77777777" w:rsidR="002530E2" w:rsidRDefault="002530E2">
            <w:pPr>
              <w:spacing w:after="0" w:line="240" w:lineRule="auto"/>
              <w:rPr>
                <w:sz w:val="16"/>
                <w:szCs w:val="16"/>
              </w:rPr>
            </w:pPr>
            <w:r>
              <w:rPr>
                <w:sz w:val="16"/>
                <w:szCs w:val="16"/>
              </w:rPr>
              <w:t>Qualitative Research</w:t>
            </w:r>
          </w:p>
        </w:tc>
      </w:tr>
      <w:tr w:rsidR="002530E2" w14:paraId="74E7F24C"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B83011B"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BCE2E7F"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FDA6EC3"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9D82A9E" w14:textId="77777777" w:rsidR="002530E2" w:rsidRDefault="002530E2">
            <w:pPr>
              <w:spacing w:after="0" w:line="240" w:lineRule="auto"/>
              <w:rPr>
                <w:sz w:val="16"/>
                <w:szCs w:val="16"/>
              </w:rPr>
            </w:pPr>
            <w:r>
              <w:rPr>
                <w:sz w:val="16"/>
                <w:szCs w:val="16"/>
              </w:rPr>
              <w:t>Quantitative Research</w:t>
            </w:r>
          </w:p>
        </w:tc>
      </w:tr>
      <w:tr w:rsidR="002530E2" w14:paraId="1ABDAB0B"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147340A" w14:textId="77777777" w:rsidR="002530E2" w:rsidRDefault="002530E2">
            <w:pPr>
              <w:spacing w:after="0" w:line="240" w:lineRule="auto"/>
              <w:jc w:val="center"/>
              <w:rPr>
                <w:sz w:val="16"/>
                <w:szCs w:val="16"/>
              </w:rPr>
            </w:pPr>
            <w:r>
              <w:rPr>
                <w:sz w:val="16"/>
                <w:szCs w:val="16"/>
              </w:rPr>
              <w:t>4</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A422CD" w14:textId="77777777" w:rsidR="002530E2" w:rsidRDefault="002530E2">
            <w:pPr>
              <w:spacing w:after="0" w:line="240" w:lineRule="auto"/>
              <w:rPr>
                <w:sz w:val="16"/>
                <w:szCs w:val="16"/>
              </w:rPr>
            </w:pPr>
            <w:r>
              <w:rPr>
                <w:sz w:val="16"/>
                <w:szCs w:val="16"/>
              </w:rPr>
              <w:t>“Degree of Manipulation of Variables”</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AD7CAAB"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86F04D" w14:textId="77777777" w:rsidR="002530E2" w:rsidRDefault="002530E2">
            <w:pPr>
              <w:spacing w:after="0" w:line="240" w:lineRule="auto"/>
              <w:rPr>
                <w:sz w:val="16"/>
                <w:szCs w:val="16"/>
              </w:rPr>
            </w:pPr>
            <w:r>
              <w:rPr>
                <w:sz w:val="16"/>
                <w:szCs w:val="16"/>
              </w:rPr>
              <w:t>Experimental Research</w:t>
            </w:r>
          </w:p>
        </w:tc>
      </w:tr>
      <w:tr w:rsidR="002530E2" w14:paraId="51406915"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9577C37"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C45452A"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7B2768"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7A3C81B" w14:textId="77777777" w:rsidR="002530E2" w:rsidRDefault="002530E2">
            <w:pPr>
              <w:spacing w:after="0" w:line="240" w:lineRule="auto"/>
              <w:rPr>
                <w:sz w:val="16"/>
                <w:szCs w:val="16"/>
              </w:rPr>
            </w:pPr>
            <w:r>
              <w:rPr>
                <w:sz w:val="16"/>
                <w:szCs w:val="16"/>
              </w:rPr>
              <w:t>Non-Experimental Research</w:t>
            </w:r>
          </w:p>
        </w:tc>
      </w:tr>
      <w:tr w:rsidR="002530E2" w14:paraId="680980D7"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F0C2A17"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B77792"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72CCE5" w14:textId="77777777" w:rsidR="002530E2" w:rsidRDefault="002530E2">
            <w:pPr>
              <w:spacing w:after="0" w:line="240" w:lineRule="auto"/>
              <w:jc w:val="center"/>
              <w:rPr>
                <w:sz w:val="16"/>
                <w:szCs w:val="16"/>
              </w:rPr>
            </w:pPr>
            <w:r>
              <w:rPr>
                <w:sz w:val="16"/>
                <w:szCs w:val="16"/>
              </w:rPr>
              <w:t>3</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42B3127" w14:textId="77777777" w:rsidR="002530E2" w:rsidRDefault="002530E2">
            <w:pPr>
              <w:spacing w:after="0" w:line="240" w:lineRule="auto"/>
              <w:rPr>
                <w:sz w:val="16"/>
                <w:szCs w:val="16"/>
              </w:rPr>
            </w:pPr>
            <w:r>
              <w:rPr>
                <w:sz w:val="16"/>
                <w:szCs w:val="16"/>
              </w:rPr>
              <w:t>Quasi-Experimental Research</w:t>
            </w:r>
          </w:p>
        </w:tc>
      </w:tr>
      <w:tr w:rsidR="002530E2" w14:paraId="555EE31C"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FA0AE31" w14:textId="77777777" w:rsidR="002530E2" w:rsidRDefault="002530E2">
            <w:pPr>
              <w:spacing w:after="0" w:line="240" w:lineRule="auto"/>
              <w:jc w:val="center"/>
              <w:rPr>
                <w:sz w:val="16"/>
                <w:szCs w:val="16"/>
              </w:rPr>
            </w:pPr>
          </w:p>
          <w:p w14:paraId="624771D4" w14:textId="77777777" w:rsidR="002530E2" w:rsidRDefault="002530E2">
            <w:pPr>
              <w:spacing w:after="0" w:line="240" w:lineRule="auto"/>
              <w:jc w:val="center"/>
              <w:rPr>
                <w:sz w:val="16"/>
                <w:szCs w:val="16"/>
              </w:rPr>
            </w:pPr>
            <w:r>
              <w:rPr>
                <w:sz w:val="16"/>
                <w:szCs w:val="16"/>
              </w:rPr>
              <w:t>5</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9E6BEA9" w14:textId="77777777" w:rsidR="002530E2" w:rsidRDefault="002530E2">
            <w:pPr>
              <w:spacing w:after="0" w:line="240" w:lineRule="auto"/>
              <w:rPr>
                <w:sz w:val="16"/>
                <w:szCs w:val="16"/>
              </w:rPr>
            </w:pPr>
          </w:p>
          <w:p w14:paraId="542D41C5" w14:textId="77777777" w:rsidR="002530E2" w:rsidRDefault="002530E2">
            <w:pPr>
              <w:spacing w:after="0" w:line="240" w:lineRule="auto"/>
              <w:rPr>
                <w:sz w:val="16"/>
                <w:szCs w:val="16"/>
              </w:rPr>
            </w:pPr>
            <w:r>
              <w:rPr>
                <w:sz w:val="16"/>
                <w:szCs w:val="16"/>
              </w:rPr>
              <w:t>“Type of Inference”</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740FD61"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34551C6" w14:textId="77777777" w:rsidR="002530E2" w:rsidRDefault="002530E2">
            <w:pPr>
              <w:spacing w:after="0" w:line="240" w:lineRule="auto"/>
              <w:rPr>
                <w:sz w:val="16"/>
                <w:szCs w:val="16"/>
              </w:rPr>
            </w:pPr>
            <w:r>
              <w:rPr>
                <w:sz w:val="16"/>
                <w:szCs w:val="16"/>
              </w:rPr>
              <w:t>Deductive Investigation</w:t>
            </w:r>
          </w:p>
        </w:tc>
      </w:tr>
      <w:tr w:rsidR="002530E2" w14:paraId="0BF4C1F1"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43B7C45"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91B2766"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1C36712"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055F069" w14:textId="77777777" w:rsidR="002530E2" w:rsidRDefault="002530E2">
            <w:pPr>
              <w:spacing w:after="0" w:line="240" w:lineRule="auto"/>
              <w:rPr>
                <w:sz w:val="16"/>
                <w:szCs w:val="16"/>
              </w:rPr>
            </w:pPr>
            <w:r>
              <w:rPr>
                <w:sz w:val="16"/>
                <w:szCs w:val="16"/>
              </w:rPr>
              <w:t>Inductive Research</w:t>
            </w:r>
          </w:p>
        </w:tc>
      </w:tr>
      <w:tr w:rsidR="002530E2" w14:paraId="7812325A"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C0ED34"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F58B5A3"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3D0E93" w14:textId="77777777" w:rsidR="002530E2" w:rsidRDefault="002530E2">
            <w:pPr>
              <w:spacing w:after="0" w:line="240" w:lineRule="auto"/>
              <w:jc w:val="center"/>
              <w:rPr>
                <w:sz w:val="16"/>
                <w:szCs w:val="16"/>
              </w:rPr>
            </w:pPr>
            <w:r>
              <w:rPr>
                <w:sz w:val="16"/>
                <w:szCs w:val="16"/>
              </w:rPr>
              <w:t>3</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664E781" w14:textId="77777777" w:rsidR="002530E2" w:rsidRDefault="002530E2">
            <w:pPr>
              <w:spacing w:after="0" w:line="240" w:lineRule="auto"/>
              <w:rPr>
                <w:sz w:val="16"/>
                <w:szCs w:val="16"/>
              </w:rPr>
            </w:pPr>
            <w:r>
              <w:rPr>
                <w:sz w:val="16"/>
                <w:szCs w:val="16"/>
              </w:rPr>
              <w:t>Hypothetical-Deductive Investigation</w:t>
            </w:r>
          </w:p>
        </w:tc>
      </w:tr>
      <w:tr w:rsidR="002530E2" w14:paraId="7A54A6F4"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D229583" w14:textId="77777777" w:rsidR="002530E2" w:rsidRDefault="002530E2">
            <w:pPr>
              <w:spacing w:after="0" w:line="240" w:lineRule="auto"/>
              <w:jc w:val="center"/>
              <w:rPr>
                <w:sz w:val="16"/>
                <w:szCs w:val="16"/>
              </w:rPr>
            </w:pPr>
            <w:r>
              <w:rPr>
                <w:sz w:val="16"/>
                <w:szCs w:val="16"/>
              </w:rPr>
              <w:t>6</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2CEB54E" w14:textId="77777777" w:rsidR="002530E2" w:rsidRDefault="002530E2">
            <w:pPr>
              <w:spacing w:after="0" w:line="240" w:lineRule="auto"/>
              <w:rPr>
                <w:sz w:val="16"/>
                <w:szCs w:val="16"/>
              </w:rPr>
            </w:pPr>
            <w:r>
              <w:rPr>
                <w:sz w:val="16"/>
                <w:szCs w:val="16"/>
              </w:rPr>
              <w:t>“Time in which it is Carried Out”</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F0E4EC6"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2F0C8D0" w14:textId="77777777" w:rsidR="002530E2" w:rsidRDefault="002530E2">
            <w:pPr>
              <w:spacing w:after="0" w:line="240" w:lineRule="auto"/>
              <w:rPr>
                <w:sz w:val="16"/>
                <w:szCs w:val="16"/>
              </w:rPr>
            </w:pPr>
            <w:r>
              <w:rPr>
                <w:sz w:val="16"/>
                <w:szCs w:val="16"/>
              </w:rPr>
              <w:t>Longitudinal Study (aka Diachronic Research)</w:t>
            </w:r>
          </w:p>
        </w:tc>
      </w:tr>
      <w:tr w:rsidR="002530E2" w14:paraId="7DBFA767"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C95E537"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D872B26"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58F252E"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F91F70D" w14:textId="77777777" w:rsidR="002530E2" w:rsidRDefault="002530E2">
            <w:pPr>
              <w:spacing w:after="0" w:line="240" w:lineRule="auto"/>
              <w:rPr>
                <w:sz w:val="16"/>
                <w:szCs w:val="16"/>
              </w:rPr>
            </w:pPr>
            <w:r>
              <w:rPr>
                <w:sz w:val="16"/>
                <w:szCs w:val="16"/>
              </w:rPr>
              <w:t>Cross-Sectional Study (aka Synchronous Research)</w:t>
            </w:r>
          </w:p>
        </w:tc>
      </w:tr>
      <w:tr w:rsidR="002530E2" w14:paraId="5831587F"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C861A05" w14:textId="77777777" w:rsidR="002530E2" w:rsidRDefault="002530E2">
            <w:pPr>
              <w:spacing w:after="0" w:line="240" w:lineRule="auto"/>
              <w:jc w:val="center"/>
              <w:rPr>
                <w:sz w:val="16"/>
                <w:szCs w:val="16"/>
              </w:rPr>
            </w:pPr>
            <w:r>
              <w:rPr>
                <w:sz w:val="16"/>
                <w:szCs w:val="16"/>
              </w:rPr>
              <w:t>7</w:t>
            </w:r>
          </w:p>
        </w:tc>
        <w:tc>
          <w:tcPr>
            <w:tcW w:w="3120" w:type="dxa"/>
            <w:vMerge w:val="restart"/>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FA1188A" w14:textId="77777777" w:rsidR="002530E2" w:rsidRDefault="002530E2">
            <w:pPr>
              <w:spacing w:after="0" w:line="240" w:lineRule="auto"/>
              <w:rPr>
                <w:sz w:val="16"/>
                <w:szCs w:val="16"/>
              </w:rPr>
            </w:pPr>
            <w:r>
              <w:rPr>
                <w:sz w:val="16"/>
                <w:szCs w:val="16"/>
              </w:rPr>
              <w:t>“Sources of Information”</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2376775"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288E121" w14:textId="77777777" w:rsidR="002530E2" w:rsidRDefault="002530E2">
            <w:pPr>
              <w:spacing w:after="0" w:line="240" w:lineRule="auto"/>
              <w:rPr>
                <w:sz w:val="16"/>
                <w:szCs w:val="16"/>
              </w:rPr>
            </w:pPr>
            <w:r>
              <w:rPr>
                <w:sz w:val="16"/>
                <w:szCs w:val="16"/>
              </w:rPr>
              <w:t>Primary Research</w:t>
            </w:r>
          </w:p>
        </w:tc>
      </w:tr>
      <w:tr w:rsidR="002530E2" w14:paraId="30EF56C2" w14:textId="77777777">
        <w:trPr>
          <w:trHeight w:val="468"/>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1CF21A"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980CADB"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CF2ED54"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E878B13" w14:textId="77777777" w:rsidR="002530E2" w:rsidRDefault="002530E2">
            <w:pPr>
              <w:spacing w:after="0" w:line="240" w:lineRule="auto"/>
              <w:rPr>
                <w:sz w:val="16"/>
                <w:szCs w:val="16"/>
              </w:rPr>
            </w:pPr>
            <w:r>
              <w:rPr>
                <w:sz w:val="16"/>
                <w:szCs w:val="16"/>
              </w:rPr>
              <w:t>Secondary research</w:t>
            </w:r>
          </w:p>
        </w:tc>
      </w:tr>
      <w:tr w:rsidR="002530E2" w14:paraId="5189A45C" w14:textId="77777777">
        <w:trPr>
          <w:trHeight w:val="420"/>
        </w:trPr>
        <w:tc>
          <w:tcPr>
            <w:tcW w:w="525" w:type="dxa"/>
            <w:vMerge w:val="restart"/>
            <w:tcBorders>
              <w:top w:val="single" w:sz="8" w:space="0" w:color="666666"/>
              <w:left w:val="single" w:sz="8" w:space="0" w:color="666666"/>
              <w:bottom w:val="single" w:sz="8" w:space="0" w:color="666666"/>
              <w:right w:val="single" w:sz="8" w:space="0" w:color="666666"/>
            </w:tcBorders>
          </w:tcPr>
          <w:p w14:paraId="68E017E2" w14:textId="77777777" w:rsidR="002530E2" w:rsidRDefault="002530E2">
            <w:pPr>
              <w:spacing w:after="0" w:line="240" w:lineRule="auto"/>
              <w:jc w:val="center"/>
              <w:rPr>
                <w:sz w:val="16"/>
                <w:szCs w:val="16"/>
              </w:rPr>
            </w:pPr>
          </w:p>
          <w:p w14:paraId="780116E9" w14:textId="77777777" w:rsidR="002530E2" w:rsidRDefault="002530E2">
            <w:pPr>
              <w:spacing w:after="0" w:line="240" w:lineRule="auto"/>
              <w:jc w:val="center"/>
              <w:rPr>
                <w:sz w:val="16"/>
                <w:szCs w:val="16"/>
              </w:rPr>
            </w:pPr>
            <w:r>
              <w:rPr>
                <w:sz w:val="16"/>
                <w:szCs w:val="16"/>
              </w:rPr>
              <w:t>8</w:t>
            </w:r>
          </w:p>
        </w:tc>
        <w:tc>
          <w:tcPr>
            <w:tcW w:w="3120" w:type="dxa"/>
            <w:vMerge w:val="restart"/>
            <w:tcBorders>
              <w:top w:val="single" w:sz="8" w:space="0" w:color="666666"/>
              <w:left w:val="single" w:sz="8" w:space="0" w:color="666666"/>
              <w:bottom w:val="single" w:sz="8" w:space="0" w:color="666666"/>
              <w:right w:val="single" w:sz="8" w:space="0" w:color="666666"/>
            </w:tcBorders>
          </w:tcPr>
          <w:p w14:paraId="5CD8D25E" w14:textId="77777777" w:rsidR="002530E2" w:rsidRDefault="002530E2">
            <w:pPr>
              <w:spacing w:after="0" w:line="240" w:lineRule="auto"/>
              <w:rPr>
                <w:sz w:val="16"/>
                <w:szCs w:val="16"/>
              </w:rPr>
            </w:pPr>
          </w:p>
          <w:p w14:paraId="050B4561" w14:textId="77777777" w:rsidR="002530E2" w:rsidRDefault="002530E2">
            <w:pPr>
              <w:spacing w:after="0" w:line="240" w:lineRule="auto"/>
              <w:rPr>
                <w:sz w:val="16"/>
                <w:szCs w:val="16"/>
              </w:rPr>
            </w:pPr>
            <w:r>
              <w:rPr>
                <w:sz w:val="16"/>
                <w:szCs w:val="16"/>
              </w:rPr>
              <w:t>“How the Data is Obtained”</w:t>
            </w: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C715CED" w14:textId="77777777" w:rsidR="002530E2" w:rsidRDefault="002530E2">
            <w:pPr>
              <w:spacing w:after="0" w:line="240" w:lineRule="auto"/>
              <w:jc w:val="center"/>
              <w:rPr>
                <w:sz w:val="16"/>
                <w:szCs w:val="16"/>
              </w:rPr>
            </w:pPr>
            <w:r>
              <w:rPr>
                <w:sz w:val="16"/>
                <w:szCs w:val="16"/>
              </w:rPr>
              <w:t>1</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406BCE6" w14:textId="77777777" w:rsidR="002530E2" w:rsidRDefault="002530E2">
            <w:pPr>
              <w:spacing w:after="0" w:line="240" w:lineRule="auto"/>
              <w:rPr>
                <w:sz w:val="16"/>
                <w:szCs w:val="16"/>
              </w:rPr>
            </w:pPr>
            <w:r>
              <w:rPr>
                <w:sz w:val="16"/>
                <w:szCs w:val="16"/>
              </w:rPr>
              <w:t>Mono-Method: Field</w:t>
            </w:r>
          </w:p>
        </w:tc>
      </w:tr>
      <w:tr w:rsidR="002530E2" w14:paraId="562805AD" w14:textId="77777777">
        <w:trPr>
          <w:trHeight w:val="42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8735156"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042A01"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CC596F" w14:textId="77777777" w:rsidR="002530E2" w:rsidRDefault="002530E2">
            <w:pPr>
              <w:spacing w:after="0" w:line="240" w:lineRule="auto"/>
              <w:jc w:val="center"/>
              <w:rPr>
                <w:sz w:val="16"/>
                <w:szCs w:val="16"/>
              </w:rPr>
            </w:pPr>
            <w:r>
              <w:rPr>
                <w:sz w:val="16"/>
                <w:szCs w:val="16"/>
              </w:rPr>
              <w:t>2</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F8FAE8C" w14:textId="77777777" w:rsidR="002530E2" w:rsidRDefault="002530E2">
            <w:pPr>
              <w:spacing w:after="0" w:line="240" w:lineRule="auto"/>
              <w:rPr>
                <w:sz w:val="16"/>
                <w:szCs w:val="16"/>
              </w:rPr>
            </w:pPr>
            <w:r>
              <w:rPr>
                <w:sz w:val="16"/>
                <w:szCs w:val="16"/>
              </w:rPr>
              <w:t>Mono-Method: From Laboratory</w:t>
            </w:r>
          </w:p>
        </w:tc>
      </w:tr>
      <w:tr w:rsidR="002530E2" w14:paraId="4E2FCDFD" w14:textId="77777777">
        <w:trPr>
          <w:trHeight w:val="38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86EAF5D"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94A63BE"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E14B83" w14:textId="77777777" w:rsidR="002530E2" w:rsidRDefault="002530E2">
            <w:pPr>
              <w:spacing w:after="0" w:line="240" w:lineRule="auto"/>
              <w:jc w:val="center"/>
              <w:rPr>
                <w:sz w:val="16"/>
                <w:szCs w:val="16"/>
              </w:rPr>
            </w:pPr>
            <w:r>
              <w:rPr>
                <w:sz w:val="16"/>
                <w:szCs w:val="16"/>
              </w:rPr>
              <w:t>3</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F1AB21C" w14:textId="77777777" w:rsidR="002530E2" w:rsidRDefault="002530E2">
            <w:pPr>
              <w:spacing w:after="0" w:line="240" w:lineRule="auto"/>
              <w:rPr>
                <w:sz w:val="16"/>
                <w:szCs w:val="16"/>
              </w:rPr>
            </w:pPr>
            <w:r>
              <w:rPr>
                <w:sz w:val="16"/>
                <w:szCs w:val="16"/>
              </w:rPr>
              <w:t>Mono-Method: Documentary</w:t>
            </w:r>
          </w:p>
        </w:tc>
      </w:tr>
      <w:tr w:rsidR="002530E2" w14:paraId="420F4BEB" w14:textId="77777777">
        <w:trPr>
          <w:trHeight w:val="380"/>
        </w:trPr>
        <w:tc>
          <w:tcPr>
            <w:tcW w:w="525"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AFE3961" w14:textId="77777777" w:rsidR="002530E2" w:rsidRDefault="002530E2">
            <w:pPr>
              <w:spacing w:after="0" w:line="240" w:lineRule="auto"/>
            </w:pPr>
          </w:p>
        </w:tc>
        <w:tc>
          <w:tcPr>
            <w:tcW w:w="3120" w:type="dxa"/>
            <w:vMerge/>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EC093E" w14:textId="77777777" w:rsidR="002530E2" w:rsidRDefault="002530E2">
            <w:pPr>
              <w:spacing w:after="0" w:line="240" w:lineRule="auto"/>
            </w:pPr>
          </w:p>
        </w:tc>
        <w:tc>
          <w:tcPr>
            <w:tcW w:w="3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2B628B" w14:textId="77777777" w:rsidR="002530E2" w:rsidRDefault="002530E2">
            <w:pPr>
              <w:spacing w:after="0" w:line="240" w:lineRule="auto"/>
              <w:jc w:val="center"/>
              <w:rPr>
                <w:sz w:val="16"/>
                <w:szCs w:val="16"/>
              </w:rPr>
            </w:pPr>
            <w:r>
              <w:rPr>
                <w:sz w:val="16"/>
                <w:szCs w:val="16"/>
              </w:rPr>
              <w:t>4</w:t>
            </w:r>
          </w:p>
        </w:tc>
        <w:tc>
          <w:tcPr>
            <w:tcW w:w="493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A705239" w14:textId="77777777" w:rsidR="002530E2" w:rsidRDefault="002530E2">
            <w:pPr>
              <w:spacing w:after="0" w:line="240" w:lineRule="auto"/>
              <w:rPr>
                <w:sz w:val="16"/>
                <w:szCs w:val="16"/>
              </w:rPr>
            </w:pPr>
            <w:r>
              <w:rPr>
                <w:sz w:val="16"/>
                <w:szCs w:val="16"/>
              </w:rPr>
              <w:t xml:space="preserve">Mixed-Method: Field, and/or Laboratory, and/or Documentary </w:t>
            </w:r>
          </w:p>
        </w:tc>
      </w:tr>
    </w:tbl>
    <w:p w14:paraId="5FE04FE9" w14:textId="77777777" w:rsidR="002530E2" w:rsidRDefault="002530E2">
      <w:pPr>
        <w:pStyle w:val="Heading4"/>
      </w:pPr>
      <w:bookmarkStart w:id="83" w:name="_eay0m29jtqln" w:colFirst="0" w:colLast="0"/>
      <w:bookmarkEnd w:id="83"/>
    </w:p>
    <w:p w14:paraId="3B6679CF" w14:textId="77777777" w:rsidR="002530E2" w:rsidRDefault="002530E2">
      <w:pPr>
        <w:pStyle w:val="Heading4"/>
      </w:pPr>
      <w:bookmarkStart w:id="84" w:name="_q7w2yb7oh77q" w:colFirst="0" w:colLast="0"/>
      <w:bookmarkEnd w:id="84"/>
      <w:r>
        <w:t>Table [Appendix (CHP:3) 001] 2: Research classifications according to scopes of the research, adapted from DiscoverPhDs (2020)</w:t>
      </w:r>
    </w:p>
    <w:p w14:paraId="655BBDB5" w14:textId="77777777" w:rsidR="002530E2" w:rsidRDefault="002530E2">
      <w:pPr>
        <w:spacing w:after="0"/>
      </w:pPr>
    </w:p>
    <w:p w14:paraId="0B89BBD9" w14:textId="77777777" w:rsidR="002530E2" w:rsidRDefault="002530E2">
      <w:r>
        <w:t>Based on the above table, this study's research classification is presented in the table below. ​​</w:t>
      </w:r>
    </w:p>
    <w:tbl>
      <w:tblPr>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5"/>
        <w:gridCol w:w="3420"/>
        <w:gridCol w:w="4995"/>
      </w:tblGrid>
      <w:tr w:rsidR="002530E2" w14:paraId="11A1BCE8" w14:textId="77777777">
        <w:trPr>
          <w:trHeight w:val="420"/>
        </w:trPr>
        <w:tc>
          <w:tcPr>
            <w:tcW w:w="52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DF8274F" w14:textId="77777777" w:rsidR="002530E2" w:rsidRDefault="002530E2">
            <w:pPr>
              <w:spacing w:after="0" w:line="240" w:lineRule="auto"/>
              <w:jc w:val="center"/>
              <w:rPr>
                <w:sz w:val="16"/>
                <w:szCs w:val="16"/>
              </w:rPr>
            </w:pPr>
            <w:r>
              <w:rPr>
                <w:sz w:val="16"/>
                <w:szCs w:val="16"/>
              </w:rPr>
              <w:t>#</w:t>
            </w:r>
          </w:p>
        </w:tc>
        <w:tc>
          <w:tcPr>
            <w:tcW w:w="8415" w:type="dxa"/>
            <w:gridSpan w:val="2"/>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408D35E" w14:textId="77777777" w:rsidR="002530E2" w:rsidRDefault="002530E2">
            <w:pPr>
              <w:spacing w:after="0" w:line="240" w:lineRule="auto"/>
              <w:rPr>
                <w:sz w:val="16"/>
                <w:szCs w:val="16"/>
              </w:rPr>
            </w:pPr>
            <w:r>
              <w:rPr>
                <w:sz w:val="16"/>
                <w:szCs w:val="16"/>
              </w:rPr>
              <w:t xml:space="preserve">Classification according to </w:t>
            </w:r>
          </w:p>
        </w:tc>
      </w:tr>
      <w:tr w:rsidR="002530E2" w14:paraId="3C565F2A" w14:textId="77777777">
        <w:trPr>
          <w:trHeight w:val="420"/>
        </w:trPr>
        <w:tc>
          <w:tcPr>
            <w:tcW w:w="525" w:type="dxa"/>
            <w:tcBorders>
              <w:top w:val="single" w:sz="8" w:space="0" w:color="666666"/>
              <w:left w:val="single" w:sz="8" w:space="0" w:color="666666"/>
              <w:bottom w:val="single" w:sz="8" w:space="0" w:color="666666"/>
              <w:right w:val="single" w:sz="8" w:space="0" w:color="666666"/>
            </w:tcBorders>
          </w:tcPr>
          <w:p w14:paraId="04D8B839" w14:textId="77777777" w:rsidR="002530E2" w:rsidRDefault="002530E2">
            <w:pPr>
              <w:spacing w:after="0" w:line="240" w:lineRule="auto"/>
              <w:jc w:val="center"/>
              <w:rPr>
                <w:sz w:val="16"/>
                <w:szCs w:val="16"/>
              </w:rPr>
            </w:pPr>
            <w:r>
              <w:rPr>
                <w:sz w:val="16"/>
                <w:szCs w:val="16"/>
              </w:rPr>
              <w:t>1</w:t>
            </w:r>
          </w:p>
        </w:tc>
        <w:tc>
          <w:tcPr>
            <w:tcW w:w="3420" w:type="dxa"/>
            <w:tcBorders>
              <w:top w:val="single" w:sz="8" w:space="0" w:color="666666"/>
              <w:left w:val="single" w:sz="8" w:space="0" w:color="666666"/>
              <w:bottom w:val="single" w:sz="8" w:space="0" w:color="666666"/>
              <w:right w:val="single" w:sz="8" w:space="0" w:color="666666"/>
            </w:tcBorders>
          </w:tcPr>
          <w:p w14:paraId="09200F11" w14:textId="77777777" w:rsidR="002530E2" w:rsidRDefault="002530E2">
            <w:pPr>
              <w:spacing w:after="0" w:line="240" w:lineRule="auto"/>
              <w:rPr>
                <w:sz w:val="16"/>
                <w:szCs w:val="16"/>
              </w:rPr>
            </w:pPr>
            <w:r>
              <w:rPr>
                <w:sz w:val="16"/>
                <w:szCs w:val="16"/>
              </w:rPr>
              <w:t>“Purpose” of a Study</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EEC709" w14:textId="77777777" w:rsidR="002530E2" w:rsidRDefault="002530E2">
            <w:pPr>
              <w:spacing w:after="0" w:line="240" w:lineRule="auto"/>
              <w:rPr>
                <w:sz w:val="16"/>
                <w:szCs w:val="16"/>
              </w:rPr>
            </w:pPr>
            <w:r>
              <w:rPr>
                <w:sz w:val="16"/>
                <w:szCs w:val="16"/>
              </w:rPr>
              <w:t xml:space="preserve">Applied Research: Scientific </w:t>
            </w:r>
          </w:p>
        </w:tc>
      </w:tr>
      <w:tr w:rsidR="002530E2" w14:paraId="6FB31429" w14:textId="77777777">
        <w:trPr>
          <w:trHeight w:val="420"/>
        </w:trPr>
        <w:tc>
          <w:tcPr>
            <w:tcW w:w="525" w:type="dxa"/>
            <w:tcBorders>
              <w:top w:val="single" w:sz="8" w:space="0" w:color="666666"/>
              <w:left w:val="single" w:sz="8" w:space="0" w:color="666666"/>
              <w:bottom w:val="single" w:sz="8" w:space="0" w:color="666666"/>
              <w:right w:val="single" w:sz="8" w:space="0" w:color="666666"/>
            </w:tcBorders>
          </w:tcPr>
          <w:p w14:paraId="588D9F41" w14:textId="77777777" w:rsidR="002530E2" w:rsidRDefault="002530E2">
            <w:pPr>
              <w:spacing w:after="0" w:line="240" w:lineRule="auto"/>
              <w:jc w:val="center"/>
              <w:rPr>
                <w:sz w:val="16"/>
                <w:szCs w:val="16"/>
              </w:rPr>
            </w:pPr>
            <w:r>
              <w:rPr>
                <w:sz w:val="16"/>
                <w:szCs w:val="16"/>
              </w:rPr>
              <w:t>2</w:t>
            </w:r>
          </w:p>
        </w:tc>
        <w:tc>
          <w:tcPr>
            <w:tcW w:w="3420" w:type="dxa"/>
            <w:tcBorders>
              <w:top w:val="single" w:sz="8" w:space="0" w:color="666666"/>
              <w:left w:val="single" w:sz="8" w:space="0" w:color="666666"/>
              <w:bottom w:val="single" w:sz="8" w:space="0" w:color="666666"/>
              <w:right w:val="single" w:sz="8" w:space="0" w:color="666666"/>
            </w:tcBorders>
          </w:tcPr>
          <w:p w14:paraId="4C236804" w14:textId="77777777" w:rsidR="002530E2" w:rsidRDefault="002530E2">
            <w:pPr>
              <w:spacing w:after="0" w:line="240" w:lineRule="auto"/>
              <w:rPr>
                <w:sz w:val="16"/>
                <w:szCs w:val="16"/>
              </w:rPr>
            </w:pPr>
            <w:r>
              <w:rPr>
                <w:sz w:val="16"/>
                <w:szCs w:val="16"/>
              </w:rPr>
              <w:t>“Depth of Scope”</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55A2E69" w14:textId="77777777" w:rsidR="002530E2" w:rsidRDefault="002530E2">
            <w:pPr>
              <w:spacing w:after="0" w:line="240" w:lineRule="auto"/>
              <w:rPr>
                <w:sz w:val="16"/>
                <w:szCs w:val="16"/>
              </w:rPr>
            </w:pPr>
            <w:r>
              <w:rPr>
                <w:sz w:val="16"/>
                <w:szCs w:val="16"/>
              </w:rPr>
              <w:t>Exploratory Research</w:t>
            </w:r>
          </w:p>
        </w:tc>
      </w:tr>
      <w:tr w:rsidR="002530E2" w14:paraId="36FB636C" w14:textId="77777777">
        <w:trPr>
          <w:trHeight w:val="420"/>
        </w:trPr>
        <w:tc>
          <w:tcPr>
            <w:tcW w:w="52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4195491" w14:textId="77777777" w:rsidR="002530E2" w:rsidRDefault="002530E2">
            <w:pPr>
              <w:spacing w:after="0" w:line="240" w:lineRule="auto"/>
              <w:jc w:val="center"/>
              <w:rPr>
                <w:sz w:val="16"/>
                <w:szCs w:val="16"/>
              </w:rPr>
            </w:pPr>
            <w:r>
              <w:rPr>
                <w:sz w:val="16"/>
                <w:szCs w:val="16"/>
              </w:rPr>
              <w:t>3</w:t>
            </w:r>
          </w:p>
        </w:tc>
        <w:tc>
          <w:tcPr>
            <w:tcW w:w="342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ACE1944" w14:textId="77777777" w:rsidR="002530E2" w:rsidRDefault="002530E2">
            <w:pPr>
              <w:spacing w:after="0" w:line="240" w:lineRule="auto"/>
              <w:rPr>
                <w:sz w:val="16"/>
                <w:szCs w:val="16"/>
              </w:rPr>
            </w:pPr>
            <w:r>
              <w:rPr>
                <w:sz w:val="16"/>
                <w:szCs w:val="16"/>
              </w:rPr>
              <w:t>“Type of Data used”</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FAC1054" w14:textId="77777777" w:rsidR="002530E2" w:rsidRDefault="002530E2">
            <w:pPr>
              <w:spacing w:after="0" w:line="240" w:lineRule="auto"/>
              <w:rPr>
                <w:sz w:val="16"/>
                <w:szCs w:val="16"/>
              </w:rPr>
            </w:pPr>
            <w:r>
              <w:rPr>
                <w:sz w:val="16"/>
                <w:szCs w:val="16"/>
              </w:rPr>
              <w:t>Qualitative Research</w:t>
            </w:r>
          </w:p>
        </w:tc>
      </w:tr>
      <w:tr w:rsidR="002530E2" w14:paraId="7C8E7EE1" w14:textId="77777777">
        <w:trPr>
          <w:trHeight w:val="420"/>
        </w:trPr>
        <w:tc>
          <w:tcPr>
            <w:tcW w:w="525" w:type="dxa"/>
            <w:tcBorders>
              <w:top w:val="single" w:sz="8" w:space="0" w:color="666666"/>
              <w:left w:val="single" w:sz="8" w:space="0" w:color="666666"/>
              <w:bottom w:val="single" w:sz="8" w:space="0" w:color="666666"/>
              <w:right w:val="single" w:sz="8" w:space="0" w:color="666666"/>
            </w:tcBorders>
          </w:tcPr>
          <w:p w14:paraId="6521F847" w14:textId="77777777" w:rsidR="002530E2" w:rsidRDefault="002530E2">
            <w:pPr>
              <w:spacing w:after="0" w:line="240" w:lineRule="auto"/>
              <w:jc w:val="center"/>
              <w:rPr>
                <w:sz w:val="16"/>
                <w:szCs w:val="16"/>
              </w:rPr>
            </w:pPr>
            <w:r>
              <w:rPr>
                <w:sz w:val="16"/>
                <w:szCs w:val="16"/>
              </w:rPr>
              <w:t>4</w:t>
            </w:r>
          </w:p>
        </w:tc>
        <w:tc>
          <w:tcPr>
            <w:tcW w:w="3420" w:type="dxa"/>
            <w:tcBorders>
              <w:top w:val="single" w:sz="8" w:space="0" w:color="666666"/>
              <w:left w:val="single" w:sz="8" w:space="0" w:color="666666"/>
              <w:bottom w:val="single" w:sz="8" w:space="0" w:color="666666"/>
              <w:right w:val="single" w:sz="8" w:space="0" w:color="666666"/>
            </w:tcBorders>
          </w:tcPr>
          <w:p w14:paraId="633EB806" w14:textId="77777777" w:rsidR="002530E2" w:rsidRDefault="002530E2">
            <w:pPr>
              <w:spacing w:after="0" w:line="240" w:lineRule="auto"/>
              <w:rPr>
                <w:sz w:val="16"/>
                <w:szCs w:val="16"/>
              </w:rPr>
            </w:pPr>
            <w:r>
              <w:rPr>
                <w:sz w:val="16"/>
                <w:szCs w:val="16"/>
              </w:rPr>
              <w:t>“Degree of Manipulation of Variables”</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269E29" w14:textId="77777777" w:rsidR="002530E2" w:rsidRDefault="002530E2">
            <w:pPr>
              <w:spacing w:after="0" w:line="240" w:lineRule="auto"/>
              <w:rPr>
                <w:sz w:val="16"/>
                <w:szCs w:val="16"/>
              </w:rPr>
            </w:pPr>
            <w:r>
              <w:rPr>
                <w:sz w:val="16"/>
                <w:szCs w:val="16"/>
              </w:rPr>
              <w:t>Non-Experimental Research</w:t>
            </w:r>
          </w:p>
        </w:tc>
      </w:tr>
      <w:tr w:rsidR="002530E2" w14:paraId="28284165" w14:textId="77777777">
        <w:trPr>
          <w:trHeight w:val="420"/>
        </w:trPr>
        <w:tc>
          <w:tcPr>
            <w:tcW w:w="525" w:type="dxa"/>
            <w:tcBorders>
              <w:top w:val="single" w:sz="8" w:space="0" w:color="666666"/>
              <w:left w:val="single" w:sz="8" w:space="0" w:color="666666"/>
              <w:bottom w:val="single" w:sz="8" w:space="0" w:color="666666"/>
              <w:right w:val="single" w:sz="8" w:space="0" w:color="666666"/>
            </w:tcBorders>
          </w:tcPr>
          <w:p w14:paraId="01A684D7" w14:textId="77777777" w:rsidR="002530E2" w:rsidRDefault="002530E2">
            <w:pPr>
              <w:spacing w:after="0" w:line="240" w:lineRule="auto"/>
              <w:jc w:val="center"/>
              <w:rPr>
                <w:sz w:val="16"/>
                <w:szCs w:val="16"/>
              </w:rPr>
            </w:pPr>
            <w:r>
              <w:rPr>
                <w:sz w:val="16"/>
                <w:szCs w:val="16"/>
              </w:rPr>
              <w:t>5</w:t>
            </w:r>
          </w:p>
        </w:tc>
        <w:tc>
          <w:tcPr>
            <w:tcW w:w="3420" w:type="dxa"/>
            <w:tcBorders>
              <w:top w:val="single" w:sz="8" w:space="0" w:color="666666"/>
              <w:left w:val="single" w:sz="8" w:space="0" w:color="666666"/>
              <w:bottom w:val="single" w:sz="8" w:space="0" w:color="666666"/>
              <w:right w:val="single" w:sz="8" w:space="0" w:color="666666"/>
            </w:tcBorders>
          </w:tcPr>
          <w:p w14:paraId="6C42CC66" w14:textId="77777777" w:rsidR="002530E2" w:rsidRDefault="002530E2">
            <w:pPr>
              <w:spacing w:after="0" w:line="240" w:lineRule="auto"/>
              <w:rPr>
                <w:sz w:val="16"/>
                <w:szCs w:val="16"/>
              </w:rPr>
            </w:pPr>
            <w:r>
              <w:rPr>
                <w:sz w:val="16"/>
                <w:szCs w:val="16"/>
              </w:rPr>
              <w:t>“Type of Inference”</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9A849E8" w14:textId="77777777" w:rsidR="002530E2" w:rsidRDefault="002530E2">
            <w:pPr>
              <w:spacing w:after="0" w:line="240" w:lineRule="auto"/>
              <w:rPr>
                <w:sz w:val="16"/>
                <w:szCs w:val="16"/>
              </w:rPr>
            </w:pPr>
            <w:r>
              <w:rPr>
                <w:sz w:val="16"/>
                <w:szCs w:val="16"/>
              </w:rPr>
              <w:t>Inductive Research</w:t>
            </w:r>
          </w:p>
        </w:tc>
      </w:tr>
      <w:tr w:rsidR="002530E2" w14:paraId="606E5514" w14:textId="77777777">
        <w:trPr>
          <w:trHeight w:val="420"/>
        </w:trPr>
        <w:tc>
          <w:tcPr>
            <w:tcW w:w="525" w:type="dxa"/>
            <w:tcBorders>
              <w:top w:val="single" w:sz="8" w:space="0" w:color="666666"/>
              <w:left w:val="single" w:sz="8" w:space="0" w:color="666666"/>
              <w:bottom w:val="single" w:sz="8" w:space="0" w:color="666666"/>
              <w:right w:val="single" w:sz="8" w:space="0" w:color="666666"/>
            </w:tcBorders>
          </w:tcPr>
          <w:p w14:paraId="2B6179B0" w14:textId="77777777" w:rsidR="002530E2" w:rsidRDefault="002530E2">
            <w:pPr>
              <w:spacing w:after="0" w:line="240" w:lineRule="auto"/>
              <w:jc w:val="center"/>
              <w:rPr>
                <w:sz w:val="16"/>
                <w:szCs w:val="16"/>
              </w:rPr>
            </w:pPr>
            <w:r>
              <w:rPr>
                <w:sz w:val="16"/>
                <w:szCs w:val="16"/>
              </w:rPr>
              <w:t>6</w:t>
            </w:r>
          </w:p>
        </w:tc>
        <w:tc>
          <w:tcPr>
            <w:tcW w:w="3420" w:type="dxa"/>
            <w:tcBorders>
              <w:top w:val="single" w:sz="8" w:space="0" w:color="666666"/>
              <w:left w:val="single" w:sz="8" w:space="0" w:color="666666"/>
              <w:bottom w:val="single" w:sz="8" w:space="0" w:color="666666"/>
              <w:right w:val="single" w:sz="8" w:space="0" w:color="666666"/>
            </w:tcBorders>
          </w:tcPr>
          <w:p w14:paraId="55861F0A" w14:textId="77777777" w:rsidR="002530E2" w:rsidRDefault="002530E2">
            <w:pPr>
              <w:spacing w:after="0" w:line="240" w:lineRule="auto"/>
              <w:rPr>
                <w:sz w:val="16"/>
                <w:szCs w:val="16"/>
              </w:rPr>
            </w:pPr>
            <w:r>
              <w:rPr>
                <w:sz w:val="16"/>
                <w:szCs w:val="16"/>
              </w:rPr>
              <w:t>“Time in which it is Carried Out”</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561B520" w14:textId="77777777" w:rsidR="002530E2" w:rsidRDefault="002530E2">
            <w:pPr>
              <w:spacing w:after="0" w:line="240" w:lineRule="auto"/>
              <w:rPr>
                <w:sz w:val="16"/>
                <w:szCs w:val="16"/>
              </w:rPr>
            </w:pPr>
            <w:r>
              <w:rPr>
                <w:sz w:val="16"/>
                <w:szCs w:val="16"/>
              </w:rPr>
              <w:t xml:space="preserve">Cross-Sectional Study </w:t>
            </w:r>
          </w:p>
        </w:tc>
      </w:tr>
      <w:tr w:rsidR="002530E2" w14:paraId="764CA93D" w14:textId="77777777">
        <w:trPr>
          <w:trHeight w:val="420"/>
        </w:trPr>
        <w:tc>
          <w:tcPr>
            <w:tcW w:w="525" w:type="dxa"/>
            <w:tcBorders>
              <w:top w:val="single" w:sz="8" w:space="0" w:color="666666"/>
              <w:left w:val="single" w:sz="8" w:space="0" w:color="666666"/>
              <w:bottom w:val="single" w:sz="8" w:space="0" w:color="666666"/>
              <w:right w:val="single" w:sz="8" w:space="0" w:color="666666"/>
            </w:tcBorders>
          </w:tcPr>
          <w:p w14:paraId="03C2D2E9" w14:textId="77777777" w:rsidR="002530E2" w:rsidRDefault="002530E2">
            <w:pPr>
              <w:spacing w:after="0" w:line="240" w:lineRule="auto"/>
              <w:jc w:val="center"/>
              <w:rPr>
                <w:sz w:val="16"/>
                <w:szCs w:val="16"/>
              </w:rPr>
            </w:pPr>
            <w:r>
              <w:rPr>
                <w:sz w:val="16"/>
                <w:szCs w:val="16"/>
              </w:rPr>
              <w:t>7</w:t>
            </w:r>
          </w:p>
        </w:tc>
        <w:tc>
          <w:tcPr>
            <w:tcW w:w="3420" w:type="dxa"/>
            <w:tcBorders>
              <w:top w:val="single" w:sz="8" w:space="0" w:color="666666"/>
              <w:left w:val="single" w:sz="8" w:space="0" w:color="666666"/>
              <w:bottom w:val="single" w:sz="8" w:space="0" w:color="666666"/>
              <w:right w:val="single" w:sz="8" w:space="0" w:color="666666"/>
            </w:tcBorders>
          </w:tcPr>
          <w:p w14:paraId="6421E4AC" w14:textId="77777777" w:rsidR="002530E2" w:rsidRDefault="002530E2">
            <w:pPr>
              <w:spacing w:after="0" w:line="240" w:lineRule="auto"/>
              <w:rPr>
                <w:sz w:val="16"/>
                <w:szCs w:val="16"/>
              </w:rPr>
            </w:pPr>
            <w:r>
              <w:rPr>
                <w:sz w:val="16"/>
                <w:szCs w:val="16"/>
              </w:rPr>
              <w:t>“Sources of Information”</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34E84E3" w14:textId="77777777" w:rsidR="002530E2" w:rsidRDefault="002530E2">
            <w:pPr>
              <w:spacing w:after="0" w:line="240" w:lineRule="auto"/>
              <w:rPr>
                <w:sz w:val="16"/>
                <w:szCs w:val="16"/>
              </w:rPr>
            </w:pPr>
            <w:r>
              <w:rPr>
                <w:sz w:val="16"/>
                <w:szCs w:val="16"/>
              </w:rPr>
              <w:t>Secondary research</w:t>
            </w:r>
          </w:p>
        </w:tc>
      </w:tr>
      <w:tr w:rsidR="002530E2" w14:paraId="5AD6A25D" w14:textId="77777777">
        <w:trPr>
          <w:trHeight w:val="420"/>
        </w:trPr>
        <w:tc>
          <w:tcPr>
            <w:tcW w:w="52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60592E1" w14:textId="77777777" w:rsidR="002530E2" w:rsidRDefault="002530E2">
            <w:pPr>
              <w:spacing w:after="0" w:line="240" w:lineRule="auto"/>
              <w:jc w:val="center"/>
              <w:rPr>
                <w:sz w:val="16"/>
                <w:szCs w:val="16"/>
              </w:rPr>
            </w:pPr>
            <w:r>
              <w:rPr>
                <w:sz w:val="16"/>
                <w:szCs w:val="16"/>
              </w:rPr>
              <w:t>8</w:t>
            </w:r>
          </w:p>
        </w:tc>
        <w:tc>
          <w:tcPr>
            <w:tcW w:w="342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EE0AD1C" w14:textId="77777777" w:rsidR="002530E2" w:rsidRDefault="002530E2">
            <w:pPr>
              <w:spacing w:after="0" w:line="240" w:lineRule="auto"/>
              <w:rPr>
                <w:sz w:val="16"/>
                <w:szCs w:val="16"/>
              </w:rPr>
            </w:pPr>
            <w:r>
              <w:rPr>
                <w:sz w:val="16"/>
                <w:szCs w:val="16"/>
              </w:rPr>
              <w:t>“How the Data is Obtained”</w:t>
            </w:r>
          </w:p>
        </w:tc>
        <w:tc>
          <w:tcPr>
            <w:tcW w:w="49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C5DF041" w14:textId="77777777" w:rsidR="002530E2" w:rsidRDefault="002530E2">
            <w:pPr>
              <w:spacing w:after="0" w:line="240" w:lineRule="auto"/>
              <w:rPr>
                <w:sz w:val="16"/>
                <w:szCs w:val="16"/>
              </w:rPr>
            </w:pPr>
            <w:r>
              <w:rPr>
                <w:sz w:val="16"/>
                <w:szCs w:val="16"/>
              </w:rPr>
              <w:t>Mono-Method: Documentary</w:t>
            </w:r>
          </w:p>
        </w:tc>
      </w:tr>
    </w:tbl>
    <w:p w14:paraId="771F9ED3" w14:textId="77777777" w:rsidR="002530E2" w:rsidRDefault="002530E2">
      <w:pPr>
        <w:pStyle w:val="Heading4"/>
      </w:pPr>
      <w:bookmarkStart w:id="85" w:name="_ss9w5d8mjgen" w:colFirst="0" w:colLast="0"/>
      <w:bookmarkEnd w:id="85"/>
    </w:p>
    <w:p w14:paraId="131D0B14" w14:textId="77777777" w:rsidR="002530E2" w:rsidRDefault="002530E2">
      <w:pPr>
        <w:pStyle w:val="Heading4"/>
      </w:pPr>
      <w:bookmarkStart w:id="86" w:name="_ibvlokujp4gk" w:colFirst="0" w:colLast="0"/>
      <w:bookmarkEnd w:id="86"/>
      <w:r>
        <w:t>Table [Appendix (CHP:3) 001] 3: Research classifications for this study according to scopes of the research, adapted from DiscoverPhDs (2020)</w:t>
      </w:r>
    </w:p>
    <w:p w14:paraId="5C3EACA5" w14:textId="77777777" w:rsidR="002530E2" w:rsidRDefault="002530E2">
      <w:pPr>
        <w:spacing w:after="0"/>
      </w:pPr>
    </w:p>
    <w:p w14:paraId="6B72207D" w14:textId="77777777" w:rsidR="002530E2" w:rsidRDefault="002530E2">
      <w:r>
        <w:t>The author of this study explored the two following examples of research classifications, adapted in two studies as listed below, and the diagrams are presented in appendix 1.</w:t>
      </w:r>
    </w:p>
    <w:p w14:paraId="1455407E" w14:textId="77777777" w:rsidR="002530E2" w:rsidRDefault="002530E2" w:rsidP="002530E2">
      <w:pPr>
        <w:numPr>
          <w:ilvl w:val="0"/>
          <w:numId w:val="64"/>
        </w:numPr>
        <w:spacing w:after="200" w:line="360" w:lineRule="auto"/>
        <w:jc w:val="both"/>
      </w:pPr>
      <w:r>
        <w:lastRenderedPageBreak/>
        <w:t>Research classifications by Miguel et al. (2010) as adapted by Alves, Pessoa, and Salviano (2015) in their proposal for a quality measurement framework.</w:t>
      </w:r>
    </w:p>
    <w:p w14:paraId="2597D69A" w14:textId="77777777" w:rsidR="002530E2" w:rsidRDefault="002530E2" w:rsidP="002530E2">
      <w:pPr>
        <w:numPr>
          <w:ilvl w:val="0"/>
          <w:numId w:val="51"/>
        </w:numPr>
        <w:spacing w:after="200" w:line="360" w:lineRule="auto"/>
        <w:jc w:val="both"/>
      </w:pPr>
      <w:r>
        <w:t>Research classification by Miguel et al. (2010) as adapted by Camargo and Cardoso (2018) in their work titled “Fractional factorial doe planning to reduce internal rejections on leak test of a combustion engine production line.”</w:t>
      </w:r>
    </w:p>
    <w:p w14:paraId="4D108798" w14:textId="77777777" w:rsidR="002530E2" w:rsidRDefault="002530E2">
      <w:r>
        <w:t>The author further explored the research classification according to the ‘depth of scope’ in the works of the following authors and from the following sources: Nebeker (2020); Fleetwood (2020); Chaudhari (2020); Walia &amp; Chetty (2020); Saunders et. al (2018); Bhat (2020); research-methodology.net (2020); MeanThat &amp; Authentic Data Science (2016); and slidetodoc.com (2020). A comparative analysis table was then developed across the exploratory, descriptive, and explanatory research classifications, as presented below.</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8"/>
        <w:gridCol w:w="2268"/>
        <w:gridCol w:w="2268"/>
        <w:gridCol w:w="2268"/>
      </w:tblGrid>
      <w:tr w:rsidR="002530E2" w14:paraId="2FDC0980" w14:textId="77777777">
        <w:trPr>
          <w:trHeight w:val="400"/>
        </w:trPr>
        <w:tc>
          <w:tcPr>
            <w:tcW w:w="9072" w:type="dxa"/>
            <w:gridSpan w:val="4"/>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E2EAE29" w14:textId="77777777" w:rsidR="002530E2" w:rsidRDefault="002530E2">
            <w:pPr>
              <w:spacing w:after="0" w:line="276" w:lineRule="auto"/>
              <w:rPr>
                <w:sz w:val="16"/>
                <w:szCs w:val="16"/>
              </w:rPr>
            </w:pPr>
            <w:r>
              <w:rPr>
                <w:sz w:val="16"/>
                <w:szCs w:val="16"/>
              </w:rPr>
              <w:t>Research Classification according to the ‘Depth of Scope’</w:t>
            </w:r>
          </w:p>
        </w:tc>
      </w:tr>
      <w:tr w:rsidR="002530E2" w14:paraId="75A47936"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7654C97" w14:textId="77777777" w:rsidR="002530E2" w:rsidRDefault="002530E2">
            <w:pPr>
              <w:spacing w:after="0" w:line="276" w:lineRule="auto"/>
              <w:rPr>
                <w:sz w:val="16"/>
                <w:szCs w:val="16"/>
              </w:rPr>
            </w:pPr>
            <w:r>
              <w:rPr>
                <w:sz w:val="16"/>
                <w:szCs w:val="16"/>
              </w:rPr>
              <w:t xml:space="preserve">Nature of Research, </w:t>
            </w:r>
          </w:p>
          <w:p w14:paraId="74381591" w14:textId="77777777" w:rsidR="002530E2" w:rsidRDefault="002530E2">
            <w:pPr>
              <w:spacing w:after="0" w:line="276" w:lineRule="auto"/>
              <w:rPr>
                <w:sz w:val="16"/>
                <w:szCs w:val="16"/>
              </w:rPr>
            </w:pPr>
            <w:r>
              <w:rPr>
                <w:sz w:val="16"/>
                <w:szCs w:val="16"/>
              </w:rPr>
              <w:t xml:space="preserve">or study or project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6A05E47" w14:textId="77777777" w:rsidR="002530E2" w:rsidRDefault="002530E2">
            <w:pPr>
              <w:spacing w:after="0" w:line="276" w:lineRule="auto"/>
              <w:rPr>
                <w:sz w:val="16"/>
                <w:szCs w:val="16"/>
              </w:rPr>
            </w:pPr>
            <w:r>
              <w:rPr>
                <w:sz w:val="16"/>
                <w:szCs w:val="16"/>
              </w:rPr>
              <w:t xml:space="preserve">Exploratory </w:t>
            </w:r>
          </w:p>
          <w:p w14:paraId="714D9458" w14:textId="77777777" w:rsidR="002530E2" w:rsidRDefault="002530E2">
            <w:pPr>
              <w:spacing w:after="0" w:line="276" w:lineRule="auto"/>
              <w:rPr>
                <w:sz w:val="16"/>
                <w:szCs w:val="16"/>
              </w:rPr>
            </w:pPr>
            <w:r>
              <w:rPr>
                <w:sz w:val="16"/>
                <w:szCs w:val="16"/>
              </w:rPr>
              <w:t>Research</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840E9E8" w14:textId="77777777" w:rsidR="002530E2" w:rsidRDefault="002530E2">
            <w:pPr>
              <w:spacing w:after="0" w:line="276" w:lineRule="auto"/>
              <w:rPr>
                <w:sz w:val="16"/>
                <w:szCs w:val="16"/>
              </w:rPr>
            </w:pPr>
            <w:r>
              <w:rPr>
                <w:sz w:val="16"/>
                <w:szCs w:val="16"/>
              </w:rPr>
              <w:t xml:space="preserve">Descriptive </w:t>
            </w:r>
          </w:p>
          <w:p w14:paraId="7D5A3F85" w14:textId="77777777" w:rsidR="002530E2" w:rsidRDefault="002530E2">
            <w:pPr>
              <w:spacing w:after="0" w:line="276" w:lineRule="auto"/>
              <w:rPr>
                <w:sz w:val="16"/>
                <w:szCs w:val="16"/>
              </w:rPr>
            </w:pPr>
            <w:r>
              <w:rPr>
                <w:sz w:val="16"/>
                <w:szCs w:val="16"/>
              </w:rPr>
              <w:t>Research</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A43D425" w14:textId="77777777" w:rsidR="002530E2" w:rsidRDefault="002530E2">
            <w:pPr>
              <w:spacing w:after="0" w:line="276" w:lineRule="auto"/>
              <w:rPr>
                <w:sz w:val="16"/>
                <w:szCs w:val="16"/>
              </w:rPr>
            </w:pPr>
            <w:r>
              <w:rPr>
                <w:sz w:val="16"/>
                <w:szCs w:val="16"/>
              </w:rPr>
              <w:t xml:space="preserve">Explanatory </w:t>
            </w:r>
          </w:p>
          <w:p w14:paraId="672E489C" w14:textId="77777777" w:rsidR="002530E2" w:rsidRDefault="002530E2">
            <w:pPr>
              <w:spacing w:after="0" w:line="276" w:lineRule="auto"/>
              <w:rPr>
                <w:sz w:val="16"/>
                <w:szCs w:val="16"/>
              </w:rPr>
            </w:pPr>
            <w:r>
              <w:rPr>
                <w:sz w:val="16"/>
                <w:szCs w:val="16"/>
              </w:rPr>
              <w:t>or Causal Research</w:t>
            </w:r>
          </w:p>
        </w:tc>
      </w:tr>
      <w:tr w:rsidR="002530E2" w14:paraId="6B42DD22"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1CB0613" w14:textId="77777777" w:rsidR="002530E2" w:rsidRDefault="002530E2">
            <w:pPr>
              <w:spacing w:after="0" w:line="276" w:lineRule="auto"/>
              <w:rPr>
                <w:sz w:val="16"/>
                <w:szCs w:val="16"/>
              </w:rPr>
            </w:pPr>
            <w:r>
              <w:rPr>
                <w:sz w:val="16"/>
                <w:szCs w:val="16"/>
              </w:rPr>
              <w:t xml:space="preserve">Also known as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4B4F1AD" w14:textId="77777777" w:rsidR="002530E2" w:rsidRDefault="002530E2">
            <w:pPr>
              <w:spacing w:after="0" w:line="276" w:lineRule="auto"/>
              <w:rPr>
                <w:sz w:val="16"/>
                <w:szCs w:val="16"/>
              </w:rPr>
            </w:pPr>
            <w:r>
              <w:rPr>
                <w:sz w:val="16"/>
                <w:szCs w:val="16"/>
              </w:rPr>
              <w:t xml:space="preserve">Interpretive research (Walia &amp; Chetty,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A84D78" w14:textId="77777777" w:rsidR="002530E2" w:rsidRDefault="002530E2">
            <w:pPr>
              <w:spacing w:after="0" w:line="276" w:lineRule="auto"/>
              <w:rPr>
                <w:sz w:val="16"/>
                <w:szCs w:val="16"/>
              </w:rPr>
            </w:pPr>
            <w:r>
              <w:rPr>
                <w:sz w:val="16"/>
                <w:szCs w:val="16"/>
              </w:rPr>
              <w:t>Observational research (Nebeker,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FB0C357" w14:textId="77777777" w:rsidR="002530E2" w:rsidRDefault="002530E2">
            <w:pPr>
              <w:spacing w:after="0" w:line="276" w:lineRule="auto"/>
              <w:rPr>
                <w:sz w:val="16"/>
                <w:szCs w:val="16"/>
              </w:rPr>
            </w:pPr>
            <w:r>
              <w:rPr>
                <w:sz w:val="16"/>
                <w:szCs w:val="16"/>
              </w:rPr>
              <w:t>Conclusive research (Walia &amp; Chetty, 2020) or comparison research</w:t>
            </w:r>
          </w:p>
        </w:tc>
      </w:tr>
      <w:tr w:rsidR="002530E2" w14:paraId="4651B30F"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F2A5D5B" w14:textId="77777777" w:rsidR="002530E2" w:rsidRDefault="002530E2">
            <w:pPr>
              <w:spacing w:after="0" w:line="276" w:lineRule="auto"/>
              <w:rPr>
                <w:sz w:val="16"/>
                <w:szCs w:val="16"/>
              </w:rPr>
            </w:pPr>
            <w:r>
              <w:rPr>
                <w:sz w:val="16"/>
                <w:szCs w:val="16"/>
              </w:rPr>
              <w:t xml:space="preserve">Overview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74C5D94" w14:textId="77777777" w:rsidR="002530E2" w:rsidRDefault="002530E2">
            <w:pPr>
              <w:spacing w:after="0" w:line="276" w:lineRule="auto"/>
              <w:rPr>
                <w:sz w:val="16"/>
                <w:szCs w:val="16"/>
              </w:rPr>
            </w:pPr>
            <w:r>
              <w:rPr>
                <w:sz w:val="16"/>
                <w:szCs w:val="16"/>
              </w:rPr>
              <w:t>‘EXPLORES’ something by starting with the ‘WHAT’ inquiry approach (MeanThat &amp; Authentic Data Science, 2016)</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7AEB16F" w14:textId="77777777" w:rsidR="002530E2" w:rsidRDefault="002530E2">
            <w:pPr>
              <w:spacing w:after="0" w:line="276" w:lineRule="auto"/>
              <w:rPr>
                <w:sz w:val="16"/>
                <w:szCs w:val="16"/>
              </w:rPr>
            </w:pPr>
            <w:r>
              <w:rPr>
                <w:sz w:val="16"/>
                <w:szCs w:val="16"/>
              </w:rPr>
              <w:t>‘DESCRIBES’ something by starting with the ‘HOW’ inquiry approach (MeanThat &amp; Authentic Data Science, 2016)</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3D9D1C8" w14:textId="77777777" w:rsidR="002530E2" w:rsidRDefault="002530E2">
            <w:pPr>
              <w:spacing w:after="0" w:line="276" w:lineRule="auto"/>
              <w:rPr>
                <w:sz w:val="16"/>
                <w:szCs w:val="16"/>
              </w:rPr>
            </w:pPr>
            <w:r>
              <w:rPr>
                <w:sz w:val="16"/>
                <w:szCs w:val="16"/>
              </w:rPr>
              <w:t>‘EXPLAINS’ something by starting with the ‘WHY’ inquiry approach (MeanThat &amp; Authentic Data Science, 2016)</w:t>
            </w:r>
          </w:p>
        </w:tc>
      </w:tr>
      <w:tr w:rsidR="002530E2" w14:paraId="74AE1F1B"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4F1247" w14:textId="77777777" w:rsidR="002530E2" w:rsidRDefault="002530E2">
            <w:pPr>
              <w:spacing w:after="0" w:line="276" w:lineRule="auto"/>
              <w:rPr>
                <w:sz w:val="16"/>
                <w:szCs w:val="16"/>
              </w:rPr>
            </w:pPr>
            <w:r>
              <w:rPr>
                <w:sz w:val="16"/>
                <w:szCs w:val="16"/>
              </w:rPr>
              <w:t xml:space="preserve">Function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F7D00BD" w14:textId="77777777" w:rsidR="002530E2" w:rsidRDefault="002530E2">
            <w:pPr>
              <w:spacing w:after="0" w:line="276" w:lineRule="auto"/>
              <w:rPr>
                <w:sz w:val="16"/>
                <w:szCs w:val="16"/>
              </w:rPr>
            </w:pPr>
            <w:r>
              <w:rPr>
                <w:sz w:val="16"/>
                <w:szCs w:val="16"/>
              </w:rPr>
              <w:t>“...the initial research into a hypothetical or theoretical idea” (MeanThat &amp; Authentic Data Science, 2016)</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9922F6C" w14:textId="77777777" w:rsidR="002530E2" w:rsidRDefault="002530E2">
            <w:pPr>
              <w:spacing w:after="0" w:line="276" w:lineRule="auto"/>
              <w:rPr>
                <w:sz w:val="16"/>
                <w:szCs w:val="16"/>
              </w:rPr>
            </w:pPr>
            <w:r>
              <w:rPr>
                <w:sz w:val="16"/>
                <w:szCs w:val="16"/>
              </w:rPr>
              <w:t>“...attempts to explore and explain while providing additional information about the topic” (MeanThat &amp; Authentic Data Science, 2016)</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8321721" w14:textId="77777777" w:rsidR="002530E2" w:rsidRDefault="002530E2">
            <w:pPr>
              <w:spacing w:after="0" w:line="276" w:lineRule="auto"/>
              <w:rPr>
                <w:sz w:val="16"/>
                <w:szCs w:val="16"/>
              </w:rPr>
            </w:pPr>
            <w:r>
              <w:rPr>
                <w:sz w:val="16"/>
                <w:szCs w:val="16"/>
              </w:rPr>
              <w:t>“...tries to explain relationships between variables” (MeanThat &amp; Authentic Data Science, 2016)</w:t>
            </w:r>
          </w:p>
        </w:tc>
      </w:tr>
      <w:tr w:rsidR="002530E2" w14:paraId="6158FC1C"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6EC5202" w14:textId="77777777" w:rsidR="002530E2" w:rsidRDefault="002530E2">
            <w:pPr>
              <w:spacing w:after="0" w:line="276" w:lineRule="auto"/>
              <w:rPr>
                <w:sz w:val="16"/>
                <w:szCs w:val="16"/>
              </w:rPr>
            </w:pPr>
            <w:r>
              <w:rPr>
                <w:sz w:val="16"/>
                <w:szCs w:val="16"/>
              </w:rPr>
              <w:t>Assumed background knowledge about the topic</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312F2AA" w14:textId="77777777" w:rsidR="002530E2" w:rsidRDefault="002530E2">
            <w:pPr>
              <w:spacing w:after="0" w:line="276" w:lineRule="auto"/>
              <w:rPr>
                <w:sz w:val="16"/>
                <w:szCs w:val="16"/>
              </w:rPr>
            </w:pPr>
            <w:r>
              <w:rPr>
                <w:sz w:val="16"/>
                <w:szCs w:val="16"/>
              </w:rPr>
              <w:t xml:space="preserve">Minimal (slidetodoc.com,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8F438BA" w14:textId="77777777" w:rsidR="002530E2" w:rsidRDefault="002530E2">
            <w:pPr>
              <w:spacing w:after="0" w:line="276" w:lineRule="auto"/>
              <w:rPr>
                <w:sz w:val="16"/>
                <w:szCs w:val="16"/>
              </w:rPr>
            </w:pPr>
            <w:r>
              <w:rPr>
                <w:sz w:val="16"/>
                <w:szCs w:val="16"/>
              </w:rPr>
              <w:t xml:space="preserve">Considerable  (slidetodoc.com,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C3110A9" w14:textId="77777777" w:rsidR="002530E2" w:rsidRDefault="002530E2">
            <w:pPr>
              <w:spacing w:after="0" w:line="276" w:lineRule="auto"/>
              <w:rPr>
                <w:sz w:val="16"/>
                <w:szCs w:val="16"/>
              </w:rPr>
            </w:pPr>
            <w:r>
              <w:rPr>
                <w:sz w:val="16"/>
                <w:szCs w:val="16"/>
              </w:rPr>
              <w:t xml:space="preserve">Considerable (slidetodoc.com, 2020) </w:t>
            </w:r>
          </w:p>
        </w:tc>
      </w:tr>
      <w:tr w:rsidR="002530E2" w14:paraId="738089F4"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CC9A69" w14:textId="77777777" w:rsidR="002530E2" w:rsidRDefault="002530E2">
            <w:pPr>
              <w:spacing w:after="0" w:line="276" w:lineRule="auto"/>
              <w:rPr>
                <w:sz w:val="16"/>
                <w:szCs w:val="16"/>
              </w:rPr>
            </w:pPr>
            <w:r>
              <w:rPr>
                <w:sz w:val="16"/>
                <w:szCs w:val="16"/>
              </w:rPr>
              <w:t>Research scope</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D4C78A0" w14:textId="77777777" w:rsidR="002530E2" w:rsidRDefault="002530E2">
            <w:pPr>
              <w:spacing w:after="0" w:line="276" w:lineRule="auto"/>
              <w:rPr>
                <w:sz w:val="16"/>
                <w:szCs w:val="16"/>
              </w:rPr>
            </w:pPr>
            <w:r>
              <w:rPr>
                <w:sz w:val="16"/>
                <w:szCs w:val="16"/>
              </w:rPr>
              <w:t xml:space="preserve">To study a topic for the first time as its unknown or unexplored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BC5ABC" w14:textId="77777777" w:rsidR="002530E2" w:rsidRDefault="002530E2">
            <w:pPr>
              <w:spacing w:after="0" w:line="276" w:lineRule="auto"/>
              <w:rPr>
                <w:sz w:val="16"/>
                <w:szCs w:val="16"/>
              </w:rPr>
            </w:pPr>
            <w:r>
              <w:rPr>
                <w:sz w:val="16"/>
                <w:szCs w:val="16"/>
              </w:rPr>
              <w:t xml:space="preserve">To describe a phenomenon that has already been established by the exploratory research with past discoveries and/or suspicions in the pertinent topic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9F19225" w14:textId="77777777" w:rsidR="002530E2" w:rsidRDefault="002530E2">
            <w:pPr>
              <w:spacing w:after="0" w:line="276" w:lineRule="auto"/>
              <w:rPr>
                <w:sz w:val="16"/>
                <w:szCs w:val="16"/>
              </w:rPr>
            </w:pPr>
            <w:r>
              <w:rPr>
                <w:sz w:val="16"/>
                <w:szCs w:val="16"/>
              </w:rPr>
              <w:t>“To establish a relationship between two variables” (Fleetwood, 2020) and explain “the why and what for an object of study” (​​Bhat, 2020)</w:t>
            </w:r>
          </w:p>
        </w:tc>
      </w:tr>
      <w:tr w:rsidR="002530E2" w14:paraId="3CB985C3"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3940CA" w14:textId="77777777" w:rsidR="002530E2" w:rsidRDefault="002530E2">
            <w:pPr>
              <w:spacing w:after="0" w:line="276" w:lineRule="auto"/>
              <w:rPr>
                <w:sz w:val="16"/>
                <w:szCs w:val="16"/>
              </w:rPr>
            </w:pPr>
            <w:r>
              <w:rPr>
                <w:sz w:val="16"/>
                <w:szCs w:val="16"/>
              </w:rPr>
              <w:t xml:space="preserve">Direction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07755A2" w14:textId="77777777" w:rsidR="002530E2" w:rsidRDefault="002530E2">
            <w:pPr>
              <w:spacing w:after="0" w:line="276" w:lineRule="auto"/>
              <w:rPr>
                <w:sz w:val="16"/>
                <w:szCs w:val="16"/>
              </w:rPr>
            </w:pPr>
            <w:r>
              <w:rPr>
                <w:sz w:val="16"/>
                <w:szCs w:val="16"/>
              </w:rPr>
              <w:t xml:space="preserve">Exploratory research be conducted on its own. Descriptive research can follow it as a next research step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D1CEFEF" w14:textId="77777777" w:rsidR="002530E2" w:rsidRDefault="002530E2">
            <w:pPr>
              <w:spacing w:after="0" w:line="276" w:lineRule="auto"/>
              <w:rPr>
                <w:sz w:val="16"/>
                <w:szCs w:val="16"/>
              </w:rPr>
            </w:pPr>
            <w:r>
              <w:rPr>
                <w:sz w:val="16"/>
                <w:szCs w:val="16"/>
              </w:rPr>
              <w:t xml:space="preserve">Descriptive research be conducted on its own, but can be a follow-on of a exploratory research that has been carried out successfully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A2D739F" w14:textId="77777777" w:rsidR="002530E2" w:rsidRDefault="002530E2">
            <w:pPr>
              <w:spacing w:after="0" w:line="276" w:lineRule="auto"/>
              <w:rPr>
                <w:sz w:val="16"/>
                <w:szCs w:val="16"/>
              </w:rPr>
            </w:pPr>
            <w:r>
              <w:rPr>
                <w:sz w:val="16"/>
                <w:szCs w:val="16"/>
              </w:rPr>
              <w:t>Generally conducted on its own</w:t>
            </w:r>
          </w:p>
        </w:tc>
      </w:tr>
      <w:tr w:rsidR="002530E2" w14:paraId="64D3D926"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44D4C01" w14:textId="77777777" w:rsidR="002530E2" w:rsidRDefault="002530E2">
            <w:pPr>
              <w:spacing w:after="0" w:line="276" w:lineRule="auto"/>
              <w:rPr>
                <w:sz w:val="16"/>
                <w:szCs w:val="16"/>
              </w:rPr>
            </w:pPr>
            <w:r>
              <w:rPr>
                <w:sz w:val="16"/>
                <w:szCs w:val="16"/>
              </w:rPr>
              <w:t>Starting point</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46984C1" w14:textId="77777777" w:rsidR="002530E2" w:rsidRDefault="002530E2">
            <w:pPr>
              <w:spacing w:after="0" w:line="276" w:lineRule="auto"/>
              <w:rPr>
                <w:sz w:val="16"/>
                <w:szCs w:val="16"/>
              </w:rPr>
            </w:pPr>
            <w:r>
              <w:rPr>
                <w:sz w:val="16"/>
                <w:szCs w:val="16"/>
              </w:rPr>
              <w:t>Research problem</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F16910B" w14:textId="77777777" w:rsidR="002530E2" w:rsidRDefault="002530E2">
            <w:pPr>
              <w:spacing w:after="0" w:line="276" w:lineRule="auto"/>
              <w:rPr>
                <w:sz w:val="16"/>
                <w:szCs w:val="16"/>
              </w:rPr>
            </w:pPr>
            <w:r>
              <w:rPr>
                <w:sz w:val="16"/>
                <w:szCs w:val="16"/>
              </w:rPr>
              <w:t>Research problem</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FC71DED" w14:textId="77777777" w:rsidR="002530E2" w:rsidRDefault="002530E2">
            <w:pPr>
              <w:spacing w:after="0" w:line="276" w:lineRule="auto"/>
              <w:rPr>
                <w:sz w:val="16"/>
                <w:szCs w:val="16"/>
              </w:rPr>
            </w:pPr>
            <w:r>
              <w:rPr>
                <w:sz w:val="16"/>
                <w:szCs w:val="16"/>
              </w:rPr>
              <w:t>Research question</w:t>
            </w:r>
          </w:p>
        </w:tc>
      </w:tr>
      <w:tr w:rsidR="002530E2" w14:paraId="30C0EA69"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E3E6EA8" w14:textId="77777777" w:rsidR="002530E2" w:rsidRDefault="002530E2">
            <w:pPr>
              <w:spacing w:after="0" w:line="276" w:lineRule="auto"/>
              <w:rPr>
                <w:sz w:val="16"/>
                <w:szCs w:val="16"/>
              </w:rPr>
            </w:pPr>
            <w:r>
              <w:rPr>
                <w:sz w:val="16"/>
                <w:szCs w:val="16"/>
              </w:rPr>
              <w:lastRenderedPageBreak/>
              <w:t>Key research statement</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C27F36E" w14:textId="77777777" w:rsidR="002530E2" w:rsidRDefault="002530E2">
            <w:pPr>
              <w:spacing w:after="0" w:line="276" w:lineRule="auto"/>
              <w:rPr>
                <w:sz w:val="16"/>
                <w:szCs w:val="16"/>
              </w:rPr>
            </w:pPr>
            <w:r>
              <w:rPr>
                <w:sz w:val="16"/>
                <w:szCs w:val="16"/>
              </w:rPr>
              <w:t xml:space="preserve">Research question itself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3B298FB" w14:textId="77777777" w:rsidR="002530E2" w:rsidRDefault="002530E2">
            <w:pPr>
              <w:spacing w:after="0" w:line="276" w:lineRule="auto"/>
              <w:rPr>
                <w:sz w:val="16"/>
                <w:szCs w:val="16"/>
              </w:rPr>
            </w:pPr>
            <w:r>
              <w:rPr>
                <w:sz w:val="16"/>
                <w:szCs w:val="16"/>
              </w:rPr>
              <w:t xml:space="preserve">Research question itself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5A39CBD" w14:textId="77777777" w:rsidR="002530E2" w:rsidRDefault="002530E2">
            <w:pPr>
              <w:spacing w:after="0" w:line="276" w:lineRule="auto"/>
              <w:rPr>
                <w:sz w:val="16"/>
                <w:szCs w:val="16"/>
              </w:rPr>
            </w:pPr>
            <w:r>
              <w:rPr>
                <w:sz w:val="16"/>
                <w:szCs w:val="16"/>
              </w:rPr>
              <w:t xml:space="preserve">Generally research hypotheses (Chaudhari, 2020) </w:t>
            </w:r>
          </w:p>
        </w:tc>
      </w:tr>
      <w:tr w:rsidR="002530E2" w14:paraId="5D5DBA17"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ED7943" w14:textId="77777777" w:rsidR="002530E2" w:rsidRDefault="002530E2">
            <w:pPr>
              <w:spacing w:after="0" w:line="276" w:lineRule="auto"/>
              <w:rPr>
                <w:sz w:val="16"/>
                <w:szCs w:val="16"/>
              </w:rPr>
            </w:pPr>
            <w:r>
              <w:rPr>
                <w:sz w:val="16"/>
                <w:szCs w:val="16"/>
              </w:rPr>
              <w:t xml:space="preserve">Aim/purpose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51E53D" w14:textId="77777777" w:rsidR="002530E2" w:rsidRDefault="002530E2">
            <w:pPr>
              <w:spacing w:after="0" w:line="276" w:lineRule="auto"/>
              <w:rPr>
                <w:sz w:val="16"/>
                <w:szCs w:val="16"/>
              </w:rPr>
            </w:pPr>
            <w:r>
              <w:rPr>
                <w:sz w:val="16"/>
                <w:szCs w:val="16"/>
              </w:rPr>
              <w:t>To explore a research problem “which is not clearly defined and have a better understanding of the existing problem” (​​Bhat,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D4568F" w14:textId="77777777" w:rsidR="002530E2" w:rsidRDefault="002530E2">
            <w:pPr>
              <w:spacing w:after="0" w:line="276" w:lineRule="auto"/>
              <w:rPr>
                <w:sz w:val="16"/>
                <w:szCs w:val="16"/>
              </w:rPr>
            </w:pPr>
            <w:r>
              <w:rPr>
                <w:sz w:val="16"/>
                <w:szCs w:val="16"/>
              </w:rPr>
              <w:t>“To depict what already exists in a group of the population” (Walia &amp; Chetty,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509A077" w14:textId="77777777" w:rsidR="002530E2" w:rsidRDefault="002530E2">
            <w:pPr>
              <w:spacing w:after="0" w:line="276" w:lineRule="auto"/>
              <w:rPr>
                <w:sz w:val="16"/>
                <w:szCs w:val="16"/>
              </w:rPr>
            </w:pPr>
            <w:r>
              <w:rPr>
                <w:sz w:val="16"/>
                <w:szCs w:val="16"/>
              </w:rPr>
              <w:t>“To study a situation or a problem to explain the relationships between variables” and/ or (Saunders et. al, 2018); “identify the extent and nature of cause and effect relationships” and/ or “investigate the qualities or the characteristics that are connected in some way or the other”  (Walia &amp; Chetty, 2020)</w:t>
            </w:r>
          </w:p>
        </w:tc>
      </w:tr>
      <w:tr w:rsidR="002530E2" w14:paraId="3FEF1CC2"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FB8DB6B" w14:textId="77777777" w:rsidR="002530E2" w:rsidRDefault="002530E2">
            <w:pPr>
              <w:spacing w:after="0" w:line="276" w:lineRule="auto"/>
              <w:rPr>
                <w:sz w:val="16"/>
                <w:szCs w:val="16"/>
              </w:rPr>
            </w:pPr>
            <w:r>
              <w:rPr>
                <w:sz w:val="16"/>
                <w:szCs w:val="16"/>
              </w:rPr>
              <w:t>Question format</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1C69AA0" w14:textId="77777777" w:rsidR="002530E2" w:rsidRDefault="002530E2">
            <w:pPr>
              <w:spacing w:after="0" w:line="276" w:lineRule="auto"/>
              <w:rPr>
                <w:sz w:val="16"/>
                <w:szCs w:val="16"/>
              </w:rPr>
            </w:pPr>
            <w:r>
              <w:rPr>
                <w:sz w:val="16"/>
                <w:szCs w:val="16"/>
              </w:rPr>
              <w:t>‘How’ or ‘What’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B269E40" w14:textId="77777777" w:rsidR="002530E2" w:rsidRDefault="002530E2">
            <w:pPr>
              <w:spacing w:after="0" w:line="276" w:lineRule="auto"/>
              <w:rPr>
                <w:sz w:val="16"/>
                <w:szCs w:val="16"/>
              </w:rPr>
            </w:pPr>
            <w:r>
              <w:rPr>
                <w:sz w:val="16"/>
                <w:szCs w:val="16"/>
              </w:rPr>
              <w:t>‘Who’, ‘What’, ‘When’, 'Where', and ‘How’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91EAF1" w14:textId="77777777" w:rsidR="002530E2" w:rsidRDefault="002530E2">
            <w:pPr>
              <w:spacing w:after="0" w:line="276" w:lineRule="auto"/>
              <w:rPr>
                <w:sz w:val="16"/>
                <w:szCs w:val="16"/>
              </w:rPr>
            </w:pPr>
            <w:r>
              <w:rPr>
                <w:sz w:val="16"/>
                <w:szCs w:val="16"/>
              </w:rPr>
              <w:t xml:space="preserve">‘Why’ or ‘How’ (Saunders et. al, 2018); ‘Will’, ‘Which’ (research-methodology.net, 2020) </w:t>
            </w:r>
          </w:p>
        </w:tc>
      </w:tr>
      <w:tr w:rsidR="002530E2" w14:paraId="75E279CA"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32F0608" w14:textId="77777777" w:rsidR="002530E2" w:rsidRDefault="002530E2">
            <w:pPr>
              <w:spacing w:after="0" w:line="276" w:lineRule="auto"/>
              <w:rPr>
                <w:sz w:val="16"/>
                <w:szCs w:val="16"/>
              </w:rPr>
            </w:pPr>
            <w:r>
              <w:rPr>
                <w:sz w:val="16"/>
                <w:szCs w:val="16"/>
              </w:rPr>
              <w:t>Research question example set 1</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E074CA7" w14:textId="77777777" w:rsidR="002530E2" w:rsidRDefault="002530E2">
            <w:pPr>
              <w:spacing w:after="0" w:line="276" w:lineRule="auto"/>
              <w:rPr>
                <w:sz w:val="16"/>
                <w:szCs w:val="16"/>
              </w:rPr>
            </w:pPr>
            <w:r>
              <w:rPr>
                <w:sz w:val="16"/>
                <w:szCs w:val="16"/>
              </w:rPr>
              <w:t>“How much did the marketing campaign for the new range of products cost?”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9148427" w14:textId="77777777" w:rsidR="002530E2" w:rsidRDefault="002530E2">
            <w:pPr>
              <w:spacing w:after="0" w:line="276" w:lineRule="auto"/>
              <w:rPr>
                <w:sz w:val="16"/>
                <w:szCs w:val="16"/>
              </w:rPr>
            </w:pPr>
            <w:r>
              <w:rPr>
                <w:sz w:val="16"/>
                <w:szCs w:val="16"/>
              </w:rPr>
              <w:t>“How has the corporate rebranding strategy affected consumer attitudes?”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1E8BB4" w14:textId="77777777" w:rsidR="002530E2" w:rsidRDefault="002530E2">
            <w:pPr>
              <w:spacing w:after="0" w:line="276" w:lineRule="auto"/>
              <w:rPr>
                <w:sz w:val="16"/>
                <w:szCs w:val="16"/>
              </w:rPr>
            </w:pPr>
            <w:r>
              <w:rPr>
                <w:sz w:val="16"/>
                <w:szCs w:val="16"/>
              </w:rPr>
              <w:t>“What do customers think about a new product and why do they like or dislike it?” (Saunders et. al, 2018)</w:t>
            </w:r>
          </w:p>
        </w:tc>
      </w:tr>
      <w:tr w:rsidR="002530E2" w14:paraId="703C4F89"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C672EE6" w14:textId="77777777" w:rsidR="002530E2" w:rsidRDefault="002530E2">
            <w:pPr>
              <w:spacing w:after="0" w:line="276" w:lineRule="auto"/>
              <w:rPr>
                <w:sz w:val="16"/>
                <w:szCs w:val="16"/>
              </w:rPr>
            </w:pPr>
            <w:r>
              <w:rPr>
                <w:sz w:val="16"/>
                <w:szCs w:val="16"/>
              </w:rPr>
              <w:t>Research question example set 2</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D7EF269" w14:textId="77777777" w:rsidR="002530E2" w:rsidRDefault="002530E2">
            <w:pPr>
              <w:spacing w:after="0" w:line="276" w:lineRule="auto"/>
              <w:rPr>
                <w:sz w:val="16"/>
                <w:szCs w:val="16"/>
              </w:rPr>
            </w:pPr>
            <w:r>
              <w:rPr>
                <w:sz w:val="16"/>
                <w:szCs w:val="16"/>
              </w:rPr>
              <w:t xml:space="preserve">“What kinds of new products are fast-food consumers interested in?”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A26A393" w14:textId="77777777" w:rsidR="002530E2" w:rsidRDefault="002530E2">
            <w:pPr>
              <w:spacing w:after="0" w:line="276" w:lineRule="auto"/>
              <w:rPr>
                <w:sz w:val="16"/>
                <w:szCs w:val="16"/>
              </w:rPr>
            </w:pPr>
            <w:r>
              <w:rPr>
                <w:sz w:val="16"/>
                <w:szCs w:val="16"/>
              </w:rPr>
              <w:t xml:space="preserve">“What product features are the most important to our customers?”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75E1AF0" w14:textId="77777777" w:rsidR="002530E2" w:rsidRDefault="002530E2">
            <w:pPr>
              <w:spacing w:after="0" w:line="276" w:lineRule="auto"/>
              <w:rPr>
                <w:sz w:val="16"/>
                <w:szCs w:val="16"/>
              </w:rPr>
            </w:pPr>
            <w:r>
              <w:rPr>
                <w:sz w:val="16"/>
                <w:szCs w:val="16"/>
              </w:rPr>
              <w:t xml:space="preserve">“Which of two advertising campaigns will be more effective?” (research-methodology.net, 2020) </w:t>
            </w:r>
          </w:p>
        </w:tc>
      </w:tr>
      <w:tr w:rsidR="002530E2" w14:paraId="2764CACE"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4C43FC4" w14:textId="77777777" w:rsidR="002530E2" w:rsidRDefault="002530E2">
            <w:pPr>
              <w:spacing w:after="0" w:line="276" w:lineRule="auto"/>
              <w:rPr>
                <w:sz w:val="16"/>
                <w:szCs w:val="16"/>
              </w:rPr>
            </w:pPr>
            <w:r>
              <w:rPr>
                <w:sz w:val="16"/>
                <w:szCs w:val="16"/>
              </w:rPr>
              <w:t xml:space="preserve">Cost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7CF2BEE" w14:textId="77777777" w:rsidR="002530E2" w:rsidRDefault="002530E2">
            <w:pPr>
              <w:spacing w:after="0" w:line="276" w:lineRule="auto"/>
              <w:rPr>
                <w:sz w:val="16"/>
                <w:szCs w:val="16"/>
              </w:rPr>
            </w:pPr>
            <w:r>
              <w:rPr>
                <w:sz w:val="16"/>
                <w:szCs w:val="16"/>
              </w:rPr>
              <w:t>Low (slidetodoc.com,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1D50841" w14:textId="77777777" w:rsidR="002530E2" w:rsidRDefault="002530E2">
            <w:pPr>
              <w:spacing w:after="0" w:line="276" w:lineRule="auto"/>
              <w:rPr>
                <w:sz w:val="16"/>
                <w:szCs w:val="16"/>
              </w:rPr>
            </w:pPr>
            <w:r>
              <w:rPr>
                <w:sz w:val="16"/>
                <w:szCs w:val="16"/>
              </w:rPr>
              <w:t>Medium (slidetodoc.com,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4AA6155" w14:textId="77777777" w:rsidR="002530E2" w:rsidRDefault="002530E2">
            <w:pPr>
              <w:spacing w:after="0" w:line="276" w:lineRule="auto"/>
              <w:rPr>
                <w:sz w:val="16"/>
                <w:szCs w:val="16"/>
              </w:rPr>
            </w:pPr>
            <w:r>
              <w:rPr>
                <w:sz w:val="16"/>
                <w:szCs w:val="16"/>
              </w:rPr>
              <w:t>High (slidetodoc.com, 2020)</w:t>
            </w:r>
          </w:p>
        </w:tc>
      </w:tr>
      <w:tr w:rsidR="002530E2" w14:paraId="58B8DC6D"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C4FAE7" w14:textId="77777777" w:rsidR="002530E2" w:rsidRDefault="002530E2">
            <w:pPr>
              <w:spacing w:after="0" w:line="276" w:lineRule="auto"/>
              <w:rPr>
                <w:sz w:val="16"/>
                <w:szCs w:val="16"/>
              </w:rPr>
            </w:pPr>
            <w:r>
              <w:rPr>
                <w:sz w:val="16"/>
                <w:szCs w:val="16"/>
              </w:rPr>
              <w:t>Goals</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FDA675A" w14:textId="77777777" w:rsidR="002530E2" w:rsidRDefault="002530E2">
            <w:pPr>
              <w:spacing w:after="0" w:line="276" w:lineRule="auto"/>
              <w:rPr>
                <w:sz w:val="16"/>
                <w:szCs w:val="16"/>
              </w:rPr>
            </w:pPr>
            <w:r>
              <w:rPr>
                <w:sz w:val="16"/>
                <w:szCs w:val="16"/>
              </w:rPr>
              <w:t>seeking to find “what is happening, and gain new insights” (Robson, 2002; Saunders et. al, 2007)</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BBD610" w14:textId="77777777" w:rsidR="002530E2" w:rsidRDefault="002530E2">
            <w:pPr>
              <w:spacing w:after="0" w:line="276" w:lineRule="auto"/>
              <w:rPr>
                <w:sz w:val="16"/>
                <w:szCs w:val="16"/>
              </w:rPr>
            </w:pPr>
            <w:r>
              <w:rPr>
                <w:sz w:val="16"/>
                <w:szCs w:val="16"/>
              </w:rPr>
              <w:t>portraying or describing an event or situation or a person (Robson, 2002; Saunders et. al, 2007)</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9101314" w14:textId="77777777" w:rsidR="002530E2" w:rsidRDefault="002530E2">
            <w:pPr>
              <w:spacing w:after="0" w:line="276" w:lineRule="auto"/>
              <w:rPr>
                <w:sz w:val="16"/>
                <w:szCs w:val="16"/>
              </w:rPr>
            </w:pPr>
            <w:r>
              <w:rPr>
                <w:sz w:val="16"/>
                <w:szCs w:val="16"/>
              </w:rPr>
              <w:t>the cause-and-effect relationship between variables  and establishes relationships between the variables (Chaudhari, 2020; Saunders et. al, 2007)</w:t>
            </w:r>
          </w:p>
        </w:tc>
      </w:tr>
      <w:tr w:rsidR="002530E2" w14:paraId="01D26CA4" w14:textId="77777777">
        <w:trPr>
          <w:trHeight w:val="400"/>
        </w:trPr>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6ED2C98" w14:textId="77777777" w:rsidR="002530E2" w:rsidRDefault="002530E2">
            <w:pPr>
              <w:spacing w:after="0" w:line="276" w:lineRule="auto"/>
              <w:rPr>
                <w:sz w:val="16"/>
                <w:szCs w:val="16"/>
              </w:rPr>
            </w:pPr>
            <w:r>
              <w:rPr>
                <w:sz w:val="16"/>
                <w:szCs w:val="16"/>
              </w:rPr>
              <w:t xml:space="preserve">Variable manipulation and control in research design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3D4ABBF" w14:textId="77777777" w:rsidR="002530E2" w:rsidRDefault="002530E2">
            <w:pPr>
              <w:spacing w:after="0" w:line="276" w:lineRule="auto"/>
              <w:rPr>
                <w:sz w:val="16"/>
                <w:szCs w:val="16"/>
              </w:rPr>
            </w:pPr>
            <w:r>
              <w:rPr>
                <w:sz w:val="16"/>
                <w:szCs w:val="16"/>
              </w:rPr>
              <w:t xml:space="preserve">Highly flexible and not rigid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CD80C6" w14:textId="77777777" w:rsidR="002530E2" w:rsidRDefault="002530E2">
            <w:pPr>
              <w:spacing w:after="0" w:line="276" w:lineRule="auto"/>
              <w:rPr>
                <w:sz w:val="16"/>
                <w:szCs w:val="16"/>
              </w:rPr>
            </w:pPr>
            <w:r>
              <w:rPr>
                <w:sz w:val="16"/>
                <w:szCs w:val="16"/>
              </w:rPr>
              <w:t>Rigid (Chaudhari, 2020); with some flexibility (slidetodoc.com, 2020); “No manipulations in terms of variables and hypotheses”(Walia &amp; Chetty,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6D20339" w14:textId="77777777" w:rsidR="002530E2" w:rsidRDefault="002530E2">
            <w:pPr>
              <w:spacing w:after="0" w:line="276" w:lineRule="auto"/>
              <w:rPr>
                <w:sz w:val="16"/>
                <w:szCs w:val="16"/>
              </w:rPr>
            </w:pPr>
            <w:r>
              <w:rPr>
                <w:sz w:val="16"/>
                <w:szCs w:val="16"/>
              </w:rPr>
              <w:t>Little flexible (slidetodoc.com, 2020); “Can manipulate independent and dependent variables to find the effect” (Walia &amp; Chetty, 2020)</w:t>
            </w:r>
          </w:p>
        </w:tc>
      </w:tr>
      <w:tr w:rsidR="002530E2" w14:paraId="7FEA664A" w14:textId="77777777">
        <w:trPr>
          <w:trHeight w:val="400"/>
        </w:trPr>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9E7545" w14:textId="77777777" w:rsidR="002530E2" w:rsidRDefault="002530E2">
            <w:pPr>
              <w:spacing w:after="0" w:line="276" w:lineRule="auto"/>
              <w:rPr>
                <w:sz w:val="16"/>
                <w:szCs w:val="16"/>
              </w:rPr>
            </w:pPr>
            <w:r>
              <w:rPr>
                <w:sz w:val="16"/>
                <w:szCs w:val="16"/>
              </w:rPr>
              <w:t xml:space="preserve">“Amount of uncertainty characterising decision situation”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A05998E" w14:textId="77777777" w:rsidR="002530E2" w:rsidRDefault="002530E2">
            <w:pPr>
              <w:spacing w:after="0" w:line="276" w:lineRule="auto"/>
              <w:rPr>
                <w:sz w:val="16"/>
                <w:szCs w:val="16"/>
              </w:rPr>
            </w:pPr>
            <w:r>
              <w:rPr>
                <w:sz w:val="16"/>
                <w:szCs w:val="16"/>
              </w:rPr>
              <w:t xml:space="preserve">Highly ambiguous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E0C3FC" w14:textId="77777777" w:rsidR="002530E2" w:rsidRDefault="002530E2">
            <w:pPr>
              <w:spacing w:after="0" w:line="276" w:lineRule="auto"/>
              <w:rPr>
                <w:sz w:val="16"/>
                <w:szCs w:val="16"/>
              </w:rPr>
            </w:pPr>
            <w:r>
              <w:rPr>
                <w:sz w:val="16"/>
                <w:szCs w:val="16"/>
              </w:rPr>
              <w:t xml:space="preserve">Partially defined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CB5465" w14:textId="77777777" w:rsidR="002530E2" w:rsidRDefault="002530E2">
            <w:pPr>
              <w:spacing w:after="0" w:line="276" w:lineRule="auto"/>
              <w:rPr>
                <w:sz w:val="16"/>
                <w:szCs w:val="16"/>
              </w:rPr>
            </w:pPr>
            <w:r>
              <w:rPr>
                <w:sz w:val="16"/>
                <w:szCs w:val="16"/>
              </w:rPr>
              <w:t>Clearly defined</w:t>
            </w:r>
          </w:p>
          <w:p w14:paraId="137162DD" w14:textId="77777777" w:rsidR="002530E2" w:rsidRDefault="002530E2">
            <w:pPr>
              <w:spacing w:after="0" w:line="276" w:lineRule="auto"/>
              <w:rPr>
                <w:sz w:val="16"/>
                <w:szCs w:val="16"/>
              </w:rPr>
            </w:pPr>
            <w:r>
              <w:rPr>
                <w:sz w:val="16"/>
                <w:szCs w:val="16"/>
              </w:rPr>
              <w:t xml:space="preserve">(research-methodology.net, 2020) </w:t>
            </w:r>
          </w:p>
        </w:tc>
      </w:tr>
      <w:tr w:rsidR="002530E2" w14:paraId="4B4973CE" w14:textId="77777777">
        <w:trPr>
          <w:trHeight w:val="400"/>
        </w:trPr>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E631E74" w14:textId="77777777" w:rsidR="002530E2" w:rsidRDefault="002530E2">
            <w:pPr>
              <w:spacing w:after="0" w:line="276" w:lineRule="auto"/>
              <w:rPr>
                <w:sz w:val="16"/>
                <w:szCs w:val="16"/>
              </w:rPr>
            </w:pPr>
            <w:r>
              <w:rPr>
                <w:sz w:val="16"/>
                <w:szCs w:val="16"/>
              </w:rPr>
              <w:t>Research approach in research design to address the problem</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B942A39" w14:textId="77777777" w:rsidR="002530E2" w:rsidRDefault="002530E2">
            <w:pPr>
              <w:spacing w:after="0" w:line="276" w:lineRule="auto"/>
              <w:rPr>
                <w:sz w:val="16"/>
                <w:szCs w:val="16"/>
              </w:rPr>
            </w:pPr>
            <w:r>
              <w:rPr>
                <w:sz w:val="16"/>
                <w:szCs w:val="16"/>
              </w:rPr>
              <w:t>“Highly unstructured” (Chaudhari,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E249DA2" w14:textId="77777777" w:rsidR="002530E2" w:rsidRDefault="002530E2">
            <w:pPr>
              <w:spacing w:after="0" w:line="276" w:lineRule="auto"/>
              <w:rPr>
                <w:sz w:val="16"/>
                <w:szCs w:val="16"/>
              </w:rPr>
            </w:pPr>
            <w:r>
              <w:rPr>
                <w:sz w:val="16"/>
                <w:szCs w:val="16"/>
              </w:rPr>
              <w:t>“Structured” (Walia &amp; Chetty,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DC009EB" w14:textId="77777777" w:rsidR="002530E2" w:rsidRDefault="002530E2">
            <w:pPr>
              <w:spacing w:after="0" w:line="276" w:lineRule="auto"/>
              <w:rPr>
                <w:sz w:val="16"/>
                <w:szCs w:val="16"/>
              </w:rPr>
            </w:pPr>
            <w:r>
              <w:rPr>
                <w:sz w:val="16"/>
                <w:szCs w:val="16"/>
              </w:rPr>
              <w:t>“Highly structured” (Walia &amp; Chetty, 2020)</w:t>
            </w:r>
          </w:p>
        </w:tc>
      </w:tr>
      <w:tr w:rsidR="002530E2" w14:paraId="7D4F57C7" w14:textId="77777777">
        <w:trPr>
          <w:trHeight w:val="400"/>
        </w:trPr>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BEC945B" w14:textId="77777777" w:rsidR="002530E2" w:rsidRDefault="002530E2">
            <w:pPr>
              <w:spacing w:after="0" w:line="276" w:lineRule="auto"/>
              <w:rPr>
                <w:sz w:val="16"/>
                <w:szCs w:val="16"/>
              </w:rPr>
            </w:pPr>
            <w:r>
              <w:rPr>
                <w:sz w:val="16"/>
                <w:szCs w:val="16"/>
              </w:rPr>
              <w:t xml:space="preserve">Limitations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E043DD4" w14:textId="77777777" w:rsidR="002530E2" w:rsidRDefault="002530E2">
            <w:pPr>
              <w:spacing w:after="0" w:line="276" w:lineRule="auto"/>
              <w:rPr>
                <w:sz w:val="16"/>
                <w:szCs w:val="16"/>
              </w:rPr>
            </w:pPr>
            <w:r>
              <w:rPr>
                <w:sz w:val="16"/>
                <w:szCs w:val="16"/>
              </w:rPr>
              <w:t xml:space="preserve">“Does not aim to provide the final and conclusive answers to the research questions, but merely explores the research </w:t>
            </w:r>
            <w:r>
              <w:rPr>
                <w:sz w:val="16"/>
                <w:szCs w:val="16"/>
              </w:rPr>
              <w:lastRenderedPageBreak/>
              <w:t xml:space="preserve">topic”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C4AE88" w14:textId="77777777" w:rsidR="002530E2" w:rsidRDefault="002530E2">
            <w:pPr>
              <w:spacing w:after="0" w:line="276" w:lineRule="auto"/>
              <w:rPr>
                <w:sz w:val="16"/>
                <w:szCs w:val="16"/>
              </w:rPr>
            </w:pPr>
            <w:r>
              <w:rPr>
                <w:sz w:val="16"/>
                <w:szCs w:val="16"/>
              </w:rPr>
              <w:lastRenderedPageBreak/>
              <w:t xml:space="preserve">“Does not aim to provide the final and conclusive answers to the research questions” (research-methodology.net, </w:t>
            </w:r>
            <w:r>
              <w:rPr>
                <w:sz w:val="16"/>
                <w:szCs w:val="16"/>
              </w:rPr>
              <w:lastRenderedPageBreak/>
              <w:t xml:space="preserve">2020); instead, it provides a better understanding of the research problem itself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B6859F1" w14:textId="77777777" w:rsidR="002530E2" w:rsidRDefault="002530E2">
            <w:pPr>
              <w:spacing w:after="0" w:line="276" w:lineRule="auto"/>
              <w:rPr>
                <w:sz w:val="16"/>
                <w:szCs w:val="16"/>
              </w:rPr>
            </w:pPr>
            <w:r>
              <w:rPr>
                <w:sz w:val="16"/>
                <w:szCs w:val="16"/>
              </w:rPr>
              <w:lastRenderedPageBreak/>
              <w:t xml:space="preserve">Only answers “research questions which focuses on the relationship between two or </w:t>
            </w:r>
            <w:r>
              <w:rPr>
                <w:sz w:val="16"/>
                <w:szCs w:val="16"/>
              </w:rPr>
              <w:lastRenderedPageBreak/>
              <w:t>more factors” (Walia &amp; Chetty, 2020)</w:t>
            </w:r>
          </w:p>
        </w:tc>
      </w:tr>
    </w:tbl>
    <w:p w14:paraId="67E75657" w14:textId="77777777" w:rsidR="002530E2" w:rsidRDefault="002530E2">
      <w:pPr>
        <w:pStyle w:val="Heading4"/>
      </w:pPr>
      <w:bookmarkStart w:id="87" w:name="_vviw9ov28z3i" w:colFirst="0" w:colLast="0"/>
      <w:bookmarkEnd w:id="87"/>
    </w:p>
    <w:p w14:paraId="30E83AEC" w14:textId="77777777" w:rsidR="002530E2" w:rsidRDefault="002530E2">
      <w:pPr>
        <w:pStyle w:val="Heading4"/>
        <w:rPr>
          <w:color w:val="000000"/>
        </w:rPr>
      </w:pPr>
      <w:bookmarkStart w:id="88" w:name="_jwduih1kg6ih" w:colFirst="0" w:colLast="0"/>
      <w:bookmarkEnd w:id="88"/>
      <w:r>
        <w:t>Table [Appendix (CHP:3) 001] 4: Research classifications for this study according to scopes of the research, adapted from DiscoverPhDs (2020)</w:t>
      </w:r>
    </w:p>
    <w:p w14:paraId="5829381D" w14:textId="77777777" w:rsidR="002530E2" w:rsidRDefault="002530E2">
      <w:pPr>
        <w:pStyle w:val="Heading1"/>
      </w:pPr>
      <w:bookmarkStart w:id="89" w:name="_8ky81vp9zd1a" w:colFirst="0" w:colLast="0"/>
      <w:bookmarkEnd w:id="89"/>
      <w:r>
        <w:br w:type="page"/>
      </w:r>
    </w:p>
    <w:p w14:paraId="405A9C35" w14:textId="77777777" w:rsidR="002530E2" w:rsidRDefault="002530E2">
      <w:pPr>
        <w:pStyle w:val="Heading1"/>
      </w:pPr>
      <w:bookmarkStart w:id="90" w:name="_1dudj4wtal5m" w:colFirst="0" w:colLast="0"/>
      <w:bookmarkEnd w:id="90"/>
      <w:r>
        <w:lastRenderedPageBreak/>
        <w:t>RESEARCH CHARACTERISTICS</w:t>
      </w:r>
    </w:p>
    <w:p w14:paraId="6F2777C4" w14:textId="77777777" w:rsidR="002530E2" w:rsidRDefault="002530E2">
      <w:r>
        <w:t>Saunders, Lewis, and Thornhill (2018) suggest the following list of three research characteristics:</w:t>
      </w:r>
    </w:p>
    <w:p w14:paraId="582A843A" w14:textId="77777777" w:rsidR="002530E2" w:rsidRDefault="002530E2" w:rsidP="002530E2">
      <w:pPr>
        <w:numPr>
          <w:ilvl w:val="0"/>
          <w:numId w:val="46"/>
        </w:numPr>
        <w:spacing w:after="0" w:line="360" w:lineRule="auto"/>
        <w:jc w:val="both"/>
      </w:pPr>
      <w:r>
        <w:t>Clarity on purpose: the purpose of the research is stated clearly, to find out things;</w:t>
      </w:r>
    </w:p>
    <w:p w14:paraId="721F7FCE" w14:textId="77777777" w:rsidR="002530E2" w:rsidRDefault="002530E2" w:rsidP="002530E2">
      <w:pPr>
        <w:numPr>
          <w:ilvl w:val="0"/>
          <w:numId w:val="46"/>
        </w:numPr>
        <w:spacing w:after="0" w:line="360" w:lineRule="auto"/>
        <w:jc w:val="both"/>
      </w:pPr>
      <w:r>
        <w:t>Systematic data collection: data collection is done in a systematic manner;</w:t>
      </w:r>
    </w:p>
    <w:p w14:paraId="3D7700C4" w14:textId="77777777" w:rsidR="002530E2" w:rsidRDefault="002530E2" w:rsidP="002530E2">
      <w:pPr>
        <w:numPr>
          <w:ilvl w:val="0"/>
          <w:numId w:val="46"/>
        </w:numPr>
        <w:spacing w:after="200" w:line="360" w:lineRule="auto"/>
        <w:jc w:val="both"/>
      </w:pPr>
      <w:r>
        <w:t>Systematic data analysis: The data interpretation is done in a systematic manner.</w:t>
      </w:r>
    </w:p>
    <w:p w14:paraId="19652DA8" w14:textId="77777777" w:rsidR="002530E2" w:rsidRDefault="002530E2">
      <w:r>
        <w:t xml:space="preserve">Erni (2013) and iEduNote (2020) suggest the following “characteristics of research,” as listed below. </w:t>
      </w:r>
    </w:p>
    <w:p w14:paraId="59954053" w14:textId="77777777" w:rsidR="002530E2" w:rsidRDefault="002530E2">
      <w:r>
        <w:t>Characteristics of research (from 1—6) suggested by Erni (2013):</w:t>
      </w:r>
    </w:p>
    <w:p w14:paraId="4DD19621" w14:textId="77777777" w:rsidR="002530E2" w:rsidRDefault="002530E2" w:rsidP="002530E2">
      <w:pPr>
        <w:numPr>
          <w:ilvl w:val="0"/>
          <w:numId w:val="48"/>
        </w:numPr>
        <w:spacing w:after="0" w:line="360" w:lineRule="auto"/>
        <w:jc w:val="both"/>
      </w:pPr>
      <w:r>
        <w:t>Empirical: Researchers conduct research based on direct observation and experience;</w:t>
      </w:r>
    </w:p>
    <w:p w14:paraId="7C7951FE" w14:textId="77777777" w:rsidR="002530E2" w:rsidRDefault="002530E2" w:rsidP="002530E2">
      <w:pPr>
        <w:numPr>
          <w:ilvl w:val="0"/>
          <w:numId w:val="48"/>
        </w:numPr>
        <w:spacing w:after="0" w:line="360" w:lineRule="auto"/>
        <w:jc w:val="both"/>
      </w:pPr>
      <w:r>
        <w:t>Logical: A scientific investigation is conducted in an orderly and systematic manner;</w:t>
      </w:r>
    </w:p>
    <w:p w14:paraId="554B6D97" w14:textId="77777777" w:rsidR="002530E2" w:rsidRDefault="002530E2" w:rsidP="002530E2">
      <w:pPr>
        <w:numPr>
          <w:ilvl w:val="0"/>
          <w:numId w:val="48"/>
        </w:numPr>
        <w:spacing w:after="0" w:line="360" w:lineRule="auto"/>
        <w:jc w:val="both"/>
      </w:pPr>
      <w:r>
        <w:t>Cyclical: The goal of research is to solve a problem, and each research project begins with a problem and concludes with the suggestion of a new problem;</w:t>
      </w:r>
    </w:p>
    <w:p w14:paraId="49B81E7C" w14:textId="77777777" w:rsidR="002530E2" w:rsidRDefault="002530E2" w:rsidP="002530E2">
      <w:pPr>
        <w:numPr>
          <w:ilvl w:val="0"/>
          <w:numId w:val="48"/>
        </w:numPr>
        <w:spacing w:after="0" w:line="360" w:lineRule="auto"/>
        <w:jc w:val="both"/>
      </w:pPr>
      <w:r>
        <w:t>Analytical: The study employs tried-and-true analytical techniques, methods, and procedures;</w:t>
      </w:r>
    </w:p>
    <w:p w14:paraId="377652B7" w14:textId="77777777" w:rsidR="002530E2" w:rsidRDefault="002530E2" w:rsidP="002530E2">
      <w:pPr>
        <w:numPr>
          <w:ilvl w:val="0"/>
          <w:numId w:val="48"/>
        </w:numPr>
        <w:spacing w:after="0" w:line="360" w:lineRule="auto"/>
        <w:jc w:val="both"/>
      </w:pPr>
      <w:r>
        <w:t xml:space="preserve">Replicable: When research designs are replicable, the results are validated; </w:t>
      </w:r>
    </w:p>
    <w:p w14:paraId="514FFDE3" w14:textId="77777777" w:rsidR="002530E2" w:rsidRDefault="002530E2" w:rsidP="002530E2">
      <w:pPr>
        <w:numPr>
          <w:ilvl w:val="0"/>
          <w:numId w:val="48"/>
        </w:numPr>
        <w:spacing w:after="200" w:line="360" w:lineRule="auto"/>
        <w:jc w:val="both"/>
      </w:pPr>
      <w:r>
        <w:t>Critical: Researchers make careful and precise judgements in their research;</w:t>
      </w:r>
    </w:p>
    <w:p w14:paraId="04CBCB47" w14:textId="77777777" w:rsidR="002530E2" w:rsidRDefault="002530E2">
      <w:r>
        <w:t>In addition to the above list of research characteristics (from 7—15) by iEduNote (2020), as listed below:</w:t>
      </w:r>
    </w:p>
    <w:p w14:paraId="19422628" w14:textId="77777777" w:rsidR="002530E2" w:rsidRDefault="002530E2" w:rsidP="002530E2">
      <w:pPr>
        <w:numPr>
          <w:ilvl w:val="0"/>
          <w:numId w:val="48"/>
        </w:numPr>
        <w:spacing w:after="0" w:line="360" w:lineRule="auto"/>
        <w:jc w:val="both"/>
      </w:pPr>
      <w:r>
        <w:t>Current priority: The research should concentrate on problems that are urgent and of high priority;</w:t>
      </w:r>
    </w:p>
    <w:p w14:paraId="19BE8B53" w14:textId="77777777" w:rsidR="002530E2" w:rsidRDefault="002530E2" w:rsidP="002530E2">
      <w:pPr>
        <w:numPr>
          <w:ilvl w:val="0"/>
          <w:numId w:val="48"/>
        </w:numPr>
        <w:spacing w:after="0" w:line="360" w:lineRule="auto"/>
        <w:jc w:val="both"/>
      </w:pPr>
      <w:r>
        <w:t>Reductive: To prevent others from repeating and replicating the same research, it is important to make the findings of one researcher available to other researchers;</w:t>
      </w:r>
    </w:p>
    <w:p w14:paraId="3DF3AADF" w14:textId="77777777" w:rsidR="002530E2" w:rsidRDefault="002530E2" w:rsidP="002530E2">
      <w:pPr>
        <w:numPr>
          <w:ilvl w:val="0"/>
          <w:numId w:val="48"/>
        </w:numPr>
        <w:spacing w:after="0" w:line="360" w:lineRule="auto"/>
        <w:jc w:val="both"/>
      </w:pPr>
      <w:r>
        <w:t>Generative: One of the valuable aspects of research is that it leads to many other new questions once the initial question is answered;</w:t>
      </w:r>
    </w:p>
    <w:p w14:paraId="47EEFDEF" w14:textId="77777777" w:rsidR="002530E2" w:rsidRDefault="002530E2" w:rsidP="002530E2">
      <w:pPr>
        <w:numPr>
          <w:ilvl w:val="0"/>
          <w:numId w:val="48"/>
        </w:numPr>
        <w:spacing w:after="0" w:line="360" w:lineRule="auto"/>
        <w:jc w:val="both"/>
      </w:pPr>
      <w:r>
        <w:t>Action-oriented: Ideally, research should aim to find a solution that results in its implementation;</w:t>
      </w:r>
    </w:p>
    <w:p w14:paraId="36909A42" w14:textId="77777777" w:rsidR="002530E2" w:rsidRDefault="002530E2" w:rsidP="002530E2">
      <w:pPr>
        <w:numPr>
          <w:ilvl w:val="0"/>
          <w:numId w:val="48"/>
        </w:numPr>
        <w:spacing w:after="0" w:line="360" w:lineRule="auto"/>
        <w:jc w:val="both"/>
      </w:pPr>
      <w:r>
        <w:t>Multidisciplinary approach: Research requires more than one discipline, i.e. “an integrated multidisciplinary approach;”</w:t>
      </w:r>
    </w:p>
    <w:p w14:paraId="647AA70C" w14:textId="77777777" w:rsidR="002530E2" w:rsidRDefault="002530E2" w:rsidP="002530E2">
      <w:pPr>
        <w:numPr>
          <w:ilvl w:val="0"/>
          <w:numId w:val="48"/>
        </w:numPr>
        <w:spacing w:after="0" w:line="360" w:lineRule="auto"/>
        <w:jc w:val="both"/>
      </w:pPr>
      <w:r>
        <w:t>Participatory: At all stages of the study, research should involve all the concerned parties (“from policymakers down to community members”);</w:t>
      </w:r>
    </w:p>
    <w:p w14:paraId="506765BA" w14:textId="77777777" w:rsidR="002530E2" w:rsidRDefault="002530E2" w:rsidP="002530E2">
      <w:pPr>
        <w:numPr>
          <w:ilvl w:val="0"/>
          <w:numId w:val="48"/>
        </w:numPr>
        <w:spacing w:after="0" w:line="360" w:lineRule="auto"/>
        <w:jc w:val="both"/>
      </w:pPr>
      <w:r>
        <w:t>Simplicity &amp; S.M.A.R.T.: Relatively simple in an overall, timely, and time-effective manner, utilising a comparatively advantageous, simple research design;</w:t>
      </w:r>
    </w:p>
    <w:p w14:paraId="29B67FC4" w14:textId="77777777" w:rsidR="002530E2" w:rsidRDefault="002530E2" w:rsidP="002530E2">
      <w:pPr>
        <w:numPr>
          <w:ilvl w:val="0"/>
          <w:numId w:val="48"/>
        </w:numPr>
        <w:spacing w:after="0" w:line="360" w:lineRule="auto"/>
        <w:jc w:val="both"/>
      </w:pPr>
      <w:r>
        <w:t>Cost-effective: The research is producing good results in the most cost-effective way; and</w:t>
      </w:r>
    </w:p>
    <w:p w14:paraId="59504AF5" w14:textId="77777777" w:rsidR="002530E2" w:rsidRDefault="002530E2" w:rsidP="002530E2">
      <w:pPr>
        <w:numPr>
          <w:ilvl w:val="0"/>
          <w:numId w:val="48"/>
        </w:numPr>
        <w:spacing w:after="200" w:line="360" w:lineRule="auto"/>
        <w:jc w:val="both"/>
      </w:pPr>
      <w:r>
        <w:lastRenderedPageBreak/>
        <w:t>Presentable: It is important that research results be presented in an easy-to-understandable format and relevant to academic and commercial researchers, decision-makers, business managers, and members of the community.</w:t>
      </w:r>
    </w:p>
    <w:p w14:paraId="78588127" w14:textId="77777777" w:rsidR="002530E2" w:rsidRDefault="002530E2">
      <w:r>
        <w:t>Erni (2013) suggests the following ‘qualities of a researcher’ as listed below:</w:t>
      </w:r>
    </w:p>
    <w:p w14:paraId="765FA170" w14:textId="77777777" w:rsidR="002530E2" w:rsidRDefault="002530E2" w:rsidP="002530E2">
      <w:pPr>
        <w:numPr>
          <w:ilvl w:val="0"/>
          <w:numId w:val="59"/>
        </w:numPr>
        <w:spacing w:after="0" w:line="360" w:lineRule="auto"/>
        <w:jc w:val="both"/>
      </w:pPr>
      <w:r>
        <w:t>Inquisitive mindset (“intellectually curious”)</w:t>
      </w:r>
    </w:p>
    <w:p w14:paraId="4DC131A9" w14:textId="77777777" w:rsidR="002530E2" w:rsidRDefault="002530E2" w:rsidP="002530E2">
      <w:pPr>
        <w:numPr>
          <w:ilvl w:val="0"/>
          <w:numId w:val="59"/>
        </w:numPr>
        <w:spacing w:after="0" w:line="360" w:lineRule="auto"/>
        <w:jc w:val="both"/>
      </w:pPr>
      <w:r>
        <w:t>Judicious (“prudence”)</w:t>
      </w:r>
    </w:p>
    <w:p w14:paraId="079AF07F" w14:textId="77777777" w:rsidR="002530E2" w:rsidRDefault="002530E2" w:rsidP="002530E2">
      <w:pPr>
        <w:numPr>
          <w:ilvl w:val="0"/>
          <w:numId w:val="59"/>
        </w:numPr>
        <w:spacing w:after="0" w:line="360" w:lineRule="auto"/>
        <w:jc w:val="both"/>
      </w:pPr>
      <w:r>
        <w:t xml:space="preserve">Constructive critic (“healthy criticism”); and </w:t>
      </w:r>
    </w:p>
    <w:p w14:paraId="5E08F248" w14:textId="77777777" w:rsidR="002530E2" w:rsidRDefault="002530E2" w:rsidP="002530E2">
      <w:pPr>
        <w:numPr>
          <w:ilvl w:val="0"/>
          <w:numId w:val="59"/>
        </w:numPr>
        <w:spacing w:after="200" w:line="360" w:lineRule="auto"/>
        <w:jc w:val="both"/>
      </w:pPr>
      <w:r>
        <w:t>Thorough (“intellectual honesty”)</w:t>
      </w:r>
    </w:p>
    <w:p w14:paraId="18438C33" w14:textId="77777777" w:rsidR="002530E2" w:rsidRDefault="002530E2">
      <w:r>
        <w:t xml:space="preserve">This study meets all the fifteen characteristics of research that Erni (2013) and iEduNote (2020) suggest. To summarise, these fifteen characteristics of research are: Empirical, Logical, Cyclical, Analytical, Replicable, Critical, Current priority, Reductive, Generative, Action-oriented, Multidisciplinary approach, Participatory, Simplicity and S.M.A.R.T., and Cost effective. </w:t>
      </w:r>
    </w:p>
    <w:p w14:paraId="72664469" w14:textId="77777777" w:rsidR="002530E2" w:rsidRDefault="002530E2">
      <w:r>
        <w:t>The qualities of a researcher with an inquisitive mindset, open to constructive criticism, and posing intellectual honesty as suggested by Erni (2013), are all present in the author of this study.</w:t>
      </w:r>
    </w:p>
    <w:p w14:paraId="585B5FB6" w14:textId="77777777" w:rsidR="002530E2" w:rsidRDefault="002530E2">
      <w:pPr>
        <w:pStyle w:val="Heading1"/>
      </w:pPr>
      <w:bookmarkStart w:id="91" w:name="_weuyywiakgdz" w:colFirst="0" w:colLast="0"/>
      <w:bookmarkEnd w:id="91"/>
      <w:r>
        <w:t>RESEARCH PROCESS</w:t>
      </w:r>
    </w:p>
    <w:p w14:paraId="4473B4CA" w14:textId="77777777" w:rsidR="002530E2" w:rsidRDefault="002530E2">
      <w:r>
        <w:t xml:space="preserve">The Oxford Learners’ Dictionaries (2022) define the word ‘process’ as “a series of things that are done in order to achieve a particular result in the consultation/planning process.” </w:t>
      </w:r>
    </w:p>
    <w:p w14:paraId="25EB83E6" w14:textId="77777777" w:rsidR="002530E2" w:rsidRDefault="002530E2">
      <w:r>
        <w:t xml:space="preserve">According to Singh (2021), in conducting research effectively, a series of steps or actions are required to follow; these steps constitute what is referred to as “the research process.” </w:t>
      </w:r>
    </w:p>
    <w:p w14:paraId="572FD237" w14:textId="77777777" w:rsidR="002530E2" w:rsidRDefault="002530E2">
      <w:r>
        <w:t>These various steps of the research process suggested by Singh (2021) in the order of its systematic approach and execution generally are:</w:t>
      </w:r>
    </w:p>
    <w:p w14:paraId="60A062A4" w14:textId="77777777" w:rsidR="002530E2" w:rsidRDefault="002530E2">
      <w:pPr>
        <w:spacing w:after="0"/>
      </w:pPr>
      <w:r>
        <w:t>Step 1: Formulating the research problem;</w:t>
      </w:r>
    </w:p>
    <w:p w14:paraId="03F5258B" w14:textId="77777777" w:rsidR="002530E2" w:rsidRDefault="002530E2">
      <w:pPr>
        <w:spacing w:after="0"/>
      </w:pPr>
      <w:r>
        <w:t>Step 2: Extensive literature survey;</w:t>
      </w:r>
    </w:p>
    <w:p w14:paraId="6EADF18D" w14:textId="77777777" w:rsidR="002530E2" w:rsidRDefault="002530E2">
      <w:pPr>
        <w:spacing w:after="0"/>
      </w:pPr>
      <w:r>
        <w:t xml:space="preserve">Step 3: Developing hypothesis; </w:t>
      </w:r>
    </w:p>
    <w:p w14:paraId="2218A6EF" w14:textId="77777777" w:rsidR="002530E2" w:rsidRDefault="002530E2">
      <w:pPr>
        <w:spacing w:after="0"/>
      </w:pPr>
      <w:r>
        <w:t xml:space="preserve">Step 4: Preparing the research design; </w:t>
      </w:r>
    </w:p>
    <w:p w14:paraId="26C8EA47" w14:textId="77777777" w:rsidR="002530E2" w:rsidRDefault="002530E2">
      <w:pPr>
        <w:spacing w:after="0"/>
      </w:pPr>
      <w:r>
        <w:t xml:space="preserve">Step 5: Determining sample design; </w:t>
      </w:r>
    </w:p>
    <w:p w14:paraId="04D07C44" w14:textId="77777777" w:rsidR="002530E2" w:rsidRDefault="002530E2">
      <w:pPr>
        <w:spacing w:after="0"/>
      </w:pPr>
      <w:r>
        <w:t xml:space="preserve">Step 6: Collecting data; </w:t>
      </w:r>
    </w:p>
    <w:p w14:paraId="4D3BE158" w14:textId="77777777" w:rsidR="002530E2" w:rsidRDefault="002530E2">
      <w:pPr>
        <w:spacing w:after="0"/>
      </w:pPr>
      <w:r>
        <w:t>Step 7: Execution of the project;</w:t>
      </w:r>
    </w:p>
    <w:p w14:paraId="0D40BFFE" w14:textId="77777777" w:rsidR="002530E2" w:rsidRDefault="002530E2">
      <w:pPr>
        <w:spacing w:after="0"/>
      </w:pPr>
      <w:r>
        <w:t xml:space="preserve">Step 8: Analysis of data; </w:t>
      </w:r>
    </w:p>
    <w:p w14:paraId="081230A5" w14:textId="77777777" w:rsidR="002530E2" w:rsidRDefault="002530E2">
      <w:pPr>
        <w:spacing w:after="0"/>
      </w:pPr>
      <w:r>
        <w:t>Step 9: Hypothesis testing;</w:t>
      </w:r>
    </w:p>
    <w:p w14:paraId="3CE0D45A" w14:textId="77777777" w:rsidR="002530E2" w:rsidRDefault="002530E2">
      <w:pPr>
        <w:spacing w:after="0"/>
      </w:pPr>
      <w:r>
        <w:t xml:space="preserve">Step 10: Generalisation and interpretation; and </w:t>
      </w:r>
    </w:p>
    <w:p w14:paraId="183F5332" w14:textId="77777777" w:rsidR="002530E2" w:rsidRDefault="002530E2">
      <w:pPr>
        <w:spacing w:after="0"/>
      </w:pPr>
      <w:r>
        <w:t>Step 11: Preparation of the report or presentation of the results.</w:t>
      </w:r>
    </w:p>
    <w:p w14:paraId="5067581D" w14:textId="77777777" w:rsidR="002530E2" w:rsidRDefault="002530E2">
      <w:pPr>
        <w:pStyle w:val="Heading1"/>
      </w:pPr>
      <w:bookmarkStart w:id="92" w:name="_484r7xjuiuhv" w:colFirst="0" w:colLast="0"/>
      <w:bookmarkEnd w:id="92"/>
      <w:r>
        <w:lastRenderedPageBreak/>
        <w:t>RESEARCH TITLE</w:t>
      </w:r>
    </w:p>
    <w:p w14:paraId="27AC3E28" w14:textId="77777777" w:rsidR="002530E2" w:rsidRDefault="002530E2">
      <w:r>
        <w:t xml:space="preserve">According to Labaree (2009), the main ideas or concepts of a study should be summarised in a title. The title of a research paper should include the fewest number of words necessary to adequately convey the purpose of the study and/or its content. </w:t>
      </w:r>
    </w:p>
    <w:p w14:paraId="15D95468" w14:textId="77777777" w:rsidR="002530E2" w:rsidRDefault="002530E2">
      <w:r>
        <w:t xml:space="preserve">According to the University of Birmingham (2020), it is essential for the research to have a clear working title from the research proposal stages. This should be a concise, meaningful, and descriptive phrase that describes the focus of the research. The title keywords should address explicitly the central problem that the researcher intends to address. </w:t>
      </w:r>
    </w:p>
    <w:p w14:paraId="4D87E562" w14:textId="77777777" w:rsidR="002530E2" w:rsidRDefault="002530E2">
      <w:r>
        <w:t xml:space="preserve">Bachelor Print (2020) suggests that in an academic paper, a thesis title should outline the argument that is being proposed. It should also be a sign that tells the reader what the paper is about. From the thesis title, the readers should be able to gather a sense of what the paper is about. The thesis title is like the packaging of the thesis. For this reason, you need to put time and effort into creating a great title. </w:t>
      </w:r>
    </w:p>
    <w:p w14:paraId="7177C501" w14:textId="77777777" w:rsidR="002530E2" w:rsidRDefault="002530E2">
      <w:r>
        <w:t>Bachelor Print (2020) recommends the following checklist of DOs and DON’Ts in relation to the thesis title.</w:t>
      </w:r>
    </w:p>
    <w:p w14:paraId="1ACDA07E" w14:textId="77777777" w:rsidR="002530E2" w:rsidRDefault="002530E2" w:rsidP="002530E2">
      <w:pPr>
        <w:numPr>
          <w:ilvl w:val="0"/>
          <w:numId w:val="42"/>
        </w:numPr>
        <w:spacing w:after="200" w:line="360" w:lineRule="auto"/>
        <w:jc w:val="both"/>
      </w:pPr>
      <w:r>
        <w:t>An exceptional title for a thesis needs more than four words, but is brief, relevant, precise, and concise enough to tell a reader what the thesis topic is at first sight.</w:t>
      </w:r>
    </w:p>
    <w:p w14:paraId="5D92AF41" w14:textId="77777777" w:rsidR="002530E2" w:rsidRDefault="002530E2" w:rsidP="002530E2">
      <w:pPr>
        <w:numPr>
          <w:ilvl w:val="0"/>
          <w:numId w:val="42"/>
        </w:numPr>
        <w:spacing w:after="200" w:line="360" w:lineRule="auto"/>
        <w:jc w:val="both"/>
      </w:pPr>
      <w:r>
        <w:t>An ideal length for a thesis title hasn't been established because it depends on many factors. For example, a thesis supervisor or a professor may ask for a title with a specific number of words between 15 and 25. Depending on the content and methods, different theses may have different title lengths. It is recommended that your thesis title consist of 10 to 15 words, but never go under the length of five words.</w:t>
      </w:r>
    </w:p>
    <w:p w14:paraId="5F5A3444" w14:textId="77777777" w:rsidR="002530E2" w:rsidRDefault="002530E2" w:rsidP="002530E2">
      <w:pPr>
        <w:numPr>
          <w:ilvl w:val="0"/>
          <w:numId w:val="42"/>
        </w:numPr>
        <w:spacing w:after="200" w:line="360" w:lineRule="auto"/>
        <w:jc w:val="both"/>
      </w:pPr>
      <w:r>
        <w:t>The title of a research paper should predict content, reflect tone, contain important keywords key terms that are relevant to the content, and be interesting.</w:t>
      </w:r>
    </w:p>
    <w:p w14:paraId="229404DF" w14:textId="77777777" w:rsidR="002530E2" w:rsidRDefault="002530E2" w:rsidP="002530E2">
      <w:pPr>
        <w:numPr>
          <w:ilvl w:val="0"/>
          <w:numId w:val="42"/>
        </w:numPr>
        <w:spacing w:after="200" w:line="360" w:lineRule="auto"/>
        <w:jc w:val="both"/>
      </w:pPr>
      <w:r>
        <w:t>It's important to have a working title at the beginning of the writing phase. Even until the end of all the research steps, the working title does not have to be the final title, and it will probably change as the researchers develop their thesis statement.</w:t>
      </w:r>
    </w:p>
    <w:p w14:paraId="238BB5A2" w14:textId="77777777" w:rsidR="002530E2" w:rsidRDefault="002530E2" w:rsidP="002530E2">
      <w:pPr>
        <w:numPr>
          <w:ilvl w:val="0"/>
          <w:numId w:val="42"/>
        </w:numPr>
        <w:spacing w:after="200" w:line="360" w:lineRule="auto"/>
        <w:jc w:val="both"/>
      </w:pPr>
      <w:r>
        <w:t xml:space="preserve">An academic thesis title can also be structured around a question. Titles in the form of questions may attract more attention as questions are usually catchy and they incite curiosity, which leads to the reader being intrigued by wanting to know more. When a question is used as the title of a thesis, it should reflect the tone of the paper as well as predict the content and </w:t>
      </w:r>
      <w:r>
        <w:lastRenderedPageBreak/>
        <w:t>also be linked to the thesis statement, so that the reader is not left in the dark after reading the title.</w:t>
      </w:r>
    </w:p>
    <w:p w14:paraId="41C3BA6E" w14:textId="77777777" w:rsidR="002530E2" w:rsidRDefault="002530E2">
      <w:r>
        <w:t>A few examples of good and not-so-good titles are listed below.</w:t>
      </w:r>
    </w:p>
    <w:p w14:paraId="0CD3D8BE" w14:textId="77777777" w:rsidR="002530E2" w:rsidRDefault="002530E2">
      <w:r>
        <w:t>A good example of a title listed below, suggested by Enago Academy (2017), is relevant and important keywords; content can be predicted; it's interesting and reflects the tone:</w:t>
      </w:r>
    </w:p>
    <w:p w14:paraId="362EAF24" w14:textId="77777777" w:rsidR="002530E2" w:rsidRDefault="002530E2" w:rsidP="002530E2">
      <w:pPr>
        <w:numPr>
          <w:ilvl w:val="0"/>
          <w:numId w:val="61"/>
        </w:numPr>
        <w:spacing w:after="200" w:line="360" w:lineRule="auto"/>
        <w:jc w:val="both"/>
      </w:pPr>
      <w:r>
        <w:t>“Nurses on the Move: A Quantitative Report on How Meditation Can Improve Nurse Performance”</w:t>
      </w:r>
    </w:p>
    <w:p w14:paraId="3801C1CF" w14:textId="77777777" w:rsidR="002530E2" w:rsidRDefault="002530E2">
      <w:r>
        <w:t xml:space="preserve">Not-so-good examples of titles suggested by Enago Academy (2017): </w:t>
      </w:r>
    </w:p>
    <w:p w14:paraId="3674F1D9" w14:textId="77777777" w:rsidR="002530E2" w:rsidRDefault="002530E2" w:rsidP="002530E2">
      <w:pPr>
        <w:numPr>
          <w:ilvl w:val="0"/>
          <w:numId w:val="53"/>
        </w:numPr>
        <w:spacing w:after="200" w:line="360" w:lineRule="auto"/>
        <w:jc w:val="both"/>
      </w:pPr>
      <w:r>
        <w:t>“Benefits of Meditation for the Nursing Profession: A Quantitative Investigation” — This title is not interesting and does not reflect the tone, although it has important keywords and content can be predicted.</w:t>
      </w:r>
    </w:p>
    <w:p w14:paraId="3F6EEEE5" w14:textId="77777777" w:rsidR="002530E2" w:rsidRDefault="002530E2" w:rsidP="002530E2">
      <w:pPr>
        <w:numPr>
          <w:ilvl w:val="0"/>
          <w:numId w:val="53"/>
        </w:numPr>
        <w:spacing w:after="200" w:line="360" w:lineRule="auto"/>
        <w:jc w:val="both"/>
      </w:pPr>
      <w:r>
        <w:t>“Why Mindful Nurses Make the Best Communicators” — This title is interesting because it reflects the tone, but since it doesn't have the important keywords, the content cannot be predicted.</w:t>
      </w:r>
    </w:p>
    <w:p w14:paraId="1DCF9199" w14:textId="77777777" w:rsidR="002530E2" w:rsidRDefault="002530E2" w:rsidP="002530E2">
      <w:pPr>
        <w:numPr>
          <w:ilvl w:val="0"/>
          <w:numId w:val="53"/>
        </w:numPr>
        <w:spacing w:after="200" w:line="360" w:lineRule="auto"/>
        <w:jc w:val="both"/>
      </w:pPr>
      <w:r>
        <w:t>“Meditation Gurus” — This title is interesting but does not reflect the tone or have the important keywords, so the content is unpredictable.</w:t>
      </w:r>
    </w:p>
    <w:p w14:paraId="3F115C38" w14:textId="77777777" w:rsidR="002530E2" w:rsidRDefault="002530E2">
      <w:r>
        <w:t xml:space="preserve"> </w:t>
      </w:r>
      <w:r>
        <w:br w:type="page"/>
      </w:r>
    </w:p>
    <w:p w14:paraId="180BAEAE" w14:textId="77777777" w:rsidR="002530E2" w:rsidRDefault="002530E2">
      <w:r>
        <w:lastRenderedPageBreak/>
        <w:t xml:space="preserve">Enago Academy (2017) recommends the following title building formula: </w:t>
      </w:r>
    </w:p>
    <w:p w14:paraId="133916FD" w14:textId="77777777" w:rsidR="002530E2" w:rsidRDefault="002530E2">
      <w:r>
        <w:t>[Result]: A [method] study of [topic] among [sample]</w:t>
      </w:r>
    </w:p>
    <w:p w14:paraId="1033B038" w14:textId="77777777" w:rsidR="002530E2" w:rsidRDefault="002530E2" w:rsidP="002530E2">
      <w:pPr>
        <w:numPr>
          <w:ilvl w:val="0"/>
          <w:numId w:val="62"/>
        </w:numPr>
        <w:spacing w:after="200" w:line="360" w:lineRule="auto"/>
        <w:jc w:val="both"/>
      </w:pPr>
      <w:r>
        <w:t>Example title: “Meditation makes nurses perform better: a qualitative study of mindfulness meditation among German nursing students”</w:t>
      </w:r>
    </w:p>
    <w:p w14:paraId="29FC12B0" w14:textId="77777777" w:rsidR="002530E2" w:rsidRDefault="002530E2">
      <w:r>
        <w:t>The initial working title of this study was:</w:t>
      </w:r>
    </w:p>
    <w:p w14:paraId="4665A235" w14:textId="77777777" w:rsidR="002530E2" w:rsidRDefault="002530E2">
      <w:r>
        <w:t>“The impact of controversial cross-culture branding blunders by multinational brands in host countries on Muslim consumers—A qualitative multiple case study examination”</w:t>
      </w:r>
    </w:p>
    <w:p w14:paraId="440CB4E7" w14:textId="77777777" w:rsidR="002530E2" w:rsidRDefault="002530E2" w:rsidP="002530E2">
      <w:pPr>
        <w:numPr>
          <w:ilvl w:val="0"/>
          <w:numId w:val="63"/>
        </w:numPr>
        <w:spacing w:after="200" w:line="360" w:lineRule="auto"/>
        <w:jc w:val="both"/>
      </w:pPr>
      <w:r>
        <w:t>The initial working title was constructed using relevant and important keywords.</w:t>
      </w:r>
    </w:p>
    <w:p w14:paraId="3684E01B" w14:textId="77777777" w:rsidR="002530E2" w:rsidRDefault="002530E2" w:rsidP="002530E2">
      <w:pPr>
        <w:numPr>
          <w:ilvl w:val="0"/>
          <w:numId w:val="63"/>
        </w:numPr>
        <w:spacing w:after="200" w:line="360" w:lineRule="auto"/>
        <w:jc w:val="both"/>
      </w:pPr>
      <w:r>
        <w:t>The title’s word count was 21 (with a character count of 167), which is above the four-keyword and below the 25-word recommendation by Bachelor Print (2020).</w:t>
      </w:r>
    </w:p>
    <w:p w14:paraId="22962BA6" w14:textId="77777777" w:rsidR="002530E2" w:rsidRDefault="002530E2" w:rsidP="002530E2">
      <w:pPr>
        <w:numPr>
          <w:ilvl w:val="0"/>
          <w:numId w:val="63"/>
        </w:numPr>
        <w:spacing w:after="200" w:line="360" w:lineRule="auto"/>
        <w:jc w:val="both"/>
      </w:pPr>
      <w:r>
        <w:t xml:space="preserve">The reader can guess the topic and content from the first glance. </w:t>
      </w:r>
    </w:p>
    <w:p w14:paraId="76154FDA" w14:textId="77777777" w:rsidR="002530E2" w:rsidRDefault="002530E2" w:rsidP="002530E2">
      <w:pPr>
        <w:numPr>
          <w:ilvl w:val="0"/>
          <w:numId w:val="63"/>
        </w:numPr>
        <w:spacing w:after="200" w:line="360" w:lineRule="auto"/>
        <w:jc w:val="both"/>
      </w:pPr>
      <w:r>
        <w:t>The title is made more interesting by using the term 'controversial,' which reflects that it is controversy-related and therefore sets the tone that something is a problem and/or is of a serious nature. This immediately intrigues the reader to look into it.</w:t>
      </w:r>
    </w:p>
    <w:p w14:paraId="2AA54227" w14:textId="77777777" w:rsidR="002530E2" w:rsidRDefault="002530E2" w:rsidP="002530E2">
      <w:pPr>
        <w:numPr>
          <w:ilvl w:val="0"/>
          <w:numId w:val="63"/>
        </w:numPr>
        <w:spacing w:after="200" w:line="360" w:lineRule="auto"/>
        <w:jc w:val="both"/>
      </w:pPr>
      <w:r>
        <w:t>The topic and content of the article are summarized by the fact that cross-cultural branding blunders have had a negative effect on Muslim consumers in host countries.</w:t>
      </w:r>
    </w:p>
    <w:p w14:paraId="20E791A2" w14:textId="77777777" w:rsidR="002530E2" w:rsidRDefault="002530E2" w:rsidP="002530E2">
      <w:pPr>
        <w:numPr>
          <w:ilvl w:val="0"/>
          <w:numId w:val="63"/>
        </w:numPr>
        <w:spacing w:after="200" w:line="360" w:lineRule="auto"/>
        <w:jc w:val="both"/>
      </w:pPr>
      <w:r>
        <w:t>The end of the title clearly indicates that this is a qualitative research design and a case study research strategy.</w:t>
      </w:r>
    </w:p>
    <w:p w14:paraId="6ECAC7EB" w14:textId="77777777" w:rsidR="002530E2" w:rsidRDefault="002530E2" w:rsidP="002530E2">
      <w:pPr>
        <w:numPr>
          <w:ilvl w:val="0"/>
          <w:numId w:val="63"/>
        </w:numPr>
        <w:spacing w:after="200" w:line="360" w:lineRule="auto"/>
        <w:jc w:val="both"/>
      </w:pPr>
      <w:r>
        <w:t>The samples are examples (cases) of cross-cultural branding blunders by multinational brands in host countries.</w:t>
      </w:r>
    </w:p>
    <w:p w14:paraId="74647AEE" w14:textId="77777777" w:rsidR="002530E2" w:rsidRDefault="002530E2" w:rsidP="002530E2">
      <w:pPr>
        <w:numPr>
          <w:ilvl w:val="0"/>
          <w:numId w:val="63"/>
        </w:numPr>
        <w:spacing w:after="200" w:line="360" w:lineRule="auto"/>
        <w:jc w:val="both"/>
      </w:pPr>
      <w:r>
        <w:t>The research method is the examination of multiple case studies or the use of case studies as an approach.</w:t>
      </w:r>
    </w:p>
    <w:p w14:paraId="4DCCE057" w14:textId="77777777" w:rsidR="002530E2" w:rsidRDefault="002530E2" w:rsidP="002530E2">
      <w:pPr>
        <w:numPr>
          <w:ilvl w:val="0"/>
          <w:numId w:val="63"/>
        </w:numPr>
        <w:spacing w:after="200" w:line="360" w:lineRule="auto"/>
        <w:jc w:val="both"/>
      </w:pPr>
      <w:r>
        <w:t>The basic keywords are cross-culture branding blunders (or controversial branding blunders), cross-culture gaffes, multinational brands, Muslim consumers, host countries, etc.</w:t>
      </w:r>
    </w:p>
    <w:p w14:paraId="47C74864" w14:textId="77777777" w:rsidR="002530E2" w:rsidRDefault="002530E2">
      <w:pPr>
        <w:pStyle w:val="Heading1"/>
      </w:pPr>
      <w:bookmarkStart w:id="93" w:name="_lyxkz13vgdcl" w:colFirst="0" w:colLast="0"/>
      <w:bookmarkEnd w:id="93"/>
      <w:r>
        <w:lastRenderedPageBreak/>
        <w:t xml:space="preserve">RESEARCH AREA </w:t>
      </w:r>
    </w:p>
    <w:p w14:paraId="4330F58D" w14:textId="77777777" w:rsidR="002530E2" w:rsidRDefault="002530E2">
      <w:r>
        <w:t xml:space="preserve">Academia Stack Exchange (2022) refers to a research area as “what a research topic is placed into, but is much broader than the scope of the topic.” For example, a research area can be human physiology or computer science.“ </w:t>
      </w:r>
    </w:p>
    <w:p w14:paraId="4848F82A" w14:textId="77777777" w:rsidR="002530E2" w:rsidRDefault="002530E2">
      <w:pPr>
        <w:pStyle w:val="Heading1"/>
      </w:pPr>
      <w:bookmarkStart w:id="94" w:name="_5wnedd51vlte" w:colFirst="0" w:colLast="0"/>
      <w:bookmarkEnd w:id="94"/>
      <w:r>
        <w:t xml:space="preserve">RESEARCH DOMAIN </w:t>
      </w:r>
    </w:p>
    <w:p w14:paraId="32654A36" w14:textId="77777777" w:rsidR="002530E2" w:rsidRDefault="002530E2">
      <w:r>
        <w:t xml:space="preserve">Jones (2021) refers to a research domain as “a particular field of thought, activity, or interest, especially one over which someone has control, influence, or rights.” </w:t>
      </w:r>
    </w:p>
    <w:p w14:paraId="72DCC31E" w14:textId="77777777" w:rsidR="002530E2" w:rsidRDefault="002530E2">
      <w:pPr>
        <w:pStyle w:val="Heading1"/>
      </w:pPr>
      <w:bookmarkStart w:id="95" w:name="_l38woehtk7eo" w:colFirst="0" w:colLast="0"/>
      <w:bookmarkEnd w:id="95"/>
      <w:r>
        <w:t xml:space="preserve">RESEARCH NICHE </w:t>
      </w:r>
    </w:p>
    <w:p w14:paraId="1A365D5F" w14:textId="77777777" w:rsidR="002530E2" w:rsidRDefault="002530E2">
      <w:r>
        <w:t xml:space="preserve">Black (2013) refers to a research niche as “a specialised corner of your scientific field where researchers have the potential to conduct research and create important, new knowledge for a significant period of time, e.g., a decade.” </w:t>
      </w:r>
    </w:p>
    <w:p w14:paraId="32A8C893" w14:textId="77777777" w:rsidR="002530E2" w:rsidRDefault="002530E2">
      <w:pPr>
        <w:pStyle w:val="Heading1"/>
      </w:pPr>
      <w:bookmarkStart w:id="96" w:name="_s9wz2ieluixi" w:colFirst="0" w:colLast="0"/>
      <w:bookmarkEnd w:id="96"/>
      <w:r>
        <w:t xml:space="preserve">RESEARCH TOPIC </w:t>
      </w:r>
    </w:p>
    <w:p w14:paraId="102378AF" w14:textId="77777777" w:rsidR="002530E2" w:rsidRDefault="002530E2">
      <w:r>
        <w:t xml:space="preserve">Allen (2017) refers to a research topic as “a subject or issue that a researcher is interested in when conducting research, and a well-defined research topic is the starting point of every successful research project.” </w:t>
      </w:r>
    </w:p>
    <w:p w14:paraId="3BD99DC7" w14:textId="77777777" w:rsidR="002530E2" w:rsidRDefault="002530E2">
      <w:r>
        <w:t>According to Saunders. et al (2007), “Research topics should excite imagination.”</w:t>
      </w:r>
    </w:p>
    <w:p w14:paraId="2686AAB8" w14:textId="77777777" w:rsidR="002530E2" w:rsidRDefault="002530E2">
      <w:r>
        <w:t xml:space="preserve">McCombes (2020) suggests that a research topic should be current. </w:t>
      </w:r>
    </w:p>
    <w:p w14:paraId="17501D01" w14:textId="77777777" w:rsidR="002530E2" w:rsidRDefault="002530E2">
      <w:pPr>
        <w:pStyle w:val="Heading1"/>
      </w:pPr>
      <w:bookmarkStart w:id="97" w:name="_pczx7nswnawf" w:colFirst="0" w:colLast="0"/>
      <w:bookmarkEnd w:id="97"/>
      <w:r>
        <w:t xml:space="preserve">RESEARCH TOPIC RELEVANCE  </w:t>
      </w:r>
    </w:p>
    <w:p w14:paraId="77755FC4" w14:textId="77777777" w:rsidR="002530E2" w:rsidRDefault="002530E2">
      <w:r>
        <w:t>McCombes (2020) suggests that a research topic could be of academic, social, practical, or relevance. Research that fills a knowledge gap or contributes to a scholarly debate in a field is academically relevant. Socially relevant research advances the understanding of society and informs social change. And practically relevant research solves concrete problems or can be applied to improve real-life processes.</w:t>
      </w:r>
    </w:p>
    <w:p w14:paraId="6CE7C914" w14:textId="77777777" w:rsidR="002530E2" w:rsidRDefault="002530E2">
      <w:r>
        <w:t>The research topic of this study is current and of social, academic and practical relevance. It is socially relevant as it advances the understanding of the Muslim communities as a society and others that do business with them. It also informs social change where institutions and brands need to change as per the local host country's Muslim population with myriad religious and cultural norms and sensitivities. The research presented in this study solves a real-life problem generating novel information concerning an issue that can be the foundation for solving problems and improving real-</w:t>
      </w:r>
      <w:r>
        <w:lastRenderedPageBreak/>
        <w:t xml:space="preserve">life processes. Therefore, this topic has practical relevance. Furthermore, it has academic relevance as it contributes to the scholarly debate in Islamic Branding. </w:t>
      </w:r>
    </w:p>
    <w:p w14:paraId="1319ED3E" w14:textId="77777777" w:rsidR="002530E2" w:rsidRDefault="002530E2">
      <w:pPr>
        <w:pStyle w:val="Heading1"/>
      </w:pPr>
      <w:bookmarkStart w:id="98" w:name="_b5zar3j1cegv" w:colFirst="0" w:colLast="0"/>
      <w:bookmarkEnd w:id="98"/>
      <w:r>
        <w:t>RESEARCH CONTEXT / BACKGROUND</w:t>
      </w:r>
    </w:p>
    <w:p w14:paraId="64AF296E" w14:textId="77777777" w:rsidR="002530E2" w:rsidRDefault="002530E2">
      <w:r>
        <w:t xml:space="preserve">Kwanya (2020) points out that “research context provides the lenses through which the study as well as its methodological approaches, arguments, findings, conclusions, and recommendations can be viewed.” </w:t>
      </w:r>
    </w:p>
    <w:p w14:paraId="2ED54CDC" w14:textId="77777777" w:rsidR="002530E2" w:rsidRDefault="002530E2">
      <w:r>
        <w:t>The University of Birmingham (2020) states that research context is an important part of a research proposal in which researchers state the importance of their research, its strengths, and how the research will add new literature to the existing body of knowledge.</w:t>
      </w:r>
    </w:p>
    <w:p w14:paraId="47F25CFA" w14:textId="77777777" w:rsidR="002530E2" w:rsidRDefault="002530E2">
      <w:pPr>
        <w:pStyle w:val="Heading1"/>
      </w:pPr>
      <w:bookmarkStart w:id="99" w:name="_toi64s35bsju" w:colFirst="0" w:colLast="0"/>
      <w:bookmarkEnd w:id="99"/>
      <w:r>
        <w:t>RESEARCH SIGNIFICANCE / RATIONALE</w:t>
      </w:r>
    </w:p>
    <w:p w14:paraId="37E5C07B" w14:textId="77777777" w:rsidR="002530E2" w:rsidRDefault="002530E2">
      <w:r>
        <w:t>According to DiscoverPhDs (2020), essentially, a significance statement is a rational explanation of why a study is needed, what its main justifications are, how it contributes to new knowledge, and how other people will benefit from the work.</w:t>
      </w:r>
    </w:p>
    <w:p w14:paraId="04160A7A" w14:textId="77777777" w:rsidR="002530E2" w:rsidRDefault="002530E2">
      <w:r>
        <w:t>Research significance is synonymous with research rationale, and their theory is identical.</w:t>
      </w:r>
    </w:p>
    <w:p w14:paraId="5C9C8AFD" w14:textId="77777777" w:rsidR="002530E2" w:rsidRDefault="002530E2">
      <w:r>
        <w:t>Charlesworth Author Services (2021) suggests that a research study's rationale should justify or explain why the research was undertaken. In this section, the researcher outlines why he or she chose the topic in question, why it is significant, and what gaps the research aims to fill in. As a result, it rationalises the need for the study.</w:t>
      </w:r>
    </w:p>
    <w:p w14:paraId="7C8CED3D" w14:textId="77777777" w:rsidR="002530E2" w:rsidRDefault="002530E2">
      <w:r>
        <w:t>The University of Birmingham (2020) explains that research significance is the part of the study or project that explains the originality of the intended research as to why the research is important by illustrating how your research adds to or enhances the current knowledge in the field, or explains why your topic is timely for research, and how your findings may be applied immediately, including further research that may be required.</w:t>
      </w:r>
    </w:p>
    <w:p w14:paraId="45763B7D" w14:textId="77777777" w:rsidR="002530E2" w:rsidRDefault="002530E2">
      <w:pPr>
        <w:pStyle w:val="Heading1"/>
      </w:pPr>
      <w:bookmarkStart w:id="100" w:name="_cxi27vxeakb2" w:colFirst="0" w:colLast="0"/>
      <w:bookmarkEnd w:id="100"/>
      <w:r>
        <w:t xml:space="preserve">RESEARCH MOTIVATION  </w:t>
      </w:r>
    </w:p>
    <w:p w14:paraId="63D50DD7" w14:textId="77777777" w:rsidR="002530E2" w:rsidRDefault="002530E2">
      <w:r>
        <w:t xml:space="preserve">The Cambridge English Dictionary (2022) refers to motivation as “an enthusiasm for doing something” and the Lexico English Dictionaries (2022) define motivation as “a reason or reasons for acting or behaving in a particular way.” Guay et al. (2010) refer to the term “motivation” as “the reasons underlying behaviour.” The broad definition of motivation by Gredler, Broussard, and Garrison (2004) is “the attribute that moves us to do or not to do something.” </w:t>
      </w:r>
    </w:p>
    <w:p w14:paraId="7F80CC5D" w14:textId="77777777" w:rsidR="002530E2" w:rsidRDefault="002530E2">
      <w:r>
        <w:t xml:space="preserve">Motivation originating within an individual from personal interest, enjoyment, or pleasure constitutes intrinsic motivation. Deci et al. (1999) observed that “intrinsic motivation energises and sustains activities through the spontaneous satisfactions inherent in effective volitional action.” It is manifest in behaviours such as play, exploration, and challenge seeking that people often do for </w:t>
      </w:r>
      <w:r>
        <w:lastRenderedPageBreak/>
        <w:t>external rewards. In contrast to intrinsic motivation, extrinsic motivation refers to motivation that arises from reward-based conditions. The traditional view among educators is that intrinsic motivation improves learning outcomes more than extrinsic motivation. Extrinsic motivation is less desirable for educators, as it results in poorer learning outcomes than intrinsic motivation.</w:t>
      </w:r>
    </w:p>
    <w:p w14:paraId="0B2D1522" w14:textId="77777777" w:rsidR="002530E2" w:rsidRDefault="002530E2">
      <w:r>
        <w:t>Motivating factors include beliefs, perceptions, values, interests, and actions, which are all interconnected and closely linked. Hence, motivation can be characterised by cognitive behaviours (such as monitoring, strategy use, and perception), non-cognitive attributes (such as beliefs, attitudes, and beliefs), or both.</w:t>
      </w:r>
    </w:p>
    <w:p w14:paraId="5B906AE1" w14:textId="77777777" w:rsidR="002530E2" w:rsidRDefault="002530E2">
      <w:r>
        <w:t xml:space="preserve">The definition of academic motivation by Gottfried (1990) is the “enjoyment of school learning characterised by a mastery orientation; curiosity; persistence; task-endogeny; and the learning of challenging, difficult, and novel tasks.” </w:t>
      </w:r>
    </w:p>
    <w:p w14:paraId="4E61160D" w14:textId="77777777" w:rsidR="002530E2" w:rsidRDefault="002530E2">
      <w:r>
        <w:t>Meanwhile, according to Turner (1995), motivation is associated with cognitive engagement and, on that basis, he defines motivation as “voluntary uses of high-level self-regulated learning strategies, such as paying attention, connection, planning, and monitoring.”</w:t>
      </w:r>
    </w:p>
    <w:p w14:paraId="7D97C22B" w14:textId="77777777" w:rsidR="002530E2" w:rsidRDefault="002530E2">
      <w:r>
        <w:t xml:space="preserve">On the topic of motivation for research, Zain, et al. (2011) explain that the purpose of research is to identify problems or uncover ‘uncertainties’ that exist. This is because there is uncertainty about a phenomenon that has occurred or has not occurred. Whether or not experiments are conducted, the purpose of research is to solve problems using the best method. The main reason for writing and publishing is to share and exchange new research findings with other researchers in the field. A major benefit of research should be that it benefits the community as a whole. </w:t>
      </w:r>
    </w:p>
    <w:p w14:paraId="4200D678" w14:textId="77777777" w:rsidR="002530E2" w:rsidRDefault="002530E2">
      <w:r>
        <w:t>Zain, S. et al. (2011) concluded in their study on motivation for research that every academic's primary responsibilities are research, publication, and teaching, and sharing and exchanging their views, helpful tips, and advice on research, publication, and teaching shows the sacrifices they make as researchers and academicians, as well as a commitment to their careers and work.</w:t>
      </w:r>
    </w:p>
    <w:p w14:paraId="35309455" w14:textId="77777777" w:rsidR="002530E2" w:rsidRDefault="002530E2">
      <w:r>
        <w:t>Research at a PhD level can be daunting and challenging (Hawkins, 1999), depending on how good the researcher is at learning and self-efficacy, self-confidence, time management, focusing on the right things, having adequate support and contacts with relevant experience, and other factors cited by Hawkins (1999), such as lack of motivation after a long period of time, lack of self-confidence, insufficient time management, insufficient focus on the right things, lack of direction, an uneasy feeling of being stuck in a comfort zone, fear of taking risks or fear of failing, and inexperience.</w:t>
      </w:r>
    </w:p>
    <w:p w14:paraId="23B75972" w14:textId="77777777" w:rsidR="002530E2" w:rsidRDefault="002530E2">
      <w:r>
        <w:t>Researchers need to understand from the beginning of their studies that they are not expected to be experts in their field but to be familiar with all the specific details of their chosen topic.</w:t>
      </w:r>
    </w:p>
    <w:p w14:paraId="4BEF38B7" w14:textId="77777777" w:rsidR="002530E2" w:rsidRDefault="002530E2">
      <w:pPr>
        <w:pStyle w:val="Heading1"/>
      </w:pPr>
      <w:bookmarkStart w:id="101" w:name="_q9wbtmlgbzc2" w:colFirst="0" w:colLast="0"/>
      <w:bookmarkEnd w:id="101"/>
      <w:r>
        <w:t xml:space="preserve">INTRODUCTION TO RESEARCH </w:t>
      </w:r>
    </w:p>
    <w:p w14:paraId="335F9734" w14:textId="77777777" w:rsidR="002530E2" w:rsidRDefault="002530E2">
      <w:r>
        <w:t>The theory of ‘introduction to research’ is identical to the theory of ‘introduction chapter’ presented in the earlier paragraphs. These two phrases, ‘introduction to research’, are synonymous with each other.</w:t>
      </w:r>
    </w:p>
    <w:p w14:paraId="75386DBE" w14:textId="77777777" w:rsidR="002530E2" w:rsidRDefault="002530E2">
      <w:pPr>
        <w:pStyle w:val="Heading1"/>
      </w:pPr>
      <w:bookmarkStart w:id="102" w:name="_gj1etww1g64g" w:colFirst="0" w:colLast="0"/>
      <w:bookmarkEnd w:id="102"/>
      <w:r>
        <w:lastRenderedPageBreak/>
        <w:t>RESEARCH BACKGROUND/ STUDY CONTEXT</w:t>
      </w:r>
    </w:p>
    <w:p w14:paraId="10D719A6" w14:textId="77777777" w:rsidR="002530E2" w:rsidRDefault="002530E2">
      <w:r>
        <w:t>The theory of ‘research background’ is identical to the theory of ‘research context’ presented in the earlier paragraphs. The terms ‘research background’ and ‘research context’ are synonymous.</w:t>
      </w:r>
    </w:p>
    <w:p w14:paraId="26FFA017" w14:textId="77777777" w:rsidR="002530E2" w:rsidRDefault="002530E2">
      <w:pPr>
        <w:pStyle w:val="Heading1"/>
      </w:pPr>
      <w:bookmarkStart w:id="103" w:name="_up7ej4nhoite" w:colFirst="0" w:colLast="0"/>
      <w:bookmarkEnd w:id="103"/>
      <w:r>
        <w:t xml:space="preserve">RESEARCH PROBLEM </w:t>
      </w:r>
    </w:p>
    <w:p w14:paraId="37AD6155" w14:textId="77777777" w:rsidR="002530E2" w:rsidRDefault="002530E2">
      <w:r>
        <w:t>According to McCombes (2020), a research problem that a study aims to address during research is either a specific issue, or a difficulty, or a contradiction, or a gap in knowledge. While practical research problems aim to contribute to change, theoretical research problems aim to expand knowledge, and some research can do both of these, but research problems generally focus on one of the two. The selection, confinement, and type of research problem depend on the broad area of the researcher's interest and how the research will be conducted.</w:t>
      </w:r>
    </w:p>
    <w:p w14:paraId="117BBE97" w14:textId="77777777" w:rsidR="002530E2" w:rsidRDefault="002530E2">
      <w:r>
        <w:t xml:space="preserve">Northcentral University (2020) refers to a research problem as “a specific, evidence-based, real-life issue” faced by certain people or organisations that has significant negative implications for the involved parties; and “the consequences are negative implications experienced by a group of people or organisations as a result of the problem.” </w:t>
      </w:r>
    </w:p>
    <w:p w14:paraId="534B6FFC" w14:textId="77777777" w:rsidR="002530E2" w:rsidRDefault="002530E2" w:rsidP="002530E2">
      <w:pPr>
        <w:numPr>
          <w:ilvl w:val="0"/>
          <w:numId w:val="49"/>
        </w:numPr>
        <w:spacing w:after="200" w:line="360" w:lineRule="auto"/>
        <w:jc w:val="both"/>
      </w:pPr>
      <w:r>
        <w:t xml:space="preserve">Specific: refers to problem scopes addressed in research that are focused on and are manageable sufficiently. </w:t>
      </w:r>
    </w:p>
    <w:p w14:paraId="1013FB2E" w14:textId="77777777" w:rsidR="002530E2" w:rsidRDefault="002530E2" w:rsidP="002530E2">
      <w:pPr>
        <w:numPr>
          <w:ilvl w:val="0"/>
          <w:numId w:val="49"/>
        </w:numPr>
        <w:spacing w:after="200" w:line="360" w:lineRule="auto"/>
        <w:jc w:val="both"/>
      </w:pPr>
      <w:r>
        <w:t xml:space="preserve">Evidence-based: refers to a problem that is well-documented and backed by statistics from recent research findings from credible sources. </w:t>
      </w:r>
    </w:p>
    <w:p w14:paraId="6997C503" w14:textId="77777777" w:rsidR="002530E2" w:rsidRDefault="002530E2" w:rsidP="002530E2">
      <w:pPr>
        <w:numPr>
          <w:ilvl w:val="0"/>
          <w:numId w:val="49"/>
        </w:numPr>
        <w:spacing w:after="200" w:line="360" w:lineRule="auto"/>
        <w:jc w:val="both"/>
      </w:pPr>
      <w:r>
        <w:t xml:space="preserve">Real-life: refers to a problem that exists regardless of research undertaken, so in brief, research does not eliminate a problem. </w:t>
      </w:r>
    </w:p>
    <w:p w14:paraId="7E6DF1DB" w14:textId="77777777" w:rsidR="002530E2" w:rsidRDefault="002530E2">
      <w:r>
        <w:t>Research problems are usually accompanied by a gap that serves as the foundation for the research study (Northcentral University, 2020).</w:t>
      </w:r>
    </w:p>
    <w:p w14:paraId="5AE462BB" w14:textId="77777777" w:rsidR="002530E2" w:rsidRDefault="002530E2">
      <w:pPr>
        <w:pStyle w:val="Heading1"/>
      </w:pPr>
      <w:bookmarkStart w:id="104" w:name="_su95pegtrxcz" w:colFirst="0" w:colLast="0"/>
      <w:bookmarkEnd w:id="104"/>
      <w:r>
        <w:t xml:space="preserve">RESEARCH GAP  </w:t>
      </w:r>
    </w:p>
    <w:p w14:paraId="06AC89A9" w14:textId="77777777" w:rsidR="002530E2" w:rsidRDefault="002530E2">
      <w:r>
        <w:t>Wolf (2021) asserts that “a research gap is a question or a problem that has not been answered by any of the existing studies or research within your field, as well as sometimes a research gap exists when there is a concept or new idea that hasn't been studied at all.” A gap’ refers to an absence of information or insight regarding a particular issue, and a lack thereof contributes to the problem’s continuation (Northcentral University, 2020).</w:t>
      </w:r>
    </w:p>
    <w:p w14:paraId="2429D730" w14:textId="77777777" w:rsidR="002530E2" w:rsidRDefault="002530E2">
      <w:r>
        <w:t>Researchers identify research gaps by identifying questions or problems on which there is inadequate existing research or outdated information (Qian, 2020).</w:t>
      </w:r>
    </w:p>
    <w:p w14:paraId="74310827" w14:textId="77777777" w:rsidR="002530E2" w:rsidRDefault="002530E2">
      <w:r>
        <w:lastRenderedPageBreak/>
        <w:t xml:space="preserve">McCombes (2020) suggests that research can fill a knowledge gap or contribute to a scholarly debate academically, socially, and/or practically. The topic of the research is often one or more of academic, social, and/or practical relevance. </w:t>
      </w:r>
    </w:p>
    <w:p w14:paraId="1812B775" w14:textId="77777777" w:rsidR="002530E2" w:rsidRDefault="002530E2">
      <w:r>
        <w:t>The seven different types of research gaps, as categorised by Qian (2020), are: knowledge gap, theoretical gap, evidence gap, population gap, methodology gap, empirical gap, and application or implementation gap.</w:t>
      </w:r>
    </w:p>
    <w:p w14:paraId="2114BD93" w14:textId="77777777" w:rsidR="002530E2" w:rsidRDefault="002530E2">
      <w:r>
        <w:t>The six different ways suggested by Qian (2020) in which research topics and research gaps can be identified are as follows.</w:t>
      </w:r>
    </w:p>
    <w:p w14:paraId="33B9817A" w14:textId="77777777" w:rsidR="002530E2" w:rsidRDefault="002530E2">
      <w:r>
        <w:t>Literature review (e.g., scope, limitations, gaps in previous literature);</w:t>
      </w:r>
    </w:p>
    <w:p w14:paraId="6EA8ED53" w14:textId="77777777" w:rsidR="002530E2" w:rsidRDefault="002530E2">
      <w:r>
        <w:t>Areas unexplored as new research gaps (suggested by research colleagues, guides, or supervisors);</w:t>
      </w:r>
    </w:p>
    <w:p w14:paraId="61A57858" w14:textId="77777777" w:rsidR="002530E2" w:rsidRDefault="002530E2">
      <w:r>
        <w:t>Digital platforms can be a good platform for finding research gaps (source: e.g., social media, websites, or even magazines and journals etc);</w:t>
      </w:r>
    </w:p>
    <w:p w14:paraId="2406B717" w14:textId="77777777" w:rsidR="002530E2" w:rsidRDefault="002530E2">
      <w:r>
        <w:t>Real social issues NGOs focus on or highlight them in the public domain. Those can be identified as a research gap;</w:t>
      </w:r>
    </w:p>
    <w:p w14:paraId="30AAAF25" w14:textId="77777777" w:rsidR="002530E2" w:rsidRDefault="002530E2">
      <w:r>
        <w:t>The most cited research articles or research papers are windows of opportunities for new research gaps as they are often dealing with current issues which need more research and previous studies give more understanding of the topic area;</w:t>
      </w:r>
    </w:p>
    <w:p w14:paraId="1F0DE45A" w14:textId="77777777" w:rsidR="002530E2" w:rsidRDefault="002530E2">
      <w:r>
        <w:t>New theoretical questions raised on old work; data collection samples, methodology, objectives, findings, conclusions, and research application, etc.</w:t>
      </w:r>
    </w:p>
    <w:p w14:paraId="72FE163A" w14:textId="77777777" w:rsidR="002530E2" w:rsidRDefault="002530E2">
      <w:pPr>
        <w:pStyle w:val="Heading1"/>
      </w:pPr>
      <w:bookmarkStart w:id="105" w:name="_uklcz5uh3no3" w:colFirst="0" w:colLast="0"/>
      <w:bookmarkEnd w:id="105"/>
      <w:r>
        <w:t>RESEARCH QUESTIONS</w:t>
      </w:r>
    </w:p>
    <w:p w14:paraId="18A79E7E" w14:textId="77777777" w:rsidR="002530E2" w:rsidRDefault="002530E2">
      <w:r>
        <w:t>A research question is defined by George Mason University (2020) as the question around which your research is centred. In order to be an effective research question, it needs to be focused, concise, complex, and arguable.</w:t>
      </w:r>
    </w:p>
    <w:p w14:paraId="7177FF25" w14:textId="77777777" w:rsidR="002530E2" w:rsidRDefault="002530E2">
      <w:r>
        <w:t xml:space="preserve">According to Robson (2002) and Saunders et al. (2003), depending on their purpose, research studies are classified into one or more common classifications, namely, exploratory, descriptive, and explanatory. </w:t>
      </w:r>
    </w:p>
    <w:p w14:paraId="23841133" w14:textId="77777777" w:rsidR="002530E2" w:rsidRDefault="002530E2">
      <w:r>
        <w:t>Malhotra and Birks (2000) explain that a descriptive study's major objective is to describe something of a situation, not what caused it. Descriptive studies answer the ‘who’, ‘what’, ‘when’, 'where,’ and ‘how’ of a situation, but not what caused it. An exploratory study aims to provide insight into, and a better understanding of, the research topic. Exploratory studies answer the “why,” “how,” and “when” of a situation when something occurs. According to the University of Birmingham (2020), key research questions and the central aims guide the research. The university advises PhD candidates to prioritise one or two main questions, from which they can then derive numerous secondary questions for the study.</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8"/>
        <w:gridCol w:w="2268"/>
        <w:gridCol w:w="2268"/>
        <w:gridCol w:w="2268"/>
      </w:tblGrid>
      <w:tr w:rsidR="002530E2" w14:paraId="5F7EF800"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C949497" w14:textId="77777777" w:rsidR="002530E2" w:rsidRDefault="002530E2">
            <w:pPr>
              <w:spacing w:after="0" w:line="276" w:lineRule="auto"/>
              <w:rPr>
                <w:sz w:val="16"/>
                <w:szCs w:val="16"/>
              </w:rPr>
            </w:pPr>
            <w:r>
              <w:rPr>
                <w:sz w:val="16"/>
                <w:szCs w:val="16"/>
              </w:rPr>
              <w:t xml:space="preserve">Nature of Research, </w:t>
            </w:r>
          </w:p>
          <w:p w14:paraId="0B152E24" w14:textId="77777777" w:rsidR="002530E2" w:rsidRDefault="002530E2">
            <w:pPr>
              <w:spacing w:after="0" w:line="276" w:lineRule="auto"/>
              <w:rPr>
                <w:sz w:val="16"/>
                <w:szCs w:val="16"/>
              </w:rPr>
            </w:pPr>
            <w:r>
              <w:rPr>
                <w:sz w:val="16"/>
                <w:szCs w:val="16"/>
              </w:rPr>
              <w:t xml:space="preserve">or study or project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697C0EB" w14:textId="77777777" w:rsidR="002530E2" w:rsidRDefault="002530E2">
            <w:pPr>
              <w:spacing w:after="0" w:line="276" w:lineRule="auto"/>
              <w:rPr>
                <w:sz w:val="16"/>
                <w:szCs w:val="16"/>
              </w:rPr>
            </w:pPr>
            <w:r>
              <w:rPr>
                <w:sz w:val="16"/>
                <w:szCs w:val="16"/>
              </w:rPr>
              <w:t xml:space="preserve">Exploratory </w:t>
            </w:r>
          </w:p>
          <w:p w14:paraId="46D0C6CC" w14:textId="77777777" w:rsidR="002530E2" w:rsidRDefault="002530E2">
            <w:pPr>
              <w:spacing w:after="0" w:line="276" w:lineRule="auto"/>
              <w:rPr>
                <w:sz w:val="16"/>
                <w:szCs w:val="16"/>
              </w:rPr>
            </w:pPr>
            <w:r>
              <w:rPr>
                <w:sz w:val="16"/>
                <w:szCs w:val="16"/>
              </w:rPr>
              <w:t>Research</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2674844" w14:textId="77777777" w:rsidR="002530E2" w:rsidRDefault="002530E2">
            <w:pPr>
              <w:spacing w:after="0" w:line="276" w:lineRule="auto"/>
              <w:rPr>
                <w:sz w:val="16"/>
                <w:szCs w:val="16"/>
              </w:rPr>
            </w:pPr>
            <w:r>
              <w:rPr>
                <w:sz w:val="16"/>
                <w:szCs w:val="16"/>
              </w:rPr>
              <w:t xml:space="preserve">Descriptive </w:t>
            </w:r>
          </w:p>
          <w:p w14:paraId="5F4C2F78" w14:textId="77777777" w:rsidR="002530E2" w:rsidRDefault="002530E2">
            <w:pPr>
              <w:spacing w:after="0" w:line="276" w:lineRule="auto"/>
              <w:rPr>
                <w:sz w:val="16"/>
                <w:szCs w:val="16"/>
              </w:rPr>
            </w:pPr>
            <w:r>
              <w:rPr>
                <w:sz w:val="16"/>
                <w:szCs w:val="16"/>
              </w:rPr>
              <w:t>Research</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8C5F579" w14:textId="77777777" w:rsidR="002530E2" w:rsidRDefault="002530E2">
            <w:pPr>
              <w:spacing w:after="0" w:line="276" w:lineRule="auto"/>
              <w:rPr>
                <w:sz w:val="16"/>
                <w:szCs w:val="16"/>
              </w:rPr>
            </w:pPr>
            <w:r>
              <w:rPr>
                <w:sz w:val="16"/>
                <w:szCs w:val="16"/>
              </w:rPr>
              <w:t xml:space="preserve">Explanatory </w:t>
            </w:r>
          </w:p>
          <w:p w14:paraId="2D66E57F" w14:textId="77777777" w:rsidR="002530E2" w:rsidRDefault="002530E2">
            <w:pPr>
              <w:spacing w:after="0" w:line="276" w:lineRule="auto"/>
              <w:rPr>
                <w:sz w:val="16"/>
                <w:szCs w:val="16"/>
              </w:rPr>
            </w:pPr>
            <w:r>
              <w:rPr>
                <w:sz w:val="16"/>
                <w:szCs w:val="16"/>
              </w:rPr>
              <w:t>or Causal Research</w:t>
            </w:r>
          </w:p>
        </w:tc>
      </w:tr>
      <w:tr w:rsidR="002530E2" w14:paraId="280E0822"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4FD010D" w14:textId="77777777" w:rsidR="002530E2" w:rsidRDefault="002530E2">
            <w:pPr>
              <w:spacing w:after="0" w:line="276" w:lineRule="auto"/>
              <w:rPr>
                <w:sz w:val="16"/>
                <w:szCs w:val="16"/>
              </w:rPr>
            </w:pPr>
            <w:r>
              <w:rPr>
                <w:sz w:val="16"/>
                <w:szCs w:val="16"/>
              </w:rPr>
              <w:lastRenderedPageBreak/>
              <w:t xml:space="preserve">Overview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1E1C87" w14:textId="77777777" w:rsidR="002530E2" w:rsidRDefault="002530E2">
            <w:pPr>
              <w:spacing w:after="0" w:line="276" w:lineRule="auto"/>
              <w:rPr>
                <w:sz w:val="16"/>
                <w:szCs w:val="16"/>
              </w:rPr>
            </w:pPr>
            <w:r>
              <w:rPr>
                <w:sz w:val="16"/>
                <w:szCs w:val="16"/>
              </w:rPr>
              <w:t>‘EXPLORES’ something by starting with the ‘WHAT’ inquiry approach (MeanThat &amp; Authentic Data Science, 2016)</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339217D" w14:textId="77777777" w:rsidR="002530E2" w:rsidRDefault="002530E2">
            <w:pPr>
              <w:spacing w:after="0" w:line="276" w:lineRule="auto"/>
              <w:rPr>
                <w:sz w:val="16"/>
                <w:szCs w:val="16"/>
              </w:rPr>
            </w:pPr>
            <w:r>
              <w:rPr>
                <w:sz w:val="16"/>
                <w:szCs w:val="16"/>
              </w:rPr>
              <w:t>‘DESCRIBES’ something by starting with the ‘HOW’ inquiry approach (MeanThat &amp; Authentic Data Science, 2016)</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1C685F6" w14:textId="77777777" w:rsidR="002530E2" w:rsidRDefault="002530E2">
            <w:pPr>
              <w:spacing w:after="0" w:line="276" w:lineRule="auto"/>
              <w:rPr>
                <w:sz w:val="16"/>
                <w:szCs w:val="16"/>
              </w:rPr>
            </w:pPr>
            <w:r>
              <w:rPr>
                <w:sz w:val="16"/>
                <w:szCs w:val="16"/>
              </w:rPr>
              <w:t>‘EXPLAINS’ something by starting with the ‘WHY’ inquiry approach (MeanThat &amp; Authentic Data Science, 2016)</w:t>
            </w:r>
          </w:p>
        </w:tc>
      </w:tr>
      <w:tr w:rsidR="002530E2" w14:paraId="0100372B"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D5ACB0E" w14:textId="77777777" w:rsidR="002530E2" w:rsidRDefault="002530E2">
            <w:pPr>
              <w:spacing w:after="0" w:line="276" w:lineRule="auto"/>
              <w:rPr>
                <w:sz w:val="16"/>
                <w:szCs w:val="16"/>
              </w:rPr>
            </w:pPr>
            <w:r>
              <w:rPr>
                <w:sz w:val="16"/>
                <w:szCs w:val="16"/>
              </w:rPr>
              <w:t>Question format</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F2CB598" w14:textId="77777777" w:rsidR="002530E2" w:rsidRDefault="002530E2">
            <w:pPr>
              <w:spacing w:after="0" w:line="276" w:lineRule="auto"/>
              <w:rPr>
                <w:sz w:val="16"/>
                <w:szCs w:val="16"/>
              </w:rPr>
            </w:pPr>
            <w:r>
              <w:rPr>
                <w:sz w:val="16"/>
                <w:szCs w:val="16"/>
              </w:rPr>
              <w:t>‘How’ or ‘What’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13F7C6F" w14:textId="77777777" w:rsidR="002530E2" w:rsidRDefault="002530E2">
            <w:pPr>
              <w:spacing w:after="0" w:line="276" w:lineRule="auto"/>
              <w:rPr>
                <w:sz w:val="16"/>
                <w:szCs w:val="16"/>
              </w:rPr>
            </w:pPr>
            <w:r>
              <w:rPr>
                <w:sz w:val="16"/>
                <w:szCs w:val="16"/>
              </w:rPr>
              <w:t>‘Who’, ‘What’, ‘When’, 'Where,’ and ‘How’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B957D9A" w14:textId="77777777" w:rsidR="002530E2" w:rsidRDefault="002530E2">
            <w:pPr>
              <w:spacing w:after="0" w:line="276" w:lineRule="auto"/>
              <w:rPr>
                <w:sz w:val="16"/>
                <w:szCs w:val="16"/>
              </w:rPr>
            </w:pPr>
            <w:r>
              <w:rPr>
                <w:sz w:val="16"/>
                <w:szCs w:val="16"/>
              </w:rPr>
              <w:t xml:space="preserve">‘Why’ or ‘How’ (Saunders et. al, 2018); ‘Will’, ‘Which’ (research-methodology.net, 2020) </w:t>
            </w:r>
          </w:p>
        </w:tc>
      </w:tr>
      <w:tr w:rsidR="002530E2" w14:paraId="53A84F82"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512545" w14:textId="77777777" w:rsidR="002530E2" w:rsidRDefault="002530E2">
            <w:pPr>
              <w:spacing w:after="0" w:line="276" w:lineRule="auto"/>
              <w:rPr>
                <w:sz w:val="16"/>
                <w:szCs w:val="16"/>
              </w:rPr>
            </w:pPr>
            <w:r>
              <w:rPr>
                <w:sz w:val="16"/>
                <w:szCs w:val="16"/>
              </w:rPr>
              <w:t>Research question example set 1</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40F87D5" w14:textId="77777777" w:rsidR="002530E2" w:rsidRDefault="002530E2">
            <w:pPr>
              <w:spacing w:after="0" w:line="276" w:lineRule="auto"/>
              <w:rPr>
                <w:sz w:val="16"/>
                <w:szCs w:val="16"/>
              </w:rPr>
            </w:pPr>
            <w:r>
              <w:rPr>
                <w:sz w:val="16"/>
                <w:szCs w:val="16"/>
              </w:rPr>
              <w:t>“How much did the marketing campaign for the new range of products cost?”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2DACB76" w14:textId="77777777" w:rsidR="002530E2" w:rsidRDefault="002530E2">
            <w:pPr>
              <w:spacing w:after="0" w:line="276" w:lineRule="auto"/>
              <w:rPr>
                <w:sz w:val="16"/>
                <w:szCs w:val="16"/>
              </w:rPr>
            </w:pPr>
            <w:r>
              <w:rPr>
                <w:sz w:val="16"/>
                <w:szCs w:val="16"/>
              </w:rPr>
              <w:t>“How has the corporate rebranding strategy affected consumer attitudes?” (Saunders et. al, 2018)</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EBC2A1C" w14:textId="77777777" w:rsidR="002530E2" w:rsidRDefault="002530E2">
            <w:pPr>
              <w:spacing w:after="0" w:line="276" w:lineRule="auto"/>
              <w:rPr>
                <w:sz w:val="16"/>
                <w:szCs w:val="16"/>
              </w:rPr>
            </w:pPr>
            <w:r>
              <w:rPr>
                <w:sz w:val="16"/>
                <w:szCs w:val="16"/>
              </w:rPr>
              <w:t>“What do customers think about a new product and why do they like or dislike it?” (Saunders et. al, 2018)</w:t>
            </w:r>
          </w:p>
        </w:tc>
      </w:tr>
      <w:tr w:rsidR="002530E2" w14:paraId="48C405CD"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AFF182C" w14:textId="77777777" w:rsidR="002530E2" w:rsidRDefault="002530E2">
            <w:pPr>
              <w:spacing w:after="0" w:line="276" w:lineRule="auto"/>
              <w:rPr>
                <w:sz w:val="16"/>
                <w:szCs w:val="16"/>
              </w:rPr>
            </w:pPr>
            <w:r>
              <w:rPr>
                <w:sz w:val="16"/>
                <w:szCs w:val="16"/>
              </w:rPr>
              <w:t>Research question example set 2</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74F4A0B" w14:textId="77777777" w:rsidR="002530E2" w:rsidRDefault="002530E2">
            <w:pPr>
              <w:spacing w:after="0" w:line="276" w:lineRule="auto"/>
              <w:rPr>
                <w:sz w:val="16"/>
                <w:szCs w:val="16"/>
              </w:rPr>
            </w:pPr>
            <w:r>
              <w:rPr>
                <w:sz w:val="16"/>
                <w:szCs w:val="16"/>
              </w:rPr>
              <w:t xml:space="preserve">“What kinds of new products are fast-food consumers interested in?”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7D85DCA" w14:textId="77777777" w:rsidR="002530E2" w:rsidRDefault="002530E2">
            <w:pPr>
              <w:spacing w:after="0" w:line="276" w:lineRule="auto"/>
              <w:rPr>
                <w:sz w:val="16"/>
                <w:szCs w:val="16"/>
              </w:rPr>
            </w:pPr>
            <w:r>
              <w:rPr>
                <w:sz w:val="16"/>
                <w:szCs w:val="16"/>
              </w:rPr>
              <w:t xml:space="preserve">“What product features are the most important to our customers?” (research-methodology.net,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292E766" w14:textId="77777777" w:rsidR="002530E2" w:rsidRDefault="002530E2">
            <w:pPr>
              <w:spacing w:after="0" w:line="276" w:lineRule="auto"/>
              <w:rPr>
                <w:sz w:val="16"/>
                <w:szCs w:val="16"/>
              </w:rPr>
            </w:pPr>
            <w:r>
              <w:rPr>
                <w:sz w:val="16"/>
                <w:szCs w:val="16"/>
              </w:rPr>
              <w:t xml:space="preserve">“Which of two advertising campaigns will be more effective?” (research-methodology.net, 2020) </w:t>
            </w:r>
          </w:p>
        </w:tc>
      </w:tr>
      <w:tr w:rsidR="002530E2" w14:paraId="4092C41D"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1F69D5" w14:textId="77777777" w:rsidR="002530E2" w:rsidRDefault="002530E2">
            <w:pPr>
              <w:spacing w:after="0" w:line="276" w:lineRule="auto"/>
              <w:rPr>
                <w:sz w:val="16"/>
                <w:szCs w:val="16"/>
              </w:rPr>
            </w:pPr>
            <w:r>
              <w:rPr>
                <w:sz w:val="16"/>
                <w:szCs w:val="16"/>
              </w:rPr>
              <w:t xml:space="preserve">Aim/purpose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72BDA7D" w14:textId="77777777" w:rsidR="002530E2" w:rsidRDefault="002530E2">
            <w:pPr>
              <w:spacing w:after="0" w:line="276" w:lineRule="auto"/>
              <w:rPr>
                <w:sz w:val="16"/>
                <w:szCs w:val="16"/>
              </w:rPr>
            </w:pPr>
            <w:r>
              <w:rPr>
                <w:sz w:val="16"/>
                <w:szCs w:val="16"/>
              </w:rPr>
              <w:t>To explore a research problem “which is not clearly defined and have a better understanding of the existing problem” (​​Bhat,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869932D" w14:textId="77777777" w:rsidR="002530E2" w:rsidRDefault="002530E2">
            <w:pPr>
              <w:spacing w:after="0" w:line="276" w:lineRule="auto"/>
              <w:rPr>
                <w:sz w:val="16"/>
                <w:szCs w:val="16"/>
              </w:rPr>
            </w:pPr>
            <w:r>
              <w:rPr>
                <w:sz w:val="16"/>
                <w:szCs w:val="16"/>
              </w:rPr>
              <w:t>“To depict what already exists in a group of the population” (Walia &amp; Chetty,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53FEDCE" w14:textId="77777777" w:rsidR="002530E2" w:rsidRDefault="002530E2">
            <w:pPr>
              <w:spacing w:after="0" w:line="276" w:lineRule="auto"/>
              <w:rPr>
                <w:sz w:val="16"/>
                <w:szCs w:val="16"/>
              </w:rPr>
            </w:pPr>
            <w:r>
              <w:rPr>
                <w:sz w:val="16"/>
                <w:szCs w:val="16"/>
              </w:rPr>
              <w:t>“To study a situation or a problem to explain the relationships between variables” and/ or (Saunders et. al, 2018); “identify the extent and nature of cause and effect relationships” and/ or “investigate the qualities or the characteristics that are connected in some way or the other”  (Walia &amp; Chetty, 2020)</w:t>
            </w:r>
          </w:p>
        </w:tc>
      </w:tr>
      <w:tr w:rsidR="002530E2" w14:paraId="378BD01A"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97A62ED" w14:textId="77777777" w:rsidR="002530E2" w:rsidRDefault="002530E2">
            <w:pPr>
              <w:spacing w:after="0" w:line="276" w:lineRule="auto"/>
              <w:rPr>
                <w:sz w:val="16"/>
                <w:szCs w:val="16"/>
              </w:rPr>
            </w:pPr>
            <w:r>
              <w:rPr>
                <w:sz w:val="16"/>
                <w:szCs w:val="16"/>
              </w:rPr>
              <w:t>Starting point</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32087F" w14:textId="77777777" w:rsidR="002530E2" w:rsidRDefault="002530E2">
            <w:pPr>
              <w:spacing w:after="0" w:line="276" w:lineRule="auto"/>
              <w:rPr>
                <w:sz w:val="16"/>
                <w:szCs w:val="16"/>
              </w:rPr>
            </w:pPr>
            <w:r>
              <w:rPr>
                <w:sz w:val="16"/>
                <w:szCs w:val="16"/>
              </w:rPr>
              <w:t>Research problem</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57CC747" w14:textId="77777777" w:rsidR="002530E2" w:rsidRDefault="002530E2">
            <w:pPr>
              <w:spacing w:after="0" w:line="276" w:lineRule="auto"/>
              <w:rPr>
                <w:sz w:val="16"/>
                <w:szCs w:val="16"/>
              </w:rPr>
            </w:pPr>
            <w:r>
              <w:rPr>
                <w:sz w:val="16"/>
                <w:szCs w:val="16"/>
              </w:rPr>
              <w:t>Research problem</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EF5D225" w14:textId="77777777" w:rsidR="002530E2" w:rsidRDefault="002530E2">
            <w:pPr>
              <w:spacing w:after="0" w:line="276" w:lineRule="auto"/>
              <w:rPr>
                <w:sz w:val="16"/>
                <w:szCs w:val="16"/>
              </w:rPr>
            </w:pPr>
            <w:r>
              <w:rPr>
                <w:sz w:val="16"/>
                <w:szCs w:val="16"/>
              </w:rPr>
              <w:t>Research question</w:t>
            </w:r>
          </w:p>
        </w:tc>
      </w:tr>
      <w:tr w:rsidR="002530E2" w14:paraId="2EF04AFF"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9BB3643" w14:textId="77777777" w:rsidR="002530E2" w:rsidRDefault="002530E2">
            <w:pPr>
              <w:spacing w:after="0" w:line="276" w:lineRule="auto"/>
              <w:rPr>
                <w:sz w:val="16"/>
                <w:szCs w:val="16"/>
              </w:rPr>
            </w:pPr>
            <w:r>
              <w:rPr>
                <w:sz w:val="16"/>
                <w:szCs w:val="16"/>
              </w:rPr>
              <w:t>Key research statement</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E1D6062" w14:textId="77777777" w:rsidR="002530E2" w:rsidRDefault="002530E2">
            <w:pPr>
              <w:spacing w:after="0" w:line="276" w:lineRule="auto"/>
              <w:rPr>
                <w:sz w:val="16"/>
                <w:szCs w:val="16"/>
              </w:rPr>
            </w:pPr>
            <w:r>
              <w:rPr>
                <w:sz w:val="16"/>
                <w:szCs w:val="16"/>
              </w:rPr>
              <w:t xml:space="preserve">Research question itself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078AB5" w14:textId="77777777" w:rsidR="002530E2" w:rsidRDefault="002530E2">
            <w:pPr>
              <w:spacing w:after="0" w:line="276" w:lineRule="auto"/>
              <w:rPr>
                <w:sz w:val="16"/>
                <w:szCs w:val="16"/>
              </w:rPr>
            </w:pPr>
            <w:r>
              <w:rPr>
                <w:sz w:val="16"/>
                <w:szCs w:val="16"/>
              </w:rPr>
              <w:t xml:space="preserve">Research question itself (Chaudhari, 2020)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4612C60" w14:textId="77777777" w:rsidR="002530E2" w:rsidRDefault="002530E2">
            <w:pPr>
              <w:spacing w:after="0" w:line="276" w:lineRule="auto"/>
              <w:rPr>
                <w:sz w:val="16"/>
                <w:szCs w:val="16"/>
              </w:rPr>
            </w:pPr>
            <w:r>
              <w:rPr>
                <w:sz w:val="16"/>
                <w:szCs w:val="16"/>
              </w:rPr>
              <w:t xml:space="preserve">Generally research hypotheses (Chaudhari, 2020) </w:t>
            </w:r>
          </w:p>
        </w:tc>
      </w:tr>
    </w:tbl>
    <w:p w14:paraId="5379F699" w14:textId="77777777" w:rsidR="002530E2" w:rsidRDefault="002530E2">
      <w:pPr>
        <w:pStyle w:val="Heading4"/>
      </w:pPr>
      <w:bookmarkStart w:id="106" w:name="_i08vtljwigqu" w:colFirst="0" w:colLast="0"/>
      <w:bookmarkEnd w:id="106"/>
    </w:p>
    <w:p w14:paraId="08F61CE2" w14:textId="77777777" w:rsidR="002530E2" w:rsidRDefault="002530E2">
      <w:pPr>
        <w:pStyle w:val="Heading4"/>
      </w:pPr>
      <w:bookmarkStart w:id="107" w:name="_rngakkulrv0a" w:colFirst="0" w:colLast="0"/>
      <w:bookmarkEnd w:id="107"/>
      <w:r>
        <w:t>Table [Appendix (CHP:3) 001] 5: Research question classification (exploratory type) for this study was, and shows a comparison adjacently with the exploratory and explanatory question types. Adapted from DiscoverPhDs (2020).</w:t>
      </w:r>
    </w:p>
    <w:p w14:paraId="64BEC0A6" w14:textId="77777777" w:rsidR="002530E2" w:rsidRDefault="002530E2">
      <w:pPr>
        <w:spacing w:after="0"/>
      </w:pPr>
    </w:p>
    <w:p w14:paraId="04F18324" w14:textId="77777777" w:rsidR="002530E2" w:rsidRDefault="002530E2">
      <w:r>
        <w:t>According to Chaudhari (2020), the key research statement to address a research problem for Exploratory and Descriptive Research is the research question itself and for Explanatory or Causal Research is generally research hypotheses.</w:t>
      </w:r>
    </w:p>
    <w:p w14:paraId="40409F98" w14:textId="77777777" w:rsidR="002530E2" w:rsidRDefault="002530E2">
      <w:pPr>
        <w:pStyle w:val="Heading1"/>
      </w:pPr>
      <w:bookmarkStart w:id="108" w:name="_ipbqvgr393rm" w:colFirst="0" w:colLast="0"/>
      <w:bookmarkEnd w:id="108"/>
      <w:r>
        <w:t>​​THE PURPOSE OF THE RESEARCH</w:t>
      </w:r>
    </w:p>
    <w:p w14:paraId="0A3767CF" w14:textId="77777777" w:rsidR="002530E2" w:rsidRDefault="002530E2">
      <w:r>
        <w:t xml:space="preserve">Zarah (2010) points out that the main purposes of research are to contribute to the development of knowledge in a field of study by providing evidence for theories, informing action, and gathering evidence for theories. Research is a tool that facilitates learning and building knowledge and </w:t>
      </w:r>
      <w:r>
        <w:lastRenderedPageBreak/>
        <w:t>increases public awareness so issues can be better understood. Research can support the truth and disprove lies. It can be used as a tool to identify, gauge, and seize opportunities. Research aids the success of businesses and their owners. Moreover, it enhances reading, writing, analysing, and sharing valuable information by fostering a love of reading, writing, and analysing, as well as nourishing and exercising the mind.</w:t>
      </w:r>
    </w:p>
    <w:p w14:paraId="0A961EA9" w14:textId="77777777" w:rsidR="002530E2" w:rsidRDefault="002530E2">
      <w:r>
        <w:t>The purpose of research, according to DiscoverPhDs (2020), is “to further understand the world and to learn how this knowledge can be applied to better everyday life and it is an integral part of problem solving.” In spite of the wide variety of forms research can take, there are three main purposes: exploratory (this is the first research), descriptive (expands knowledge of a research problem by describing it) and explanatory (determines relationships and links between variables).</w:t>
      </w:r>
    </w:p>
    <w:p w14:paraId="3C22DE2F" w14:textId="77777777" w:rsidR="002530E2" w:rsidRDefault="002530E2">
      <w:r>
        <w:t xml:space="preserve">According to Robson (2002), exploratory research seeks to find “what is happening, and gain new insights”, and a descriptive research portrays or describes an event or situation or a person (Saunders et. al, 2007). Meanwhile, explanatory or causal research is a conclusive type of research that is concerned with the cause-and-effect relationship between variables (Chaudhari, 2020) and establishes relationships between the variables (Saunders et. al, 2007). </w:t>
      </w:r>
    </w:p>
    <w:p w14:paraId="20B29209" w14:textId="77777777" w:rsidR="002530E2" w:rsidRDefault="002530E2">
      <w:r>
        <w:t xml:space="preserve">Exploratory and descriptive research do not answer a research question; instead, they provide a better understanding of the research problem itself (Chaudhari, 2020). </w:t>
      </w:r>
    </w:p>
    <w:p w14:paraId="7D991864" w14:textId="77777777" w:rsidR="002530E2" w:rsidRDefault="002530E2">
      <w:pPr>
        <w:pStyle w:val="Heading1"/>
      </w:pPr>
      <w:bookmarkStart w:id="109" w:name="_ev54f1vgim4z" w:colFirst="0" w:colLast="0"/>
      <w:bookmarkEnd w:id="109"/>
      <w:r>
        <w:t>RESEARCH AIMS</w:t>
      </w:r>
    </w:p>
    <w:p w14:paraId="7549AC36" w14:textId="77777777" w:rsidR="002530E2" w:rsidRDefault="002530E2">
      <w:r>
        <w:t>According to Saunders, Lewis, and Thornhill (2018), “a research aim is a brief statement of the purpose of the research project which is often written as a sentence stating what is intended to achieve through a research.”</w:t>
      </w:r>
    </w:p>
    <w:p w14:paraId="2660856F" w14:textId="77777777" w:rsidR="002530E2" w:rsidRDefault="002530E2">
      <w:r>
        <w:t>The University of Birmingham (2020) points out that the central aims, along with key research questions, guide the research.</w:t>
      </w:r>
    </w:p>
    <w:p w14:paraId="5FEBC9DD" w14:textId="77777777" w:rsidR="002530E2" w:rsidRDefault="002530E2">
      <w:r>
        <w:t>Future Learn &amp; Coventry University (2020) refer to a research aim as an intent which “expresses an aspiration of the research study; it is summarised in a single sentence what you hope to achieve at the end of a research project.” Your aim should be specific and phrased in such a way that it is possible to identify when it has been achieved.” “The research aim should be S.M.A.R.T. (Specific, Measurable, Achievable, Realistic, and Time-constrained.”</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8"/>
        <w:gridCol w:w="2268"/>
        <w:gridCol w:w="2268"/>
        <w:gridCol w:w="2268"/>
      </w:tblGrid>
      <w:tr w:rsidR="002530E2" w14:paraId="3E3AE15A"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AC1B9E" w14:textId="77777777" w:rsidR="002530E2" w:rsidRDefault="002530E2">
            <w:pPr>
              <w:spacing w:after="0" w:line="276" w:lineRule="auto"/>
              <w:rPr>
                <w:sz w:val="16"/>
                <w:szCs w:val="16"/>
              </w:rPr>
            </w:pPr>
            <w:r>
              <w:rPr>
                <w:sz w:val="16"/>
                <w:szCs w:val="16"/>
              </w:rPr>
              <w:t xml:space="preserve">Nature of Research, </w:t>
            </w:r>
          </w:p>
          <w:p w14:paraId="2CAC71AA" w14:textId="77777777" w:rsidR="002530E2" w:rsidRDefault="002530E2">
            <w:pPr>
              <w:spacing w:after="0" w:line="276" w:lineRule="auto"/>
              <w:rPr>
                <w:sz w:val="16"/>
                <w:szCs w:val="16"/>
              </w:rPr>
            </w:pPr>
            <w:r>
              <w:rPr>
                <w:sz w:val="16"/>
                <w:szCs w:val="16"/>
              </w:rPr>
              <w:t xml:space="preserve">or study or project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E914492" w14:textId="77777777" w:rsidR="002530E2" w:rsidRDefault="002530E2">
            <w:pPr>
              <w:spacing w:after="0" w:line="276" w:lineRule="auto"/>
              <w:rPr>
                <w:sz w:val="16"/>
                <w:szCs w:val="16"/>
              </w:rPr>
            </w:pPr>
            <w:r>
              <w:rPr>
                <w:sz w:val="16"/>
                <w:szCs w:val="16"/>
              </w:rPr>
              <w:t xml:space="preserve">Exploratory </w:t>
            </w:r>
          </w:p>
          <w:p w14:paraId="56008F9F" w14:textId="77777777" w:rsidR="002530E2" w:rsidRDefault="002530E2">
            <w:pPr>
              <w:spacing w:after="0" w:line="276" w:lineRule="auto"/>
              <w:rPr>
                <w:sz w:val="16"/>
                <w:szCs w:val="16"/>
              </w:rPr>
            </w:pPr>
            <w:r>
              <w:rPr>
                <w:sz w:val="16"/>
                <w:szCs w:val="16"/>
              </w:rPr>
              <w:t>Research</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E92A6E4" w14:textId="77777777" w:rsidR="002530E2" w:rsidRDefault="002530E2">
            <w:pPr>
              <w:spacing w:after="0" w:line="276" w:lineRule="auto"/>
              <w:rPr>
                <w:sz w:val="16"/>
                <w:szCs w:val="16"/>
              </w:rPr>
            </w:pPr>
            <w:r>
              <w:rPr>
                <w:sz w:val="16"/>
                <w:szCs w:val="16"/>
              </w:rPr>
              <w:t xml:space="preserve">Descriptive </w:t>
            </w:r>
          </w:p>
          <w:p w14:paraId="0B197AC2" w14:textId="77777777" w:rsidR="002530E2" w:rsidRDefault="002530E2">
            <w:pPr>
              <w:spacing w:after="0" w:line="276" w:lineRule="auto"/>
              <w:rPr>
                <w:sz w:val="16"/>
                <w:szCs w:val="16"/>
              </w:rPr>
            </w:pPr>
            <w:r>
              <w:rPr>
                <w:sz w:val="16"/>
                <w:szCs w:val="16"/>
              </w:rPr>
              <w:t>Research</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8716C0" w14:textId="77777777" w:rsidR="002530E2" w:rsidRDefault="002530E2">
            <w:pPr>
              <w:spacing w:after="0" w:line="276" w:lineRule="auto"/>
              <w:rPr>
                <w:sz w:val="16"/>
                <w:szCs w:val="16"/>
              </w:rPr>
            </w:pPr>
            <w:r>
              <w:rPr>
                <w:sz w:val="16"/>
                <w:szCs w:val="16"/>
              </w:rPr>
              <w:t xml:space="preserve">Explanatory </w:t>
            </w:r>
          </w:p>
          <w:p w14:paraId="3880BF62" w14:textId="77777777" w:rsidR="002530E2" w:rsidRDefault="002530E2">
            <w:pPr>
              <w:spacing w:after="0" w:line="276" w:lineRule="auto"/>
              <w:rPr>
                <w:sz w:val="16"/>
                <w:szCs w:val="16"/>
              </w:rPr>
            </w:pPr>
            <w:r>
              <w:rPr>
                <w:sz w:val="16"/>
                <w:szCs w:val="16"/>
              </w:rPr>
              <w:t>or Causal Research</w:t>
            </w:r>
          </w:p>
        </w:tc>
      </w:tr>
      <w:tr w:rsidR="002530E2" w14:paraId="3881915B" w14:textId="77777777">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E40FDC" w14:textId="77777777" w:rsidR="002530E2" w:rsidRDefault="002530E2">
            <w:pPr>
              <w:spacing w:after="0" w:line="276" w:lineRule="auto"/>
              <w:rPr>
                <w:sz w:val="16"/>
                <w:szCs w:val="16"/>
              </w:rPr>
            </w:pPr>
            <w:r>
              <w:rPr>
                <w:sz w:val="16"/>
                <w:szCs w:val="16"/>
              </w:rPr>
              <w:t xml:space="preserve">Aim/purpose </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F4166C8" w14:textId="77777777" w:rsidR="002530E2" w:rsidRDefault="002530E2">
            <w:pPr>
              <w:spacing w:after="0" w:line="276" w:lineRule="auto"/>
              <w:rPr>
                <w:sz w:val="16"/>
                <w:szCs w:val="16"/>
              </w:rPr>
            </w:pPr>
            <w:r>
              <w:rPr>
                <w:sz w:val="16"/>
                <w:szCs w:val="16"/>
              </w:rPr>
              <w:t>To explore a research problem “which is not clearly defined and have a better understanding of the existing problem” (​​Bhat,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B10C3DF" w14:textId="77777777" w:rsidR="002530E2" w:rsidRDefault="002530E2">
            <w:pPr>
              <w:spacing w:after="0" w:line="276" w:lineRule="auto"/>
              <w:rPr>
                <w:sz w:val="16"/>
                <w:szCs w:val="16"/>
              </w:rPr>
            </w:pPr>
            <w:r>
              <w:rPr>
                <w:sz w:val="16"/>
                <w:szCs w:val="16"/>
              </w:rPr>
              <w:t>“To depict what already exists in a group of the population” (Walia &amp; Chetty, 2020)</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372B36" w14:textId="77777777" w:rsidR="002530E2" w:rsidRDefault="002530E2">
            <w:pPr>
              <w:spacing w:after="0" w:line="276" w:lineRule="auto"/>
              <w:rPr>
                <w:sz w:val="16"/>
                <w:szCs w:val="16"/>
              </w:rPr>
            </w:pPr>
            <w:r>
              <w:rPr>
                <w:sz w:val="16"/>
                <w:szCs w:val="16"/>
              </w:rPr>
              <w:t>“To study a situation or a problem to explain the relationships between variables” and/ or (Saunders et. al, 2018); “identify the extent and nature of cause and effect relationships” and/ or “investigate the qualities or the characteristics that are connected in some way or the other”  (Walia &amp; Chetty, 2020)</w:t>
            </w:r>
          </w:p>
        </w:tc>
      </w:tr>
      <w:tr w:rsidR="002530E2" w14:paraId="1CB5C033" w14:textId="77777777">
        <w:trPr>
          <w:trHeight w:val="1941"/>
        </w:trPr>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DB2289F" w14:textId="77777777" w:rsidR="002530E2" w:rsidRDefault="002530E2">
            <w:pPr>
              <w:spacing w:after="0" w:line="276" w:lineRule="auto"/>
              <w:rPr>
                <w:sz w:val="16"/>
                <w:szCs w:val="16"/>
              </w:rPr>
            </w:pPr>
            <w:r>
              <w:rPr>
                <w:sz w:val="16"/>
                <w:szCs w:val="16"/>
              </w:rPr>
              <w:lastRenderedPageBreak/>
              <w:t>Goals</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6CD506E" w14:textId="77777777" w:rsidR="002530E2" w:rsidRDefault="002530E2">
            <w:pPr>
              <w:spacing w:after="0" w:line="276" w:lineRule="auto"/>
              <w:rPr>
                <w:sz w:val="16"/>
                <w:szCs w:val="16"/>
              </w:rPr>
            </w:pPr>
            <w:r>
              <w:rPr>
                <w:sz w:val="16"/>
                <w:szCs w:val="16"/>
              </w:rPr>
              <w:t>seeking to find “what is happening, and gain new insights” (Robson, 2002; Saunders et. al, 2007)</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D933851" w14:textId="77777777" w:rsidR="002530E2" w:rsidRDefault="002530E2">
            <w:pPr>
              <w:spacing w:after="0" w:line="276" w:lineRule="auto"/>
              <w:rPr>
                <w:sz w:val="16"/>
                <w:szCs w:val="16"/>
              </w:rPr>
            </w:pPr>
            <w:r>
              <w:rPr>
                <w:sz w:val="16"/>
                <w:szCs w:val="16"/>
              </w:rPr>
              <w:t>portraying or describing an event or situation or a person (Robson, 2002; Saunders et. al, 2007)</w:t>
            </w:r>
          </w:p>
        </w:tc>
        <w:tc>
          <w:tcPr>
            <w:tcW w:w="2268"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E469A4" w14:textId="77777777" w:rsidR="002530E2" w:rsidRDefault="002530E2">
            <w:pPr>
              <w:spacing w:after="0" w:line="276" w:lineRule="auto"/>
              <w:rPr>
                <w:sz w:val="16"/>
                <w:szCs w:val="16"/>
              </w:rPr>
            </w:pPr>
            <w:r>
              <w:rPr>
                <w:sz w:val="16"/>
                <w:szCs w:val="16"/>
              </w:rPr>
              <w:t>the cause-and-effect relationship between variables  and establishes relationships between the variables (Chaudhari, 2020; Saunders et. al, 2007)</w:t>
            </w:r>
          </w:p>
        </w:tc>
      </w:tr>
    </w:tbl>
    <w:p w14:paraId="039B35AE" w14:textId="77777777" w:rsidR="002530E2" w:rsidRDefault="002530E2">
      <w:pPr>
        <w:pStyle w:val="Heading4"/>
      </w:pPr>
      <w:bookmarkStart w:id="110" w:name="_iwuwqo7yvfrt" w:colFirst="0" w:colLast="0"/>
      <w:bookmarkEnd w:id="110"/>
    </w:p>
    <w:p w14:paraId="7466FCD2" w14:textId="77777777" w:rsidR="002530E2" w:rsidRDefault="002530E2">
      <w:pPr>
        <w:pStyle w:val="Heading4"/>
      </w:pPr>
      <w:bookmarkStart w:id="111" w:name="_yeu1ziwu1oc" w:colFirst="0" w:colLast="0"/>
      <w:bookmarkEnd w:id="111"/>
      <w:r>
        <w:t xml:space="preserve">Table [Appendix (CHP:3) 001] 6: The aim/ purpose of this study, adapted from DiscoverPhDs (2020) and other authors as cited above. </w:t>
      </w:r>
    </w:p>
    <w:p w14:paraId="2DFDEF5D" w14:textId="77777777" w:rsidR="002530E2" w:rsidRDefault="002530E2">
      <w:pPr>
        <w:pStyle w:val="Heading1"/>
      </w:pPr>
      <w:bookmarkStart w:id="112" w:name="_v4zf6ki2tpy1" w:colFirst="0" w:colLast="0"/>
      <w:bookmarkEnd w:id="112"/>
      <w:r>
        <w:t>RESEARCH OBJECTIVES</w:t>
      </w:r>
    </w:p>
    <w:p w14:paraId="01D48BFF" w14:textId="77777777" w:rsidR="002530E2" w:rsidRDefault="002530E2">
      <w:r>
        <w:t>Future Learn &amp; Coventry University (2020) refer to research objectives as specific steps that researchers follow to meet or achieve the research aim. The questions of what, why, who, when, and how are defined in the research objectives. As a general guide suggested by the university, there should be between three and five objectives derived from the aim when creating a research project so as to stay focused. The research objectives should be reviewed or revised regularly, and once they have been defined, it is important to consider whether each objective is achievable. “The research objectives should be S.M.A.R.T. (Specific, Measurable, Achievable, Realistic, and Time-constrained.”</w:t>
      </w:r>
    </w:p>
    <w:p w14:paraId="520B5482" w14:textId="77777777" w:rsidR="002530E2" w:rsidRDefault="002530E2">
      <w:r>
        <w:t xml:space="preserve">The Indeed Editorial Team (2021) points out that defining clear research objectives is crucial to driving the research and helping it make progress towards the overall objectives. Research projects contain multiple research objectives and there are always more than a minimum of three research objectives. Furthermore, research objectives help in narrowing down the focus of research, determining which variables to consider, and guiding the research. </w:t>
      </w:r>
    </w:p>
    <w:p w14:paraId="17B5D2C7" w14:textId="77777777" w:rsidR="002530E2" w:rsidRDefault="002530E2">
      <w:r>
        <w:t>The Indeed Editorial Team (2021) recommends the following action verbs to use when setting the research objectives: explain, describe, assess, determine, compare, and calculate.</w:t>
      </w:r>
    </w:p>
    <w:p w14:paraId="3563D4B7" w14:textId="77777777" w:rsidR="002530E2" w:rsidRDefault="002530E2">
      <w:pPr>
        <w:pStyle w:val="Heading1"/>
      </w:pPr>
      <w:bookmarkStart w:id="113" w:name="_fhr0e6kl879a" w:colFirst="0" w:colLast="0"/>
      <w:bookmarkEnd w:id="113"/>
      <w:r>
        <w:t>RESEARCH DELIMITATIONS</w:t>
      </w:r>
    </w:p>
    <w:p w14:paraId="51E441B4" w14:textId="77777777" w:rsidR="002530E2" w:rsidRDefault="002530E2">
      <w:r>
        <w:t xml:space="preserve">St. Cloud State University (2020) refers to delimitations as the boundaries that have been set for the study. The university suggests that researchers’ choices should be mentioned in delimitations. </w:t>
      </w:r>
    </w:p>
    <w:p w14:paraId="3CB96C55" w14:textId="77777777" w:rsidR="002530E2" w:rsidRDefault="002530E2">
      <w:r>
        <w:t>In the delimitation, researchers establish the boundaries of their study based on their choices of what is included and what is excluded (DiscoverPhDs, 2020).</w:t>
      </w:r>
    </w:p>
    <w:p w14:paraId="307DDFD5" w14:textId="77777777" w:rsidR="002530E2" w:rsidRDefault="002530E2">
      <w:r>
        <w:t xml:space="preserve">PhdStudent.com (2020) explains that research delimitations ensure that research does not become so large that it becomes impossible to complete or impossible to achieve. Delimitations include choices from any part of the research (e.g., research questions, research objectives, variables, theoretical objectives that are adopted, and targeted sample populations of the study). </w:t>
      </w:r>
    </w:p>
    <w:p w14:paraId="6800B7E2" w14:textId="77777777" w:rsidR="002530E2" w:rsidRDefault="002530E2">
      <w:pPr>
        <w:pStyle w:val="Heading1"/>
      </w:pPr>
      <w:bookmarkStart w:id="114" w:name="_nkxm85j66rux" w:colFirst="0" w:colLast="0"/>
      <w:bookmarkEnd w:id="114"/>
      <w:r>
        <w:lastRenderedPageBreak/>
        <w:t>RESEARCH LIMITATIONS</w:t>
      </w:r>
    </w:p>
    <w:p w14:paraId="7E9B3A35" w14:textId="77777777" w:rsidR="002530E2" w:rsidRDefault="002530E2">
      <w:r>
        <w:t xml:space="preserve">St. Cloud State University (2020) refers to limitations as “influences that the researcher cannot control.” PhdStudent.com (2020) explains that the research limitations in a thesis are areas of vulnerability a researcher is not in control of. It could be funding constraints, statistical models, or research design choices, as well as other factors over which researchers have no control. A limitation can also affect the design and results of your study if it is impossible to disregard it. Researchers cannot avoid limitations, since there are limitations to practically every research project. </w:t>
      </w:r>
    </w:p>
    <w:p w14:paraId="2414ECAE" w14:textId="77777777" w:rsidR="002530E2" w:rsidRDefault="002530E2">
      <w:r>
        <w:t>According to DiscoverPhDs (2020), research limitations are characteristics of the design or methodology of a study that cannot be controlled but affect the validity and reliability of the results. To put it another way, limitations are what a researcher can't do (elements out of their control). Because of this, limitations have a negative impact on the internal and external validity of the study. These are often seen as potential weaknesses in the study.</w:t>
      </w:r>
    </w:p>
    <w:p w14:paraId="51C89891" w14:textId="77777777" w:rsidR="002530E2" w:rsidRDefault="002530E2">
      <w:r>
        <w:t>PhdStudent.com (2020) adds that researchers should be assured that limitations are an inevitable part of most research projects, as they are in most aspects of life, so they do not need to worry about them.</w:t>
      </w:r>
    </w:p>
    <w:p w14:paraId="1791C5D9" w14:textId="77777777" w:rsidR="002530E2" w:rsidRDefault="002530E2">
      <w:pPr>
        <w:pStyle w:val="Heading1"/>
      </w:pPr>
      <w:bookmarkStart w:id="115" w:name="_ooek7e5z8m29" w:colFirst="0" w:colLast="0"/>
      <w:bookmarkEnd w:id="115"/>
      <w:r>
        <w:t xml:space="preserve">RESEARCH SCOPE </w:t>
      </w:r>
    </w:p>
    <w:p w14:paraId="4E5FE122" w14:textId="77777777" w:rsidR="002530E2" w:rsidRDefault="002530E2">
      <w:r>
        <w:t>According to DiscoverPhDs (2020), a study scope is the framework within which the research project will be carried out; this can also be referred to as the scope of research; and when researchers define the study scope, they define all aspects that will be considered in the research project. Prior to starting any data collection or experimental research work, the scope of the study is discussed and agreed upon at the onset of the study. This is essential for focusing the research on what can actually be carried out within the specified timeframe. In a clearly defined study or research scope, researchers can specify what will be investigated in their study and the desired outcomes, as well as the reasons for collecting certain data and excluding others.</w:t>
      </w:r>
    </w:p>
    <w:p w14:paraId="4F4CC43F" w14:textId="77777777" w:rsidR="002530E2" w:rsidRDefault="002530E2">
      <w:r>
        <w:t>A framework that DiscoverPhDs (2020) recommends can be instrumental in building a good scope statement. The framework as presented below is based on answering a set of six questions that provide clarity on specific variables that are included or excluded from the research scope, which is due to their being either a limitation or delimitation. See the figure below based on the six questions of the framework followed by the list of questions.</w:t>
      </w:r>
    </w:p>
    <w:p w14:paraId="4F117822" w14:textId="77777777" w:rsidR="002530E2" w:rsidRDefault="002530E2">
      <w:pPr>
        <w:jc w:val="center"/>
      </w:pPr>
      <w:r>
        <w:rPr>
          <w:noProof/>
        </w:rPr>
        <w:drawing>
          <wp:inline distT="114300" distB="114300" distL="114300" distR="114300" wp14:anchorId="575E9594" wp14:editId="629D28E7">
            <wp:extent cx="4260293" cy="33958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4260293" cy="339589"/>
                    </a:xfrm>
                    <a:prstGeom prst="rect">
                      <a:avLst/>
                    </a:prstGeom>
                    <a:ln/>
                  </pic:spPr>
                </pic:pic>
              </a:graphicData>
            </a:graphic>
          </wp:inline>
        </w:drawing>
      </w:r>
    </w:p>
    <w:p w14:paraId="6C3A829F" w14:textId="77777777" w:rsidR="002530E2" w:rsidRDefault="002530E2">
      <w:pPr>
        <w:pStyle w:val="Heading4"/>
      </w:pPr>
      <w:bookmarkStart w:id="116" w:name="_h2k8akhwmc9t" w:colFirst="0" w:colLast="0"/>
      <w:bookmarkEnd w:id="116"/>
      <w:r>
        <w:t>Figure [Appendix (CHP:3) 001] 1: A framework to build a good scope statement, recommended by and adapted from DiscoverPhDs (2020) (image credit is the same source).</w:t>
      </w:r>
    </w:p>
    <w:p w14:paraId="1BB1F889" w14:textId="77777777" w:rsidR="002530E2" w:rsidRDefault="002530E2"/>
    <w:p w14:paraId="15987378" w14:textId="77777777" w:rsidR="002530E2" w:rsidRDefault="002530E2" w:rsidP="002530E2">
      <w:pPr>
        <w:numPr>
          <w:ilvl w:val="0"/>
          <w:numId w:val="54"/>
        </w:numPr>
        <w:spacing w:after="200" w:line="360" w:lineRule="auto"/>
        <w:jc w:val="both"/>
      </w:pPr>
      <w:r>
        <w:t>Why: This provides an overview of the research's aim and general purpose (objectives).</w:t>
      </w:r>
    </w:p>
    <w:p w14:paraId="149271F4" w14:textId="77777777" w:rsidR="002530E2" w:rsidRDefault="002530E2" w:rsidP="002530E2">
      <w:pPr>
        <w:numPr>
          <w:ilvl w:val="0"/>
          <w:numId w:val="54"/>
        </w:numPr>
        <w:spacing w:after="200" w:line="360" w:lineRule="auto"/>
        <w:jc w:val="both"/>
      </w:pPr>
      <w:r>
        <w:lastRenderedPageBreak/>
        <w:t>What: This provides an overview of the subject to be investigated as well as the variables to be included in the research.</w:t>
      </w:r>
    </w:p>
    <w:p w14:paraId="512A4953" w14:textId="77777777" w:rsidR="002530E2" w:rsidRDefault="002530E2" w:rsidP="002530E2">
      <w:pPr>
        <w:numPr>
          <w:ilvl w:val="0"/>
          <w:numId w:val="54"/>
        </w:numPr>
        <w:spacing w:after="200" w:line="360" w:lineRule="auto"/>
        <w:jc w:val="both"/>
      </w:pPr>
      <w:r>
        <w:t>Where: This refers to the place in which the study will be conducted (aka research setting or location of study) and where the data will be collected, as well as to which entity the data belongs to.</w:t>
      </w:r>
    </w:p>
    <w:p w14:paraId="5E4BCB05" w14:textId="77777777" w:rsidR="002530E2" w:rsidRDefault="002530E2" w:rsidP="002530E2">
      <w:pPr>
        <w:numPr>
          <w:ilvl w:val="0"/>
          <w:numId w:val="54"/>
        </w:numPr>
        <w:spacing w:after="200" w:line="360" w:lineRule="auto"/>
        <w:jc w:val="both"/>
      </w:pPr>
      <w:r>
        <w:t xml:space="preserve">When: This refers to the timeframe of data collection, within which the data will be gathered. This is usually limited in scope and is a research constraint. </w:t>
      </w:r>
    </w:p>
    <w:p w14:paraId="1CB85ECD" w14:textId="77777777" w:rsidR="002530E2" w:rsidRDefault="002530E2" w:rsidP="002530E2">
      <w:pPr>
        <w:numPr>
          <w:ilvl w:val="0"/>
          <w:numId w:val="54"/>
        </w:numPr>
        <w:spacing w:after="200" w:line="360" w:lineRule="auto"/>
        <w:jc w:val="both"/>
      </w:pPr>
      <w:r>
        <w:t>Who: This refers to the study's subjects as well as the target sample population on which the study will be based. For the purposes of generalisation, a large population needs to be employed. However, not all studies aim for generalisation, and samples may be smaller. For example, in case studies, samples are smaller and, rather than generalisation, an understanding of the problem or phenomenon is gained as well as a sense of the data.</w:t>
      </w:r>
    </w:p>
    <w:p w14:paraId="6819AC19" w14:textId="77777777" w:rsidR="002530E2" w:rsidRDefault="002530E2" w:rsidP="002530E2">
      <w:pPr>
        <w:numPr>
          <w:ilvl w:val="0"/>
          <w:numId w:val="54"/>
        </w:numPr>
        <w:spacing w:after="200" w:line="360" w:lineRule="auto"/>
        <w:jc w:val="both"/>
      </w:pPr>
      <w:r>
        <w:t>How: This refers to a description of the research design, how the study will be conducted, which includes the methodology, research tools, and analysis methods (e.g., qualitative research, experimental research, or case study, etc.).</w:t>
      </w:r>
    </w:p>
    <w:p w14:paraId="3BEC1BD1" w14:textId="77777777" w:rsidR="002530E2" w:rsidRDefault="002530E2">
      <w:r>
        <w:t>The DiscoverPhDs (2020) further present a contrast between scope and delimitations and limitations. While delimitations refer to setting the boundaries of the research study on what was deliberately excluded, limitations refer to what the research study is unable to address. Similar to delimitations, research scope also defines the boundaries of the research study. However, the scope in-depth describes how the study explores the research question and what parameters it will function in relation to the population and timeframe characteristics.</w:t>
      </w: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560"/>
        <w:gridCol w:w="2850"/>
        <w:gridCol w:w="3030"/>
      </w:tblGrid>
      <w:tr w:rsidR="002530E2" w14:paraId="1E06E7CE" w14:textId="77777777">
        <w:tc>
          <w:tcPr>
            <w:tcW w:w="16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F3E782" w14:textId="77777777" w:rsidR="002530E2" w:rsidRDefault="002530E2">
            <w:pPr>
              <w:spacing w:after="0" w:line="276" w:lineRule="auto"/>
              <w:rPr>
                <w:sz w:val="16"/>
                <w:szCs w:val="16"/>
              </w:rPr>
            </w:pPr>
            <w:r>
              <w:rPr>
                <w:sz w:val="16"/>
                <w:szCs w:val="16"/>
              </w:rPr>
              <w:t xml:space="preserve">Nature of Research, </w:t>
            </w:r>
          </w:p>
          <w:p w14:paraId="0705441E" w14:textId="77777777" w:rsidR="002530E2" w:rsidRDefault="002530E2">
            <w:pPr>
              <w:spacing w:after="0" w:line="276" w:lineRule="auto"/>
              <w:rPr>
                <w:sz w:val="16"/>
                <w:szCs w:val="16"/>
              </w:rPr>
            </w:pPr>
            <w:r>
              <w:rPr>
                <w:sz w:val="16"/>
                <w:szCs w:val="16"/>
              </w:rPr>
              <w:t xml:space="preserve">or study or project </w:t>
            </w:r>
          </w:p>
        </w:tc>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012D6F0" w14:textId="77777777" w:rsidR="002530E2" w:rsidRDefault="002530E2">
            <w:pPr>
              <w:spacing w:after="0" w:line="276" w:lineRule="auto"/>
              <w:rPr>
                <w:sz w:val="16"/>
                <w:szCs w:val="16"/>
              </w:rPr>
            </w:pPr>
            <w:r>
              <w:rPr>
                <w:sz w:val="16"/>
                <w:szCs w:val="16"/>
              </w:rPr>
              <w:t xml:space="preserve">Exploratory </w:t>
            </w:r>
          </w:p>
          <w:p w14:paraId="1DCC9D31" w14:textId="77777777" w:rsidR="002530E2" w:rsidRDefault="002530E2">
            <w:pPr>
              <w:spacing w:after="0" w:line="276" w:lineRule="auto"/>
              <w:rPr>
                <w:sz w:val="16"/>
                <w:szCs w:val="16"/>
              </w:rPr>
            </w:pPr>
            <w:r>
              <w:rPr>
                <w:sz w:val="16"/>
                <w:szCs w:val="16"/>
              </w:rPr>
              <w:t>Research</w:t>
            </w:r>
          </w:p>
        </w:tc>
        <w:tc>
          <w:tcPr>
            <w:tcW w:w="28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DB718C6" w14:textId="77777777" w:rsidR="002530E2" w:rsidRDefault="002530E2">
            <w:pPr>
              <w:spacing w:after="0" w:line="276" w:lineRule="auto"/>
              <w:rPr>
                <w:sz w:val="16"/>
                <w:szCs w:val="16"/>
              </w:rPr>
            </w:pPr>
            <w:r>
              <w:rPr>
                <w:sz w:val="16"/>
                <w:szCs w:val="16"/>
              </w:rPr>
              <w:t xml:space="preserve">Descriptive </w:t>
            </w:r>
          </w:p>
          <w:p w14:paraId="043E31B6" w14:textId="77777777" w:rsidR="002530E2" w:rsidRDefault="002530E2">
            <w:pPr>
              <w:spacing w:after="0" w:line="276" w:lineRule="auto"/>
              <w:rPr>
                <w:sz w:val="16"/>
                <w:szCs w:val="16"/>
              </w:rPr>
            </w:pPr>
            <w:r>
              <w:rPr>
                <w:sz w:val="16"/>
                <w:szCs w:val="16"/>
              </w:rPr>
              <w:t>Research</w:t>
            </w:r>
          </w:p>
        </w:tc>
        <w:tc>
          <w:tcPr>
            <w:tcW w:w="30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105B50F" w14:textId="77777777" w:rsidR="002530E2" w:rsidRDefault="002530E2">
            <w:pPr>
              <w:spacing w:after="0" w:line="276" w:lineRule="auto"/>
              <w:rPr>
                <w:sz w:val="16"/>
                <w:szCs w:val="16"/>
              </w:rPr>
            </w:pPr>
            <w:r>
              <w:rPr>
                <w:sz w:val="16"/>
                <w:szCs w:val="16"/>
              </w:rPr>
              <w:t xml:space="preserve">Explanatory </w:t>
            </w:r>
          </w:p>
          <w:p w14:paraId="32FFE527" w14:textId="77777777" w:rsidR="002530E2" w:rsidRDefault="002530E2">
            <w:pPr>
              <w:spacing w:after="0" w:line="276" w:lineRule="auto"/>
              <w:rPr>
                <w:sz w:val="16"/>
                <w:szCs w:val="16"/>
              </w:rPr>
            </w:pPr>
            <w:r>
              <w:rPr>
                <w:sz w:val="16"/>
                <w:szCs w:val="16"/>
              </w:rPr>
              <w:t>or Causal Research</w:t>
            </w:r>
          </w:p>
        </w:tc>
      </w:tr>
      <w:tr w:rsidR="002530E2" w14:paraId="1F5E4FDF" w14:textId="77777777">
        <w:tc>
          <w:tcPr>
            <w:tcW w:w="16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9F78D20" w14:textId="77777777" w:rsidR="002530E2" w:rsidRDefault="002530E2">
            <w:pPr>
              <w:spacing w:after="0" w:line="276" w:lineRule="auto"/>
              <w:rPr>
                <w:sz w:val="16"/>
                <w:szCs w:val="16"/>
              </w:rPr>
            </w:pPr>
            <w:r>
              <w:rPr>
                <w:sz w:val="16"/>
                <w:szCs w:val="16"/>
              </w:rPr>
              <w:t>Research scope</w:t>
            </w:r>
          </w:p>
        </w:tc>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EDBC72" w14:textId="77777777" w:rsidR="002530E2" w:rsidRDefault="002530E2">
            <w:pPr>
              <w:spacing w:after="0" w:line="276" w:lineRule="auto"/>
              <w:rPr>
                <w:sz w:val="16"/>
                <w:szCs w:val="16"/>
              </w:rPr>
            </w:pPr>
            <w:r>
              <w:rPr>
                <w:sz w:val="16"/>
                <w:szCs w:val="16"/>
              </w:rPr>
              <w:t xml:space="preserve">To study a topic for the first time as its unknown or unexplored (Chaudhari, 2020) </w:t>
            </w:r>
          </w:p>
        </w:tc>
        <w:tc>
          <w:tcPr>
            <w:tcW w:w="28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363479E" w14:textId="77777777" w:rsidR="002530E2" w:rsidRDefault="002530E2">
            <w:pPr>
              <w:spacing w:after="0" w:line="276" w:lineRule="auto"/>
              <w:rPr>
                <w:sz w:val="16"/>
                <w:szCs w:val="16"/>
              </w:rPr>
            </w:pPr>
            <w:r>
              <w:rPr>
                <w:sz w:val="16"/>
                <w:szCs w:val="16"/>
              </w:rPr>
              <w:t xml:space="preserve">To describe a phenomenon that has already been established by the exploratory research with past discoveries and/or suspicions in the pertinent topic (Chaudhari, 2020) </w:t>
            </w:r>
          </w:p>
        </w:tc>
        <w:tc>
          <w:tcPr>
            <w:tcW w:w="30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2BF48F3" w14:textId="77777777" w:rsidR="002530E2" w:rsidRDefault="002530E2">
            <w:pPr>
              <w:spacing w:after="0" w:line="276" w:lineRule="auto"/>
              <w:rPr>
                <w:sz w:val="16"/>
                <w:szCs w:val="16"/>
              </w:rPr>
            </w:pPr>
            <w:r>
              <w:rPr>
                <w:sz w:val="16"/>
                <w:szCs w:val="16"/>
              </w:rPr>
              <w:t>“To establish a relationship between two variables” (Fleetwood, 2020) and explain “the why and what for an object of study” (​​Bhat, 2020)</w:t>
            </w:r>
          </w:p>
        </w:tc>
      </w:tr>
    </w:tbl>
    <w:p w14:paraId="002ADD55" w14:textId="77777777" w:rsidR="002530E2" w:rsidRDefault="002530E2">
      <w:pPr>
        <w:pStyle w:val="Heading4"/>
      </w:pPr>
      <w:bookmarkStart w:id="117" w:name="_om0ab6yk4t4c" w:colFirst="0" w:colLast="0"/>
      <w:bookmarkEnd w:id="117"/>
    </w:p>
    <w:p w14:paraId="0779A5A7" w14:textId="77777777" w:rsidR="002530E2" w:rsidRDefault="002530E2">
      <w:pPr>
        <w:pStyle w:val="Heading4"/>
      </w:pPr>
      <w:bookmarkStart w:id="118" w:name="_b25pmtzhvggl" w:colFirst="0" w:colLast="0"/>
      <w:bookmarkEnd w:id="118"/>
      <w:r>
        <w:t xml:space="preserve">Table [Appendix (CHP:3) 001] 7: Research scope suggesting the overall boundary set for this study, adapted from DiscoverPhDs (2020) and other authors as cited above. </w:t>
      </w:r>
    </w:p>
    <w:p w14:paraId="60D4ABBE" w14:textId="77777777" w:rsidR="002530E2" w:rsidRDefault="002530E2">
      <w:pPr>
        <w:pStyle w:val="Heading1"/>
      </w:pPr>
      <w:bookmarkStart w:id="119" w:name="_ckiix5lgwsrz" w:colFirst="0" w:colLast="0"/>
      <w:bookmarkEnd w:id="119"/>
      <w:r>
        <w:t>ANTICIPATED CONTRIBUTIONS</w:t>
      </w:r>
    </w:p>
    <w:p w14:paraId="59CD8974" w14:textId="77777777" w:rsidR="002530E2" w:rsidRDefault="002530E2">
      <w:r>
        <w:t>According to The University of British Columbia (2011), an anticipated contribution during the research proposal stages is to identify and describe what researchers expect to be done in a study or what they know after they are done, and this could be numerous things, more than one component to it. Researchers cannot predict what they will find, achieve, or accomplish when conducting research. However, they can describe their assumptions about what they intend to do by asking a question and finding an answer to it. If the researchers are not sure of the answers in the beginning, but they have raised a good, clear, and prescient question, and even if the answer is not known or is as expected, they can still be rest assured they will learn something in the process.</w:t>
      </w:r>
    </w:p>
    <w:p w14:paraId="3D1F1835" w14:textId="77777777" w:rsidR="002530E2" w:rsidRDefault="002530E2">
      <w:r>
        <w:t xml:space="preserve">Adeyemi (2021) suggests that what researchers study or research, their area of investigation, how they go about it, problems they identify and solve, and so on, constitute the contributions to knowledge. Faloye (2021) supports Adeyemi (2021) that researchers should first describe the area of study and then, based on the findings of the study, what gaps have been filled. Javed (2022) adds that when describing a research contribution to research, it is important to include new findings, indicate how the findings are different from existing works, and the importance or significance of the research should be stated as well. </w:t>
      </w:r>
    </w:p>
    <w:p w14:paraId="6CF086C3" w14:textId="77777777" w:rsidR="002530E2" w:rsidRDefault="002530E2">
      <w:pPr>
        <w:pStyle w:val="Heading1"/>
      </w:pPr>
      <w:bookmarkStart w:id="120" w:name="_worzo7i2s446" w:colFirst="0" w:colLast="0"/>
      <w:bookmarkEnd w:id="120"/>
      <w:r>
        <w:t xml:space="preserve">THESIS CHAPTER OUTLINE </w:t>
      </w:r>
    </w:p>
    <w:p w14:paraId="626EDB0D" w14:textId="77777777" w:rsidR="002530E2" w:rsidRDefault="002530E2">
      <w:r>
        <w:t xml:space="preserve">McCombes (2019) explains in her guide on “how to write a thesis introduction” that the introduction chapter is the first chapter of the thesis and includes an overview of the structure. The researchers need to describe what they will cover in each chapter. </w:t>
      </w:r>
    </w:p>
    <w:p w14:paraId="51D6776F" w14:textId="77777777" w:rsidR="002530E2" w:rsidRDefault="002530E2">
      <w:r>
        <w:t xml:space="preserve">McCombes (2019) adds that each chapter in the thesis overview or outline should be summarised in order to establish how it contributes to the study's main aim. </w:t>
      </w:r>
    </w:p>
    <w:p w14:paraId="2BB0C4E0" w14:textId="77777777" w:rsidR="002530E2" w:rsidRDefault="002530E2">
      <w:r>
        <w:t>The best way to summarise the overview of the structure that McCombes (2019) recommends is to keep the overview concise by having a few sentences. In some cases, however, researchers may need to provide a full paragraph for each chapter if their research is complex or does not follow a conventional structure. The key is to make it clear in the thesis outline description how everything fits together.</w:t>
      </w:r>
    </w:p>
    <w:p w14:paraId="377DA044" w14:textId="77777777" w:rsidR="002530E2" w:rsidRDefault="002530E2">
      <w:pPr>
        <w:rPr>
          <w:color w:val="0E101A"/>
        </w:rPr>
      </w:pPr>
      <w:r>
        <w:t>The Georgia Institute of Technology (2013), in their Research Process Step-by-Step Guide, highlights that a formal outline helps researchers keep track of large amounts of information by organising the information in a hierarchical or logical way.</w:t>
      </w:r>
    </w:p>
    <w:p w14:paraId="697A10D7" w14:textId="77777777" w:rsidR="002530E2" w:rsidRDefault="002530E2">
      <w:pPr>
        <w:pStyle w:val="Heading1"/>
      </w:pPr>
      <w:bookmarkStart w:id="121" w:name="_50nwuar55yqg" w:colFirst="0" w:colLast="0"/>
      <w:bookmarkEnd w:id="121"/>
      <w:r>
        <w:lastRenderedPageBreak/>
        <w:t>LITERATURE REVIEW PROCESS</w:t>
      </w:r>
    </w:p>
    <w:p w14:paraId="0AE4F488" w14:textId="77777777" w:rsidR="002530E2" w:rsidRDefault="002530E2">
      <w:r>
        <w:t xml:space="preserve">According to The University of Edinburgh (2020), literature reviews give a researcher an understanding of the current state of research in a particular field before they start investigating. In order to conduct a new investigation in a particular field, it is necessary to examine current research and existing knowledge. In other words, the literature review helps the researcher identify what has already been written on a topic and what is unknown or unexplored. </w:t>
      </w:r>
    </w:p>
    <w:p w14:paraId="0C85B284" w14:textId="77777777" w:rsidR="002530E2" w:rsidRDefault="002530E2">
      <w:r>
        <w:t>A literature review is different from a literature report because it is a piece of academic writing that demonstrates knowledge and understanding of the academic literature on a particular topic and it also includes a critical evaluation of that material (The University of Edinburgh, 2020).</w:t>
      </w:r>
    </w:p>
    <w:p w14:paraId="001E32C5" w14:textId="77777777" w:rsidR="002530E2" w:rsidRDefault="002530E2">
      <w:r>
        <w:t>The University of Edinburgh (2020) recommends the following good practise for a literature review, as listed below:</w:t>
      </w:r>
    </w:p>
    <w:p w14:paraId="218E679D" w14:textId="77777777" w:rsidR="002530E2" w:rsidRDefault="002530E2" w:rsidP="002530E2">
      <w:pPr>
        <w:numPr>
          <w:ilvl w:val="0"/>
          <w:numId w:val="55"/>
        </w:numPr>
        <w:spacing w:after="0" w:line="360" w:lineRule="auto"/>
        <w:jc w:val="both"/>
      </w:pPr>
      <w:r>
        <w:t>Synthesise and evaluate previous research and theories;</w:t>
      </w:r>
    </w:p>
    <w:p w14:paraId="6F29C6C7" w14:textId="77777777" w:rsidR="002530E2" w:rsidRDefault="002530E2" w:rsidP="002530E2">
      <w:pPr>
        <w:numPr>
          <w:ilvl w:val="0"/>
          <w:numId w:val="55"/>
        </w:numPr>
        <w:spacing w:after="0" w:line="360" w:lineRule="auto"/>
        <w:jc w:val="both"/>
      </w:pPr>
      <w:r>
        <w:t>Determine disputed claims and points of contention;</w:t>
      </w:r>
    </w:p>
    <w:p w14:paraId="30BBB93A" w14:textId="77777777" w:rsidR="002530E2" w:rsidRDefault="002530E2" w:rsidP="002530E2">
      <w:pPr>
        <w:numPr>
          <w:ilvl w:val="0"/>
          <w:numId w:val="55"/>
        </w:numPr>
        <w:spacing w:after="200" w:line="360" w:lineRule="auto"/>
        <w:jc w:val="both"/>
      </w:pPr>
      <w:r>
        <w:t>Draw attention to any gaps in previous research.</w:t>
      </w:r>
    </w:p>
    <w:p w14:paraId="2CBDC681" w14:textId="77777777" w:rsidR="002530E2" w:rsidRDefault="002530E2">
      <w:r>
        <w:t>The purpose of the literature review is to summarise a topic that is broad in scope in order to compare and contrast different authors and their views, critique some aspects, highlight gaps if found any and last but not the least indicate how this research relates to previous studies in methods and history. The researcher has to question himself with the following:</w:t>
      </w:r>
    </w:p>
    <w:p w14:paraId="077513F1" w14:textId="77777777" w:rsidR="002530E2" w:rsidRDefault="002530E2" w:rsidP="002530E2">
      <w:pPr>
        <w:numPr>
          <w:ilvl w:val="0"/>
          <w:numId w:val="47"/>
        </w:numPr>
        <w:spacing w:after="0" w:line="360" w:lineRule="auto"/>
        <w:jc w:val="both"/>
      </w:pPr>
      <w:r>
        <w:t>Defining the specific problem or research question and its significance within the literature;</w:t>
      </w:r>
    </w:p>
    <w:p w14:paraId="318AA632" w14:textId="77777777" w:rsidR="002530E2" w:rsidRDefault="002530E2" w:rsidP="002530E2">
      <w:pPr>
        <w:numPr>
          <w:ilvl w:val="0"/>
          <w:numId w:val="47"/>
        </w:numPr>
        <w:spacing w:after="0" w:line="360" w:lineRule="auto"/>
        <w:jc w:val="both"/>
      </w:pPr>
      <w:r>
        <w:t>The decision on selecting the type of review sources such as journals, books, government documents, media, website, blog, video, social media etc;</w:t>
      </w:r>
    </w:p>
    <w:p w14:paraId="2F1694FF" w14:textId="77777777" w:rsidR="002530E2" w:rsidRDefault="002530E2" w:rsidP="002530E2">
      <w:pPr>
        <w:numPr>
          <w:ilvl w:val="0"/>
          <w:numId w:val="47"/>
        </w:numPr>
        <w:spacing w:after="0" w:line="360" w:lineRule="auto"/>
        <w:jc w:val="both"/>
      </w:pPr>
      <w:r>
        <w:t>What discipline does the literature link to?;</w:t>
      </w:r>
    </w:p>
    <w:p w14:paraId="105EC365" w14:textId="77777777" w:rsidR="002530E2" w:rsidRDefault="002530E2" w:rsidP="002530E2">
      <w:pPr>
        <w:numPr>
          <w:ilvl w:val="0"/>
          <w:numId w:val="47"/>
        </w:numPr>
        <w:spacing w:after="0" w:line="360" w:lineRule="auto"/>
        <w:jc w:val="both"/>
      </w:pPr>
      <w:r>
        <w:t>Evaluation of what has been studied and what needs to be done?;</w:t>
      </w:r>
    </w:p>
    <w:p w14:paraId="1E7ABB7B" w14:textId="77777777" w:rsidR="002530E2" w:rsidRDefault="002530E2" w:rsidP="002530E2">
      <w:pPr>
        <w:numPr>
          <w:ilvl w:val="0"/>
          <w:numId w:val="47"/>
        </w:numPr>
        <w:spacing w:after="0" w:line="360" w:lineRule="auto"/>
        <w:jc w:val="both"/>
      </w:pPr>
      <w:r>
        <w:t>Identification of ideas, concepts, methods, processes, techniques relevant to the topic and justify criteria for inclusion and exclusion;</w:t>
      </w:r>
    </w:p>
    <w:p w14:paraId="65772397" w14:textId="77777777" w:rsidR="002530E2" w:rsidRDefault="002530E2" w:rsidP="002530E2">
      <w:pPr>
        <w:numPr>
          <w:ilvl w:val="0"/>
          <w:numId w:val="47"/>
        </w:numPr>
        <w:spacing w:after="0" w:line="360" w:lineRule="auto"/>
        <w:jc w:val="both"/>
      </w:pPr>
      <w:r>
        <w:t>Materials to be relevant to the review?;</w:t>
      </w:r>
    </w:p>
    <w:p w14:paraId="269D43C1" w14:textId="77777777" w:rsidR="002530E2" w:rsidRDefault="002530E2" w:rsidP="002530E2">
      <w:pPr>
        <w:numPr>
          <w:ilvl w:val="0"/>
          <w:numId w:val="47"/>
        </w:numPr>
        <w:spacing w:after="0" w:line="360" w:lineRule="auto"/>
        <w:jc w:val="both"/>
      </w:pPr>
      <w:r>
        <w:t>Is the amount of source sufficient and appropriate?;</w:t>
      </w:r>
    </w:p>
    <w:p w14:paraId="7A3D0C2A" w14:textId="77777777" w:rsidR="002530E2" w:rsidRDefault="002530E2" w:rsidP="002530E2">
      <w:pPr>
        <w:numPr>
          <w:ilvl w:val="0"/>
          <w:numId w:val="47"/>
        </w:numPr>
        <w:spacing w:after="0" w:line="360" w:lineRule="auto"/>
        <w:jc w:val="both"/>
      </w:pPr>
      <w:r>
        <w:t>The literature if being reviewed, analysed and summarised critically?;</w:t>
      </w:r>
    </w:p>
    <w:p w14:paraId="1308AB49" w14:textId="77777777" w:rsidR="002530E2" w:rsidRDefault="002530E2" w:rsidP="002530E2">
      <w:pPr>
        <w:numPr>
          <w:ilvl w:val="0"/>
          <w:numId w:val="47"/>
        </w:numPr>
        <w:spacing w:after="200" w:line="360" w:lineRule="auto"/>
        <w:jc w:val="both"/>
      </w:pPr>
      <w:r>
        <w:t>The relevance and usefulness of the material.</w:t>
      </w:r>
    </w:p>
    <w:p w14:paraId="4E9FC518" w14:textId="77777777" w:rsidR="002530E2" w:rsidRDefault="002530E2">
      <w:r>
        <w:t>A literature review is conducted with:</w:t>
      </w:r>
    </w:p>
    <w:p w14:paraId="6258FEB0" w14:textId="77777777" w:rsidR="002530E2" w:rsidRDefault="002530E2" w:rsidP="002530E2">
      <w:pPr>
        <w:numPr>
          <w:ilvl w:val="0"/>
          <w:numId w:val="50"/>
        </w:numPr>
        <w:spacing w:after="0" w:line="360" w:lineRule="auto"/>
        <w:jc w:val="both"/>
      </w:pPr>
      <w:r>
        <w:t>Firstly deciding upon a topic;</w:t>
      </w:r>
    </w:p>
    <w:p w14:paraId="0B2F7F08" w14:textId="77777777" w:rsidR="002530E2" w:rsidRDefault="002530E2" w:rsidP="002530E2">
      <w:pPr>
        <w:numPr>
          <w:ilvl w:val="0"/>
          <w:numId w:val="50"/>
        </w:numPr>
        <w:spacing w:after="0" w:line="360" w:lineRule="auto"/>
        <w:jc w:val="both"/>
      </w:pPr>
      <w:r>
        <w:t>Then, the literature is identified that will be reviewed;</w:t>
      </w:r>
    </w:p>
    <w:p w14:paraId="38290842" w14:textId="77777777" w:rsidR="002530E2" w:rsidRDefault="002530E2" w:rsidP="002530E2">
      <w:pPr>
        <w:numPr>
          <w:ilvl w:val="0"/>
          <w:numId w:val="50"/>
        </w:numPr>
        <w:spacing w:after="0" w:line="360" w:lineRule="auto"/>
        <w:jc w:val="both"/>
      </w:pPr>
      <w:r>
        <w:t>Then, the literature is analysed;</w:t>
      </w:r>
    </w:p>
    <w:p w14:paraId="192EA837" w14:textId="77777777" w:rsidR="002530E2" w:rsidRDefault="002530E2" w:rsidP="002530E2">
      <w:pPr>
        <w:numPr>
          <w:ilvl w:val="0"/>
          <w:numId w:val="50"/>
        </w:numPr>
        <w:spacing w:after="0" w:line="360" w:lineRule="auto"/>
        <w:jc w:val="both"/>
      </w:pPr>
      <w:r>
        <w:lastRenderedPageBreak/>
        <w:t>Then, summarised, and finally,</w:t>
      </w:r>
    </w:p>
    <w:p w14:paraId="2DF81076" w14:textId="77777777" w:rsidR="002530E2" w:rsidRDefault="002530E2" w:rsidP="002530E2">
      <w:pPr>
        <w:numPr>
          <w:ilvl w:val="0"/>
          <w:numId w:val="50"/>
        </w:numPr>
        <w:spacing w:after="200" w:line="360" w:lineRule="auto"/>
        <w:jc w:val="both"/>
      </w:pPr>
      <w:r>
        <w:t xml:space="preserve">The review of literature is written. </w:t>
      </w:r>
    </w:p>
    <w:p w14:paraId="209C477A" w14:textId="77777777" w:rsidR="002530E2" w:rsidRDefault="002530E2">
      <w:r>
        <w:t>The most popular types of Literature Review in business studies are:</w:t>
      </w:r>
    </w:p>
    <w:p w14:paraId="266EC72C" w14:textId="77777777" w:rsidR="002530E2" w:rsidRDefault="002530E2" w:rsidP="002530E2">
      <w:pPr>
        <w:numPr>
          <w:ilvl w:val="0"/>
          <w:numId w:val="43"/>
        </w:numPr>
        <w:spacing w:after="0" w:line="360" w:lineRule="auto"/>
        <w:jc w:val="both"/>
      </w:pPr>
      <w:r>
        <w:t>Historical Review;</w:t>
      </w:r>
    </w:p>
    <w:p w14:paraId="02DBB123" w14:textId="77777777" w:rsidR="002530E2" w:rsidRDefault="002530E2" w:rsidP="002530E2">
      <w:pPr>
        <w:numPr>
          <w:ilvl w:val="0"/>
          <w:numId w:val="43"/>
        </w:numPr>
        <w:spacing w:after="0" w:line="360" w:lineRule="auto"/>
        <w:jc w:val="both"/>
      </w:pPr>
      <w:r>
        <w:t>Integrative Review;</w:t>
      </w:r>
    </w:p>
    <w:p w14:paraId="41275080" w14:textId="77777777" w:rsidR="002530E2" w:rsidRDefault="002530E2" w:rsidP="002530E2">
      <w:pPr>
        <w:numPr>
          <w:ilvl w:val="0"/>
          <w:numId w:val="43"/>
        </w:numPr>
        <w:spacing w:after="0" w:line="360" w:lineRule="auto"/>
        <w:jc w:val="both"/>
      </w:pPr>
      <w:r>
        <w:t>Methodological Review;</w:t>
      </w:r>
    </w:p>
    <w:p w14:paraId="1C480E9A" w14:textId="77777777" w:rsidR="002530E2" w:rsidRDefault="002530E2" w:rsidP="002530E2">
      <w:pPr>
        <w:numPr>
          <w:ilvl w:val="0"/>
          <w:numId w:val="43"/>
        </w:numPr>
        <w:spacing w:after="0" w:line="360" w:lineRule="auto"/>
        <w:jc w:val="both"/>
      </w:pPr>
      <w:r>
        <w:t>Narrative Review;</w:t>
      </w:r>
    </w:p>
    <w:p w14:paraId="1364FB18" w14:textId="77777777" w:rsidR="002530E2" w:rsidRDefault="002530E2" w:rsidP="002530E2">
      <w:pPr>
        <w:numPr>
          <w:ilvl w:val="0"/>
          <w:numId w:val="43"/>
        </w:numPr>
        <w:spacing w:after="0" w:line="360" w:lineRule="auto"/>
        <w:jc w:val="both"/>
      </w:pPr>
      <w:r>
        <w:t>Systematic Review; and</w:t>
      </w:r>
    </w:p>
    <w:p w14:paraId="240196B2" w14:textId="77777777" w:rsidR="002530E2" w:rsidRDefault="002530E2" w:rsidP="002530E2">
      <w:pPr>
        <w:numPr>
          <w:ilvl w:val="0"/>
          <w:numId w:val="43"/>
        </w:numPr>
        <w:spacing w:after="0" w:line="360" w:lineRule="auto"/>
        <w:jc w:val="both"/>
      </w:pPr>
      <w:r>
        <w:t>Theoretical Review.</w:t>
      </w:r>
    </w:p>
    <w:p w14:paraId="6BFEEF5F" w14:textId="77777777" w:rsidR="002530E2" w:rsidRDefault="002530E2">
      <w:pPr>
        <w:pStyle w:val="Heading1"/>
      </w:pPr>
      <w:bookmarkStart w:id="122" w:name="_u9adx9dq8ayz" w:colFirst="0" w:colLast="0"/>
      <w:bookmarkEnd w:id="122"/>
      <w:r>
        <w:t>KEY TERM DEFINITIONS</w:t>
      </w:r>
    </w:p>
    <w:p w14:paraId="2E31FF02" w14:textId="77777777" w:rsidR="002530E2" w:rsidRDefault="002530E2">
      <w:r>
        <w:t xml:space="preserve">Mader (2021) on planeta.com, refers to the word ‘definition’ as “a statement of the exact meaning of a word, especially in a dictionary.” According to NROC Developmental English Foundations (2020), the meaning of the word ‘definition’ in writing and reading is the explanation or clarification of an idea which is unfamiliar to the readers. The purpose of a definition stated by writers in their writing is for the readers to become familiar with the defined terms that are unknown to them. </w:t>
      </w:r>
    </w:p>
    <w:p w14:paraId="4F10ADFE" w14:textId="77777777" w:rsidR="002530E2" w:rsidRDefault="002530E2">
      <w:r>
        <w:t xml:space="preserve">According to Wikipedia contributors (2022), the word ‘definition’ means “a statement of the meaning of a term.” A ‘term’ can be “a word, phrase, or other set of symbols.” Hookway (1978) classifies definitions into two broad categories: ‘intensional definitions’ and ‘extensional definitions’. While ‘intensional definitions’ provide the sense of a word, ‘extensional definitions’ “try to list the objects that a term describes.” Dooly (2006) suggests another category of definitions based on the class of ostensible definitions, where the meaning or idea of a term is conveyed by providing examples. </w:t>
      </w:r>
    </w:p>
    <w:p w14:paraId="4DEFC0F0" w14:textId="77777777" w:rsidR="002530E2" w:rsidRDefault="002530E2">
      <w:r>
        <w:t xml:space="preserve">NROC Developmental English Foundations (2020) introduces three definition types: ‘formal definition’, ‘informal definition’, and ‘extended definition’. Dictionaries are abundantly full of ‘formal definitions’ as well as they are found in textbooks, at the end of a chapter, or in the glossary implied as a micro-dictionary or mini-dictionary. The dictionary definitions introduce the meaning of the words or terms with their classification in categories as per the part of speech to which they belong, mainly a ‘noun’ or a ‘verb’, and term-specific characteristics or traits. For example, the formal definition of the term or word ‘freedom’ is “the power or right to act, speak, or think as one wants without hindrance or restraint.” The part of speech for ‘freedom’ is ‘noun’. </w:t>
      </w:r>
    </w:p>
    <w:p w14:paraId="01C9A4F6" w14:textId="77777777" w:rsidR="002530E2" w:rsidRDefault="002530E2">
      <w:r>
        <w:t>Different dictionaries introduce the meanings of the terms slightly differently. In contrast to the formal definitions, informal definitions use words that are familiar or known to the reader. ‘Informal definitions’ may begin by elucidating or clarifying the term in words that are synonymous or antonyms to the unfamiliar term, introduced by words such as ‘or ‘, ‘like’, or ‘in other words’. An example of an informal definition is: “Freedom, also referred to as liberty or independence, is a state people reach when they are free to think and do whatever they please.” Extended definitions generally have components of both informal and formal definitions and an author can use a number of different techniques to define words, concepts, and phrases, including the following:</w:t>
      </w:r>
    </w:p>
    <w:p w14:paraId="2FCA28D1" w14:textId="77777777" w:rsidR="002530E2" w:rsidRDefault="002530E2" w:rsidP="002530E2">
      <w:pPr>
        <w:numPr>
          <w:ilvl w:val="0"/>
          <w:numId w:val="57"/>
        </w:numPr>
        <w:spacing w:after="0" w:line="360" w:lineRule="auto"/>
        <w:jc w:val="both"/>
      </w:pPr>
      <w:r>
        <w:lastRenderedPageBreak/>
        <w:t>Listing and describing the parts “(identifying smaller, more familiar pieces of an idea to point to the definition of the bigger concept;”</w:t>
      </w:r>
    </w:p>
    <w:p w14:paraId="798C9D49" w14:textId="77777777" w:rsidR="002530E2" w:rsidRDefault="002530E2" w:rsidP="002530E2">
      <w:pPr>
        <w:numPr>
          <w:ilvl w:val="0"/>
          <w:numId w:val="57"/>
        </w:numPr>
        <w:spacing w:after="0" w:line="360" w:lineRule="auto"/>
        <w:jc w:val="both"/>
      </w:pPr>
      <w:r>
        <w:t>Etymology “(sharing a word's origin);”</w:t>
      </w:r>
    </w:p>
    <w:p w14:paraId="227AF5AE" w14:textId="77777777" w:rsidR="002530E2" w:rsidRDefault="002530E2" w:rsidP="002530E2">
      <w:pPr>
        <w:numPr>
          <w:ilvl w:val="0"/>
          <w:numId w:val="57"/>
        </w:numPr>
        <w:spacing w:after="0" w:line="360" w:lineRule="auto"/>
        <w:jc w:val="both"/>
      </w:pPr>
      <w:r>
        <w:t>Examples, or anecdotes “(telling a story or example that illustrates the term);”</w:t>
      </w:r>
    </w:p>
    <w:p w14:paraId="622FC6F0" w14:textId="77777777" w:rsidR="002530E2" w:rsidRDefault="002530E2" w:rsidP="002530E2">
      <w:pPr>
        <w:numPr>
          <w:ilvl w:val="0"/>
          <w:numId w:val="57"/>
        </w:numPr>
        <w:spacing w:after="0" w:line="360" w:lineRule="auto"/>
        <w:jc w:val="both"/>
      </w:pPr>
      <w:r>
        <w:t>Negation “(defining a term by explaining what the concept is not);”</w:t>
      </w:r>
    </w:p>
    <w:p w14:paraId="5DEFBDE7" w14:textId="77777777" w:rsidR="002530E2" w:rsidRDefault="002530E2" w:rsidP="002530E2">
      <w:pPr>
        <w:numPr>
          <w:ilvl w:val="0"/>
          <w:numId w:val="57"/>
        </w:numPr>
        <w:spacing w:after="0" w:line="360" w:lineRule="auto"/>
        <w:jc w:val="both"/>
      </w:pPr>
      <w:r>
        <w:t>Evoking the senses “(using a word that creates a picture in the reader's mind so that the reader might relate through memory of sound, sight, touch, hearing, or smell);”</w:t>
      </w:r>
    </w:p>
    <w:p w14:paraId="51552327" w14:textId="77777777" w:rsidR="002530E2" w:rsidRDefault="002530E2" w:rsidP="002530E2">
      <w:pPr>
        <w:numPr>
          <w:ilvl w:val="0"/>
          <w:numId w:val="57"/>
        </w:numPr>
        <w:spacing w:after="0" w:line="360" w:lineRule="auto"/>
        <w:jc w:val="both"/>
      </w:pPr>
      <w:r>
        <w:t>Environment or sector “(pointing out how and where something is used);”</w:t>
      </w:r>
    </w:p>
    <w:p w14:paraId="4A328002" w14:textId="77777777" w:rsidR="002530E2" w:rsidRDefault="002530E2" w:rsidP="002530E2">
      <w:pPr>
        <w:numPr>
          <w:ilvl w:val="0"/>
          <w:numId w:val="57"/>
        </w:numPr>
        <w:spacing w:after="0" w:line="360" w:lineRule="auto"/>
        <w:jc w:val="both"/>
      </w:pPr>
      <w:r>
        <w:t>Ramifications “(showing how the term or concept affects people or objects);”</w:t>
      </w:r>
    </w:p>
    <w:p w14:paraId="0E65BBB3" w14:textId="77777777" w:rsidR="002530E2" w:rsidRDefault="002530E2" w:rsidP="002530E2">
      <w:pPr>
        <w:numPr>
          <w:ilvl w:val="0"/>
          <w:numId w:val="57"/>
        </w:numPr>
        <w:spacing w:after="200" w:line="360" w:lineRule="auto"/>
        <w:jc w:val="both"/>
      </w:pPr>
      <w:r>
        <w:t>Historical references “(showing how a word has been defined throughout history).”</w:t>
      </w:r>
    </w:p>
    <w:p w14:paraId="6FDE75E0" w14:textId="77777777" w:rsidR="002530E2" w:rsidRDefault="002530E2">
      <w:r>
        <w:t xml:space="preserve">According to The Cambridge English Dictionary (2022), a ‘dictionary’ is “a book that contains a list of words in alphabetical order and explains their meanings, or gives a word for them in another language.” According to Dictionary.com (2022), a typical English dictionary contains approximately 80 percent of borrowed words, mainly from Latin, and over 60 percent have Greek or Latin roots. When it comes to science and technology vocabularies, the figure is as high as 90 percent. </w:t>
      </w:r>
    </w:p>
    <w:p w14:paraId="445D06E3" w14:textId="77777777" w:rsidR="002530E2" w:rsidRDefault="002530E2">
      <w:r>
        <w:t xml:space="preserve">The Oxford Learners’ English Dictionaries (2022) says a ‘thesaurus’ is a collection of synonyms in the form of a book with lists of words in groups that have the same or similar meanings, Study.com (2016) suggests that a thesaurus is a book of reference for both synonyms and antonyms. </w:t>
      </w:r>
    </w:p>
    <w:p w14:paraId="3FDE1DB0" w14:textId="77777777" w:rsidR="002530E2" w:rsidRDefault="002530E2">
      <w:r>
        <w:t xml:space="preserve">The Oxford Learners’ English Dictionaries (2022) refer to the word ‘synonym’ as a word or expression that has the same or nearly the same meaning as another in the same language; and the word ‘antonym’ means a “word that means the opposite of another word.” An example of a synonym is the interchangeable terms ‘big’ and ‘large’. An example of an antonym is the word ‘old’, which possibly has two antonyms: ‘new’ and ‘young’. Meanwhile, ‘homonym’ refer to words with the same spelling and pronunciation but have multiple meanings which are unrelated (example: ‘bear’ as the animal and ‘bear’ as the verb), and ‘polysemy’ refer to words with the same spelling and pronunciation but associated or related meanings (example: ‘serve’ food, ‘serve’ as an employee, or ‘serve’ time in prison) (Wikipedia contributors, 2022). An English dictionary contains all kinds of words, regardless of whether they are synonyms, antonyms, homonyms, or polysemous terms. </w:t>
      </w:r>
    </w:p>
    <w:p w14:paraId="4725C001" w14:textId="77777777" w:rsidR="002530E2" w:rsidRDefault="002530E2">
      <w:pPr>
        <w:pStyle w:val="Heading1"/>
      </w:pPr>
      <w:bookmarkStart w:id="123" w:name="_ni6gzymzfw72" w:colFirst="0" w:colLast="0"/>
      <w:bookmarkEnd w:id="123"/>
      <w:r>
        <w:t>METHODOLOGY CHAPTER FORMAT</w:t>
      </w:r>
    </w:p>
    <w:p w14:paraId="0E43C2C1" w14:textId="77777777" w:rsidR="002530E2" w:rsidRDefault="002530E2">
      <w:r>
        <w:t>According to the University of Birmingham (2020), research methods are how researchers achieve their research objectives. The University advises PhD candidates to use specific examples to describe their research methods, approaches, strategies, and techniques (e.g., sampling techniques, target populations, equipment and tools, data collection and analysis, etc.).</w:t>
      </w:r>
    </w:p>
    <w:p w14:paraId="5893182A" w14:textId="77777777" w:rsidR="002530E2" w:rsidRDefault="002530E2">
      <w:pPr>
        <w:pStyle w:val="Heading1"/>
      </w:pPr>
      <w:bookmarkStart w:id="124" w:name="_3mzfgzu7j15i" w:colFirst="0" w:colLast="0"/>
      <w:bookmarkEnd w:id="124"/>
      <w:r>
        <w:lastRenderedPageBreak/>
        <w:t>RESEARCH DESIGN</w:t>
      </w:r>
    </w:p>
    <w:p w14:paraId="1E12E9FD" w14:textId="77777777" w:rsidR="002530E2" w:rsidRDefault="002530E2">
      <w:r>
        <w:t>Creswell (2009) refers to research design as “plans and procedures” for conducting research.  The three elements of research design plans for a study, as per Creswell (2009), are:</w:t>
      </w:r>
    </w:p>
    <w:p w14:paraId="56A74382" w14:textId="77777777" w:rsidR="002530E2" w:rsidRDefault="002530E2" w:rsidP="002530E2">
      <w:pPr>
        <w:numPr>
          <w:ilvl w:val="0"/>
          <w:numId w:val="60"/>
        </w:numPr>
        <w:spacing w:after="0" w:line="360" w:lineRule="auto"/>
        <w:jc w:val="both"/>
      </w:pPr>
      <w:r>
        <w:t>Philosophical assumptions;</w:t>
      </w:r>
    </w:p>
    <w:p w14:paraId="69D5BFB2" w14:textId="77777777" w:rsidR="002530E2" w:rsidRDefault="002530E2" w:rsidP="002530E2">
      <w:pPr>
        <w:numPr>
          <w:ilvl w:val="0"/>
          <w:numId w:val="60"/>
        </w:numPr>
        <w:spacing w:after="0" w:line="360" w:lineRule="auto"/>
        <w:jc w:val="both"/>
      </w:pPr>
      <w:r>
        <w:t xml:space="preserve">Strategies of inquiry; and </w:t>
      </w:r>
    </w:p>
    <w:p w14:paraId="4827F7F7" w14:textId="77777777" w:rsidR="002530E2" w:rsidRDefault="002530E2" w:rsidP="002530E2">
      <w:pPr>
        <w:numPr>
          <w:ilvl w:val="0"/>
          <w:numId w:val="60"/>
        </w:numPr>
        <w:spacing w:after="200" w:line="360" w:lineRule="auto"/>
        <w:jc w:val="both"/>
      </w:pPr>
      <w:r>
        <w:t>Specific research methods.</w:t>
      </w:r>
    </w:p>
    <w:p w14:paraId="40609293" w14:textId="77777777" w:rsidR="002530E2" w:rsidRDefault="002530E2">
      <w:r>
        <w:t xml:space="preserve">A research study can adopt any of the three research design methods, as categorised below: </w:t>
      </w:r>
    </w:p>
    <w:p w14:paraId="53E3F50E" w14:textId="77777777" w:rsidR="002530E2" w:rsidRDefault="002530E2" w:rsidP="002530E2">
      <w:pPr>
        <w:numPr>
          <w:ilvl w:val="0"/>
          <w:numId w:val="44"/>
        </w:numPr>
        <w:spacing w:after="0" w:line="360" w:lineRule="auto"/>
        <w:jc w:val="both"/>
      </w:pPr>
      <w:r>
        <w:t>Qualitative;</w:t>
      </w:r>
    </w:p>
    <w:p w14:paraId="6B3D0A40" w14:textId="77777777" w:rsidR="002530E2" w:rsidRDefault="002530E2" w:rsidP="002530E2">
      <w:pPr>
        <w:numPr>
          <w:ilvl w:val="0"/>
          <w:numId w:val="44"/>
        </w:numPr>
        <w:spacing w:after="0" w:line="360" w:lineRule="auto"/>
        <w:jc w:val="both"/>
      </w:pPr>
      <w:r>
        <w:t xml:space="preserve">Quantitative; and </w:t>
      </w:r>
    </w:p>
    <w:p w14:paraId="1FBF363C" w14:textId="77777777" w:rsidR="002530E2" w:rsidRDefault="002530E2" w:rsidP="002530E2">
      <w:pPr>
        <w:numPr>
          <w:ilvl w:val="0"/>
          <w:numId w:val="44"/>
        </w:numPr>
        <w:spacing w:after="200" w:line="360" w:lineRule="auto"/>
        <w:jc w:val="both"/>
      </w:pPr>
      <w:r>
        <w:t xml:space="preserve">Mixed methods. </w:t>
      </w:r>
    </w:p>
    <w:p w14:paraId="05904E61" w14:textId="77777777" w:rsidR="002530E2" w:rsidRDefault="002530E2">
      <w:r>
        <w:t xml:space="preserve">Malhotra and Birks (2007) define research design as “a framework or blueprint for conducting a marketing research project.” An appropriate research design describes the necessary steps taken to obtain the information needed for marketing research, laying the foundation to solve problems by conducting the project. With a good research design, marketing research projects can be effectively and efficiently conducted. Malhotra and Birks (2007) suggests the following tasks lay a solid foundation for a research design: </w:t>
      </w:r>
    </w:p>
    <w:p w14:paraId="0C1B83A8" w14:textId="77777777" w:rsidR="002530E2" w:rsidRDefault="002530E2" w:rsidP="002530E2">
      <w:pPr>
        <w:numPr>
          <w:ilvl w:val="0"/>
          <w:numId w:val="56"/>
        </w:numPr>
        <w:spacing w:after="0" w:line="360" w:lineRule="auto"/>
        <w:jc w:val="both"/>
      </w:pPr>
      <w:r>
        <w:t>“Specify the information required;”</w:t>
      </w:r>
    </w:p>
    <w:p w14:paraId="16968226" w14:textId="77777777" w:rsidR="002530E2" w:rsidRDefault="002530E2" w:rsidP="002530E2">
      <w:pPr>
        <w:numPr>
          <w:ilvl w:val="0"/>
          <w:numId w:val="56"/>
        </w:numPr>
        <w:spacing w:after="0" w:line="360" w:lineRule="auto"/>
        <w:jc w:val="both"/>
      </w:pPr>
      <w:r>
        <w:t>“Determine whether the overall design will be exploratory, descriptive, or causal in nature.”</w:t>
      </w:r>
    </w:p>
    <w:p w14:paraId="270BB589" w14:textId="77777777" w:rsidR="002530E2" w:rsidRDefault="002530E2" w:rsidP="002530E2">
      <w:pPr>
        <w:numPr>
          <w:ilvl w:val="0"/>
          <w:numId w:val="56"/>
        </w:numPr>
        <w:spacing w:after="0" w:line="360" w:lineRule="auto"/>
        <w:jc w:val="both"/>
      </w:pPr>
      <w:r>
        <w:t>“Plan the sequence of understanding and/or measurement techniques.”</w:t>
      </w:r>
    </w:p>
    <w:p w14:paraId="0740186C" w14:textId="77777777" w:rsidR="002530E2" w:rsidRDefault="002530E2" w:rsidP="002530E2">
      <w:pPr>
        <w:numPr>
          <w:ilvl w:val="0"/>
          <w:numId w:val="56"/>
        </w:numPr>
        <w:spacing w:after="0" w:line="360" w:lineRule="auto"/>
        <w:jc w:val="both"/>
      </w:pPr>
      <w:r>
        <w:t>“Create and test an appropriate data collection or questionnaire form;”</w:t>
      </w:r>
    </w:p>
    <w:p w14:paraId="40F59DEF" w14:textId="77777777" w:rsidR="002530E2" w:rsidRDefault="002530E2" w:rsidP="002530E2">
      <w:pPr>
        <w:numPr>
          <w:ilvl w:val="0"/>
          <w:numId w:val="56"/>
        </w:numPr>
        <w:spacing w:after="0" w:line="360" w:lineRule="auto"/>
        <w:jc w:val="both"/>
      </w:pPr>
      <w:r>
        <w:t>“Specify the qualitative and/or quantitative sampling procedure as well as the sample size;” and</w:t>
      </w:r>
    </w:p>
    <w:p w14:paraId="29B8A43B" w14:textId="77777777" w:rsidR="002530E2" w:rsidRDefault="002530E2" w:rsidP="002530E2">
      <w:pPr>
        <w:numPr>
          <w:ilvl w:val="0"/>
          <w:numId w:val="56"/>
        </w:numPr>
        <w:spacing w:after="200" w:line="360" w:lineRule="auto"/>
        <w:jc w:val="both"/>
      </w:pPr>
      <w:r>
        <w:t>“Create a plan for analysing qualitative and/or quantitative data.”</w:t>
      </w:r>
    </w:p>
    <w:p w14:paraId="2B812D13" w14:textId="77777777" w:rsidR="002530E2" w:rsidRDefault="002530E2">
      <w:r>
        <w:t xml:space="preserve">According to McCombes (2021), a research design is the way a researcher answers the research question using empirical data. A well-planned and designed research design enables the researcher to match the research methods and analysis to the research objectives of the study. </w:t>
      </w:r>
    </w:p>
    <w:p w14:paraId="15AAE9E0" w14:textId="77777777" w:rsidR="002530E2" w:rsidRDefault="002530E2">
      <w:r>
        <w:t>McCombes (2021) suggests that in a research design, decisions are made concerning the following components:</w:t>
      </w:r>
    </w:p>
    <w:p w14:paraId="58DB0426" w14:textId="77777777" w:rsidR="002530E2" w:rsidRDefault="002530E2" w:rsidP="002530E2">
      <w:pPr>
        <w:numPr>
          <w:ilvl w:val="0"/>
          <w:numId w:val="52"/>
        </w:numPr>
        <w:spacing w:after="0" w:line="360" w:lineRule="auto"/>
        <w:jc w:val="both"/>
      </w:pPr>
      <w:r>
        <w:t>the overall aims, approaches and methodology of the research study;</w:t>
      </w:r>
    </w:p>
    <w:p w14:paraId="653B1479" w14:textId="77777777" w:rsidR="002530E2" w:rsidRDefault="002530E2" w:rsidP="002530E2">
      <w:pPr>
        <w:numPr>
          <w:ilvl w:val="0"/>
          <w:numId w:val="52"/>
        </w:numPr>
        <w:spacing w:after="0" w:line="360" w:lineRule="auto"/>
        <w:jc w:val="both"/>
      </w:pPr>
      <w:r>
        <w:t>the type of research design that the researcher will employ;</w:t>
      </w:r>
    </w:p>
    <w:p w14:paraId="268D4AAA" w14:textId="77777777" w:rsidR="002530E2" w:rsidRDefault="002530E2" w:rsidP="002530E2">
      <w:pPr>
        <w:numPr>
          <w:ilvl w:val="0"/>
          <w:numId w:val="52"/>
        </w:numPr>
        <w:spacing w:after="0" w:line="360" w:lineRule="auto"/>
        <w:jc w:val="both"/>
      </w:pPr>
      <w:r>
        <w:t>the sampling methods used and the subject selection criteria;</w:t>
      </w:r>
    </w:p>
    <w:p w14:paraId="15761408" w14:textId="77777777" w:rsidR="002530E2" w:rsidRDefault="002530E2" w:rsidP="002530E2">
      <w:pPr>
        <w:numPr>
          <w:ilvl w:val="0"/>
          <w:numId w:val="52"/>
        </w:numPr>
        <w:spacing w:after="0" w:line="360" w:lineRule="auto"/>
        <w:jc w:val="both"/>
      </w:pPr>
      <w:r>
        <w:t>data collection methods and data collection procedures; and</w:t>
      </w:r>
    </w:p>
    <w:p w14:paraId="6DEB3A30" w14:textId="77777777" w:rsidR="002530E2" w:rsidRDefault="002530E2" w:rsidP="002530E2">
      <w:pPr>
        <w:numPr>
          <w:ilvl w:val="0"/>
          <w:numId w:val="52"/>
        </w:numPr>
        <w:spacing w:after="200" w:line="360" w:lineRule="auto"/>
        <w:jc w:val="both"/>
      </w:pPr>
      <w:r>
        <w:t xml:space="preserve">methods of data analysis. </w:t>
      </w:r>
    </w:p>
    <w:p w14:paraId="742447FC" w14:textId="77777777" w:rsidR="002530E2" w:rsidRDefault="002530E2">
      <w:r>
        <w:lastRenderedPageBreak/>
        <w:t xml:space="preserve">According to Saunders, Lewis, and Thornhill (2018), a “research design is the general plan” that provides a direction to answer a clearly defined research question (or questions). In a research design, the “research objectives are clearly derived from the question” (or questions), the source or “sources of data collection” are specified, “how data is collected and analysed” is proposed, “ethical issues” along with any constraints are discussed, and all of these elements reflect that a researcher has thought through appropriately the research needs in advance. </w:t>
      </w:r>
    </w:p>
    <w:p w14:paraId="2EEA74D3" w14:textId="77777777" w:rsidR="002530E2" w:rsidRDefault="002530E2">
      <w:r>
        <w:t>The first methodological choice in a research design is to follow either a quantitative method, a qualitative method or mixed methods (Saunders, Lewis, and Thornhill, 2018).</w:t>
      </w:r>
    </w:p>
    <w:p w14:paraId="73909A3E" w14:textId="77777777" w:rsidR="002530E2" w:rsidRDefault="002530E2">
      <w:pPr>
        <w:pStyle w:val="Heading1"/>
      </w:pPr>
      <w:bookmarkStart w:id="125" w:name="_qj7oo543tud" w:colFirst="0" w:colLast="0"/>
      <w:bookmarkEnd w:id="125"/>
      <w:r>
        <w:t>RESEARCH PHILOSOPHY</w:t>
      </w:r>
    </w:p>
    <w:p w14:paraId="0D7A2354" w14:textId="77777777" w:rsidR="002530E2" w:rsidRDefault="002530E2">
      <w:r>
        <w:t>Jansen (2021) points out that to design the research methodology, the first thing a researcher needs to consider is which research philosophy to adopt, depending upon the nature of the research.</w:t>
      </w:r>
    </w:p>
    <w:p w14:paraId="21AA0916" w14:textId="77777777" w:rsidR="002530E2" w:rsidRDefault="002530E2">
      <w:r>
        <w:t xml:space="preserve">The Oxford Learners Dictionaries (2022) defines the word “philosophy” as “a particular set or system of beliefs resulting from the search for knowledge about life and the universe.” The definition of research philosophy by Davison (1998) is, “a research philosophy is a belief about the way in which data about a phenomenon should be gathered, analysed and used.” To Levin (1988), a research philosophy is “a belief or an idea about the collection, interpretation, and analysis of data collected.” Simpson (2009) refers to research philosophy “to the development of knowledge in a particular field, where the researcher adopts this layer in a specific study to reflect important assumptions about his/ her opinion and views and the manner in which he/ she understands the world.” </w:t>
      </w:r>
    </w:p>
    <w:p w14:paraId="132B53FB" w14:textId="77777777" w:rsidR="002530E2" w:rsidRDefault="002530E2">
      <w:r>
        <w:t xml:space="preserve">Saunders, Lewis, and Thornhill (2007) suggests that research philosophy gives direction and way to proceed. It describes the procedure for collecting, analysing, and using data about a phenomenon. The way in which a researcher thinks about developing knowledge, decides which research philosophy will apply to the study. </w:t>
      </w:r>
    </w:p>
    <w:p w14:paraId="00418680" w14:textId="77777777" w:rsidR="002530E2" w:rsidRDefault="002530E2">
      <w:r>
        <w:t xml:space="preserve">Saunders et al. (2007) suggests three philosophical assumptions, which are ontology, epistemology, and axiology. Ontology is concerned with “assumptions about the nature of reality” and determines how one sees the world. Epistemology is concerned with “assumptions about knowledge, what constitutes acceptable, valid and legitimate knowledge, and how we can communicate knowledge to others,” (Burrell and Morgan 2016); “it constitutes acceptable knowledge in the field of study.” Jansen, 2021 explains that while ontology is concerned with the “Nature of reality,” i.e. “WHAT and HOW of what we know, epistemology is concerned with the “Nature of knowledge,” i.e.“HOW we can obtain knowledge and come to understand things?” Axiology is concerned with “assumptions of the role of values and ethics” and “about the researcher’s value in all stages of the research process.” </w:t>
      </w:r>
    </w:p>
    <w:p w14:paraId="6CD18675" w14:textId="77777777" w:rsidR="002530E2" w:rsidRDefault="002530E2">
      <w:r>
        <w:t>According to Jansen (2021), the main research philosophies suggested by Saunders et al. (2007) that operate on different ontological and epistemological assumptions are: positivism, interpretivism, and pragmatism. Research can adopt any one of these research philosophies.</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40273483" w14:textId="77777777">
        <w:trPr>
          <w:trHeight w:val="420"/>
        </w:trPr>
        <w:tc>
          <w:tcPr>
            <w:tcW w:w="3024"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3D202BEB" w14:textId="77777777" w:rsidR="002530E2" w:rsidRDefault="002530E2">
            <w:pPr>
              <w:spacing w:after="0" w:line="276" w:lineRule="auto"/>
              <w:jc w:val="center"/>
            </w:pPr>
          </w:p>
        </w:tc>
        <w:tc>
          <w:tcPr>
            <w:tcW w:w="3024" w:type="dxa"/>
            <w:tcBorders>
              <w:top w:val="single" w:sz="8" w:space="0" w:color="FFFFFF"/>
              <w:left w:val="single" w:sz="8" w:space="0" w:color="FFFFFF"/>
              <w:bottom w:val="single" w:sz="8" w:space="0" w:color="CCEEFF"/>
              <w:right w:val="single" w:sz="8" w:space="0" w:color="FFFFFF"/>
            </w:tcBorders>
            <w:tcMar>
              <w:top w:w="100" w:type="dxa"/>
              <w:left w:w="100" w:type="dxa"/>
              <w:bottom w:w="100" w:type="dxa"/>
              <w:right w:w="100" w:type="dxa"/>
            </w:tcMar>
          </w:tcPr>
          <w:p w14:paraId="1641B083" w14:textId="77777777" w:rsidR="002530E2" w:rsidRDefault="002530E2">
            <w:pPr>
              <w:spacing w:after="0" w:line="276" w:lineRule="auto"/>
              <w:jc w:val="center"/>
            </w:pPr>
            <w:r>
              <w:rPr>
                <w:sz w:val="18"/>
                <w:szCs w:val="18"/>
              </w:rPr>
              <w:t>Research Philosophy</w:t>
            </w:r>
          </w:p>
          <w:p w14:paraId="711D58C5" w14:textId="77777777" w:rsidR="002530E2" w:rsidRDefault="002530E2">
            <w:pPr>
              <w:spacing w:after="0" w:line="276" w:lineRule="auto"/>
              <w:jc w:val="center"/>
            </w:pPr>
            <w:r>
              <w:rPr>
                <w:sz w:val="18"/>
                <w:szCs w:val="18"/>
              </w:rPr>
              <w:t>A set of beliefs on which the research is built upon (Jansen, 2021).</w:t>
            </w:r>
          </w:p>
          <w:p w14:paraId="0DE36CD7" w14:textId="77777777" w:rsidR="002530E2" w:rsidRDefault="002530E2">
            <w:pPr>
              <w:spacing w:after="0" w:line="276" w:lineRule="auto"/>
              <w:jc w:val="center"/>
            </w:pPr>
            <w:r>
              <w:rPr>
                <w:sz w:val="18"/>
                <w:szCs w:val="18"/>
              </w:rPr>
              <w:t>↓</w:t>
            </w:r>
          </w:p>
          <w:p w14:paraId="68D31D8A" w14:textId="77777777" w:rsidR="002530E2" w:rsidRDefault="002530E2">
            <w:pPr>
              <w:spacing w:after="0" w:line="276" w:lineRule="auto"/>
              <w:jc w:val="center"/>
            </w:pPr>
            <w:r>
              <w:rPr>
                <w:sz w:val="18"/>
                <w:szCs w:val="18"/>
              </w:rPr>
              <w:lastRenderedPageBreak/>
              <w:t>Philosophical Assumptions</w:t>
            </w:r>
          </w:p>
        </w:tc>
        <w:tc>
          <w:tcPr>
            <w:tcW w:w="3024"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6212222" w14:textId="77777777" w:rsidR="002530E2" w:rsidRDefault="002530E2">
            <w:pPr>
              <w:spacing w:after="0" w:line="276" w:lineRule="auto"/>
              <w:jc w:val="center"/>
            </w:pPr>
          </w:p>
        </w:tc>
      </w:tr>
      <w:tr w:rsidR="002530E2" w14:paraId="2D00F2D0" w14:textId="77777777">
        <w:trPr>
          <w:trHeight w:val="420"/>
        </w:trPr>
        <w:tc>
          <w:tcPr>
            <w:tcW w:w="3024" w:type="dxa"/>
            <w:tcBorders>
              <w:top w:val="single" w:sz="8" w:space="0" w:color="666666"/>
              <w:left w:val="single" w:sz="8" w:space="0" w:color="FFFFFF"/>
              <w:bottom w:val="single" w:sz="8" w:space="0" w:color="666666"/>
              <w:right w:val="single" w:sz="8" w:space="0" w:color="FFFFFF"/>
            </w:tcBorders>
            <w:tcMar>
              <w:top w:w="100" w:type="dxa"/>
              <w:left w:w="100" w:type="dxa"/>
              <w:bottom w:w="100" w:type="dxa"/>
              <w:right w:w="100" w:type="dxa"/>
            </w:tcMar>
          </w:tcPr>
          <w:p w14:paraId="3B166E57" w14:textId="77777777" w:rsidR="002530E2" w:rsidRDefault="002530E2">
            <w:pPr>
              <w:spacing w:after="0" w:line="276" w:lineRule="auto"/>
              <w:jc w:val="center"/>
            </w:pPr>
            <w:r>
              <w:rPr>
                <w:sz w:val="18"/>
                <w:szCs w:val="18"/>
              </w:rPr>
              <w:t>↓</w:t>
            </w:r>
          </w:p>
          <w:p w14:paraId="6693D6E5" w14:textId="77777777" w:rsidR="002530E2" w:rsidRDefault="002530E2">
            <w:pPr>
              <w:spacing w:after="0" w:line="276" w:lineRule="auto"/>
              <w:jc w:val="center"/>
            </w:pPr>
            <w:r>
              <w:rPr>
                <w:sz w:val="18"/>
                <w:szCs w:val="18"/>
              </w:rPr>
              <w:t>Ontology</w:t>
            </w:r>
          </w:p>
          <w:p w14:paraId="50A8007B" w14:textId="77777777" w:rsidR="002530E2" w:rsidRDefault="002530E2">
            <w:pPr>
              <w:spacing w:after="0" w:line="276" w:lineRule="auto"/>
              <w:jc w:val="center"/>
            </w:pPr>
          </w:p>
          <w:p w14:paraId="58276119" w14:textId="77777777" w:rsidR="002530E2" w:rsidRDefault="002530E2">
            <w:pPr>
              <w:spacing w:after="0" w:line="276" w:lineRule="auto"/>
              <w:jc w:val="center"/>
            </w:pPr>
            <w:r>
              <w:rPr>
                <w:sz w:val="18"/>
                <w:szCs w:val="18"/>
              </w:rPr>
              <w:t xml:space="preserve">Nature of reality: </w:t>
            </w:r>
          </w:p>
          <w:p w14:paraId="79C4E3EE" w14:textId="77777777" w:rsidR="002530E2" w:rsidRDefault="002530E2">
            <w:pPr>
              <w:spacing w:after="0" w:line="276" w:lineRule="auto"/>
              <w:jc w:val="center"/>
            </w:pPr>
            <w:r>
              <w:rPr>
                <w:sz w:val="18"/>
                <w:szCs w:val="18"/>
              </w:rPr>
              <w:t>“WHAT and HOW of what we know (Jansen, 2021).</w:t>
            </w:r>
          </w:p>
        </w:tc>
        <w:tc>
          <w:tcPr>
            <w:tcW w:w="3024" w:type="dxa"/>
            <w:tcBorders>
              <w:top w:val="single" w:sz="8" w:space="0" w:color="666666"/>
              <w:left w:val="single" w:sz="8" w:space="0" w:color="FFFFFF"/>
              <w:bottom w:val="single" w:sz="8" w:space="0" w:color="666666"/>
              <w:right w:val="single" w:sz="8" w:space="0" w:color="FFFFFF"/>
            </w:tcBorders>
            <w:tcMar>
              <w:top w:w="100" w:type="dxa"/>
              <w:left w:w="100" w:type="dxa"/>
              <w:bottom w:w="100" w:type="dxa"/>
              <w:right w:w="100" w:type="dxa"/>
            </w:tcMar>
          </w:tcPr>
          <w:p w14:paraId="1169183A" w14:textId="77777777" w:rsidR="002530E2" w:rsidRDefault="002530E2">
            <w:pPr>
              <w:spacing w:after="0" w:line="276" w:lineRule="auto"/>
              <w:jc w:val="center"/>
            </w:pPr>
            <w:r>
              <w:rPr>
                <w:sz w:val="18"/>
                <w:szCs w:val="18"/>
              </w:rPr>
              <w:t>↓</w:t>
            </w:r>
          </w:p>
          <w:p w14:paraId="07D318CE" w14:textId="77777777" w:rsidR="002530E2" w:rsidRDefault="002530E2">
            <w:pPr>
              <w:spacing w:after="0" w:line="276" w:lineRule="auto"/>
              <w:jc w:val="center"/>
            </w:pPr>
            <w:r>
              <w:rPr>
                <w:sz w:val="18"/>
                <w:szCs w:val="18"/>
              </w:rPr>
              <w:t>Epistemology</w:t>
            </w:r>
          </w:p>
          <w:p w14:paraId="486B3EFF" w14:textId="77777777" w:rsidR="002530E2" w:rsidRDefault="002530E2">
            <w:pPr>
              <w:spacing w:after="0" w:line="276" w:lineRule="auto"/>
              <w:jc w:val="center"/>
            </w:pPr>
          </w:p>
          <w:p w14:paraId="555CA443" w14:textId="77777777" w:rsidR="002530E2" w:rsidRDefault="002530E2">
            <w:pPr>
              <w:spacing w:after="0" w:line="276" w:lineRule="auto"/>
              <w:jc w:val="center"/>
            </w:pPr>
            <w:r>
              <w:rPr>
                <w:sz w:val="18"/>
                <w:szCs w:val="18"/>
              </w:rPr>
              <w:t>Nature of knowledge: “HOW we can obtain knowledge and come to understand things?” (Jansen, 2021).</w:t>
            </w:r>
          </w:p>
        </w:tc>
        <w:tc>
          <w:tcPr>
            <w:tcW w:w="3024" w:type="dxa"/>
            <w:tcBorders>
              <w:top w:val="single" w:sz="8" w:space="0" w:color="666666"/>
              <w:left w:val="single" w:sz="8" w:space="0" w:color="FFFFFF"/>
              <w:bottom w:val="single" w:sz="8" w:space="0" w:color="FFFFFF"/>
              <w:right w:val="single" w:sz="8" w:space="0" w:color="FFFFFF"/>
            </w:tcBorders>
            <w:tcMar>
              <w:top w:w="100" w:type="dxa"/>
              <w:left w:w="100" w:type="dxa"/>
              <w:bottom w:w="100" w:type="dxa"/>
              <w:right w:w="100" w:type="dxa"/>
            </w:tcMar>
          </w:tcPr>
          <w:p w14:paraId="5E168032" w14:textId="77777777" w:rsidR="002530E2" w:rsidRDefault="002530E2">
            <w:pPr>
              <w:spacing w:after="0" w:line="276" w:lineRule="auto"/>
              <w:jc w:val="center"/>
            </w:pPr>
            <w:r>
              <w:rPr>
                <w:sz w:val="18"/>
                <w:szCs w:val="18"/>
              </w:rPr>
              <w:t>↓</w:t>
            </w:r>
          </w:p>
          <w:p w14:paraId="2040E08C" w14:textId="77777777" w:rsidR="002530E2" w:rsidRDefault="002530E2">
            <w:pPr>
              <w:spacing w:after="0" w:line="276" w:lineRule="auto"/>
              <w:jc w:val="center"/>
            </w:pPr>
            <w:r>
              <w:rPr>
                <w:sz w:val="18"/>
                <w:szCs w:val="18"/>
              </w:rPr>
              <w:t xml:space="preserve">Axiology </w:t>
            </w:r>
          </w:p>
          <w:p w14:paraId="73F3214A" w14:textId="77777777" w:rsidR="002530E2" w:rsidRDefault="002530E2">
            <w:pPr>
              <w:spacing w:after="0" w:line="276" w:lineRule="auto"/>
              <w:jc w:val="center"/>
            </w:pPr>
          </w:p>
          <w:p w14:paraId="51510A32" w14:textId="77777777" w:rsidR="002530E2" w:rsidRDefault="002530E2">
            <w:pPr>
              <w:spacing w:after="0" w:line="276" w:lineRule="auto"/>
              <w:jc w:val="center"/>
            </w:pPr>
            <w:r>
              <w:rPr>
                <w:sz w:val="18"/>
                <w:szCs w:val="18"/>
              </w:rPr>
              <w:t>(Researcher’s value: “WHAT is the role of values in research?” (Saunders, et. al, 2018)</w:t>
            </w:r>
          </w:p>
        </w:tc>
      </w:tr>
      <w:tr w:rsidR="002530E2" w14:paraId="62C93383" w14:textId="77777777">
        <w:trPr>
          <w:trHeight w:val="420"/>
        </w:trPr>
        <w:tc>
          <w:tcPr>
            <w:tcW w:w="6048" w:type="dxa"/>
            <w:gridSpan w:val="2"/>
            <w:tcBorders>
              <w:top w:val="single" w:sz="8" w:space="0" w:color="666666"/>
              <w:left w:val="single" w:sz="8" w:space="0" w:color="FFFFFF"/>
              <w:bottom w:val="single" w:sz="8" w:space="0" w:color="666666"/>
              <w:right w:val="single" w:sz="8" w:space="0" w:color="FFFFFF"/>
            </w:tcBorders>
            <w:tcMar>
              <w:top w:w="100" w:type="dxa"/>
              <w:left w:w="100" w:type="dxa"/>
              <w:bottom w:w="100" w:type="dxa"/>
              <w:right w:w="100" w:type="dxa"/>
            </w:tcMar>
          </w:tcPr>
          <w:p w14:paraId="186FD674" w14:textId="77777777" w:rsidR="002530E2" w:rsidRDefault="002530E2">
            <w:pPr>
              <w:spacing w:after="0" w:line="276" w:lineRule="auto"/>
              <w:jc w:val="center"/>
            </w:pPr>
            <w:r>
              <w:rPr>
                <w:sz w:val="18"/>
                <w:szCs w:val="18"/>
              </w:rPr>
              <w:t>↓</w:t>
            </w:r>
          </w:p>
          <w:p w14:paraId="1582DF29" w14:textId="77777777" w:rsidR="002530E2" w:rsidRDefault="002530E2">
            <w:pPr>
              <w:spacing w:after="0" w:line="276" w:lineRule="auto"/>
              <w:jc w:val="center"/>
            </w:pPr>
            <w:r>
              <w:rPr>
                <w:sz w:val="18"/>
                <w:szCs w:val="18"/>
              </w:rPr>
              <w:t xml:space="preserve">Main Research Philosophies </w:t>
            </w:r>
          </w:p>
          <w:p w14:paraId="58B7D227" w14:textId="77777777" w:rsidR="002530E2" w:rsidRDefault="002530E2">
            <w:pPr>
              <w:spacing w:after="0" w:line="276" w:lineRule="auto"/>
              <w:jc w:val="center"/>
            </w:pPr>
            <w:r>
              <w:rPr>
                <w:sz w:val="18"/>
                <w:szCs w:val="18"/>
              </w:rPr>
              <w:t>(that operate on different ontological and epistemological assumptions)</w:t>
            </w:r>
          </w:p>
          <w:p w14:paraId="1F060D18" w14:textId="77777777" w:rsidR="002530E2" w:rsidRDefault="002530E2">
            <w:pPr>
              <w:spacing w:after="0" w:line="276" w:lineRule="auto"/>
              <w:jc w:val="center"/>
            </w:pPr>
            <w:r>
              <w:rPr>
                <w:sz w:val="18"/>
                <w:szCs w:val="18"/>
              </w:rPr>
              <w:t>↓</w:t>
            </w:r>
          </w:p>
        </w:tc>
        <w:tc>
          <w:tcPr>
            <w:tcW w:w="3024" w:type="dxa"/>
            <w:tcBorders>
              <w:top w:val="single" w:sz="8" w:space="0" w:color="FFFFFF"/>
              <w:left w:val="single" w:sz="8" w:space="0" w:color="FFFFFF"/>
              <w:bottom w:val="single" w:sz="8" w:space="0" w:color="666666"/>
              <w:right w:val="single" w:sz="8" w:space="0" w:color="FFFFFF"/>
            </w:tcBorders>
            <w:tcMar>
              <w:top w:w="100" w:type="dxa"/>
              <w:left w:w="100" w:type="dxa"/>
              <w:bottom w:w="100" w:type="dxa"/>
              <w:right w:w="100" w:type="dxa"/>
            </w:tcMar>
          </w:tcPr>
          <w:p w14:paraId="46310CE9" w14:textId="77777777" w:rsidR="002530E2" w:rsidRDefault="002530E2">
            <w:pPr>
              <w:spacing w:after="0" w:line="276" w:lineRule="auto"/>
              <w:jc w:val="center"/>
            </w:pPr>
          </w:p>
        </w:tc>
      </w:tr>
      <w:tr w:rsidR="002530E2" w14:paraId="4718A1AE" w14:textId="77777777">
        <w:tc>
          <w:tcPr>
            <w:tcW w:w="3024" w:type="dxa"/>
            <w:tcBorders>
              <w:top w:val="single" w:sz="8" w:space="0" w:color="666666"/>
              <w:left w:val="single" w:sz="8" w:space="0" w:color="FFFFFF"/>
              <w:bottom w:val="single" w:sz="8" w:space="0" w:color="FFFFFF"/>
              <w:right w:val="single" w:sz="8" w:space="0" w:color="FFFFFF"/>
            </w:tcBorders>
            <w:tcMar>
              <w:top w:w="100" w:type="dxa"/>
              <w:left w:w="100" w:type="dxa"/>
              <w:bottom w:w="100" w:type="dxa"/>
              <w:right w:w="100" w:type="dxa"/>
            </w:tcMar>
          </w:tcPr>
          <w:p w14:paraId="5BCA25DE" w14:textId="77777777" w:rsidR="002530E2" w:rsidRDefault="002530E2">
            <w:pPr>
              <w:spacing w:after="0" w:line="276" w:lineRule="auto"/>
              <w:jc w:val="center"/>
            </w:pPr>
            <w:r>
              <w:rPr>
                <w:sz w:val="18"/>
                <w:szCs w:val="18"/>
              </w:rPr>
              <w:t>↓</w:t>
            </w:r>
          </w:p>
          <w:p w14:paraId="751BAA75" w14:textId="77777777" w:rsidR="002530E2" w:rsidRDefault="002530E2">
            <w:pPr>
              <w:spacing w:after="0" w:line="276" w:lineRule="auto"/>
              <w:jc w:val="center"/>
            </w:pPr>
            <w:r>
              <w:rPr>
                <w:sz w:val="18"/>
                <w:szCs w:val="18"/>
              </w:rPr>
              <w:t xml:space="preserve">1. Positivism </w:t>
            </w:r>
          </w:p>
          <w:p w14:paraId="41675186" w14:textId="77777777" w:rsidR="002530E2" w:rsidRDefault="002530E2">
            <w:pPr>
              <w:spacing w:after="0" w:line="276" w:lineRule="auto"/>
              <w:jc w:val="center"/>
            </w:pPr>
            <w:r>
              <w:rPr>
                <w:sz w:val="18"/>
                <w:szCs w:val="18"/>
              </w:rPr>
              <w:t>(uses scientific method)</w:t>
            </w:r>
          </w:p>
        </w:tc>
        <w:tc>
          <w:tcPr>
            <w:tcW w:w="3024" w:type="dxa"/>
            <w:tcBorders>
              <w:top w:val="single" w:sz="8" w:space="0" w:color="666666"/>
              <w:left w:val="single" w:sz="8" w:space="0" w:color="FFFFFF"/>
              <w:bottom w:val="single" w:sz="8" w:space="0" w:color="FFFFFF"/>
              <w:right w:val="single" w:sz="8" w:space="0" w:color="FFFFFF"/>
            </w:tcBorders>
            <w:tcMar>
              <w:top w:w="100" w:type="dxa"/>
              <w:left w:w="100" w:type="dxa"/>
              <w:bottom w:w="100" w:type="dxa"/>
              <w:right w:w="100" w:type="dxa"/>
            </w:tcMar>
          </w:tcPr>
          <w:p w14:paraId="33AF67CF" w14:textId="77777777" w:rsidR="002530E2" w:rsidRDefault="002530E2">
            <w:pPr>
              <w:spacing w:after="0" w:line="276" w:lineRule="auto"/>
              <w:jc w:val="center"/>
            </w:pPr>
            <w:r>
              <w:rPr>
                <w:sz w:val="18"/>
                <w:szCs w:val="18"/>
              </w:rPr>
              <w:t>↓</w:t>
            </w:r>
          </w:p>
          <w:p w14:paraId="6B2E39C7" w14:textId="77777777" w:rsidR="002530E2" w:rsidRDefault="002530E2">
            <w:pPr>
              <w:spacing w:after="0" w:line="276" w:lineRule="auto"/>
              <w:jc w:val="center"/>
            </w:pPr>
            <w:r>
              <w:rPr>
                <w:sz w:val="18"/>
                <w:szCs w:val="18"/>
              </w:rPr>
              <w:t xml:space="preserve">2. Interpretivism </w:t>
            </w:r>
          </w:p>
          <w:p w14:paraId="676B6F5E" w14:textId="77777777" w:rsidR="002530E2" w:rsidRDefault="002530E2">
            <w:pPr>
              <w:spacing w:after="0" w:line="276" w:lineRule="auto"/>
              <w:jc w:val="center"/>
            </w:pPr>
            <w:r>
              <w:rPr>
                <w:sz w:val="18"/>
                <w:szCs w:val="18"/>
              </w:rPr>
              <w:t>(human behaviour focused)</w:t>
            </w:r>
          </w:p>
        </w:tc>
        <w:tc>
          <w:tcPr>
            <w:tcW w:w="3024" w:type="dxa"/>
            <w:tcBorders>
              <w:top w:val="single" w:sz="8" w:space="0" w:color="666666"/>
              <w:left w:val="single" w:sz="8" w:space="0" w:color="FFFFFF"/>
              <w:bottom w:val="single" w:sz="8" w:space="0" w:color="FFFFFF"/>
              <w:right w:val="single" w:sz="8" w:space="0" w:color="FFFFFF"/>
            </w:tcBorders>
            <w:tcMar>
              <w:top w:w="100" w:type="dxa"/>
              <w:left w:w="100" w:type="dxa"/>
              <w:bottom w:w="100" w:type="dxa"/>
              <w:right w:w="100" w:type="dxa"/>
            </w:tcMar>
          </w:tcPr>
          <w:p w14:paraId="1F9C4E87" w14:textId="77777777" w:rsidR="002530E2" w:rsidRDefault="002530E2">
            <w:pPr>
              <w:spacing w:after="0" w:line="276" w:lineRule="auto"/>
              <w:jc w:val="center"/>
            </w:pPr>
            <w:r>
              <w:rPr>
                <w:sz w:val="18"/>
                <w:szCs w:val="18"/>
              </w:rPr>
              <w:t>↓</w:t>
            </w:r>
          </w:p>
          <w:p w14:paraId="4A7D61AA" w14:textId="77777777" w:rsidR="002530E2" w:rsidRDefault="002530E2">
            <w:pPr>
              <w:spacing w:after="0" w:line="276" w:lineRule="auto"/>
              <w:jc w:val="center"/>
            </w:pPr>
            <w:r>
              <w:rPr>
                <w:sz w:val="18"/>
                <w:szCs w:val="18"/>
              </w:rPr>
              <w:t>3. Pragmatism</w:t>
            </w:r>
          </w:p>
        </w:tc>
      </w:tr>
    </w:tbl>
    <w:p w14:paraId="16FF71C5" w14:textId="77777777" w:rsidR="002530E2" w:rsidRDefault="002530E2">
      <w:pPr>
        <w:pStyle w:val="Heading4"/>
      </w:pPr>
      <w:bookmarkStart w:id="126" w:name="_a3mqgdqzjorg" w:colFirst="0" w:colLast="0"/>
      <w:bookmarkEnd w:id="126"/>
    </w:p>
    <w:p w14:paraId="60BC5912" w14:textId="77777777" w:rsidR="002530E2" w:rsidRDefault="002530E2">
      <w:pPr>
        <w:pStyle w:val="Heading4"/>
      </w:pPr>
      <w:bookmarkStart w:id="127" w:name="_qb06eb6s53nr" w:colFirst="0" w:colLast="0"/>
      <w:bookmarkEnd w:id="127"/>
      <w:r>
        <w:t>Figure [Appendix (CHP:3) 001] 2: Hierarchy based on the discussion of concepts by Saunders, Lewis, and Thornhill (2007), Simpson (2009) &amp; Jansen (2021)</w:t>
      </w:r>
    </w:p>
    <w:p w14:paraId="34B204D2" w14:textId="77777777" w:rsidR="002530E2" w:rsidRDefault="002530E2">
      <w:pPr>
        <w:spacing w:after="0"/>
      </w:pPr>
    </w:p>
    <w:p w14:paraId="2C6FBABE" w14:textId="77777777" w:rsidR="002530E2" w:rsidRDefault="002530E2">
      <w:r>
        <w:t xml:space="preserve">Davison (1998) points out that epistemology opposes doxology. While epistemology is “what is known to be true,” doxology is “what is believed to be true.” For example, as per doxology, God is believed to be true and exists. The epistemologists rationalise the belief of God based on evidence that's necessary to ground rational belief in God (Fieser and Dowden, 2020). </w:t>
      </w:r>
    </w:p>
    <w:p w14:paraId="555BC551" w14:textId="77777777" w:rsidR="002530E2" w:rsidRDefault="002530E2">
      <w:pPr>
        <w:pStyle w:val="Heading2"/>
      </w:pPr>
      <w:bookmarkStart w:id="128" w:name="_vgv2vzdp2613" w:colFirst="0" w:colLast="0"/>
      <w:bookmarkEnd w:id="128"/>
      <w:r>
        <w:t>POSITIVISM</w:t>
      </w:r>
    </w:p>
    <w:p w14:paraId="3CAD9A67" w14:textId="77777777" w:rsidR="002530E2" w:rsidRDefault="002530E2">
      <w:r>
        <w:t xml:space="preserve">Jansen (2021), explains that in positivism research philosophy, the view that a positivist researcher takes is that, only one reality exists; knowledge exists outside of what’s being studied; studied only objectively, so cannot include personal opinions; researchers only observe, and they do not interpret. The positivism philosophical position applies to studies that seek knowledge through logical or mathematical evidence that can be scientifically verified. Positivism rejects metaphysics and theism. While metaphysics is concerned with broad abstract concepts that help to define reality and its understanding, theism is the belief that god or gods exist or the philosophical position is concerned with the existence of god or gods. Bryman &amp; Bell (2007) explain that positivism is a scientific method that a natural scientist would adopt to study social reality and beyond. Reilly (2006) refers to positivism as a belief and true knowledge that is scientific in nature and bridges the gap between phenomena of what's true or real versus what's observed. </w:t>
      </w:r>
    </w:p>
    <w:p w14:paraId="6B09436C" w14:textId="77777777" w:rsidR="002530E2" w:rsidRDefault="002530E2">
      <w:pPr>
        <w:pStyle w:val="Heading2"/>
      </w:pPr>
      <w:bookmarkStart w:id="129" w:name="_upyjctocj9q8" w:colFirst="0" w:colLast="0"/>
      <w:bookmarkEnd w:id="129"/>
      <w:r>
        <w:lastRenderedPageBreak/>
        <w:t>INTERPRETIVISM</w:t>
      </w:r>
    </w:p>
    <w:p w14:paraId="5D6C768D" w14:textId="77777777" w:rsidR="002530E2" w:rsidRDefault="002530E2">
      <w:r>
        <w:t xml:space="preserve">Jansen (2021), explains that on the other side of the spectrum, in interpretivism research philosophy, the view that a interpretivist researcher takes is that, more than one or multiple reality exists; knowledge exists outside of what’s being studied; studied subjectively, so can include personal opinions; researchers observe and interpret. Elster (2007) and Walsham (1995) suggests that interpretivism emphasises the important role people play in both social and cultural life, as well as the emphasis is on the meaningfulness of people's character. </w:t>
      </w:r>
    </w:p>
    <w:p w14:paraId="250CE3DA" w14:textId="77777777" w:rsidR="002530E2" w:rsidRDefault="002530E2">
      <w:r>
        <w:t xml:space="preserve">According to Saunders et al. (2007), in the interpretivist epistemological position, humans are social actors and it is vitally important for humans to understand how differences exist between them. Throughout history, interpretivism has emphasised the importance of qualitative data in the pursuit of knowledge (Kaplan &amp; Maxwell, 1994). </w:t>
      </w:r>
    </w:p>
    <w:p w14:paraId="7A8DF9DC" w14:textId="77777777" w:rsidR="002530E2" w:rsidRDefault="002530E2">
      <w:r>
        <w:t xml:space="preserve">In interpretivist research, meanings conveyed by human behaviour rather than causes and effects of human behaviour are analysed and interpreted (Neuman, 2000; Hudson and Ozanne, 1988). The Interpretivism philosophy is more concerned with qualitative analysis than quantitative analysis. Interpretivism is an epistemological position in research philosophy that opposes the positivism of natural science. </w:t>
      </w:r>
    </w:p>
    <w:p w14:paraId="33B75AB1" w14:textId="77777777" w:rsidR="002530E2" w:rsidRDefault="002530E2">
      <w:r>
        <w:t>Ontology (nature of reality or being)</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7EB9A153" w14:textId="77777777">
        <w:tc>
          <w:tcPr>
            <w:tcW w:w="3024" w:type="dxa"/>
            <w:tcMar>
              <w:top w:w="100" w:type="dxa"/>
              <w:left w:w="100" w:type="dxa"/>
              <w:bottom w:w="100" w:type="dxa"/>
              <w:right w:w="100" w:type="dxa"/>
            </w:tcMar>
          </w:tcPr>
          <w:p w14:paraId="1C1F1630" w14:textId="77777777" w:rsidR="002530E2" w:rsidRDefault="002530E2">
            <w:pPr>
              <w:spacing w:after="0" w:line="276" w:lineRule="auto"/>
            </w:pPr>
            <w:r>
              <w:rPr>
                <w:sz w:val="18"/>
                <w:szCs w:val="18"/>
              </w:rPr>
              <w:t>Positivism</w:t>
            </w:r>
          </w:p>
        </w:tc>
        <w:tc>
          <w:tcPr>
            <w:tcW w:w="3024" w:type="dxa"/>
            <w:tcMar>
              <w:top w:w="100" w:type="dxa"/>
              <w:left w:w="100" w:type="dxa"/>
              <w:bottom w:w="100" w:type="dxa"/>
              <w:right w:w="100" w:type="dxa"/>
            </w:tcMar>
          </w:tcPr>
          <w:p w14:paraId="6FA2F9C4" w14:textId="77777777" w:rsidR="002530E2" w:rsidRDefault="002530E2">
            <w:pPr>
              <w:spacing w:after="0" w:line="276" w:lineRule="auto"/>
            </w:pPr>
            <w:r>
              <w:rPr>
                <w:sz w:val="18"/>
                <w:szCs w:val="18"/>
              </w:rPr>
              <w:t>Interpretivism</w:t>
            </w:r>
          </w:p>
        </w:tc>
        <w:tc>
          <w:tcPr>
            <w:tcW w:w="3024" w:type="dxa"/>
            <w:tcMar>
              <w:top w:w="100" w:type="dxa"/>
              <w:left w:w="100" w:type="dxa"/>
              <w:bottom w:w="100" w:type="dxa"/>
              <w:right w:w="100" w:type="dxa"/>
            </w:tcMar>
          </w:tcPr>
          <w:p w14:paraId="5A54B53C" w14:textId="77777777" w:rsidR="002530E2" w:rsidRDefault="002530E2">
            <w:pPr>
              <w:spacing w:after="0" w:line="276" w:lineRule="auto"/>
            </w:pPr>
            <w:r>
              <w:rPr>
                <w:sz w:val="18"/>
                <w:szCs w:val="18"/>
              </w:rPr>
              <w:t>Pragmatism</w:t>
            </w:r>
          </w:p>
        </w:tc>
      </w:tr>
      <w:tr w:rsidR="002530E2" w14:paraId="4D91EB5B" w14:textId="77777777">
        <w:tc>
          <w:tcPr>
            <w:tcW w:w="3024" w:type="dxa"/>
            <w:tcMar>
              <w:top w:w="100" w:type="dxa"/>
              <w:left w:w="100" w:type="dxa"/>
              <w:bottom w:w="100" w:type="dxa"/>
              <w:right w:w="100" w:type="dxa"/>
            </w:tcMar>
          </w:tcPr>
          <w:p w14:paraId="326EE7E3" w14:textId="77777777" w:rsidR="002530E2" w:rsidRDefault="002530E2">
            <w:pPr>
              <w:spacing w:after="0" w:line="276" w:lineRule="auto"/>
            </w:pPr>
            <w:r>
              <w:rPr>
                <w:sz w:val="18"/>
                <w:szCs w:val="18"/>
              </w:rPr>
              <w:t xml:space="preserve">Real, external, independent </w:t>
            </w:r>
            <w:r>
              <w:t>o</w:t>
            </w:r>
            <w:r>
              <w:rPr>
                <w:sz w:val="18"/>
                <w:szCs w:val="18"/>
              </w:rPr>
              <w:t>ne true reality (universalism) Granular (things) Ordered</w:t>
            </w:r>
          </w:p>
        </w:tc>
        <w:tc>
          <w:tcPr>
            <w:tcW w:w="3024" w:type="dxa"/>
            <w:tcMar>
              <w:top w:w="100" w:type="dxa"/>
              <w:left w:w="100" w:type="dxa"/>
              <w:bottom w:w="100" w:type="dxa"/>
              <w:right w:w="100" w:type="dxa"/>
            </w:tcMar>
          </w:tcPr>
          <w:p w14:paraId="63C2B752" w14:textId="77777777" w:rsidR="002530E2" w:rsidRDefault="002530E2">
            <w:pPr>
              <w:spacing w:after="0" w:line="276" w:lineRule="auto"/>
            </w:pPr>
            <w:r>
              <w:rPr>
                <w:sz w:val="18"/>
                <w:szCs w:val="18"/>
              </w:rPr>
              <w:t xml:space="preserve">Complex, rich </w:t>
            </w:r>
            <w:r>
              <w:t>s</w:t>
            </w:r>
            <w:r>
              <w:rPr>
                <w:sz w:val="18"/>
                <w:szCs w:val="18"/>
              </w:rPr>
              <w:t>ocially constructed through culture and language Multiple meanings, interpretations, realities Flux of processes, experiences, practices</w:t>
            </w:r>
          </w:p>
        </w:tc>
        <w:tc>
          <w:tcPr>
            <w:tcW w:w="3024" w:type="dxa"/>
            <w:tcMar>
              <w:top w:w="100" w:type="dxa"/>
              <w:left w:w="100" w:type="dxa"/>
              <w:bottom w:w="100" w:type="dxa"/>
              <w:right w:w="100" w:type="dxa"/>
            </w:tcMar>
          </w:tcPr>
          <w:p w14:paraId="3FFFA60C" w14:textId="77777777" w:rsidR="002530E2" w:rsidRDefault="002530E2">
            <w:pPr>
              <w:spacing w:after="0" w:line="276" w:lineRule="auto"/>
            </w:pPr>
            <w:r>
              <w:rPr>
                <w:sz w:val="18"/>
                <w:szCs w:val="18"/>
              </w:rPr>
              <w:t>Complex, rich, external ‘Reality’ is the practical consequences of ideas Flux of processes, experiences and practices</w:t>
            </w:r>
          </w:p>
        </w:tc>
      </w:tr>
    </w:tbl>
    <w:p w14:paraId="71FEE975" w14:textId="77777777" w:rsidR="002530E2" w:rsidRDefault="002530E2">
      <w:pPr>
        <w:spacing w:after="0"/>
      </w:pPr>
    </w:p>
    <w:p w14:paraId="5B4F20D1" w14:textId="77777777" w:rsidR="002530E2" w:rsidRDefault="002530E2">
      <w:r>
        <w:t>Epistemology (what constitutes acceptable knowledge)</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1FB80F35" w14:textId="77777777">
        <w:tc>
          <w:tcPr>
            <w:tcW w:w="3024" w:type="dxa"/>
            <w:tcMar>
              <w:top w:w="100" w:type="dxa"/>
              <w:left w:w="100" w:type="dxa"/>
              <w:bottom w:w="100" w:type="dxa"/>
              <w:right w:w="100" w:type="dxa"/>
            </w:tcMar>
          </w:tcPr>
          <w:p w14:paraId="05AAE0C0" w14:textId="77777777" w:rsidR="002530E2" w:rsidRDefault="002530E2">
            <w:pPr>
              <w:spacing w:after="0" w:line="276" w:lineRule="auto"/>
            </w:pPr>
            <w:r>
              <w:rPr>
                <w:sz w:val="18"/>
                <w:szCs w:val="18"/>
              </w:rPr>
              <w:t>Positivism</w:t>
            </w:r>
          </w:p>
        </w:tc>
        <w:tc>
          <w:tcPr>
            <w:tcW w:w="3024" w:type="dxa"/>
            <w:tcMar>
              <w:top w:w="100" w:type="dxa"/>
              <w:left w:w="100" w:type="dxa"/>
              <w:bottom w:w="100" w:type="dxa"/>
              <w:right w:w="100" w:type="dxa"/>
            </w:tcMar>
          </w:tcPr>
          <w:p w14:paraId="077CCBAB" w14:textId="77777777" w:rsidR="002530E2" w:rsidRDefault="002530E2">
            <w:pPr>
              <w:spacing w:after="0" w:line="276" w:lineRule="auto"/>
            </w:pPr>
            <w:r>
              <w:rPr>
                <w:sz w:val="18"/>
                <w:szCs w:val="18"/>
              </w:rPr>
              <w:t>Interpretivism</w:t>
            </w:r>
          </w:p>
        </w:tc>
        <w:tc>
          <w:tcPr>
            <w:tcW w:w="3024" w:type="dxa"/>
            <w:tcMar>
              <w:top w:w="100" w:type="dxa"/>
              <w:left w:w="100" w:type="dxa"/>
              <w:bottom w:w="100" w:type="dxa"/>
              <w:right w:w="100" w:type="dxa"/>
            </w:tcMar>
          </w:tcPr>
          <w:p w14:paraId="599E0F26" w14:textId="77777777" w:rsidR="002530E2" w:rsidRDefault="002530E2">
            <w:pPr>
              <w:spacing w:after="0" w:line="276" w:lineRule="auto"/>
            </w:pPr>
            <w:r>
              <w:rPr>
                <w:sz w:val="18"/>
                <w:szCs w:val="18"/>
              </w:rPr>
              <w:t>Pragmatism</w:t>
            </w:r>
          </w:p>
        </w:tc>
      </w:tr>
      <w:tr w:rsidR="002530E2" w14:paraId="64FF42C4" w14:textId="77777777">
        <w:tc>
          <w:tcPr>
            <w:tcW w:w="3024" w:type="dxa"/>
            <w:tcMar>
              <w:top w:w="100" w:type="dxa"/>
              <w:left w:w="100" w:type="dxa"/>
              <w:bottom w:w="100" w:type="dxa"/>
              <w:right w:w="100" w:type="dxa"/>
            </w:tcMar>
          </w:tcPr>
          <w:p w14:paraId="732C1508" w14:textId="77777777" w:rsidR="002530E2" w:rsidRDefault="002530E2">
            <w:pPr>
              <w:spacing w:after="0" w:line="276" w:lineRule="auto"/>
            </w:pPr>
            <w:r>
              <w:rPr>
                <w:sz w:val="18"/>
                <w:szCs w:val="18"/>
              </w:rPr>
              <w:t xml:space="preserve">Scientific method </w:t>
            </w:r>
            <w:r>
              <w:t>o</w:t>
            </w:r>
            <w:r>
              <w:rPr>
                <w:sz w:val="18"/>
                <w:szCs w:val="18"/>
              </w:rPr>
              <w:t xml:space="preserve">bservable and measurable facts Law-like generalisations </w:t>
            </w:r>
            <w:r>
              <w:t>n</w:t>
            </w:r>
            <w:r>
              <w:rPr>
                <w:sz w:val="18"/>
                <w:szCs w:val="18"/>
              </w:rPr>
              <w:t xml:space="preserve">umbers </w:t>
            </w:r>
            <w:r>
              <w:t>c</w:t>
            </w:r>
            <w:r>
              <w:rPr>
                <w:sz w:val="18"/>
                <w:szCs w:val="18"/>
              </w:rPr>
              <w:t>ausal explanation and prediction as contribution</w:t>
            </w:r>
          </w:p>
        </w:tc>
        <w:tc>
          <w:tcPr>
            <w:tcW w:w="3024" w:type="dxa"/>
            <w:tcMar>
              <w:top w:w="100" w:type="dxa"/>
              <w:left w:w="100" w:type="dxa"/>
              <w:bottom w:w="100" w:type="dxa"/>
              <w:right w:w="100" w:type="dxa"/>
            </w:tcMar>
          </w:tcPr>
          <w:p w14:paraId="7D2FB742" w14:textId="77777777" w:rsidR="002530E2" w:rsidRDefault="002530E2">
            <w:pPr>
              <w:spacing w:after="0" w:line="276" w:lineRule="auto"/>
            </w:pPr>
            <w:r>
              <w:rPr>
                <w:sz w:val="18"/>
                <w:szCs w:val="18"/>
              </w:rPr>
              <w:t xml:space="preserve">Theories and concepts too simplistic </w:t>
            </w:r>
            <w:r>
              <w:t>f</w:t>
            </w:r>
            <w:r>
              <w:rPr>
                <w:sz w:val="18"/>
                <w:szCs w:val="18"/>
              </w:rPr>
              <w:t>ocus on narratives, stories, perceptions and interpretations New understandings and worldviews as contribution</w:t>
            </w:r>
          </w:p>
        </w:tc>
        <w:tc>
          <w:tcPr>
            <w:tcW w:w="3024" w:type="dxa"/>
            <w:tcMar>
              <w:top w:w="100" w:type="dxa"/>
              <w:left w:w="100" w:type="dxa"/>
              <w:bottom w:w="100" w:type="dxa"/>
              <w:right w:w="100" w:type="dxa"/>
            </w:tcMar>
          </w:tcPr>
          <w:p w14:paraId="2A9659C9" w14:textId="77777777" w:rsidR="002530E2" w:rsidRDefault="002530E2">
            <w:pPr>
              <w:spacing w:after="0" w:line="276" w:lineRule="auto"/>
            </w:pPr>
            <w:r>
              <w:rPr>
                <w:sz w:val="18"/>
                <w:szCs w:val="18"/>
              </w:rPr>
              <w:t>Practical meaning of knowledge in specific contexts ‘True’ theories and knowledge are those that enable successful action Focus on problems, practices and relevance Problem solving and informed future practice as contribution</w:t>
            </w:r>
          </w:p>
        </w:tc>
      </w:tr>
    </w:tbl>
    <w:p w14:paraId="2FB155BC" w14:textId="77777777" w:rsidR="002530E2" w:rsidRDefault="002530E2"/>
    <w:p w14:paraId="4132E2CA" w14:textId="77777777" w:rsidR="002530E2" w:rsidRDefault="002530E2">
      <w:r>
        <w:t>Axiology (role of values)</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13514BE0" w14:textId="77777777">
        <w:tc>
          <w:tcPr>
            <w:tcW w:w="3024" w:type="dxa"/>
            <w:tcMar>
              <w:top w:w="100" w:type="dxa"/>
              <w:left w:w="100" w:type="dxa"/>
              <w:bottom w:w="100" w:type="dxa"/>
              <w:right w:w="100" w:type="dxa"/>
            </w:tcMar>
          </w:tcPr>
          <w:p w14:paraId="583342E3" w14:textId="77777777" w:rsidR="002530E2" w:rsidRDefault="002530E2">
            <w:pPr>
              <w:spacing w:after="0" w:line="276" w:lineRule="auto"/>
            </w:pPr>
            <w:r>
              <w:rPr>
                <w:sz w:val="18"/>
                <w:szCs w:val="18"/>
              </w:rPr>
              <w:t>Positivism</w:t>
            </w:r>
          </w:p>
        </w:tc>
        <w:tc>
          <w:tcPr>
            <w:tcW w:w="3024" w:type="dxa"/>
            <w:tcMar>
              <w:top w:w="100" w:type="dxa"/>
              <w:left w:w="100" w:type="dxa"/>
              <w:bottom w:w="100" w:type="dxa"/>
              <w:right w:w="100" w:type="dxa"/>
            </w:tcMar>
          </w:tcPr>
          <w:p w14:paraId="4199E0B2" w14:textId="77777777" w:rsidR="002530E2" w:rsidRDefault="002530E2">
            <w:pPr>
              <w:spacing w:after="0" w:line="276" w:lineRule="auto"/>
            </w:pPr>
            <w:r>
              <w:rPr>
                <w:sz w:val="18"/>
                <w:szCs w:val="18"/>
              </w:rPr>
              <w:t>Interpretivism</w:t>
            </w:r>
          </w:p>
        </w:tc>
        <w:tc>
          <w:tcPr>
            <w:tcW w:w="3024" w:type="dxa"/>
            <w:tcMar>
              <w:top w:w="100" w:type="dxa"/>
              <w:left w:w="100" w:type="dxa"/>
              <w:bottom w:w="100" w:type="dxa"/>
              <w:right w:w="100" w:type="dxa"/>
            </w:tcMar>
          </w:tcPr>
          <w:p w14:paraId="474DEB86" w14:textId="77777777" w:rsidR="002530E2" w:rsidRDefault="002530E2">
            <w:pPr>
              <w:spacing w:after="0" w:line="276" w:lineRule="auto"/>
            </w:pPr>
            <w:r>
              <w:rPr>
                <w:sz w:val="18"/>
                <w:szCs w:val="18"/>
              </w:rPr>
              <w:t>Pragmatism</w:t>
            </w:r>
          </w:p>
        </w:tc>
      </w:tr>
      <w:tr w:rsidR="002530E2" w14:paraId="7532994F" w14:textId="77777777">
        <w:tc>
          <w:tcPr>
            <w:tcW w:w="3024" w:type="dxa"/>
            <w:tcMar>
              <w:top w:w="100" w:type="dxa"/>
              <w:left w:w="100" w:type="dxa"/>
              <w:bottom w:w="100" w:type="dxa"/>
              <w:right w:w="100" w:type="dxa"/>
            </w:tcMar>
          </w:tcPr>
          <w:p w14:paraId="30D87BD6" w14:textId="77777777" w:rsidR="002530E2" w:rsidRDefault="002530E2">
            <w:pPr>
              <w:spacing w:after="0" w:line="276" w:lineRule="auto"/>
            </w:pPr>
            <w:r>
              <w:rPr>
                <w:sz w:val="18"/>
                <w:szCs w:val="18"/>
              </w:rPr>
              <w:t xml:space="preserve">Value-free research Researcher is detached, neutral and independent of </w:t>
            </w:r>
            <w:r>
              <w:rPr>
                <w:sz w:val="18"/>
                <w:szCs w:val="18"/>
              </w:rPr>
              <w:lastRenderedPageBreak/>
              <w:t>what is researched Researcher maintains objective stance</w:t>
            </w:r>
          </w:p>
        </w:tc>
        <w:tc>
          <w:tcPr>
            <w:tcW w:w="3024" w:type="dxa"/>
            <w:tcMar>
              <w:top w:w="100" w:type="dxa"/>
              <w:left w:w="100" w:type="dxa"/>
              <w:bottom w:w="100" w:type="dxa"/>
              <w:right w:w="100" w:type="dxa"/>
            </w:tcMar>
          </w:tcPr>
          <w:p w14:paraId="7C1381B4" w14:textId="77777777" w:rsidR="002530E2" w:rsidRDefault="002530E2">
            <w:pPr>
              <w:spacing w:after="0" w:line="276" w:lineRule="auto"/>
            </w:pPr>
            <w:r>
              <w:rPr>
                <w:sz w:val="18"/>
                <w:szCs w:val="18"/>
              </w:rPr>
              <w:lastRenderedPageBreak/>
              <w:t xml:space="preserve">Value-bound research Researchers are part of what is researched, subjective </w:t>
            </w:r>
            <w:r>
              <w:rPr>
                <w:sz w:val="18"/>
                <w:szCs w:val="18"/>
              </w:rPr>
              <w:lastRenderedPageBreak/>
              <w:t>Researcher interpretations key to contribution Researcher reflexive</w:t>
            </w:r>
          </w:p>
        </w:tc>
        <w:tc>
          <w:tcPr>
            <w:tcW w:w="3024" w:type="dxa"/>
            <w:tcMar>
              <w:top w:w="100" w:type="dxa"/>
              <w:left w:w="100" w:type="dxa"/>
              <w:bottom w:w="100" w:type="dxa"/>
              <w:right w:w="100" w:type="dxa"/>
            </w:tcMar>
          </w:tcPr>
          <w:p w14:paraId="1363C2BD" w14:textId="77777777" w:rsidR="002530E2" w:rsidRDefault="002530E2">
            <w:pPr>
              <w:spacing w:after="0" w:line="276" w:lineRule="auto"/>
            </w:pPr>
            <w:r>
              <w:rPr>
                <w:sz w:val="18"/>
                <w:szCs w:val="18"/>
              </w:rPr>
              <w:lastRenderedPageBreak/>
              <w:t xml:space="preserve">Value-driven research Research initiated and sustained by researcher’s </w:t>
            </w:r>
            <w:r>
              <w:rPr>
                <w:sz w:val="18"/>
                <w:szCs w:val="18"/>
              </w:rPr>
              <w:lastRenderedPageBreak/>
              <w:t>doubts and beliefs Researcher reflexive</w:t>
            </w:r>
          </w:p>
        </w:tc>
      </w:tr>
    </w:tbl>
    <w:p w14:paraId="313064EF" w14:textId="77777777" w:rsidR="002530E2" w:rsidRDefault="002530E2"/>
    <w:p w14:paraId="289CFAC5" w14:textId="77777777" w:rsidR="002530E2" w:rsidRDefault="002530E2">
      <w:r>
        <w:t>Typical methods</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348ADE4D" w14:textId="77777777">
        <w:tc>
          <w:tcPr>
            <w:tcW w:w="3024" w:type="dxa"/>
            <w:tcMar>
              <w:top w:w="100" w:type="dxa"/>
              <w:left w:w="100" w:type="dxa"/>
              <w:bottom w:w="100" w:type="dxa"/>
              <w:right w:w="100" w:type="dxa"/>
            </w:tcMar>
          </w:tcPr>
          <w:p w14:paraId="294D1828" w14:textId="77777777" w:rsidR="002530E2" w:rsidRDefault="002530E2">
            <w:pPr>
              <w:spacing w:after="0" w:line="276" w:lineRule="auto"/>
            </w:pPr>
            <w:r>
              <w:rPr>
                <w:sz w:val="18"/>
                <w:szCs w:val="18"/>
              </w:rPr>
              <w:t>Positivism</w:t>
            </w:r>
          </w:p>
        </w:tc>
        <w:tc>
          <w:tcPr>
            <w:tcW w:w="3024" w:type="dxa"/>
            <w:tcMar>
              <w:top w:w="100" w:type="dxa"/>
              <w:left w:w="100" w:type="dxa"/>
              <w:bottom w:w="100" w:type="dxa"/>
              <w:right w:w="100" w:type="dxa"/>
            </w:tcMar>
          </w:tcPr>
          <w:p w14:paraId="0DA4800A" w14:textId="77777777" w:rsidR="002530E2" w:rsidRDefault="002530E2">
            <w:pPr>
              <w:spacing w:after="0" w:line="276" w:lineRule="auto"/>
            </w:pPr>
            <w:r>
              <w:rPr>
                <w:sz w:val="18"/>
                <w:szCs w:val="18"/>
              </w:rPr>
              <w:t>Interpretivism</w:t>
            </w:r>
          </w:p>
        </w:tc>
        <w:tc>
          <w:tcPr>
            <w:tcW w:w="3024" w:type="dxa"/>
            <w:tcMar>
              <w:top w:w="100" w:type="dxa"/>
              <w:left w:w="100" w:type="dxa"/>
              <w:bottom w:w="100" w:type="dxa"/>
              <w:right w:w="100" w:type="dxa"/>
            </w:tcMar>
          </w:tcPr>
          <w:p w14:paraId="7AD0BA60" w14:textId="77777777" w:rsidR="002530E2" w:rsidRDefault="002530E2">
            <w:pPr>
              <w:spacing w:after="0" w:line="276" w:lineRule="auto"/>
            </w:pPr>
            <w:r>
              <w:rPr>
                <w:sz w:val="18"/>
                <w:szCs w:val="18"/>
              </w:rPr>
              <w:t>Pragmatism</w:t>
            </w:r>
          </w:p>
        </w:tc>
      </w:tr>
      <w:tr w:rsidR="002530E2" w14:paraId="1F2E0022" w14:textId="77777777">
        <w:tc>
          <w:tcPr>
            <w:tcW w:w="3024" w:type="dxa"/>
            <w:tcMar>
              <w:top w:w="100" w:type="dxa"/>
              <w:left w:w="100" w:type="dxa"/>
              <w:bottom w:w="100" w:type="dxa"/>
              <w:right w:w="100" w:type="dxa"/>
            </w:tcMar>
          </w:tcPr>
          <w:p w14:paraId="4E7EF954" w14:textId="77777777" w:rsidR="002530E2" w:rsidRDefault="002530E2">
            <w:pPr>
              <w:spacing w:after="0" w:line="276" w:lineRule="auto"/>
            </w:pPr>
            <w:r>
              <w:rPr>
                <w:sz w:val="18"/>
                <w:szCs w:val="18"/>
              </w:rPr>
              <w:t>Typically deductive, highly structured, large samples, measurement, typically quantitative methods of analysis, but a range of data can be analysed</w:t>
            </w:r>
          </w:p>
        </w:tc>
        <w:tc>
          <w:tcPr>
            <w:tcW w:w="3024" w:type="dxa"/>
            <w:tcMar>
              <w:top w:w="100" w:type="dxa"/>
              <w:left w:w="100" w:type="dxa"/>
              <w:bottom w:w="100" w:type="dxa"/>
              <w:right w:w="100" w:type="dxa"/>
            </w:tcMar>
          </w:tcPr>
          <w:p w14:paraId="782FDEAF" w14:textId="77777777" w:rsidR="002530E2" w:rsidRDefault="002530E2">
            <w:pPr>
              <w:spacing w:after="0" w:line="276" w:lineRule="auto"/>
            </w:pPr>
            <w:r>
              <w:rPr>
                <w:sz w:val="18"/>
                <w:szCs w:val="18"/>
              </w:rPr>
              <w:t>Typically inductive. Small samples, in-depth investigations, qualitative methods of analysis, but a range of data can be interpretedFlux of processes, experiences, practices</w:t>
            </w:r>
          </w:p>
        </w:tc>
        <w:tc>
          <w:tcPr>
            <w:tcW w:w="3024" w:type="dxa"/>
            <w:tcMar>
              <w:top w:w="100" w:type="dxa"/>
              <w:left w:w="100" w:type="dxa"/>
              <w:bottom w:w="100" w:type="dxa"/>
              <w:right w:w="100" w:type="dxa"/>
            </w:tcMar>
          </w:tcPr>
          <w:p w14:paraId="5F7ED13D" w14:textId="77777777" w:rsidR="002530E2" w:rsidRDefault="002530E2">
            <w:pPr>
              <w:spacing w:after="0" w:line="276" w:lineRule="auto"/>
            </w:pPr>
            <w:r>
              <w:rPr>
                <w:sz w:val="18"/>
                <w:szCs w:val="18"/>
              </w:rPr>
              <w:t>Following research problem and research question Range of methods: mixed, multiple, qualitative, quantitative, action research Emphasis on practical solutions and outcomes</w:t>
            </w:r>
          </w:p>
        </w:tc>
      </w:tr>
    </w:tbl>
    <w:p w14:paraId="42C7CC34" w14:textId="77777777" w:rsidR="002530E2" w:rsidRDefault="002530E2"/>
    <w:p w14:paraId="05F1B50B" w14:textId="77777777" w:rsidR="002530E2" w:rsidRDefault="002530E2">
      <w:pPr>
        <w:pStyle w:val="Heading1"/>
      </w:pPr>
      <w:bookmarkStart w:id="130" w:name="_6k1360nrgqqp" w:colFirst="0" w:colLast="0"/>
      <w:bookmarkEnd w:id="130"/>
      <w:r>
        <w:t>RESEARCH APPROACH</w:t>
      </w:r>
    </w:p>
    <w:p w14:paraId="24BB2BC8" w14:textId="77777777" w:rsidR="002530E2" w:rsidRDefault="002530E2">
      <w:r>
        <w:t>A research approach is an overall plan and procedure for carrying out the study. There are mainly three research approach types to theory development (Dudovskiy, 2011), the “deductive approach,” the “inductive approach,” and the “abductive approach.”</w:t>
      </w:r>
    </w:p>
    <w:p w14:paraId="3B8B67C1" w14:textId="77777777" w:rsidR="002530E2" w:rsidRDefault="002530E2">
      <w:pPr>
        <w:pStyle w:val="Heading2"/>
      </w:pPr>
      <w:bookmarkStart w:id="131" w:name="_mxs5riecqtg9" w:colFirst="0" w:colLast="0"/>
      <w:bookmarkEnd w:id="131"/>
      <w:r>
        <w:t>DEDUCTIVE APPROACH</w:t>
      </w:r>
    </w:p>
    <w:p w14:paraId="6E18379E" w14:textId="77777777" w:rsidR="002530E2" w:rsidRDefault="002530E2">
      <w:r>
        <w:t xml:space="preserve">Deductive, or deductive reasoning, or deductive approach, or deductive logic, starts with a hypothesis that examines facts and then reaches a logical conclusion. It is also called “Top-down (theory to data/ observation, to confirmation/ rejection)” reasoning or approach. </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7277BBA1" w14:textId="77777777">
        <w:tc>
          <w:tcPr>
            <w:tcW w:w="302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321AA6CE" w14:textId="77777777" w:rsidR="002530E2" w:rsidRDefault="002530E2">
            <w:pPr>
              <w:spacing w:after="0" w:line="240" w:lineRule="auto"/>
              <w:jc w:val="right"/>
            </w:pPr>
            <w:r>
              <w:t>↓</w:t>
            </w:r>
          </w:p>
        </w:tc>
        <w:tc>
          <w:tcPr>
            <w:tcW w:w="3024" w:type="dxa"/>
            <w:tcBorders>
              <w:top w:val="single" w:sz="8" w:space="0" w:color="FFFFFF"/>
              <w:left w:val="single" w:sz="8" w:space="0" w:color="FFFFFF"/>
              <w:bottom w:val="single" w:sz="8" w:space="0" w:color="0E101A"/>
              <w:right w:val="single" w:sz="8" w:space="0" w:color="FFFFFF"/>
            </w:tcBorders>
            <w:shd w:val="clear" w:color="auto" w:fill="auto"/>
            <w:tcMar>
              <w:top w:w="100" w:type="dxa"/>
              <w:left w:w="100" w:type="dxa"/>
              <w:bottom w:w="100" w:type="dxa"/>
              <w:right w:w="100" w:type="dxa"/>
            </w:tcMar>
          </w:tcPr>
          <w:p w14:paraId="437DF0CC" w14:textId="77777777" w:rsidR="002530E2" w:rsidRDefault="002530E2">
            <w:pPr>
              <w:spacing w:after="0" w:line="240" w:lineRule="auto"/>
              <w:jc w:val="center"/>
            </w:pPr>
            <w:r>
              <w:t>Top-down (theory to data)</w:t>
            </w:r>
          </w:p>
        </w:tc>
        <w:tc>
          <w:tcPr>
            <w:tcW w:w="302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518B9248" w14:textId="77777777" w:rsidR="002530E2" w:rsidRDefault="002530E2">
            <w:pPr>
              <w:spacing w:after="0" w:line="240" w:lineRule="auto"/>
            </w:pPr>
          </w:p>
        </w:tc>
      </w:tr>
      <w:tr w:rsidR="002530E2" w14:paraId="18C6F1E9" w14:textId="77777777">
        <w:trPr>
          <w:trHeight w:val="422"/>
        </w:trPr>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766609C5"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shd w:val="clear" w:color="auto" w:fill="auto"/>
            <w:tcMar>
              <w:top w:w="100" w:type="dxa"/>
              <w:left w:w="100" w:type="dxa"/>
              <w:bottom w:w="100" w:type="dxa"/>
              <w:right w:w="100" w:type="dxa"/>
            </w:tcMar>
          </w:tcPr>
          <w:p w14:paraId="4391B531" w14:textId="77777777" w:rsidR="002530E2" w:rsidRDefault="002530E2">
            <w:pPr>
              <w:spacing w:after="0" w:line="240" w:lineRule="auto"/>
              <w:jc w:val="center"/>
            </w:pPr>
            <w:r>
              <w:t>Theory</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47E0DE8F" w14:textId="77777777" w:rsidR="002530E2" w:rsidRDefault="002530E2">
            <w:pPr>
              <w:spacing w:after="0" w:line="240" w:lineRule="auto"/>
            </w:pPr>
          </w:p>
        </w:tc>
      </w:tr>
      <w:tr w:rsidR="002530E2" w14:paraId="5F36FBE8" w14:textId="77777777">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233B48F2"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shd w:val="clear" w:color="auto" w:fill="auto"/>
            <w:tcMar>
              <w:top w:w="100" w:type="dxa"/>
              <w:left w:w="100" w:type="dxa"/>
              <w:bottom w:w="100" w:type="dxa"/>
              <w:right w:w="100" w:type="dxa"/>
            </w:tcMar>
          </w:tcPr>
          <w:p w14:paraId="346A2277" w14:textId="77777777" w:rsidR="002530E2" w:rsidRDefault="002530E2">
            <w:pPr>
              <w:spacing w:after="0" w:line="240" w:lineRule="auto"/>
              <w:jc w:val="center"/>
            </w:pPr>
            <w:r>
              <w:t xml:space="preserve">Hypothesis </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66B8EBB2" w14:textId="77777777" w:rsidR="002530E2" w:rsidRDefault="002530E2">
            <w:pPr>
              <w:spacing w:after="0" w:line="240" w:lineRule="auto"/>
            </w:pPr>
          </w:p>
        </w:tc>
      </w:tr>
      <w:tr w:rsidR="002530E2" w14:paraId="38F81F58" w14:textId="77777777">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5B6AD0DE"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shd w:val="clear" w:color="auto" w:fill="auto"/>
            <w:tcMar>
              <w:top w:w="100" w:type="dxa"/>
              <w:left w:w="100" w:type="dxa"/>
              <w:bottom w:w="100" w:type="dxa"/>
              <w:right w:w="100" w:type="dxa"/>
            </w:tcMar>
          </w:tcPr>
          <w:p w14:paraId="2BDBA978" w14:textId="77777777" w:rsidR="002530E2" w:rsidRDefault="002530E2">
            <w:pPr>
              <w:spacing w:after="0" w:line="240" w:lineRule="auto"/>
              <w:jc w:val="center"/>
            </w:pPr>
            <w:r>
              <w:t xml:space="preserve">Observation </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25012BC0" w14:textId="77777777" w:rsidR="002530E2" w:rsidRDefault="002530E2">
            <w:pPr>
              <w:spacing w:after="0" w:line="240" w:lineRule="auto"/>
            </w:pPr>
          </w:p>
        </w:tc>
      </w:tr>
      <w:tr w:rsidR="002530E2" w14:paraId="7E8F581A" w14:textId="77777777">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21D74E75"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shd w:val="clear" w:color="auto" w:fill="auto"/>
            <w:tcMar>
              <w:top w:w="100" w:type="dxa"/>
              <w:left w:w="100" w:type="dxa"/>
              <w:bottom w:w="100" w:type="dxa"/>
              <w:right w:w="100" w:type="dxa"/>
            </w:tcMar>
          </w:tcPr>
          <w:p w14:paraId="5BE9B006" w14:textId="77777777" w:rsidR="002530E2" w:rsidRDefault="002530E2">
            <w:pPr>
              <w:spacing w:after="0" w:line="240" w:lineRule="auto"/>
              <w:jc w:val="center"/>
            </w:pPr>
            <w:r>
              <w:t xml:space="preserve">Confirmation </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2F12C7FF" w14:textId="77777777" w:rsidR="002530E2" w:rsidRDefault="002530E2">
            <w:pPr>
              <w:spacing w:after="0" w:line="240" w:lineRule="auto"/>
            </w:pPr>
          </w:p>
        </w:tc>
      </w:tr>
    </w:tbl>
    <w:p w14:paraId="5C33CECF" w14:textId="77777777" w:rsidR="002530E2" w:rsidRDefault="002530E2">
      <w:pPr>
        <w:pStyle w:val="Heading4"/>
      </w:pPr>
      <w:bookmarkStart w:id="132" w:name="_40p1h630ft34" w:colFirst="0" w:colLast="0"/>
      <w:bookmarkEnd w:id="132"/>
    </w:p>
    <w:p w14:paraId="4A91D4A8" w14:textId="77777777" w:rsidR="002530E2" w:rsidRDefault="002530E2">
      <w:pPr>
        <w:pStyle w:val="Heading4"/>
      </w:pPr>
      <w:bookmarkStart w:id="133" w:name="_c09yxwvwgvql" w:colFirst="0" w:colLast="0"/>
      <w:bookmarkEnd w:id="133"/>
      <w:r>
        <w:t>Figure [Appendix (CHP:3) 001] 3: The Deductive Top-down (theory to data) approach model.</w:t>
      </w:r>
    </w:p>
    <w:p w14:paraId="57981BBA" w14:textId="77777777" w:rsidR="002530E2" w:rsidRDefault="002530E2">
      <w:pPr>
        <w:spacing w:after="0"/>
      </w:pPr>
    </w:p>
    <w:p w14:paraId="016CA197" w14:textId="77777777" w:rsidR="002530E2" w:rsidRDefault="002530E2">
      <w:r>
        <w:t xml:space="preserve">Heckmann (2021) explains that deductive approach begins with a general assumption (hypothesis), uses logic, and tests the logic to reach a conclusion. According to this type of reasoning, if the premises are true, then the conclusion must also be true. According to Wilson (2010), a deductive </w:t>
      </w:r>
      <w:r>
        <w:lastRenderedPageBreak/>
        <w:t xml:space="preserve">research approach relates to “developing a hypothesis (or hypothesis) based on an existing theory, and then designing a research strategy to test the hypothesis.” </w:t>
      </w:r>
    </w:p>
    <w:p w14:paraId="3F7FCA5D" w14:textId="77777777" w:rsidR="002530E2" w:rsidRDefault="002530E2">
      <w:r>
        <w:t xml:space="preserve">Gulati (2009) asserts that “deductive means reasoning from the particular to the general. If a causal relationship or link seems to be implied by a particular theory or case example, it might be true in many cases. A deductive design might test to see if this relationship or link did obtain in more general circumstances.” </w:t>
      </w:r>
    </w:p>
    <w:p w14:paraId="24832795" w14:textId="77777777" w:rsidR="002530E2" w:rsidRDefault="002530E2">
      <w:r>
        <w:t>According to Dudovskiy (2011), hypotheses can be derived from propositions in theories to explain deductive reasoning. In other words, deductive reasoning implicates deducing conclusions from premises and propositions. Babbie (2010) points out that as opposed to the induction approach, which starts with observations and searches for a pattern within them, deduction begins with an expected pattern that is tested against observations.</w:t>
      </w:r>
    </w:p>
    <w:p w14:paraId="56923D3E" w14:textId="77777777" w:rsidR="002530E2" w:rsidRDefault="002530E2">
      <w:pPr>
        <w:pStyle w:val="Heading2"/>
      </w:pPr>
      <w:bookmarkStart w:id="134" w:name="_3565t947p0r3" w:colFirst="0" w:colLast="0"/>
      <w:bookmarkEnd w:id="134"/>
      <w:r>
        <w:t>INDUCTIVE APPROACH</w:t>
      </w:r>
    </w:p>
    <w:p w14:paraId="4344639E" w14:textId="77777777" w:rsidR="002530E2" w:rsidRDefault="002530E2">
      <w:r>
        <w:t>Inductive, or inductive reasoning, or inductive approach, or inductive logic, unlike deductive reasoning, begins with observations, and theories are proposed as a result of observations at the end of the research process (Goddard and Melville, 2004). It is also called “Bottom-up (data/ observation to theory)” reasoning or approach. According to Bernard (2011), inductive research “involves the search for patterns from observation and the development of explanations – theories – for those patterns through a series of hypotheses.”</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4"/>
        <w:gridCol w:w="3024"/>
        <w:gridCol w:w="3024"/>
      </w:tblGrid>
      <w:tr w:rsidR="002530E2" w14:paraId="48F1BF37" w14:textId="77777777">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31AE740C"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tcMar>
              <w:top w:w="100" w:type="dxa"/>
              <w:left w:w="100" w:type="dxa"/>
              <w:bottom w:w="100" w:type="dxa"/>
              <w:right w:w="100" w:type="dxa"/>
            </w:tcMar>
          </w:tcPr>
          <w:p w14:paraId="0CA6CD6C" w14:textId="77777777" w:rsidR="002530E2" w:rsidRDefault="002530E2">
            <w:pPr>
              <w:spacing w:after="0" w:line="240" w:lineRule="auto"/>
              <w:jc w:val="center"/>
            </w:pPr>
            <w:r>
              <w:t>Theory</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762372A3" w14:textId="77777777" w:rsidR="002530E2" w:rsidRDefault="002530E2">
            <w:pPr>
              <w:spacing w:after="0" w:line="240" w:lineRule="auto"/>
            </w:pPr>
          </w:p>
        </w:tc>
      </w:tr>
      <w:tr w:rsidR="002530E2" w14:paraId="49673D9C" w14:textId="77777777">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7D417F50"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tcMar>
              <w:top w:w="100" w:type="dxa"/>
              <w:left w:w="100" w:type="dxa"/>
              <w:bottom w:w="100" w:type="dxa"/>
              <w:right w:w="100" w:type="dxa"/>
            </w:tcMar>
          </w:tcPr>
          <w:p w14:paraId="54BE1433" w14:textId="77777777" w:rsidR="002530E2" w:rsidRDefault="002530E2">
            <w:pPr>
              <w:spacing w:after="0" w:line="240" w:lineRule="auto"/>
              <w:jc w:val="center"/>
            </w:pPr>
            <w:r>
              <w:t xml:space="preserve">Hypothesis </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1B19D759" w14:textId="77777777" w:rsidR="002530E2" w:rsidRDefault="002530E2">
            <w:pPr>
              <w:spacing w:after="0" w:line="240" w:lineRule="auto"/>
            </w:pPr>
          </w:p>
        </w:tc>
      </w:tr>
      <w:tr w:rsidR="002530E2" w14:paraId="08AF1BD6" w14:textId="77777777">
        <w:trPr>
          <w:trHeight w:val="502"/>
        </w:trPr>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18B36011"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tcMar>
              <w:top w:w="100" w:type="dxa"/>
              <w:left w:w="100" w:type="dxa"/>
              <w:bottom w:w="100" w:type="dxa"/>
              <w:right w:w="100" w:type="dxa"/>
            </w:tcMar>
          </w:tcPr>
          <w:p w14:paraId="34793036" w14:textId="77777777" w:rsidR="002530E2" w:rsidRDefault="002530E2">
            <w:pPr>
              <w:spacing w:after="0" w:line="240" w:lineRule="auto"/>
              <w:jc w:val="center"/>
            </w:pPr>
            <w:r>
              <w:t xml:space="preserve">Pattern </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283B5EC3" w14:textId="77777777" w:rsidR="002530E2" w:rsidRDefault="002530E2">
            <w:pPr>
              <w:spacing w:after="0" w:line="240" w:lineRule="auto"/>
            </w:pPr>
          </w:p>
        </w:tc>
      </w:tr>
      <w:tr w:rsidR="002530E2" w14:paraId="7C0BB1B0" w14:textId="77777777">
        <w:tc>
          <w:tcPr>
            <w:tcW w:w="3024" w:type="dxa"/>
            <w:tcBorders>
              <w:top w:val="single" w:sz="8" w:space="0" w:color="FFFFFF"/>
              <w:left w:val="single" w:sz="8" w:space="0" w:color="FFFFFF"/>
              <w:bottom w:val="single" w:sz="8" w:space="0" w:color="FFFFFF"/>
              <w:right w:val="single" w:sz="8" w:space="0" w:color="0E101A"/>
            </w:tcBorders>
            <w:shd w:val="clear" w:color="auto" w:fill="auto"/>
            <w:tcMar>
              <w:top w:w="100" w:type="dxa"/>
              <w:left w:w="100" w:type="dxa"/>
              <w:bottom w:w="100" w:type="dxa"/>
              <w:right w:w="100" w:type="dxa"/>
            </w:tcMar>
          </w:tcPr>
          <w:p w14:paraId="40CB8EAC" w14:textId="77777777" w:rsidR="002530E2" w:rsidRDefault="002530E2">
            <w:pPr>
              <w:spacing w:after="0" w:line="240" w:lineRule="auto"/>
              <w:jc w:val="right"/>
            </w:pPr>
            <w:r>
              <w:t>↑</w:t>
            </w:r>
          </w:p>
        </w:tc>
        <w:tc>
          <w:tcPr>
            <w:tcW w:w="3024" w:type="dxa"/>
            <w:tcBorders>
              <w:top w:val="single" w:sz="8" w:space="0" w:color="0E101A"/>
              <w:left w:val="single" w:sz="8" w:space="0" w:color="0E101A"/>
              <w:bottom w:val="single" w:sz="8" w:space="0" w:color="0E101A"/>
              <w:right w:val="single" w:sz="8" w:space="0" w:color="0E101A"/>
            </w:tcBorders>
            <w:tcMar>
              <w:top w:w="100" w:type="dxa"/>
              <w:left w:w="100" w:type="dxa"/>
              <w:bottom w:w="100" w:type="dxa"/>
              <w:right w:w="100" w:type="dxa"/>
            </w:tcMar>
          </w:tcPr>
          <w:p w14:paraId="5C2D4396" w14:textId="77777777" w:rsidR="002530E2" w:rsidRDefault="002530E2">
            <w:pPr>
              <w:spacing w:after="0" w:line="240" w:lineRule="auto"/>
              <w:jc w:val="center"/>
            </w:pPr>
            <w:r>
              <w:t xml:space="preserve">Observation </w:t>
            </w:r>
          </w:p>
        </w:tc>
        <w:tc>
          <w:tcPr>
            <w:tcW w:w="3024" w:type="dxa"/>
            <w:tcBorders>
              <w:top w:val="single" w:sz="8" w:space="0" w:color="FFFFFF"/>
              <w:left w:val="single" w:sz="8" w:space="0" w:color="0E101A"/>
              <w:bottom w:val="single" w:sz="8" w:space="0" w:color="FFFFFF"/>
              <w:right w:val="single" w:sz="8" w:space="0" w:color="FFFFFF"/>
            </w:tcBorders>
            <w:shd w:val="clear" w:color="auto" w:fill="auto"/>
            <w:tcMar>
              <w:top w:w="100" w:type="dxa"/>
              <w:left w:w="100" w:type="dxa"/>
              <w:bottom w:w="100" w:type="dxa"/>
              <w:right w:w="100" w:type="dxa"/>
            </w:tcMar>
          </w:tcPr>
          <w:p w14:paraId="4F86A8EF" w14:textId="77777777" w:rsidR="002530E2" w:rsidRDefault="002530E2">
            <w:pPr>
              <w:spacing w:after="0" w:line="240" w:lineRule="auto"/>
            </w:pPr>
          </w:p>
        </w:tc>
      </w:tr>
      <w:tr w:rsidR="002530E2" w14:paraId="4D1F0B95" w14:textId="77777777">
        <w:tc>
          <w:tcPr>
            <w:tcW w:w="302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7AC971C" w14:textId="77777777" w:rsidR="002530E2" w:rsidRDefault="002530E2">
            <w:pPr>
              <w:spacing w:after="0" w:line="240" w:lineRule="auto"/>
              <w:jc w:val="right"/>
            </w:pPr>
            <w:r>
              <w:t>↑</w:t>
            </w:r>
          </w:p>
        </w:tc>
        <w:tc>
          <w:tcPr>
            <w:tcW w:w="3024" w:type="dxa"/>
            <w:tcBorders>
              <w:top w:val="single" w:sz="8" w:space="0" w:color="0E101A"/>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32DF5D8" w14:textId="77777777" w:rsidR="002530E2" w:rsidRDefault="002530E2">
            <w:pPr>
              <w:spacing w:after="0" w:line="240" w:lineRule="auto"/>
              <w:jc w:val="center"/>
            </w:pPr>
            <w:r>
              <w:t>Bottom-up (data to theory)</w:t>
            </w:r>
          </w:p>
        </w:tc>
        <w:tc>
          <w:tcPr>
            <w:tcW w:w="302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53D5627" w14:textId="77777777" w:rsidR="002530E2" w:rsidRDefault="002530E2">
            <w:pPr>
              <w:spacing w:after="0" w:line="240" w:lineRule="auto"/>
            </w:pPr>
          </w:p>
        </w:tc>
      </w:tr>
    </w:tbl>
    <w:p w14:paraId="3B0C1EE2" w14:textId="77777777" w:rsidR="002530E2" w:rsidRDefault="002530E2">
      <w:pPr>
        <w:pStyle w:val="Heading4"/>
      </w:pPr>
      <w:bookmarkStart w:id="135" w:name="_h6opl71kipcw" w:colFirst="0" w:colLast="0"/>
      <w:bookmarkEnd w:id="135"/>
    </w:p>
    <w:p w14:paraId="5B099014" w14:textId="77777777" w:rsidR="002530E2" w:rsidRDefault="002530E2">
      <w:pPr>
        <w:pStyle w:val="Heading4"/>
      </w:pPr>
      <w:bookmarkStart w:id="136" w:name="_z1v6u9t8qum3" w:colFirst="0" w:colLast="0"/>
      <w:bookmarkEnd w:id="136"/>
      <w:r>
        <w:t>Figure [Appendix (CHP:3) 001] 3: The Inductive Bottom-up (data to theory) approach model.</w:t>
      </w:r>
    </w:p>
    <w:p w14:paraId="18E93027" w14:textId="77777777" w:rsidR="002530E2" w:rsidRDefault="002530E2">
      <w:pPr>
        <w:spacing w:after="0"/>
      </w:pPr>
    </w:p>
    <w:p w14:paraId="44E8F653" w14:textId="77777777" w:rsidR="002530E2" w:rsidRDefault="002530E2">
      <w:r>
        <w:t>It is vital to distinguish between deductive and inductive reasoning, since deductive reasoning aims to test an existing theory and data can be obtained at the end, whereas inductive reasoning aims to develop a theory from data. A characterisation of the three reasoning approaches of deductive, inductive, and abductive is given below.</w:t>
      </w:r>
    </w:p>
    <w:tbl>
      <w:tblPr>
        <w:tblW w:w="89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740"/>
        <w:gridCol w:w="2310"/>
        <w:gridCol w:w="3375"/>
      </w:tblGrid>
      <w:tr w:rsidR="002530E2" w14:paraId="1CA38A67" w14:textId="77777777">
        <w:tc>
          <w:tcPr>
            <w:tcW w:w="1560" w:type="dxa"/>
            <w:tcBorders>
              <w:top w:val="single" w:sz="8" w:space="0" w:color="FFFFFF"/>
              <w:left w:val="single" w:sz="8" w:space="0" w:color="FFFFFF"/>
              <w:bottom w:val="single" w:sz="8" w:space="0" w:color="666666"/>
              <w:right w:val="single" w:sz="8" w:space="0" w:color="666666"/>
            </w:tcBorders>
            <w:tcMar>
              <w:top w:w="100" w:type="dxa"/>
              <w:left w:w="100" w:type="dxa"/>
              <w:bottom w:w="100" w:type="dxa"/>
              <w:right w:w="100" w:type="dxa"/>
            </w:tcMar>
          </w:tcPr>
          <w:p w14:paraId="383EA3CC" w14:textId="77777777" w:rsidR="002530E2" w:rsidRDefault="002530E2">
            <w:pPr>
              <w:spacing w:after="0" w:line="276" w:lineRule="auto"/>
            </w:pP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61E9430" w14:textId="77777777" w:rsidR="002530E2" w:rsidRDefault="002530E2">
            <w:pPr>
              <w:spacing w:after="0" w:line="276" w:lineRule="auto"/>
            </w:pPr>
            <w:r>
              <w:rPr>
                <w:sz w:val="18"/>
                <w:szCs w:val="18"/>
              </w:rPr>
              <w:t>Deduction</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E27CF6D" w14:textId="77777777" w:rsidR="002530E2" w:rsidRDefault="002530E2">
            <w:pPr>
              <w:spacing w:after="0" w:line="276" w:lineRule="auto"/>
            </w:pPr>
            <w:r>
              <w:rPr>
                <w:sz w:val="18"/>
                <w:szCs w:val="18"/>
              </w:rPr>
              <w:t>Induction</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84D6836" w14:textId="77777777" w:rsidR="002530E2" w:rsidRDefault="002530E2">
            <w:pPr>
              <w:spacing w:after="0" w:line="276" w:lineRule="auto"/>
            </w:pPr>
            <w:r>
              <w:rPr>
                <w:sz w:val="18"/>
                <w:szCs w:val="18"/>
              </w:rPr>
              <w:t>Abduction</w:t>
            </w:r>
          </w:p>
        </w:tc>
      </w:tr>
      <w:tr w:rsidR="002530E2" w14:paraId="44CA7114"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9016064" w14:textId="77777777" w:rsidR="002530E2" w:rsidRDefault="002530E2">
            <w:pPr>
              <w:spacing w:after="0" w:line="276" w:lineRule="auto"/>
            </w:pPr>
            <w:r>
              <w:rPr>
                <w:sz w:val="18"/>
                <w:szCs w:val="18"/>
              </w:rPr>
              <w:lastRenderedPageBreak/>
              <w:t xml:space="preserve">Logic / Reasoning </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4DBC766" w14:textId="77777777" w:rsidR="002530E2" w:rsidRDefault="002530E2">
            <w:pPr>
              <w:spacing w:after="0" w:line="276" w:lineRule="auto"/>
            </w:pPr>
            <w:r>
              <w:rPr>
                <w:sz w:val="18"/>
                <w:szCs w:val="18"/>
              </w:rPr>
              <w:t>“In a deductive inference, when the premises are true, the conclusion must also be true”</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E7D838D" w14:textId="77777777" w:rsidR="002530E2" w:rsidRDefault="002530E2">
            <w:pPr>
              <w:spacing w:after="0" w:line="276" w:lineRule="auto"/>
            </w:pPr>
            <w:r>
              <w:rPr>
                <w:sz w:val="18"/>
                <w:szCs w:val="18"/>
              </w:rPr>
              <w:t>“In an inductive inference, known premises are used to generate untested conclusions”</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2C767E" w14:textId="77777777" w:rsidR="002530E2" w:rsidRDefault="002530E2">
            <w:pPr>
              <w:spacing w:after="0" w:line="276" w:lineRule="auto"/>
            </w:pPr>
            <w:r>
              <w:rPr>
                <w:sz w:val="18"/>
                <w:szCs w:val="18"/>
              </w:rPr>
              <w:t>“In an abductive inference, known premises are used to generate testable conclusions”</w:t>
            </w:r>
          </w:p>
        </w:tc>
      </w:tr>
      <w:tr w:rsidR="002530E2" w14:paraId="14923A0D"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60D3AD" w14:textId="77777777" w:rsidR="002530E2" w:rsidRDefault="002530E2">
            <w:pPr>
              <w:spacing w:after="0" w:line="276" w:lineRule="auto"/>
            </w:pPr>
            <w:r>
              <w:rPr>
                <w:sz w:val="18"/>
                <w:szCs w:val="18"/>
              </w:rPr>
              <w:t xml:space="preserve">Departing point </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EA559AF" w14:textId="77777777" w:rsidR="002530E2" w:rsidRDefault="002530E2">
            <w:pPr>
              <w:spacing w:after="0" w:line="276" w:lineRule="auto"/>
            </w:pPr>
            <w:r>
              <w:rPr>
                <w:sz w:val="18"/>
                <w:szCs w:val="18"/>
              </w:rPr>
              <w:t xml:space="preserve">“Theoretical framework” </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6E4D23" w14:textId="77777777" w:rsidR="002530E2" w:rsidRDefault="002530E2">
            <w:pPr>
              <w:spacing w:after="0" w:line="276" w:lineRule="auto"/>
            </w:pPr>
            <w:r>
              <w:rPr>
                <w:sz w:val="18"/>
                <w:szCs w:val="18"/>
              </w:rPr>
              <w:t xml:space="preserve">“Empirical observations (theory is absent)”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A922B41" w14:textId="77777777" w:rsidR="002530E2" w:rsidRDefault="002530E2">
            <w:pPr>
              <w:spacing w:after="0" w:line="276" w:lineRule="auto"/>
            </w:pPr>
            <w:r>
              <w:rPr>
                <w:sz w:val="18"/>
                <w:szCs w:val="18"/>
              </w:rPr>
              <w:t>“Empirical observations (unmatched by/deviating from theory)”</w:t>
            </w:r>
          </w:p>
        </w:tc>
      </w:tr>
      <w:tr w:rsidR="002530E2" w14:paraId="52BA255E"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8C9CB9B" w14:textId="77777777" w:rsidR="002530E2" w:rsidRDefault="002530E2">
            <w:pPr>
              <w:spacing w:after="0" w:line="276" w:lineRule="auto"/>
            </w:pPr>
            <w:r>
              <w:rPr>
                <w:sz w:val="18"/>
                <w:szCs w:val="18"/>
              </w:rPr>
              <w:t xml:space="preserve">Aim </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94CCB5" w14:textId="77777777" w:rsidR="002530E2" w:rsidRDefault="002530E2">
            <w:pPr>
              <w:spacing w:after="0" w:line="276" w:lineRule="auto"/>
            </w:pPr>
            <w:r>
              <w:rPr>
                <w:sz w:val="18"/>
                <w:szCs w:val="18"/>
              </w:rPr>
              <w:t>“Testing/evaluating theory”</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77DF599" w14:textId="77777777" w:rsidR="002530E2" w:rsidRDefault="002530E2">
            <w:pPr>
              <w:spacing w:after="0" w:line="276" w:lineRule="auto"/>
            </w:pPr>
            <w:r>
              <w:rPr>
                <w:sz w:val="18"/>
                <w:szCs w:val="18"/>
              </w:rPr>
              <w:t xml:space="preserve">“Developing theory”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643D11D" w14:textId="77777777" w:rsidR="002530E2" w:rsidRDefault="002530E2">
            <w:pPr>
              <w:spacing w:after="0" w:line="276" w:lineRule="auto"/>
            </w:pPr>
            <w:r>
              <w:rPr>
                <w:sz w:val="18"/>
                <w:szCs w:val="18"/>
              </w:rPr>
              <w:t xml:space="preserve">“Developing new understanding” </w:t>
            </w:r>
          </w:p>
        </w:tc>
      </w:tr>
      <w:tr w:rsidR="002530E2" w14:paraId="75EA6964"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A386D33" w14:textId="77777777" w:rsidR="002530E2" w:rsidRDefault="002530E2">
            <w:pPr>
              <w:spacing w:after="0" w:line="276" w:lineRule="auto"/>
            </w:pPr>
            <w:r>
              <w:rPr>
                <w:sz w:val="18"/>
                <w:szCs w:val="18"/>
              </w:rPr>
              <w:t>Use of data</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1C22680" w14:textId="77777777" w:rsidR="002530E2" w:rsidRDefault="002530E2">
            <w:pPr>
              <w:spacing w:after="0" w:line="276" w:lineRule="auto"/>
            </w:pPr>
            <w:r>
              <w:rPr>
                <w:sz w:val="18"/>
                <w:szCs w:val="18"/>
              </w:rPr>
              <w:t>“Data collection is used to evaluate propositions or hypotheses related to an existing theory”</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04BE8B2" w14:textId="77777777" w:rsidR="002530E2" w:rsidRDefault="002530E2">
            <w:pPr>
              <w:spacing w:after="0" w:line="276" w:lineRule="auto"/>
            </w:pPr>
            <w:r>
              <w:rPr>
                <w:sz w:val="18"/>
                <w:szCs w:val="18"/>
              </w:rPr>
              <w:t>“Data collection is used to explore a phenomenon, identify themes and patterns and create a conceptual framework”</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B2AD998" w14:textId="77777777" w:rsidR="002530E2" w:rsidRDefault="002530E2">
            <w:pPr>
              <w:spacing w:after="0" w:line="276" w:lineRule="auto"/>
            </w:pPr>
            <w:r>
              <w:rPr>
                <w:sz w:val="18"/>
                <w:szCs w:val="18"/>
              </w:rPr>
              <w:t>“Data collection is used to explore a phenomenon, identify themes and patterns, locate these in a conceptual framework and test this through subsequent data collection and so forth”</w:t>
            </w:r>
          </w:p>
        </w:tc>
      </w:tr>
      <w:tr w:rsidR="002530E2" w14:paraId="7B1A69E7"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CDA24FA" w14:textId="77777777" w:rsidR="002530E2" w:rsidRDefault="002530E2">
            <w:pPr>
              <w:spacing w:after="0" w:line="276" w:lineRule="auto"/>
            </w:pPr>
            <w:r>
              <w:rPr>
                <w:sz w:val="18"/>
                <w:szCs w:val="18"/>
              </w:rPr>
              <w:t>Drawing conclusions</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7C96A35" w14:textId="77777777" w:rsidR="002530E2" w:rsidRDefault="002530E2">
            <w:pPr>
              <w:spacing w:after="0" w:line="276" w:lineRule="auto"/>
            </w:pPr>
            <w:r>
              <w:rPr>
                <w:sz w:val="18"/>
                <w:szCs w:val="18"/>
              </w:rPr>
              <w:t>“Corroboration or falsification”</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4FC2F80" w14:textId="77777777" w:rsidR="002530E2" w:rsidRDefault="002530E2">
            <w:pPr>
              <w:spacing w:after="0" w:line="276" w:lineRule="auto"/>
            </w:pPr>
            <w:r>
              <w:rPr>
                <w:sz w:val="18"/>
                <w:szCs w:val="18"/>
              </w:rPr>
              <w:t>“Generalisation/ Transferability of results”</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9B6F679" w14:textId="77777777" w:rsidR="002530E2" w:rsidRDefault="002530E2">
            <w:pPr>
              <w:spacing w:after="0" w:line="276" w:lineRule="auto"/>
            </w:pPr>
            <w:r>
              <w:rPr>
                <w:sz w:val="18"/>
                <w:szCs w:val="18"/>
              </w:rPr>
              <w:t>“Suggestions (for future directions, theory/paradigm/tool)”</w:t>
            </w:r>
          </w:p>
        </w:tc>
      </w:tr>
      <w:tr w:rsidR="002530E2" w14:paraId="61CB16B0"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F5DBD20" w14:textId="77777777" w:rsidR="002530E2" w:rsidRDefault="002530E2">
            <w:pPr>
              <w:spacing w:after="0" w:line="276" w:lineRule="auto"/>
            </w:pPr>
            <w:r>
              <w:rPr>
                <w:sz w:val="18"/>
                <w:szCs w:val="18"/>
              </w:rPr>
              <w:t xml:space="preserve">Theory </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A2D585C" w14:textId="77777777" w:rsidR="002530E2" w:rsidRDefault="002530E2">
            <w:pPr>
              <w:spacing w:after="0" w:line="276" w:lineRule="auto"/>
            </w:pPr>
            <w:r>
              <w:rPr>
                <w:sz w:val="18"/>
                <w:szCs w:val="18"/>
              </w:rPr>
              <w:t>“Theory falsification or verification”</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8A36BD6" w14:textId="77777777" w:rsidR="002530E2" w:rsidRDefault="002530E2">
            <w:pPr>
              <w:spacing w:after="0" w:line="276" w:lineRule="auto"/>
            </w:pPr>
            <w:r>
              <w:rPr>
                <w:sz w:val="18"/>
                <w:szCs w:val="18"/>
              </w:rPr>
              <w:t>“Theory generation and building”</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6C9CE1" w14:textId="77777777" w:rsidR="002530E2" w:rsidRDefault="002530E2">
            <w:pPr>
              <w:spacing w:after="0" w:line="276" w:lineRule="auto"/>
            </w:pPr>
            <w:r>
              <w:rPr>
                <w:sz w:val="18"/>
                <w:szCs w:val="18"/>
              </w:rPr>
              <w:t>“Theory generation or modification; incorporating existing theory where appropriate, to build new theory or modify existing theory”</w:t>
            </w:r>
          </w:p>
        </w:tc>
      </w:tr>
      <w:tr w:rsidR="002530E2" w14:paraId="47A4B158" w14:textId="77777777">
        <w:tc>
          <w:tcPr>
            <w:tcW w:w="15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324B8F" w14:textId="77777777" w:rsidR="002530E2" w:rsidRDefault="002530E2">
            <w:pPr>
              <w:spacing w:after="0" w:line="276" w:lineRule="auto"/>
            </w:pPr>
            <w:r>
              <w:rPr>
                <w:sz w:val="18"/>
                <w:szCs w:val="18"/>
              </w:rPr>
              <w:t>Generalisability</w:t>
            </w:r>
          </w:p>
        </w:tc>
        <w:tc>
          <w:tcPr>
            <w:tcW w:w="174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F898849" w14:textId="77777777" w:rsidR="002530E2" w:rsidRDefault="002530E2">
            <w:pPr>
              <w:spacing w:after="0" w:line="276" w:lineRule="auto"/>
            </w:pPr>
            <w:r>
              <w:rPr>
                <w:sz w:val="18"/>
                <w:szCs w:val="18"/>
              </w:rPr>
              <w:t>“Generalising from the general to the specific”</w:t>
            </w:r>
          </w:p>
        </w:tc>
        <w:tc>
          <w:tcPr>
            <w:tcW w:w="23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A3E4279" w14:textId="77777777" w:rsidR="002530E2" w:rsidRDefault="002530E2">
            <w:pPr>
              <w:spacing w:after="0" w:line="276" w:lineRule="auto"/>
            </w:pPr>
            <w:r>
              <w:rPr>
                <w:sz w:val="18"/>
                <w:szCs w:val="18"/>
              </w:rPr>
              <w:t>“Generalising from the specific to the general”</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188C971" w14:textId="77777777" w:rsidR="002530E2" w:rsidRDefault="002530E2">
            <w:pPr>
              <w:spacing w:after="0" w:line="276" w:lineRule="auto"/>
            </w:pPr>
            <w:r>
              <w:rPr>
                <w:sz w:val="18"/>
                <w:szCs w:val="18"/>
              </w:rPr>
              <w:t>“Generalising from the interactions between the specific and the general”</w:t>
            </w:r>
          </w:p>
        </w:tc>
      </w:tr>
    </w:tbl>
    <w:p w14:paraId="143446C7" w14:textId="77777777" w:rsidR="002530E2" w:rsidRDefault="002530E2">
      <w:pPr>
        <w:pStyle w:val="Heading4"/>
      </w:pPr>
      <w:bookmarkStart w:id="137" w:name="_ftlv5b5627b5" w:colFirst="0" w:colLast="0"/>
      <w:bookmarkEnd w:id="137"/>
    </w:p>
    <w:p w14:paraId="348BF08C" w14:textId="77777777" w:rsidR="002530E2" w:rsidRDefault="002530E2">
      <w:pPr>
        <w:pStyle w:val="Heading4"/>
      </w:pPr>
      <w:bookmarkStart w:id="138" w:name="_1nstbvxah2l5" w:colFirst="0" w:colLast="0"/>
      <w:bookmarkEnd w:id="138"/>
      <w:r>
        <w:t>Table [Appendix (CHP:3) 001] 8: Characterisation of the three reasoning approaches of deductive, inductive, and abductive, built on concepts of “From reason to research” adapted from Saunders, Lewis, and Thornhill (2018) and table of data titled “Characterisation of abductive, inductive and deductive reasoning” from de Brito and Laan (2010)</w:t>
      </w:r>
    </w:p>
    <w:p w14:paraId="779803CC" w14:textId="77777777" w:rsidR="002530E2" w:rsidRDefault="002530E2">
      <w:pPr>
        <w:pStyle w:val="Heading2"/>
      </w:pPr>
      <w:bookmarkStart w:id="139" w:name="_tlqdh491w72" w:colFirst="0" w:colLast="0"/>
      <w:bookmarkEnd w:id="139"/>
      <w:r>
        <w:t xml:space="preserve">EXAMPLES OF INDUCTIVE, DEDUCTIVE, ABDUCTIVE REASONING </w:t>
      </w:r>
    </w:p>
    <w:p w14:paraId="1DD69A41" w14:textId="77777777" w:rsidR="002530E2" w:rsidRDefault="002530E2">
      <w:r>
        <w:t>EXAMPLE 1</w:t>
      </w:r>
    </w:p>
    <w:tbl>
      <w:tblPr>
        <w:tblW w:w="8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2715"/>
        <w:gridCol w:w="3480"/>
      </w:tblGrid>
      <w:tr w:rsidR="002530E2" w14:paraId="7F03403F" w14:textId="77777777">
        <w:tc>
          <w:tcPr>
            <w:tcW w:w="26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E86DE1" w14:textId="77777777" w:rsidR="002530E2" w:rsidRDefault="002530E2">
            <w:pPr>
              <w:spacing w:after="0" w:line="276" w:lineRule="auto"/>
            </w:pPr>
            <w:r>
              <w:rPr>
                <w:sz w:val="18"/>
                <w:szCs w:val="18"/>
              </w:rPr>
              <w:t>Deductive</w:t>
            </w:r>
          </w:p>
        </w:tc>
        <w:tc>
          <w:tcPr>
            <w:tcW w:w="271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BCC2868" w14:textId="77777777" w:rsidR="002530E2" w:rsidRDefault="002530E2">
            <w:pPr>
              <w:spacing w:after="0" w:line="276" w:lineRule="auto"/>
            </w:pPr>
            <w:r>
              <w:rPr>
                <w:sz w:val="18"/>
                <w:szCs w:val="18"/>
              </w:rPr>
              <w:t>Inductive</w:t>
            </w:r>
          </w:p>
        </w:tc>
        <w:tc>
          <w:tcPr>
            <w:tcW w:w="34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236E530" w14:textId="77777777" w:rsidR="002530E2" w:rsidRDefault="002530E2">
            <w:pPr>
              <w:spacing w:after="0" w:line="276" w:lineRule="auto"/>
            </w:pPr>
            <w:r>
              <w:rPr>
                <w:sz w:val="18"/>
                <w:szCs w:val="18"/>
              </w:rPr>
              <w:t>Abductive</w:t>
            </w:r>
          </w:p>
        </w:tc>
      </w:tr>
      <w:tr w:rsidR="002530E2" w14:paraId="4854BC15" w14:textId="77777777">
        <w:tc>
          <w:tcPr>
            <w:tcW w:w="26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AC49A9C" w14:textId="77777777" w:rsidR="002530E2" w:rsidRDefault="002530E2">
            <w:pPr>
              <w:spacing w:after="0" w:line="276" w:lineRule="auto"/>
            </w:pPr>
            <w:r>
              <w:rPr>
                <w:sz w:val="18"/>
                <w:szCs w:val="18"/>
              </w:rPr>
              <w:t>GENERAL RULE</w:t>
            </w:r>
          </w:p>
          <w:p w14:paraId="236C37E7" w14:textId="77777777" w:rsidR="002530E2" w:rsidRDefault="002530E2">
            <w:pPr>
              <w:spacing w:after="0" w:line="276" w:lineRule="auto"/>
            </w:pPr>
          </w:p>
          <w:p w14:paraId="09A95B9C" w14:textId="77777777" w:rsidR="002530E2" w:rsidRDefault="002530E2">
            <w:pPr>
              <w:spacing w:after="0" w:line="276" w:lineRule="auto"/>
            </w:pPr>
            <w:r>
              <w:rPr>
                <w:sz w:val="18"/>
                <w:szCs w:val="18"/>
              </w:rPr>
              <w:lastRenderedPageBreak/>
              <w:t xml:space="preserve">When it rains, objects get wet. It rained. </w:t>
            </w:r>
          </w:p>
        </w:tc>
        <w:tc>
          <w:tcPr>
            <w:tcW w:w="271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12C161C" w14:textId="77777777" w:rsidR="002530E2" w:rsidRDefault="002530E2">
            <w:pPr>
              <w:spacing w:after="0" w:line="276" w:lineRule="auto"/>
            </w:pPr>
            <w:r>
              <w:rPr>
                <w:sz w:val="18"/>
                <w:szCs w:val="18"/>
              </w:rPr>
              <w:lastRenderedPageBreak/>
              <w:t>SPECIFIC OBSERVATION</w:t>
            </w:r>
          </w:p>
          <w:p w14:paraId="535910FA" w14:textId="77777777" w:rsidR="002530E2" w:rsidRDefault="002530E2">
            <w:pPr>
              <w:spacing w:after="0" w:line="276" w:lineRule="auto"/>
            </w:pPr>
          </w:p>
          <w:p w14:paraId="1AED3ABD" w14:textId="77777777" w:rsidR="002530E2" w:rsidRDefault="002530E2">
            <w:pPr>
              <w:spacing w:after="0" w:line="276" w:lineRule="auto"/>
            </w:pPr>
            <w:r>
              <w:rPr>
                <w:sz w:val="18"/>
                <w:szCs w:val="18"/>
              </w:rPr>
              <w:lastRenderedPageBreak/>
              <w:t>Everytime that it rains, the plants get wet.</w:t>
            </w:r>
          </w:p>
        </w:tc>
        <w:tc>
          <w:tcPr>
            <w:tcW w:w="34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F31810" w14:textId="77777777" w:rsidR="002530E2" w:rsidRDefault="002530E2">
            <w:pPr>
              <w:spacing w:after="0" w:line="276" w:lineRule="auto"/>
            </w:pPr>
            <w:r>
              <w:rPr>
                <w:sz w:val="18"/>
                <w:szCs w:val="18"/>
              </w:rPr>
              <w:lastRenderedPageBreak/>
              <w:t>INCOMPLETE OBSERVATION</w:t>
            </w:r>
          </w:p>
          <w:p w14:paraId="1DEEE885" w14:textId="77777777" w:rsidR="002530E2" w:rsidRDefault="002530E2">
            <w:pPr>
              <w:spacing w:after="0" w:line="276" w:lineRule="auto"/>
            </w:pPr>
          </w:p>
          <w:p w14:paraId="715AED76" w14:textId="77777777" w:rsidR="002530E2" w:rsidRDefault="002530E2">
            <w:pPr>
              <w:spacing w:after="0" w:line="276" w:lineRule="auto"/>
            </w:pPr>
            <w:r>
              <w:rPr>
                <w:sz w:val="18"/>
                <w:szCs w:val="18"/>
              </w:rPr>
              <w:t>The plants are wet.</w:t>
            </w:r>
          </w:p>
        </w:tc>
      </w:tr>
      <w:tr w:rsidR="002530E2" w14:paraId="4A63C179" w14:textId="77777777">
        <w:tc>
          <w:tcPr>
            <w:tcW w:w="26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5C040FA" w14:textId="77777777" w:rsidR="002530E2" w:rsidRDefault="002530E2">
            <w:pPr>
              <w:spacing w:after="0" w:line="276" w:lineRule="auto"/>
            </w:pPr>
            <w:r>
              <w:rPr>
                <w:sz w:val="18"/>
                <w:szCs w:val="18"/>
              </w:rPr>
              <w:t>SPECIFIC CONCLUSION</w:t>
            </w:r>
          </w:p>
          <w:p w14:paraId="6B899E5E" w14:textId="77777777" w:rsidR="002530E2" w:rsidRDefault="002530E2">
            <w:pPr>
              <w:spacing w:after="0" w:line="276" w:lineRule="auto"/>
            </w:pPr>
            <w:r>
              <w:rPr>
                <w:sz w:val="18"/>
                <w:szCs w:val="18"/>
              </w:rPr>
              <w:t>(Always True)</w:t>
            </w:r>
          </w:p>
          <w:p w14:paraId="198D7D8D" w14:textId="77777777" w:rsidR="002530E2" w:rsidRDefault="002530E2">
            <w:pPr>
              <w:spacing w:after="0" w:line="276" w:lineRule="auto"/>
            </w:pPr>
          </w:p>
          <w:p w14:paraId="6416585F" w14:textId="77777777" w:rsidR="002530E2" w:rsidRDefault="002530E2">
            <w:pPr>
              <w:spacing w:after="0" w:line="276" w:lineRule="auto"/>
            </w:pPr>
            <w:r>
              <w:rPr>
                <w:sz w:val="18"/>
                <w:szCs w:val="18"/>
              </w:rPr>
              <w:t>The plants must be wet.</w:t>
            </w:r>
          </w:p>
        </w:tc>
        <w:tc>
          <w:tcPr>
            <w:tcW w:w="271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8491FA9" w14:textId="77777777" w:rsidR="002530E2" w:rsidRDefault="002530E2">
            <w:pPr>
              <w:spacing w:after="0" w:line="276" w:lineRule="auto"/>
            </w:pPr>
            <w:r>
              <w:rPr>
                <w:sz w:val="18"/>
                <w:szCs w:val="18"/>
              </w:rPr>
              <w:t>GENERAL CONCLUSION</w:t>
            </w:r>
          </w:p>
          <w:p w14:paraId="3850667E" w14:textId="77777777" w:rsidR="002530E2" w:rsidRDefault="002530E2">
            <w:pPr>
              <w:spacing w:after="0" w:line="276" w:lineRule="auto"/>
            </w:pPr>
            <w:r>
              <w:rPr>
                <w:sz w:val="18"/>
                <w:szCs w:val="18"/>
              </w:rPr>
              <w:t>(May be True)</w:t>
            </w:r>
          </w:p>
          <w:p w14:paraId="7F78D047" w14:textId="77777777" w:rsidR="002530E2" w:rsidRDefault="002530E2">
            <w:pPr>
              <w:spacing w:after="0" w:line="276" w:lineRule="auto"/>
            </w:pPr>
          </w:p>
          <w:p w14:paraId="58DB3232" w14:textId="77777777" w:rsidR="002530E2" w:rsidRDefault="002530E2">
            <w:pPr>
              <w:spacing w:after="0" w:line="276" w:lineRule="auto"/>
            </w:pPr>
            <w:r>
              <w:rPr>
                <w:sz w:val="18"/>
                <w:szCs w:val="18"/>
              </w:rPr>
              <w:t>It must be the case that with rain, plants always get wet.</w:t>
            </w:r>
          </w:p>
        </w:tc>
        <w:tc>
          <w:tcPr>
            <w:tcW w:w="348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C21927C" w14:textId="77777777" w:rsidR="002530E2" w:rsidRDefault="002530E2">
            <w:pPr>
              <w:spacing w:after="0" w:line="276" w:lineRule="auto"/>
            </w:pPr>
            <w:r>
              <w:rPr>
                <w:sz w:val="18"/>
                <w:szCs w:val="18"/>
              </w:rPr>
              <w:t>BEST PREDICTION</w:t>
            </w:r>
          </w:p>
          <w:p w14:paraId="5EFD9595" w14:textId="77777777" w:rsidR="002530E2" w:rsidRDefault="002530E2">
            <w:pPr>
              <w:spacing w:after="0" w:line="276" w:lineRule="auto"/>
            </w:pPr>
            <w:r>
              <w:rPr>
                <w:sz w:val="18"/>
                <w:szCs w:val="18"/>
              </w:rPr>
              <w:t>(May be True)</w:t>
            </w:r>
          </w:p>
          <w:p w14:paraId="41605CC1" w14:textId="77777777" w:rsidR="002530E2" w:rsidRDefault="002530E2">
            <w:pPr>
              <w:spacing w:after="0" w:line="276" w:lineRule="auto"/>
            </w:pPr>
          </w:p>
          <w:p w14:paraId="28D339F9" w14:textId="77777777" w:rsidR="002530E2" w:rsidRDefault="002530E2">
            <w:pPr>
              <w:spacing w:after="0" w:line="276" w:lineRule="auto"/>
            </w:pPr>
            <w:r>
              <w:rPr>
                <w:sz w:val="18"/>
                <w:szCs w:val="18"/>
              </w:rPr>
              <w:t>It must have rained, or someone watered the plants.</w:t>
            </w:r>
          </w:p>
        </w:tc>
      </w:tr>
    </w:tbl>
    <w:p w14:paraId="70022BC0" w14:textId="77777777" w:rsidR="002530E2" w:rsidRDefault="002530E2">
      <w:pPr>
        <w:pStyle w:val="Heading4"/>
      </w:pPr>
      <w:bookmarkStart w:id="140" w:name="_rcadrbfei08j" w:colFirst="0" w:colLast="0"/>
      <w:bookmarkEnd w:id="140"/>
    </w:p>
    <w:p w14:paraId="1E555B10" w14:textId="77777777" w:rsidR="002530E2" w:rsidRDefault="002530E2">
      <w:pPr>
        <w:pStyle w:val="Heading4"/>
      </w:pPr>
      <w:bookmarkStart w:id="141" w:name="_c7oyreeywork" w:colFirst="0" w:colLast="0"/>
      <w:bookmarkEnd w:id="141"/>
      <w:r>
        <w:t>Table [Appendix (CHP:3) 001] 9: An example of Inductive, Deductive, Abductive reasoning to distinguish between the three reasoning approaches</w:t>
      </w:r>
    </w:p>
    <w:p w14:paraId="4B934775" w14:textId="77777777" w:rsidR="002530E2" w:rsidRDefault="002530E2">
      <w:pPr>
        <w:spacing w:after="0"/>
      </w:pPr>
    </w:p>
    <w:p w14:paraId="6C293AC1" w14:textId="77777777" w:rsidR="002530E2" w:rsidRDefault="002530E2">
      <w:r>
        <w:t>EXAMPLE 2</w:t>
      </w:r>
    </w:p>
    <w:tbl>
      <w:tblPr>
        <w:tblW w:w="88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2715"/>
        <w:gridCol w:w="3525"/>
      </w:tblGrid>
      <w:tr w:rsidR="002530E2" w14:paraId="26EDBC7C" w14:textId="77777777">
        <w:tc>
          <w:tcPr>
            <w:tcW w:w="26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4BFE37F" w14:textId="77777777" w:rsidR="002530E2" w:rsidRDefault="002530E2">
            <w:pPr>
              <w:spacing w:after="0" w:line="276" w:lineRule="auto"/>
            </w:pPr>
            <w:r>
              <w:rPr>
                <w:sz w:val="18"/>
                <w:szCs w:val="18"/>
              </w:rPr>
              <w:t>Deductive</w:t>
            </w:r>
          </w:p>
        </w:tc>
        <w:tc>
          <w:tcPr>
            <w:tcW w:w="271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0872978" w14:textId="77777777" w:rsidR="002530E2" w:rsidRDefault="002530E2">
            <w:pPr>
              <w:spacing w:after="0" w:line="276" w:lineRule="auto"/>
            </w:pPr>
            <w:r>
              <w:rPr>
                <w:sz w:val="18"/>
                <w:szCs w:val="18"/>
              </w:rPr>
              <w:t>Inductive</w:t>
            </w:r>
          </w:p>
        </w:tc>
        <w:tc>
          <w:tcPr>
            <w:tcW w:w="35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C4ED27B" w14:textId="77777777" w:rsidR="002530E2" w:rsidRDefault="002530E2">
            <w:pPr>
              <w:spacing w:after="0" w:line="276" w:lineRule="auto"/>
            </w:pPr>
            <w:r>
              <w:rPr>
                <w:sz w:val="18"/>
                <w:szCs w:val="18"/>
              </w:rPr>
              <w:t>Abductive</w:t>
            </w:r>
          </w:p>
        </w:tc>
      </w:tr>
      <w:tr w:rsidR="002530E2" w14:paraId="61DA6DEB" w14:textId="77777777">
        <w:tc>
          <w:tcPr>
            <w:tcW w:w="26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964A802" w14:textId="77777777" w:rsidR="002530E2" w:rsidRDefault="002530E2">
            <w:pPr>
              <w:spacing w:after="0" w:line="276" w:lineRule="auto"/>
            </w:pPr>
            <w:r>
              <w:rPr>
                <w:sz w:val="18"/>
                <w:szCs w:val="18"/>
              </w:rPr>
              <w:t>GENERAL RULE</w:t>
            </w:r>
          </w:p>
          <w:p w14:paraId="758E08B9" w14:textId="77777777" w:rsidR="002530E2" w:rsidRDefault="002530E2">
            <w:pPr>
              <w:spacing w:after="0" w:line="276" w:lineRule="auto"/>
            </w:pPr>
          </w:p>
          <w:p w14:paraId="64F1A3A8" w14:textId="77777777" w:rsidR="002530E2" w:rsidRDefault="002530E2">
            <w:pPr>
              <w:spacing w:after="0" w:line="276" w:lineRule="auto"/>
            </w:pPr>
            <w:r>
              <w:rPr>
                <w:sz w:val="18"/>
                <w:szCs w:val="18"/>
              </w:rPr>
              <w:t xml:space="preserve">Suppose, a bag contains only £1 coins inside. And you take out a £1 coin. </w:t>
            </w:r>
          </w:p>
          <w:p w14:paraId="25204703" w14:textId="77777777" w:rsidR="002530E2" w:rsidRDefault="002530E2">
            <w:pPr>
              <w:spacing w:after="0" w:line="276" w:lineRule="auto"/>
            </w:pPr>
          </w:p>
          <w:p w14:paraId="625115E7" w14:textId="77777777" w:rsidR="002530E2" w:rsidRDefault="002530E2">
            <w:pPr>
              <w:spacing w:after="0" w:line="276" w:lineRule="auto"/>
            </w:pPr>
            <w:r>
              <w:rPr>
                <w:sz w:val="18"/>
                <w:szCs w:val="18"/>
              </w:rPr>
              <w:t>You may infer that the value of the coin is £1.</w:t>
            </w:r>
          </w:p>
        </w:tc>
        <w:tc>
          <w:tcPr>
            <w:tcW w:w="271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BC23AA0" w14:textId="77777777" w:rsidR="002530E2" w:rsidRDefault="002530E2">
            <w:pPr>
              <w:spacing w:after="0" w:line="276" w:lineRule="auto"/>
            </w:pPr>
            <w:r>
              <w:rPr>
                <w:sz w:val="18"/>
                <w:szCs w:val="18"/>
              </w:rPr>
              <w:t>SPECIFIC OBSERVATION</w:t>
            </w:r>
          </w:p>
          <w:p w14:paraId="454FE1B1" w14:textId="77777777" w:rsidR="002530E2" w:rsidRDefault="002530E2">
            <w:pPr>
              <w:spacing w:after="0" w:line="276" w:lineRule="auto"/>
            </w:pPr>
          </w:p>
          <w:p w14:paraId="24922DC7" w14:textId="77777777" w:rsidR="002530E2" w:rsidRDefault="002530E2">
            <w:pPr>
              <w:spacing w:after="0" w:line="276" w:lineRule="auto"/>
            </w:pPr>
            <w:r>
              <w:rPr>
                <w:sz w:val="18"/>
                <w:szCs w:val="18"/>
              </w:rPr>
              <w:t>Suppose you don't know the value of the coins inside the bag, and you take one out and it is a £1 coin.</w:t>
            </w:r>
          </w:p>
          <w:p w14:paraId="16F2E30B" w14:textId="77777777" w:rsidR="002530E2" w:rsidRDefault="002530E2">
            <w:pPr>
              <w:spacing w:after="0" w:line="276" w:lineRule="auto"/>
            </w:pPr>
          </w:p>
          <w:p w14:paraId="7EFCD5DD" w14:textId="77777777" w:rsidR="002530E2" w:rsidRDefault="002530E2">
            <w:pPr>
              <w:spacing w:after="0" w:line="276" w:lineRule="auto"/>
            </w:pPr>
            <w:r>
              <w:rPr>
                <w:sz w:val="18"/>
                <w:szCs w:val="18"/>
              </w:rPr>
              <w:t>You may infer that all the coins have the value of £1.</w:t>
            </w:r>
          </w:p>
        </w:tc>
        <w:tc>
          <w:tcPr>
            <w:tcW w:w="35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4A57A51" w14:textId="77777777" w:rsidR="002530E2" w:rsidRDefault="002530E2">
            <w:pPr>
              <w:spacing w:after="0" w:line="276" w:lineRule="auto"/>
            </w:pPr>
            <w:r>
              <w:rPr>
                <w:sz w:val="18"/>
                <w:szCs w:val="18"/>
              </w:rPr>
              <w:t>INCOMPLETE OBSERVATION</w:t>
            </w:r>
          </w:p>
          <w:p w14:paraId="1B525928" w14:textId="77777777" w:rsidR="002530E2" w:rsidRDefault="002530E2">
            <w:pPr>
              <w:spacing w:after="0" w:line="276" w:lineRule="auto"/>
            </w:pPr>
          </w:p>
          <w:p w14:paraId="4133244E" w14:textId="77777777" w:rsidR="002530E2" w:rsidRDefault="002530E2">
            <w:pPr>
              <w:spacing w:after="0" w:line="276" w:lineRule="auto"/>
            </w:pPr>
            <w:r>
              <w:rPr>
                <w:sz w:val="18"/>
                <w:szCs w:val="18"/>
              </w:rPr>
              <w:t xml:space="preserve">Suppose you find a £1 coin in the vicinity of a bag of £1 coins. </w:t>
            </w:r>
          </w:p>
          <w:p w14:paraId="620496D5" w14:textId="77777777" w:rsidR="002530E2" w:rsidRDefault="002530E2">
            <w:pPr>
              <w:spacing w:after="0" w:line="276" w:lineRule="auto"/>
            </w:pPr>
          </w:p>
          <w:p w14:paraId="651B42B1" w14:textId="77777777" w:rsidR="002530E2" w:rsidRDefault="002530E2">
            <w:pPr>
              <w:spacing w:after="0" w:line="276" w:lineRule="auto"/>
            </w:pPr>
            <w:r>
              <w:rPr>
                <w:sz w:val="18"/>
                <w:szCs w:val="18"/>
              </w:rPr>
              <w:t>You may infer that the £1 coin you found is from the bag.</w:t>
            </w:r>
          </w:p>
        </w:tc>
      </w:tr>
      <w:tr w:rsidR="002530E2" w14:paraId="52B8E423" w14:textId="77777777">
        <w:tc>
          <w:tcPr>
            <w:tcW w:w="26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3B7C69C" w14:textId="77777777" w:rsidR="002530E2" w:rsidRDefault="002530E2">
            <w:pPr>
              <w:spacing w:after="0" w:line="276" w:lineRule="auto"/>
            </w:pPr>
            <w:r>
              <w:rPr>
                <w:sz w:val="18"/>
                <w:szCs w:val="18"/>
              </w:rPr>
              <w:t>SPECIFIC CONCLUSION</w:t>
            </w:r>
          </w:p>
          <w:p w14:paraId="0C4B1A47" w14:textId="77777777" w:rsidR="002530E2" w:rsidRDefault="002530E2">
            <w:pPr>
              <w:spacing w:after="0" w:line="276" w:lineRule="auto"/>
            </w:pPr>
            <w:r>
              <w:rPr>
                <w:sz w:val="18"/>
                <w:szCs w:val="18"/>
              </w:rPr>
              <w:t>(Always True)</w:t>
            </w:r>
          </w:p>
          <w:p w14:paraId="383BD3D6" w14:textId="77777777" w:rsidR="002530E2" w:rsidRDefault="002530E2">
            <w:pPr>
              <w:spacing w:after="0" w:line="276" w:lineRule="auto"/>
            </w:pPr>
          </w:p>
          <w:p w14:paraId="6A3A7B80" w14:textId="77777777" w:rsidR="002530E2" w:rsidRDefault="002530E2">
            <w:pPr>
              <w:spacing w:after="0" w:line="276" w:lineRule="auto"/>
            </w:pPr>
            <w:r>
              <w:rPr>
                <w:sz w:val="18"/>
                <w:szCs w:val="18"/>
              </w:rPr>
              <w:t>“The value of the coin is £1.”</w:t>
            </w:r>
          </w:p>
        </w:tc>
        <w:tc>
          <w:tcPr>
            <w:tcW w:w="271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A0D7A2" w14:textId="77777777" w:rsidR="002530E2" w:rsidRDefault="002530E2">
            <w:pPr>
              <w:spacing w:after="0" w:line="276" w:lineRule="auto"/>
            </w:pPr>
            <w:r>
              <w:rPr>
                <w:sz w:val="18"/>
                <w:szCs w:val="18"/>
              </w:rPr>
              <w:t>GENERAL CONCLUSION</w:t>
            </w:r>
          </w:p>
          <w:p w14:paraId="157D3E8A" w14:textId="77777777" w:rsidR="002530E2" w:rsidRDefault="002530E2">
            <w:pPr>
              <w:spacing w:after="0" w:line="276" w:lineRule="auto"/>
            </w:pPr>
            <w:r>
              <w:rPr>
                <w:sz w:val="18"/>
                <w:szCs w:val="18"/>
              </w:rPr>
              <w:t>(May be True)</w:t>
            </w:r>
          </w:p>
          <w:p w14:paraId="00D50210" w14:textId="77777777" w:rsidR="002530E2" w:rsidRDefault="002530E2">
            <w:pPr>
              <w:spacing w:after="0" w:line="276" w:lineRule="auto"/>
            </w:pPr>
          </w:p>
          <w:p w14:paraId="06BCCFB2" w14:textId="77777777" w:rsidR="002530E2" w:rsidRDefault="002530E2">
            <w:pPr>
              <w:spacing w:after="0" w:line="276" w:lineRule="auto"/>
            </w:pPr>
            <w:r>
              <w:rPr>
                <w:sz w:val="18"/>
                <w:szCs w:val="18"/>
              </w:rPr>
              <w:t>“All the coins have the value of £1.”</w:t>
            </w:r>
          </w:p>
        </w:tc>
        <w:tc>
          <w:tcPr>
            <w:tcW w:w="35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47895C4" w14:textId="77777777" w:rsidR="002530E2" w:rsidRDefault="002530E2">
            <w:pPr>
              <w:spacing w:after="0" w:line="276" w:lineRule="auto"/>
            </w:pPr>
            <w:r>
              <w:rPr>
                <w:sz w:val="18"/>
                <w:szCs w:val="18"/>
              </w:rPr>
              <w:t>BEST PREDICTION</w:t>
            </w:r>
          </w:p>
          <w:p w14:paraId="711644B9" w14:textId="77777777" w:rsidR="002530E2" w:rsidRDefault="002530E2">
            <w:pPr>
              <w:spacing w:after="0" w:line="276" w:lineRule="auto"/>
            </w:pPr>
            <w:r>
              <w:rPr>
                <w:sz w:val="18"/>
                <w:szCs w:val="18"/>
              </w:rPr>
              <w:t>(May be True)</w:t>
            </w:r>
          </w:p>
          <w:p w14:paraId="7E575E75" w14:textId="77777777" w:rsidR="002530E2" w:rsidRDefault="002530E2">
            <w:pPr>
              <w:spacing w:after="0" w:line="276" w:lineRule="auto"/>
            </w:pPr>
          </w:p>
          <w:p w14:paraId="78CFB0A7" w14:textId="77777777" w:rsidR="002530E2" w:rsidRDefault="002530E2">
            <w:pPr>
              <w:spacing w:after="0" w:line="276" w:lineRule="auto"/>
            </w:pPr>
            <w:r>
              <w:rPr>
                <w:sz w:val="18"/>
                <w:szCs w:val="18"/>
              </w:rPr>
              <w:t>“The £1 coin you found is from the bag.”</w:t>
            </w:r>
          </w:p>
        </w:tc>
      </w:tr>
    </w:tbl>
    <w:p w14:paraId="1A14FB18" w14:textId="77777777" w:rsidR="002530E2" w:rsidRDefault="002530E2">
      <w:pPr>
        <w:pStyle w:val="Heading4"/>
      </w:pPr>
      <w:bookmarkStart w:id="142" w:name="_cmw3cnqaieat" w:colFirst="0" w:colLast="0"/>
      <w:bookmarkEnd w:id="142"/>
    </w:p>
    <w:p w14:paraId="31F17C2B" w14:textId="77777777" w:rsidR="002530E2" w:rsidRDefault="002530E2">
      <w:pPr>
        <w:pStyle w:val="Heading4"/>
      </w:pPr>
      <w:bookmarkStart w:id="143" w:name="_dmu3luf0d2pt" w:colFirst="0" w:colLast="0"/>
      <w:bookmarkEnd w:id="143"/>
      <w:r>
        <w:t>Table [Appendix (CHP:3) 001] 10: Second example of Inductive, Deductive, Abductive reasoning to distinguish between the three reasoning approaches</w:t>
      </w:r>
    </w:p>
    <w:p w14:paraId="18355D28" w14:textId="77777777" w:rsidR="002530E2" w:rsidRDefault="002530E2">
      <w:pPr>
        <w:spacing w:after="0"/>
      </w:pPr>
    </w:p>
    <w:p w14:paraId="524391B6" w14:textId="77777777" w:rsidR="002530E2" w:rsidRDefault="002530E2">
      <w:pPr>
        <w:pStyle w:val="Heading2"/>
      </w:pPr>
      <w:bookmarkStart w:id="144" w:name="_i3sccfyi6b2c" w:colFirst="0" w:colLast="0"/>
      <w:bookmarkEnd w:id="144"/>
      <w:r>
        <w:t>INDUCTIVE PROCESS IN THIS STUDY</w:t>
      </w:r>
    </w:p>
    <w:p w14:paraId="0539C637" w14:textId="77777777" w:rsidR="002530E2" w:rsidRDefault="002530E2">
      <w:r>
        <w:t>The process of inductive research approach adopted in this study unfolded as presented in the table below in the bottom-up (data to theory) order.</w:t>
      </w:r>
    </w:p>
    <w:tbl>
      <w:tblPr>
        <w:tblW w:w="7410" w:type="dxa"/>
        <w:tblInd w:w="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5"/>
        <w:gridCol w:w="6570"/>
        <w:gridCol w:w="255"/>
      </w:tblGrid>
      <w:tr w:rsidR="002530E2" w14:paraId="35F51A3E" w14:textId="77777777">
        <w:tc>
          <w:tcPr>
            <w:tcW w:w="585" w:type="dxa"/>
            <w:tcBorders>
              <w:top w:val="single" w:sz="8" w:space="0" w:color="FFFFFF"/>
              <w:left w:val="single" w:sz="8" w:space="0" w:color="FFFFFF"/>
              <w:bottom w:val="single" w:sz="8" w:space="0" w:color="FFFFFF"/>
              <w:right w:val="single" w:sz="8" w:space="0" w:color="666666"/>
            </w:tcBorders>
            <w:shd w:val="clear" w:color="auto" w:fill="auto"/>
            <w:tcMar>
              <w:top w:w="100" w:type="dxa"/>
              <w:left w:w="100" w:type="dxa"/>
              <w:bottom w:w="100" w:type="dxa"/>
              <w:right w:w="100" w:type="dxa"/>
            </w:tcMar>
          </w:tcPr>
          <w:p w14:paraId="1475F051" w14:textId="77777777" w:rsidR="002530E2" w:rsidRDefault="002530E2">
            <w:pPr>
              <w:spacing w:after="0" w:line="276" w:lineRule="auto"/>
              <w:jc w:val="center"/>
            </w:pPr>
            <w:r>
              <w:lastRenderedPageBreak/>
              <w:t>↑</w:t>
            </w:r>
          </w:p>
        </w:tc>
        <w:tc>
          <w:tcPr>
            <w:tcW w:w="657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B912015" w14:textId="77777777" w:rsidR="002530E2" w:rsidRDefault="002530E2">
            <w:pPr>
              <w:spacing w:after="0" w:line="276" w:lineRule="auto"/>
              <w:jc w:val="center"/>
            </w:pPr>
            <w:r>
              <w:t>REFLECTIVE ACCOUNT</w:t>
            </w:r>
          </w:p>
          <w:p w14:paraId="59887223" w14:textId="77777777" w:rsidR="002530E2" w:rsidRDefault="002530E2">
            <w:pPr>
              <w:spacing w:after="0" w:line="276" w:lineRule="auto"/>
              <w:jc w:val="center"/>
            </w:pPr>
            <w:r>
              <w:t>Suggestions for future directions, generalisation &amp; transferability of results</w:t>
            </w:r>
          </w:p>
        </w:tc>
        <w:tc>
          <w:tcPr>
            <w:tcW w:w="255" w:type="dxa"/>
            <w:tcBorders>
              <w:top w:val="single" w:sz="8" w:space="0" w:color="FFFFFF"/>
              <w:left w:val="single" w:sz="8" w:space="0" w:color="666666"/>
              <w:bottom w:val="single" w:sz="8" w:space="0" w:color="FFFFFF"/>
              <w:right w:val="single" w:sz="8" w:space="0" w:color="FFFFFF"/>
            </w:tcBorders>
            <w:shd w:val="clear" w:color="auto" w:fill="auto"/>
            <w:tcMar>
              <w:top w:w="100" w:type="dxa"/>
              <w:left w:w="100" w:type="dxa"/>
              <w:bottom w:w="100" w:type="dxa"/>
              <w:right w:w="100" w:type="dxa"/>
            </w:tcMar>
          </w:tcPr>
          <w:p w14:paraId="628F7E82" w14:textId="77777777" w:rsidR="002530E2" w:rsidRDefault="002530E2">
            <w:pPr>
              <w:spacing w:after="0" w:line="276" w:lineRule="auto"/>
              <w:jc w:val="center"/>
            </w:pPr>
            <w:r>
              <w:t>↑</w:t>
            </w:r>
          </w:p>
        </w:tc>
      </w:tr>
      <w:tr w:rsidR="002530E2" w14:paraId="1E95F995" w14:textId="77777777">
        <w:tc>
          <w:tcPr>
            <w:tcW w:w="585" w:type="dxa"/>
            <w:tcBorders>
              <w:top w:val="single" w:sz="8" w:space="0" w:color="FFFFFF"/>
              <w:left w:val="single" w:sz="8" w:space="0" w:color="FFFFFF"/>
              <w:bottom w:val="single" w:sz="8" w:space="0" w:color="FFFFFF"/>
              <w:right w:val="single" w:sz="8" w:space="0" w:color="666666"/>
            </w:tcBorders>
            <w:shd w:val="clear" w:color="auto" w:fill="auto"/>
            <w:tcMar>
              <w:top w:w="100" w:type="dxa"/>
              <w:left w:w="100" w:type="dxa"/>
              <w:bottom w:w="100" w:type="dxa"/>
              <w:right w:w="100" w:type="dxa"/>
            </w:tcMar>
          </w:tcPr>
          <w:p w14:paraId="16FC8E46" w14:textId="77777777" w:rsidR="002530E2" w:rsidRDefault="002530E2">
            <w:pPr>
              <w:spacing w:after="0" w:line="276" w:lineRule="auto"/>
              <w:jc w:val="center"/>
            </w:pPr>
            <w:r>
              <w:t>↑</w:t>
            </w:r>
          </w:p>
        </w:tc>
        <w:tc>
          <w:tcPr>
            <w:tcW w:w="657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1EACD6C" w14:textId="77777777" w:rsidR="002530E2" w:rsidRDefault="002530E2">
            <w:pPr>
              <w:spacing w:after="0" w:line="276" w:lineRule="auto"/>
              <w:jc w:val="center"/>
            </w:pPr>
            <w:r>
              <w:t>CONCLUSIVE PROPOSITIONS</w:t>
            </w:r>
          </w:p>
          <w:p w14:paraId="57D798B3" w14:textId="77777777" w:rsidR="002530E2" w:rsidRDefault="002530E2">
            <w:pPr>
              <w:spacing w:after="0" w:line="276" w:lineRule="auto"/>
              <w:jc w:val="center"/>
            </w:pPr>
            <w:r>
              <w:t>Literature reported in the form of:</w:t>
            </w:r>
          </w:p>
          <w:p w14:paraId="0509FD99" w14:textId="77777777" w:rsidR="002530E2" w:rsidRDefault="002530E2">
            <w:pPr>
              <w:spacing w:after="0" w:line="276" w:lineRule="auto"/>
              <w:jc w:val="center"/>
            </w:pPr>
            <w:r>
              <w:t>(1) Understanding of the issue</w:t>
            </w:r>
          </w:p>
          <w:p w14:paraId="6B527FA4" w14:textId="77777777" w:rsidR="002530E2" w:rsidRDefault="002530E2">
            <w:pPr>
              <w:spacing w:after="0" w:line="276" w:lineRule="auto"/>
              <w:jc w:val="center"/>
            </w:pPr>
            <w:r>
              <w:t>(2) discoveries made</w:t>
            </w:r>
          </w:p>
          <w:p w14:paraId="56F7A519" w14:textId="77777777" w:rsidR="002530E2" w:rsidRDefault="002530E2">
            <w:pPr>
              <w:spacing w:after="0" w:line="276" w:lineRule="auto"/>
              <w:jc w:val="center"/>
            </w:pPr>
            <w:r>
              <w:t xml:space="preserve">(3) insights gained </w:t>
            </w:r>
          </w:p>
        </w:tc>
        <w:tc>
          <w:tcPr>
            <w:tcW w:w="255" w:type="dxa"/>
            <w:tcBorders>
              <w:top w:val="single" w:sz="8" w:space="0" w:color="FFFFFF"/>
              <w:left w:val="single" w:sz="8" w:space="0" w:color="666666"/>
              <w:bottom w:val="single" w:sz="8" w:space="0" w:color="FFFFFF"/>
              <w:right w:val="single" w:sz="8" w:space="0" w:color="FFFFFF"/>
            </w:tcBorders>
            <w:shd w:val="clear" w:color="auto" w:fill="auto"/>
            <w:tcMar>
              <w:top w:w="100" w:type="dxa"/>
              <w:left w:w="100" w:type="dxa"/>
              <w:bottom w:w="100" w:type="dxa"/>
              <w:right w:w="100" w:type="dxa"/>
            </w:tcMar>
          </w:tcPr>
          <w:p w14:paraId="758586EC" w14:textId="77777777" w:rsidR="002530E2" w:rsidRDefault="002530E2">
            <w:pPr>
              <w:spacing w:after="0" w:line="276" w:lineRule="auto"/>
              <w:jc w:val="center"/>
            </w:pPr>
            <w:r>
              <w:t>↑</w:t>
            </w:r>
          </w:p>
        </w:tc>
      </w:tr>
      <w:tr w:rsidR="002530E2" w14:paraId="0C19BCC9" w14:textId="77777777">
        <w:tc>
          <w:tcPr>
            <w:tcW w:w="585" w:type="dxa"/>
            <w:tcBorders>
              <w:top w:val="single" w:sz="8" w:space="0" w:color="FFFFFF"/>
              <w:left w:val="single" w:sz="8" w:space="0" w:color="FFFFFF"/>
              <w:bottom w:val="single" w:sz="8" w:space="0" w:color="FFFFFF"/>
              <w:right w:val="single" w:sz="8" w:space="0" w:color="666666"/>
            </w:tcBorders>
            <w:shd w:val="clear" w:color="auto" w:fill="auto"/>
            <w:tcMar>
              <w:top w:w="100" w:type="dxa"/>
              <w:left w:w="100" w:type="dxa"/>
              <w:bottom w:w="100" w:type="dxa"/>
              <w:right w:w="100" w:type="dxa"/>
            </w:tcMar>
          </w:tcPr>
          <w:p w14:paraId="7A9487B1" w14:textId="77777777" w:rsidR="002530E2" w:rsidRDefault="002530E2">
            <w:pPr>
              <w:spacing w:after="0" w:line="276" w:lineRule="auto"/>
              <w:jc w:val="center"/>
            </w:pPr>
            <w:r>
              <w:t>↑</w:t>
            </w:r>
          </w:p>
        </w:tc>
        <w:tc>
          <w:tcPr>
            <w:tcW w:w="657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F2684D7" w14:textId="77777777" w:rsidR="002530E2" w:rsidRDefault="002530E2">
            <w:pPr>
              <w:spacing w:after="0" w:line="276" w:lineRule="auto"/>
              <w:jc w:val="center"/>
            </w:pPr>
            <w:r>
              <w:t xml:space="preserve">OVERALL ANALYSIS </w:t>
            </w:r>
          </w:p>
          <w:p w14:paraId="73C3098A" w14:textId="77777777" w:rsidR="002530E2" w:rsidRDefault="002530E2">
            <w:pPr>
              <w:spacing w:after="0" w:line="276" w:lineRule="auto"/>
              <w:jc w:val="center"/>
            </w:pPr>
            <w:r>
              <w:t xml:space="preserve">Evidence &amp; key findings analysis summaries </w:t>
            </w:r>
          </w:p>
        </w:tc>
        <w:tc>
          <w:tcPr>
            <w:tcW w:w="255" w:type="dxa"/>
            <w:tcBorders>
              <w:top w:val="single" w:sz="8" w:space="0" w:color="FFFFFF"/>
              <w:left w:val="single" w:sz="8" w:space="0" w:color="666666"/>
              <w:bottom w:val="single" w:sz="8" w:space="0" w:color="FFFFFF"/>
              <w:right w:val="single" w:sz="8" w:space="0" w:color="FFFFFF"/>
            </w:tcBorders>
            <w:shd w:val="clear" w:color="auto" w:fill="auto"/>
            <w:tcMar>
              <w:top w:w="100" w:type="dxa"/>
              <w:left w:w="100" w:type="dxa"/>
              <w:bottom w:w="100" w:type="dxa"/>
              <w:right w:w="100" w:type="dxa"/>
            </w:tcMar>
          </w:tcPr>
          <w:p w14:paraId="1C51E061" w14:textId="77777777" w:rsidR="002530E2" w:rsidRDefault="002530E2">
            <w:pPr>
              <w:spacing w:after="0" w:line="276" w:lineRule="auto"/>
              <w:jc w:val="center"/>
            </w:pPr>
            <w:r>
              <w:t>↑</w:t>
            </w:r>
          </w:p>
        </w:tc>
      </w:tr>
      <w:tr w:rsidR="002530E2" w14:paraId="7E92F307" w14:textId="77777777">
        <w:trPr>
          <w:trHeight w:val="502"/>
        </w:trPr>
        <w:tc>
          <w:tcPr>
            <w:tcW w:w="585" w:type="dxa"/>
            <w:tcBorders>
              <w:top w:val="single" w:sz="8" w:space="0" w:color="FFFFFF"/>
              <w:left w:val="single" w:sz="8" w:space="0" w:color="FFFFFF"/>
              <w:bottom w:val="single" w:sz="8" w:space="0" w:color="FFFFFF"/>
              <w:right w:val="single" w:sz="8" w:space="0" w:color="666666"/>
            </w:tcBorders>
            <w:shd w:val="clear" w:color="auto" w:fill="auto"/>
            <w:tcMar>
              <w:top w:w="100" w:type="dxa"/>
              <w:left w:w="100" w:type="dxa"/>
              <w:bottom w:w="100" w:type="dxa"/>
              <w:right w:w="100" w:type="dxa"/>
            </w:tcMar>
          </w:tcPr>
          <w:p w14:paraId="526C32CD" w14:textId="77777777" w:rsidR="002530E2" w:rsidRDefault="002530E2">
            <w:pPr>
              <w:spacing w:after="0" w:line="276" w:lineRule="auto"/>
              <w:jc w:val="center"/>
            </w:pPr>
            <w:r>
              <w:t>↑</w:t>
            </w:r>
          </w:p>
        </w:tc>
        <w:tc>
          <w:tcPr>
            <w:tcW w:w="657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BE5BCC4" w14:textId="77777777" w:rsidR="002530E2" w:rsidRDefault="002530E2">
            <w:pPr>
              <w:spacing w:after="0" w:line="276" w:lineRule="auto"/>
              <w:jc w:val="center"/>
            </w:pPr>
            <w:r>
              <w:t>EXPLORATION &amp; EXPLANATION VIA KEY RESEARCH STATEMENT IN THE FORM OF RESEARCH QUESTION</w:t>
            </w:r>
          </w:p>
        </w:tc>
        <w:tc>
          <w:tcPr>
            <w:tcW w:w="255" w:type="dxa"/>
            <w:tcBorders>
              <w:top w:val="single" w:sz="8" w:space="0" w:color="FFFFFF"/>
              <w:left w:val="single" w:sz="8" w:space="0" w:color="666666"/>
              <w:bottom w:val="single" w:sz="8" w:space="0" w:color="FFFFFF"/>
              <w:right w:val="single" w:sz="8" w:space="0" w:color="FFFFFF"/>
            </w:tcBorders>
            <w:shd w:val="clear" w:color="auto" w:fill="auto"/>
            <w:tcMar>
              <w:top w:w="100" w:type="dxa"/>
              <w:left w:w="100" w:type="dxa"/>
              <w:bottom w:w="100" w:type="dxa"/>
              <w:right w:w="100" w:type="dxa"/>
            </w:tcMar>
          </w:tcPr>
          <w:p w14:paraId="578759F5" w14:textId="77777777" w:rsidR="002530E2" w:rsidRDefault="002530E2">
            <w:pPr>
              <w:spacing w:after="0" w:line="276" w:lineRule="auto"/>
              <w:jc w:val="center"/>
            </w:pPr>
            <w:r>
              <w:t>↑</w:t>
            </w:r>
          </w:p>
        </w:tc>
      </w:tr>
      <w:tr w:rsidR="002530E2" w14:paraId="62DCC0C4" w14:textId="77777777">
        <w:tc>
          <w:tcPr>
            <w:tcW w:w="585" w:type="dxa"/>
            <w:tcBorders>
              <w:top w:val="single" w:sz="8" w:space="0" w:color="FFFFFF"/>
              <w:left w:val="single" w:sz="8" w:space="0" w:color="FFFFFF"/>
              <w:bottom w:val="single" w:sz="8" w:space="0" w:color="FFFFFF"/>
              <w:right w:val="single" w:sz="8" w:space="0" w:color="666666"/>
            </w:tcBorders>
            <w:shd w:val="clear" w:color="auto" w:fill="auto"/>
            <w:tcMar>
              <w:top w:w="100" w:type="dxa"/>
              <w:left w:w="100" w:type="dxa"/>
              <w:bottom w:w="100" w:type="dxa"/>
              <w:right w:w="100" w:type="dxa"/>
            </w:tcMar>
          </w:tcPr>
          <w:p w14:paraId="66824A61" w14:textId="77777777" w:rsidR="002530E2" w:rsidRDefault="002530E2">
            <w:pPr>
              <w:spacing w:after="0" w:line="276" w:lineRule="auto"/>
              <w:jc w:val="center"/>
            </w:pPr>
            <w:r>
              <w:t>↑</w:t>
            </w:r>
          </w:p>
        </w:tc>
        <w:tc>
          <w:tcPr>
            <w:tcW w:w="657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F6C4860" w14:textId="77777777" w:rsidR="002530E2" w:rsidRDefault="002530E2">
            <w:pPr>
              <w:spacing w:after="0" w:line="276" w:lineRule="auto"/>
              <w:jc w:val="center"/>
            </w:pPr>
            <w:r>
              <w:t>RESEARCH PROBLEM</w:t>
            </w:r>
          </w:p>
        </w:tc>
        <w:tc>
          <w:tcPr>
            <w:tcW w:w="255" w:type="dxa"/>
            <w:tcBorders>
              <w:top w:val="single" w:sz="8" w:space="0" w:color="FFFFFF"/>
              <w:left w:val="single" w:sz="8" w:space="0" w:color="666666"/>
              <w:bottom w:val="single" w:sz="8" w:space="0" w:color="FFFFFF"/>
              <w:right w:val="single" w:sz="8" w:space="0" w:color="FFFFFF"/>
            </w:tcBorders>
            <w:shd w:val="clear" w:color="auto" w:fill="auto"/>
            <w:tcMar>
              <w:top w:w="100" w:type="dxa"/>
              <w:left w:w="100" w:type="dxa"/>
              <w:bottom w:w="100" w:type="dxa"/>
              <w:right w:w="100" w:type="dxa"/>
            </w:tcMar>
          </w:tcPr>
          <w:p w14:paraId="68215C3F" w14:textId="77777777" w:rsidR="002530E2" w:rsidRDefault="002530E2">
            <w:pPr>
              <w:spacing w:after="0" w:line="276" w:lineRule="auto"/>
              <w:jc w:val="center"/>
            </w:pPr>
            <w:r>
              <w:t>↑</w:t>
            </w:r>
          </w:p>
        </w:tc>
      </w:tr>
      <w:tr w:rsidR="002530E2" w14:paraId="407B0DFF" w14:textId="77777777">
        <w:tc>
          <w:tcPr>
            <w:tcW w:w="585" w:type="dxa"/>
            <w:tcBorders>
              <w:top w:val="single" w:sz="8" w:space="0" w:color="FFFFFF"/>
              <w:left w:val="single" w:sz="8" w:space="0" w:color="FFFFFF"/>
              <w:bottom w:val="single" w:sz="8" w:space="0" w:color="FFFFFF"/>
              <w:right w:val="single" w:sz="8" w:space="0" w:color="666666"/>
            </w:tcBorders>
            <w:shd w:val="clear" w:color="auto" w:fill="auto"/>
            <w:tcMar>
              <w:top w:w="100" w:type="dxa"/>
              <w:left w:w="100" w:type="dxa"/>
              <w:bottom w:w="100" w:type="dxa"/>
              <w:right w:w="100" w:type="dxa"/>
            </w:tcMar>
          </w:tcPr>
          <w:p w14:paraId="49DBFDEA" w14:textId="77777777" w:rsidR="002530E2" w:rsidRDefault="002530E2">
            <w:pPr>
              <w:spacing w:after="0" w:line="276" w:lineRule="auto"/>
              <w:jc w:val="center"/>
            </w:pPr>
            <w:r>
              <w:t>↑</w:t>
            </w:r>
          </w:p>
        </w:tc>
        <w:tc>
          <w:tcPr>
            <w:tcW w:w="657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7A8C444" w14:textId="77777777" w:rsidR="002530E2" w:rsidRDefault="002530E2">
            <w:pPr>
              <w:spacing w:after="0" w:line="276" w:lineRule="auto"/>
              <w:jc w:val="center"/>
            </w:pPr>
            <w:r>
              <w:t>Bottom-up (data to theory)</w:t>
            </w:r>
          </w:p>
        </w:tc>
        <w:tc>
          <w:tcPr>
            <w:tcW w:w="255" w:type="dxa"/>
            <w:tcBorders>
              <w:top w:val="single" w:sz="8" w:space="0" w:color="FFFFFF"/>
              <w:left w:val="single" w:sz="8" w:space="0" w:color="666666"/>
              <w:bottom w:val="single" w:sz="8" w:space="0" w:color="FFFFFF"/>
              <w:right w:val="single" w:sz="8" w:space="0" w:color="FFFFFF"/>
            </w:tcBorders>
            <w:shd w:val="clear" w:color="auto" w:fill="auto"/>
            <w:tcMar>
              <w:top w:w="100" w:type="dxa"/>
              <w:left w:w="100" w:type="dxa"/>
              <w:bottom w:w="100" w:type="dxa"/>
              <w:right w:w="100" w:type="dxa"/>
            </w:tcMar>
          </w:tcPr>
          <w:p w14:paraId="407E1867" w14:textId="77777777" w:rsidR="002530E2" w:rsidRDefault="002530E2">
            <w:pPr>
              <w:spacing w:after="0" w:line="276" w:lineRule="auto"/>
              <w:jc w:val="center"/>
            </w:pPr>
            <w:r>
              <w:t>↑</w:t>
            </w:r>
          </w:p>
        </w:tc>
      </w:tr>
    </w:tbl>
    <w:p w14:paraId="4BD4BCAA" w14:textId="77777777" w:rsidR="002530E2" w:rsidRDefault="002530E2">
      <w:pPr>
        <w:pStyle w:val="Heading4"/>
      </w:pPr>
      <w:bookmarkStart w:id="145" w:name="_4sn59qegtptw" w:colFirst="0" w:colLast="0"/>
      <w:bookmarkEnd w:id="145"/>
    </w:p>
    <w:p w14:paraId="3B56951C" w14:textId="77777777" w:rsidR="002530E2" w:rsidRDefault="002530E2">
      <w:pPr>
        <w:pStyle w:val="Heading4"/>
      </w:pPr>
      <w:bookmarkStart w:id="146" w:name="_ngf5xhf2ur9i" w:colFirst="0" w:colLast="0"/>
      <w:bookmarkEnd w:id="146"/>
      <w:r>
        <w:t>Figure [Appendix (CHP:3) 001] 4: The Inductive Bottom-up (data to theory) approach model.</w:t>
      </w:r>
    </w:p>
    <w:p w14:paraId="03A3145D" w14:textId="77777777" w:rsidR="002530E2" w:rsidRDefault="002530E2">
      <w:pPr>
        <w:pStyle w:val="Heading1"/>
      </w:pPr>
      <w:bookmarkStart w:id="147" w:name="_wja6ykh1jn3f" w:colFirst="0" w:colLast="0"/>
      <w:bookmarkEnd w:id="147"/>
      <w:r>
        <w:t>RESEARCH STRATEGY</w:t>
      </w:r>
    </w:p>
    <w:p w14:paraId="2250E850" w14:textId="77777777" w:rsidR="002530E2" w:rsidRDefault="002530E2">
      <w:r>
        <w:t xml:space="preserve">Saunders et al. (2018) point out that research strategies such as action research, case study research, ethnography, grounded theory, and narrative inquiry are associated with qualitative research, but case study research can also be used in a quantitative research design. On the other hand, research such as experiments or experimental research is mostly used in natural sciences as a strategy, and is one of the major approaches in quantitative research investigation. Drew (1980) suggests time-series experimental designs and traditional experimental designs as the two approaches to experimental research. Quantitative research methods such as surveys, questionnaire investigations, interview investigations, and observational studies as non-experimental research strategies. </w:t>
      </w:r>
    </w:p>
    <w:p w14:paraId="14ED0534" w14:textId="77777777" w:rsidR="002530E2" w:rsidRDefault="002530E2">
      <w:r>
        <w:t>Meanwhile, mixed research involves the combining and mixing of qualitative and quantitative research in a single research study (Johnson and Christensen, 2011). Mix method research refers to a third category of research methods which is a result of mixing the methods or other paradigm characteristics of both quantitative and qualitative research. Mixed research is based on the pragmatism philosophy, where the pragmatist considers what works and is important in answering research questions.</w:t>
      </w:r>
    </w:p>
    <w:p w14:paraId="63ED61F2" w14:textId="77777777" w:rsidR="002530E2" w:rsidRDefault="002530E2">
      <w:pPr>
        <w:pStyle w:val="Heading2"/>
      </w:pPr>
      <w:bookmarkStart w:id="148" w:name="_8o3h1yt7bagi" w:colFirst="0" w:colLast="0"/>
      <w:bookmarkEnd w:id="148"/>
      <w:r>
        <w:lastRenderedPageBreak/>
        <w:t>QUANTITATIVE, QUALITATIVE &amp; MIXED METHODS</w:t>
      </w:r>
    </w:p>
    <w:p w14:paraId="24D37AC0" w14:textId="77777777" w:rsidR="002530E2" w:rsidRDefault="002530E2">
      <w:r>
        <w:t xml:space="preserve">Qualitative research relies primarily on gathering qualitative data, and quantitative research relies primarily on gathering quantitative data. Saunders et al. (2018) suggest that quantitative research can be distinguished from qualitative research in its scope and use of data type. While “quantitative research is distinguished by numeric data” or numbers, “qualitative research is distinguished by data that is non-numeric” in nature, such as textual matter (words), images, photographs, video and audio recording clips, etc. </w:t>
      </w:r>
    </w:p>
    <w:p w14:paraId="6018D890" w14:textId="77777777" w:rsidR="002530E2" w:rsidRDefault="002530E2">
      <w:r>
        <w:t>The primary data concerned with this study was “qualitative data” and “non-numeric type,” mainly in the form of textual matter (words), images, and photographs. The primary data type of this study was “not” quantitative data and “not” numeric type.</w:t>
      </w:r>
    </w:p>
    <w:p w14:paraId="3438EAB9" w14:textId="77777777" w:rsidR="002530E2" w:rsidRDefault="002530E2">
      <w:r>
        <w:t xml:space="preserve">Banister et al. (1994) define “qualitative research” as “…the interpretive study of a specified issue or problem in which the researcher is central to the sense that is made” (Kamali, 2015). The definition of qualitative research by Maanen (1979) is “...an umbrella term covering an array of interpretive techniques which seek to describe, decode, translate, and otherwise come to terms with the meaning, not the frequency, of certain naturally occurring phenomena in the social world” (Kamali, 2015). Saunders et al. (2018) point out that research strategies such as “action research,” “case study research,” “ethnography,” “grounded theory,” and “narrative inquiry” are associated with qualitative research, but case study research can also be used in a quantitative research design. The research strategy of this study was “grounded theory” research. </w:t>
      </w:r>
    </w:p>
    <w:p w14:paraId="06918FF4" w14:textId="77777777" w:rsidR="002530E2" w:rsidRDefault="002530E2">
      <w:r>
        <w:t xml:space="preserve">According to Saunders et al. (2009), “Experiment is a form of research mostly used in natural sciences, and “experimental research” as a strategy is one of the major approaches in quantitative research investigation. Drew (1980) suggests “time-series experimental” designs and “traditional experimental” designs as the two approaches to “experimental research.” Drew (1980) points out quantitative research methods such as “surveys,” “questionnaire investigations,” “interview investigations,” and “observational studies” as “non-experimental research” strategies. The methodical choices adopted in the research design of this study were “non-experimental”, in other words they were “not” experimental. </w:t>
      </w:r>
    </w:p>
    <w:p w14:paraId="194C47D4" w14:textId="77777777" w:rsidR="002530E2" w:rsidRDefault="002530E2">
      <w:r>
        <w:t xml:space="preserve">Mixed research involves the combining and mixing of qualitative and quantitative research in a single research study (Johnson and Christensen, 2011). Mix method research refers to a third category of research methods which is a result of mixing the methods or other paradigm characteristics of both quantitative and qualitative research. Mixed research is based on the pragmatism philosophy, where the pragmatist considers what works and is important in answering research questions. </w:t>
      </w:r>
    </w:p>
    <w:p w14:paraId="1E6C4EBC" w14:textId="77777777" w:rsidR="002530E2" w:rsidRDefault="002530E2">
      <w:r>
        <w:t xml:space="preserve">Saunders et al. (2018) emphasise that the “first methodological choice” in a “research design” is to follow either a “quantitative research method,” a “qualitative research method;” or “mixed research methods.” The research methodological choice adopted in the research design of this study was “qualitative research methods.” The methodical choices adopted in the research design of this study were “not” quantitative or mixed methods. </w:t>
      </w:r>
    </w:p>
    <w:p w14:paraId="3C15370C" w14:textId="77777777" w:rsidR="002530E2" w:rsidRDefault="002530E2">
      <w:pPr>
        <w:pStyle w:val="Heading2"/>
      </w:pPr>
      <w:bookmarkStart w:id="149" w:name="_r7katjl9k5ir" w:colFirst="0" w:colLast="0"/>
      <w:bookmarkEnd w:id="149"/>
      <w:r>
        <w:lastRenderedPageBreak/>
        <w:t xml:space="preserve">CHARACTERISTICS COMPARISON: QUANTITATIVE Vs QUALITATIVE </w:t>
      </w:r>
    </w:p>
    <w:p w14:paraId="14ED9C68" w14:textId="77777777" w:rsidR="002530E2" w:rsidRDefault="002530E2">
      <w:r>
        <w:t>A table of “Comparison of quantitative and qualitative characteristics,” based on the theories of Saunders, Lewis, and Thornhill (2018) and work of Kamali (2015) is presented below:</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3060"/>
        <w:gridCol w:w="4110"/>
      </w:tblGrid>
      <w:tr w:rsidR="002530E2" w14:paraId="31DD7697" w14:textId="77777777">
        <w:tc>
          <w:tcPr>
            <w:tcW w:w="1860" w:type="dxa"/>
            <w:tcBorders>
              <w:top w:val="single" w:sz="8" w:space="0" w:color="FFFFFF"/>
              <w:left w:val="single" w:sz="8" w:space="0" w:color="FFFFFF"/>
              <w:bottom w:val="single" w:sz="8" w:space="0" w:color="666666"/>
              <w:right w:val="single" w:sz="8" w:space="0" w:color="666666"/>
            </w:tcBorders>
            <w:tcMar>
              <w:top w:w="100" w:type="dxa"/>
              <w:left w:w="100" w:type="dxa"/>
              <w:bottom w:w="100" w:type="dxa"/>
              <w:right w:w="100" w:type="dxa"/>
            </w:tcMar>
          </w:tcPr>
          <w:p w14:paraId="7A95FB79" w14:textId="77777777" w:rsidR="002530E2" w:rsidRDefault="002530E2">
            <w:pPr>
              <w:spacing w:after="0" w:line="276" w:lineRule="auto"/>
            </w:pP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6DD4BEA" w14:textId="77777777" w:rsidR="002530E2" w:rsidRDefault="002530E2">
            <w:pPr>
              <w:spacing w:after="0" w:line="276" w:lineRule="auto"/>
            </w:pPr>
            <w:r>
              <w:rPr>
                <w:sz w:val="18"/>
                <w:szCs w:val="18"/>
              </w:rPr>
              <w:t xml:space="preserve">Quantitative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2B62CB1" w14:textId="77777777" w:rsidR="002530E2" w:rsidRDefault="002530E2">
            <w:pPr>
              <w:spacing w:after="0" w:line="276" w:lineRule="auto"/>
            </w:pPr>
            <w:r>
              <w:rPr>
                <w:sz w:val="18"/>
                <w:szCs w:val="18"/>
              </w:rPr>
              <w:t xml:space="preserve">Qualitative </w:t>
            </w:r>
          </w:p>
        </w:tc>
      </w:tr>
      <w:tr w:rsidR="002530E2" w14:paraId="0067FD6C"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81B551A" w14:textId="77777777" w:rsidR="002530E2" w:rsidRDefault="002530E2">
            <w:pPr>
              <w:spacing w:after="0" w:line="276" w:lineRule="auto"/>
            </w:pPr>
            <w:r>
              <w:rPr>
                <w:sz w:val="18"/>
                <w:szCs w:val="18"/>
              </w:rPr>
              <w:t xml:space="preserve">Research process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9C7C8B" w14:textId="77777777" w:rsidR="002530E2" w:rsidRDefault="002530E2">
            <w:pPr>
              <w:spacing w:after="0" w:line="276" w:lineRule="auto"/>
            </w:pPr>
            <w:r>
              <w:rPr>
                <w:sz w:val="18"/>
                <w:szCs w:val="18"/>
              </w:rPr>
              <w:t xml:space="preserve">Deductive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D62BFE1" w14:textId="77777777" w:rsidR="002530E2" w:rsidRDefault="002530E2">
            <w:pPr>
              <w:spacing w:after="0" w:line="276" w:lineRule="auto"/>
            </w:pPr>
            <w:r>
              <w:rPr>
                <w:sz w:val="18"/>
                <w:szCs w:val="18"/>
              </w:rPr>
              <w:t xml:space="preserve">Inductive </w:t>
            </w:r>
          </w:p>
        </w:tc>
      </w:tr>
      <w:tr w:rsidR="002530E2" w14:paraId="18B20471"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071D441" w14:textId="77777777" w:rsidR="002530E2" w:rsidRDefault="002530E2">
            <w:pPr>
              <w:spacing w:after="0" w:line="276" w:lineRule="auto"/>
            </w:pPr>
            <w:r>
              <w:rPr>
                <w:sz w:val="18"/>
                <w:szCs w:val="18"/>
              </w:rPr>
              <w:t xml:space="preserve">Measures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E8880D" w14:textId="77777777" w:rsidR="002530E2" w:rsidRDefault="002530E2">
            <w:pPr>
              <w:spacing w:after="0" w:line="276" w:lineRule="auto"/>
            </w:pPr>
            <w:r>
              <w:rPr>
                <w:sz w:val="18"/>
                <w:szCs w:val="18"/>
              </w:rPr>
              <w:t xml:space="preserve">Objective facts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8B812B3" w14:textId="77777777" w:rsidR="002530E2" w:rsidRDefault="002530E2">
            <w:pPr>
              <w:spacing w:after="0" w:line="276" w:lineRule="auto"/>
            </w:pPr>
            <w:r>
              <w:rPr>
                <w:sz w:val="18"/>
                <w:szCs w:val="18"/>
              </w:rPr>
              <w:t xml:space="preserve">Social reality, Meanings constructed </w:t>
            </w:r>
          </w:p>
        </w:tc>
      </w:tr>
      <w:tr w:rsidR="002530E2" w14:paraId="2BD04AFE"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612B5C" w14:textId="77777777" w:rsidR="002530E2" w:rsidRDefault="002530E2">
            <w:pPr>
              <w:spacing w:after="0" w:line="276" w:lineRule="auto"/>
            </w:pPr>
            <w:r>
              <w:rPr>
                <w:sz w:val="18"/>
                <w:szCs w:val="18"/>
              </w:rPr>
              <w:t>Focus is on</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AC926C4" w14:textId="77777777" w:rsidR="002530E2" w:rsidRDefault="002530E2">
            <w:pPr>
              <w:spacing w:after="0" w:line="276" w:lineRule="auto"/>
            </w:pPr>
            <w:r>
              <w:rPr>
                <w:sz w:val="18"/>
                <w:szCs w:val="18"/>
              </w:rPr>
              <w:t xml:space="preserve">Variables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1E0E57B" w14:textId="77777777" w:rsidR="002530E2" w:rsidRDefault="002530E2">
            <w:pPr>
              <w:spacing w:after="0" w:line="276" w:lineRule="auto"/>
            </w:pPr>
            <w:r>
              <w:rPr>
                <w:sz w:val="18"/>
                <w:szCs w:val="18"/>
              </w:rPr>
              <w:t>In-depth meanings</w:t>
            </w:r>
          </w:p>
        </w:tc>
      </w:tr>
      <w:tr w:rsidR="002530E2" w14:paraId="7475DB54"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0D9CBAA" w14:textId="77777777" w:rsidR="002530E2" w:rsidRDefault="002530E2">
            <w:pPr>
              <w:spacing w:after="0" w:line="276" w:lineRule="auto"/>
            </w:pPr>
            <w:r>
              <w:rPr>
                <w:sz w:val="18"/>
                <w:szCs w:val="18"/>
              </w:rPr>
              <w:t>Value orientation</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E671DFC" w14:textId="77777777" w:rsidR="002530E2" w:rsidRDefault="002530E2">
            <w:pPr>
              <w:spacing w:after="0" w:line="276" w:lineRule="auto"/>
            </w:pPr>
            <w:r>
              <w:rPr>
                <w:sz w:val="18"/>
                <w:szCs w:val="18"/>
              </w:rPr>
              <w:t>“Value-free research”</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4F635AD" w14:textId="77777777" w:rsidR="002530E2" w:rsidRDefault="002530E2">
            <w:pPr>
              <w:spacing w:after="0" w:line="276" w:lineRule="auto"/>
            </w:pPr>
            <w:r>
              <w:rPr>
                <w:sz w:val="18"/>
                <w:szCs w:val="18"/>
              </w:rPr>
              <w:t>“Value-present &amp; explicit (empathy)”</w:t>
            </w:r>
          </w:p>
        </w:tc>
      </w:tr>
      <w:tr w:rsidR="002530E2" w14:paraId="08632EBA"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86C092B" w14:textId="77777777" w:rsidR="002530E2" w:rsidRDefault="002530E2">
            <w:pPr>
              <w:spacing w:after="0" w:line="276" w:lineRule="auto"/>
            </w:pPr>
            <w:r>
              <w:rPr>
                <w:sz w:val="18"/>
                <w:szCs w:val="18"/>
              </w:rPr>
              <w:t xml:space="preserve">Context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3A8A6F1" w14:textId="77777777" w:rsidR="002530E2" w:rsidRDefault="002530E2">
            <w:pPr>
              <w:spacing w:after="0" w:line="276" w:lineRule="auto"/>
            </w:pPr>
            <w:r>
              <w:rPr>
                <w:sz w:val="18"/>
                <w:szCs w:val="18"/>
              </w:rPr>
              <w:t xml:space="preserve">Context independent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81929BE" w14:textId="77777777" w:rsidR="002530E2" w:rsidRDefault="002530E2">
            <w:pPr>
              <w:spacing w:after="0" w:line="276" w:lineRule="auto"/>
            </w:pPr>
            <w:r>
              <w:rPr>
                <w:sz w:val="18"/>
                <w:szCs w:val="18"/>
              </w:rPr>
              <w:t xml:space="preserve">Context is important  </w:t>
            </w:r>
          </w:p>
        </w:tc>
      </w:tr>
      <w:tr w:rsidR="002530E2" w14:paraId="5E48321B"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043ABC" w14:textId="77777777" w:rsidR="002530E2" w:rsidRDefault="002530E2">
            <w:pPr>
              <w:spacing w:after="0" w:line="276" w:lineRule="auto"/>
            </w:pPr>
            <w:r>
              <w:rPr>
                <w:sz w:val="18"/>
                <w:szCs w:val="18"/>
              </w:rPr>
              <w:t>Sample population</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D4E1BBC" w14:textId="77777777" w:rsidR="002530E2" w:rsidRDefault="002530E2">
            <w:pPr>
              <w:spacing w:after="0" w:line="276" w:lineRule="auto"/>
            </w:pPr>
            <w:r>
              <w:rPr>
                <w:sz w:val="18"/>
                <w:szCs w:val="18"/>
              </w:rPr>
              <w:t>Larger &amp; many cases and subjects</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88AC22E" w14:textId="77777777" w:rsidR="002530E2" w:rsidRDefault="002530E2">
            <w:pPr>
              <w:spacing w:after="0" w:line="276" w:lineRule="auto"/>
            </w:pPr>
            <w:r>
              <w:rPr>
                <w:sz w:val="18"/>
                <w:szCs w:val="18"/>
              </w:rPr>
              <w:t xml:space="preserve">Small &amp; few cases and participants </w:t>
            </w:r>
          </w:p>
        </w:tc>
      </w:tr>
      <w:tr w:rsidR="002530E2" w14:paraId="7E22DB13"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2B71605" w14:textId="77777777" w:rsidR="002530E2" w:rsidRDefault="002530E2">
            <w:pPr>
              <w:spacing w:after="0" w:line="276" w:lineRule="auto"/>
            </w:pPr>
            <w:r>
              <w:rPr>
                <w:sz w:val="18"/>
                <w:szCs w:val="18"/>
              </w:rPr>
              <w:t>Analysis type</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4D479FD" w14:textId="77777777" w:rsidR="002530E2" w:rsidRDefault="002530E2">
            <w:pPr>
              <w:spacing w:after="0" w:line="276" w:lineRule="auto"/>
            </w:pPr>
            <w:r>
              <w:rPr>
                <w:sz w:val="18"/>
                <w:szCs w:val="18"/>
              </w:rPr>
              <w:t xml:space="preserve">Analysis is statistical type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6588CEB" w14:textId="77777777" w:rsidR="002530E2" w:rsidRDefault="002530E2">
            <w:pPr>
              <w:spacing w:after="0" w:line="276" w:lineRule="auto"/>
            </w:pPr>
            <w:r>
              <w:rPr>
                <w:sz w:val="18"/>
                <w:szCs w:val="18"/>
              </w:rPr>
              <w:t>Analysis is thematic type</w:t>
            </w:r>
          </w:p>
        </w:tc>
      </w:tr>
      <w:tr w:rsidR="002530E2" w14:paraId="35FD1AA3"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A3B6197" w14:textId="77777777" w:rsidR="002530E2" w:rsidRDefault="002530E2">
            <w:pPr>
              <w:spacing w:after="0" w:line="276" w:lineRule="auto"/>
            </w:pPr>
            <w:r>
              <w:rPr>
                <w:sz w:val="18"/>
                <w:szCs w:val="18"/>
              </w:rPr>
              <w:t>Data instrument</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1B90BB" w14:textId="77777777" w:rsidR="002530E2" w:rsidRDefault="002530E2">
            <w:pPr>
              <w:spacing w:after="0" w:line="276" w:lineRule="auto"/>
            </w:pPr>
            <w:r>
              <w:rPr>
                <w:sz w:val="18"/>
                <w:szCs w:val="18"/>
              </w:rPr>
              <w:t xml:space="preserve">Scientific objective tools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38C3C97" w14:textId="77777777" w:rsidR="002530E2" w:rsidRDefault="002530E2">
            <w:pPr>
              <w:spacing w:after="0" w:line="276" w:lineRule="auto"/>
            </w:pPr>
            <w:r>
              <w:rPr>
                <w:sz w:val="18"/>
                <w:szCs w:val="18"/>
              </w:rPr>
              <w:t xml:space="preserve">Researcher itself acts as the tool </w:t>
            </w:r>
          </w:p>
        </w:tc>
      </w:tr>
      <w:tr w:rsidR="002530E2" w14:paraId="415DF70D"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9F3B861" w14:textId="77777777" w:rsidR="002530E2" w:rsidRDefault="002530E2">
            <w:pPr>
              <w:spacing w:after="0" w:line="276" w:lineRule="auto"/>
            </w:pPr>
            <w:r>
              <w:rPr>
                <w:sz w:val="18"/>
                <w:szCs w:val="18"/>
              </w:rPr>
              <w:t xml:space="preserve">Participaction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F540EC" w14:textId="77777777" w:rsidR="002530E2" w:rsidRDefault="002530E2">
            <w:pPr>
              <w:spacing w:after="0" w:line="276" w:lineRule="auto"/>
            </w:pPr>
            <w:r>
              <w:rPr>
                <w:sz w:val="18"/>
                <w:szCs w:val="18"/>
              </w:rPr>
              <w:t xml:space="preserve">Researcher detached, an outsider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C875D9" w14:textId="77777777" w:rsidR="002530E2" w:rsidRDefault="002530E2">
            <w:pPr>
              <w:spacing w:after="0" w:line="276" w:lineRule="auto"/>
            </w:pPr>
            <w:r>
              <w:rPr>
                <w:sz w:val="18"/>
                <w:szCs w:val="18"/>
              </w:rPr>
              <w:t>Researcher attached, an insider</w:t>
            </w:r>
          </w:p>
        </w:tc>
      </w:tr>
      <w:tr w:rsidR="002530E2" w14:paraId="427C993F"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DB72CE" w14:textId="77777777" w:rsidR="002530E2" w:rsidRDefault="002530E2">
            <w:pPr>
              <w:spacing w:after="0" w:line="276" w:lineRule="auto"/>
            </w:pPr>
            <w:r>
              <w:rPr>
                <w:sz w:val="18"/>
                <w:szCs w:val="18"/>
              </w:rPr>
              <w:t>Method orientation</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D034CF" w14:textId="77777777" w:rsidR="002530E2" w:rsidRDefault="002530E2">
            <w:pPr>
              <w:spacing w:after="0" w:line="276" w:lineRule="auto"/>
            </w:pPr>
            <w:r>
              <w:rPr>
                <w:sz w:val="18"/>
                <w:szCs w:val="18"/>
              </w:rPr>
              <w:t xml:space="preserve">Result driven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386B939" w14:textId="77777777" w:rsidR="002530E2" w:rsidRDefault="002530E2">
            <w:pPr>
              <w:spacing w:after="0" w:line="276" w:lineRule="auto"/>
            </w:pPr>
            <w:r>
              <w:rPr>
                <w:sz w:val="18"/>
                <w:szCs w:val="18"/>
              </w:rPr>
              <w:t xml:space="preserve">Process driven </w:t>
            </w:r>
          </w:p>
        </w:tc>
      </w:tr>
      <w:tr w:rsidR="002530E2" w14:paraId="06D1A086"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10FE20C" w14:textId="77777777" w:rsidR="002530E2" w:rsidRDefault="002530E2">
            <w:pPr>
              <w:spacing w:after="0" w:line="276" w:lineRule="auto"/>
            </w:pPr>
            <w:r>
              <w:rPr>
                <w:sz w:val="18"/>
                <w:szCs w:val="18"/>
              </w:rPr>
              <w:t xml:space="preserve">Perspective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95FD03C" w14:textId="77777777" w:rsidR="002530E2" w:rsidRDefault="002530E2">
            <w:pPr>
              <w:spacing w:after="0" w:line="276" w:lineRule="auto"/>
            </w:pPr>
            <w:r>
              <w:rPr>
                <w:sz w:val="18"/>
                <w:szCs w:val="18"/>
              </w:rPr>
              <w:t xml:space="preserve">Analytical and particularistic approach in perspective </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BC45A87" w14:textId="77777777" w:rsidR="002530E2" w:rsidRDefault="002530E2">
            <w:pPr>
              <w:spacing w:after="0" w:line="276" w:lineRule="auto"/>
            </w:pPr>
            <w:r>
              <w:rPr>
                <w:sz w:val="18"/>
                <w:szCs w:val="18"/>
              </w:rPr>
              <w:t xml:space="preserve">Holistic approach in perspective </w:t>
            </w:r>
          </w:p>
        </w:tc>
      </w:tr>
      <w:tr w:rsidR="002530E2" w14:paraId="542DDE47"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307DFFD" w14:textId="77777777" w:rsidR="002530E2" w:rsidRDefault="002530E2">
            <w:pPr>
              <w:spacing w:after="0" w:line="276" w:lineRule="auto"/>
            </w:pPr>
            <w:r>
              <w:rPr>
                <w:sz w:val="18"/>
                <w:szCs w:val="18"/>
              </w:rPr>
              <w:t xml:space="preserve">Views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028C64D" w14:textId="77777777" w:rsidR="002530E2" w:rsidRDefault="002530E2">
            <w:pPr>
              <w:spacing w:after="0" w:line="276" w:lineRule="auto"/>
            </w:pPr>
            <w:r>
              <w:rPr>
                <w:sz w:val="18"/>
                <w:szCs w:val="18"/>
              </w:rPr>
              <w:t>“Objective, outsider view,  and distant from the data”</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74C4633" w14:textId="77777777" w:rsidR="002530E2" w:rsidRDefault="002530E2">
            <w:pPr>
              <w:spacing w:after="0" w:line="276" w:lineRule="auto"/>
            </w:pPr>
            <w:r>
              <w:rPr>
                <w:sz w:val="18"/>
                <w:szCs w:val="18"/>
              </w:rPr>
              <w:t>“Subjective, insider view,  and closeness to the data”</w:t>
            </w:r>
          </w:p>
        </w:tc>
      </w:tr>
      <w:tr w:rsidR="002530E2" w14:paraId="0090CFF2"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EB53C21" w14:textId="77777777" w:rsidR="002530E2" w:rsidRDefault="002530E2">
            <w:pPr>
              <w:spacing w:after="0" w:line="276" w:lineRule="auto"/>
            </w:pPr>
            <w:r>
              <w:rPr>
                <w:sz w:val="18"/>
                <w:szCs w:val="18"/>
              </w:rPr>
              <w:t xml:space="preserve">Generalisation </w:t>
            </w:r>
          </w:p>
        </w:tc>
        <w:tc>
          <w:tcPr>
            <w:tcW w:w="30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9D0C53D" w14:textId="77777777" w:rsidR="002530E2" w:rsidRDefault="002530E2">
            <w:pPr>
              <w:spacing w:after="0" w:line="276" w:lineRule="auto"/>
            </w:pPr>
            <w:r>
              <w:rPr>
                <w:sz w:val="18"/>
                <w:szCs w:val="18"/>
              </w:rPr>
              <w:t>“Generalised by population membership”</w:t>
            </w:r>
          </w:p>
        </w:tc>
        <w:tc>
          <w:tcPr>
            <w:tcW w:w="411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92B6365" w14:textId="77777777" w:rsidR="002530E2" w:rsidRDefault="002530E2">
            <w:pPr>
              <w:spacing w:after="0" w:line="276" w:lineRule="auto"/>
            </w:pPr>
            <w:r>
              <w:rPr>
                <w:sz w:val="18"/>
                <w:szCs w:val="18"/>
              </w:rPr>
              <w:t>“Generalised by comparison of characteristics, contexts of individual being or organism”</w:t>
            </w:r>
          </w:p>
        </w:tc>
      </w:tr>
    </w:tbl>
    <w:p w14:paraId="4E861782" w14:textId="77777777" w:rsidR="002530E2" w:rsidRDefault="002530E2">
      <w:pPr>
        <w:pStyle w:val="Heading4"/>
      </w:pPr>
      <w:bookmarkStart w:id="150" w:name="_41fu8xmmtcl3" w:colFirst="0" w:colLast="0"/>
      <w:bookmarkEnd w:id="150"/>
    </w:p>
    <w:p w14:paraId="0940B098" w14:textId="77777777" w:rsidR="002530E2" w:rsidRDefault="002530E2">
      <w:pPr>
        <w:pStyle w:val="Heading4"/>
      </w:pPr>
      <w:bookmarkStart w:id="151" w:name="_3mwymjfpegae" w:colFirst="0" w:colLast="0"/>
      <w:bookmarkEnd w:id="151"/>
      <w:r>
        <w:t>Table [Appendix (CHP:3) 001] 11: Comparison of quantitative and qualitative research process, table first adopted by Kamali (2015) in his presentation title “Introduction to Qualitative Research Methods Design Data Analysis” via slidetodoc.com (2022)</w:t>
      </w:r>
    </w:p>
    <w:p w14:paraId="11C37869" w14:textId="77777777" w:rsidR="002530E2" w:rsidRDefault="002530E2">
      <w:pPr>
        <w:spacing w:after="0"/>
      </w:pPr>
    </w:p>
    <w:p w14:paraId="12EF08AC" w14:textId="77777777" w:rsidR="002530E2" w:rsidRDefault="002530E2">
      <w:r>
        <w:t>A table of “Comparison of quantitative and qualitative characteristics,” based on the theories of Saunders, Lewis, and Thornhill (2018) is presented below:</w:t>
      </w:r>
    </w:p>
    <w:tbl>
      <w:tblPr>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5"/>
        <w:gridCol w:w="3330"/>
        <w:gridCol w:w="4260"/>
      </w:tblGrid>
      <w:tr w:rsidR="002530E2" w14:paraId="49B9279E"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72C6E9F" w14:textId="77777777" w:rsidR="002530E2" w:rsidRDefault="002530E2">
            <w:pPr>
              <w:spacing w:after="0" w:line="276" w:lineRule="auto"/>
            </w:pPr>
            <w:r>
              <w:rPr>
                <w:sz w:val="18"/>
                <w:szCs w:val="18"/>
              </w:rPr>
              <w:t xml:space="preserve">Scope </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E9CB62E" w14:textId="77777777" w:rsidR="002530E2" w:rsidRDefault="002530E2">
            <w:pPr>
              <w:spacing w:after="0" w:line="276" w:lineRule="auto"/>
            </w:pPr>
            <w:r>
              <w:rPr>
                <w:sz w:val="18"/>
                <w:szCs w:val="18"/>
              </w:rPr>
              <w:t xml:space="preserve">Quantitative </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D05FC9E" w14:textId="77777777" w:rsidR="002530E2" w:rsidRDefault="002530E2">
            <w:pPr>
              <w:spacing w:after="0" w:line="276" w:lineRule="auto"/>
            </w:pPr>
            <w:r>
              <w:rPr>
                <w:sz w:val="18"/>
                <w:szCs w:val="18"/>
              </w:rPr>
              <w:t xml:space="preserve">Qualitative </w:t>
            </w:r>
          </w:p>
        </w:tc>
      </w:tr>
      <w:tr w:rsidR="002530E2" w14:paraId="102F62DE"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F31B9A7" w14:textId="77777777" w:rsidR="002530E2" w:rsidRDefault="002530E2">
            <w:pPr>
              <w:spacing w:after="0" w:line="276" w:lineRule="auto"/>
            </w:pPr>
            <w:r>
              <w:rPr>
                <w:sz w:val="18"/>
                <w:szCs w:val="18"/>
              </w:rPr>
              <w:lastRenderedPageBreak/>
              <w:t>Research’s position</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1AC3308" w14:textId="77777777" w:rsidR="002530E2" w:rsidRDefault="002530E2">
            <w:pPr>
              <w:spacing w:after="0" w:line="276" w:lineRule="auto"/>
            </w:pPr>
            <w:r>
              <w:rPr>
                <w:sz w:val="18"/>
                <w:szCs w:val="18"/>
              </w:rPr>
              <w:t>“Researcher is generally seen as independent from those being researched.”</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62E7AF2" w14:textId="77777777" w:rsidR="002530E2" w:rsidRDefault="002530E2">
            <w:pPr>
              <w:spacing w:after="0" w:line="276" w:lineRule="auto"/>
            </w:pPr>
            <w:r>
              <w:rPr>
                <w:sz w:val="18"/>
                <w:szCs w:val="18"/>
              </w:rPr>
              <w:t>“Researcher is generally recognised as not being independent from those researched.”</w:t>
            </w:r>
          </w:p>
        </w:tc>
      </w:tr>
      <w:tr w:rsidR="002530E2" w14:paraId="69947ECB"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4F0A708" w14:textId="77777777" w:rsidR="002530E2" w:rsidRDefault="002530E2">
            <w:pPr>
              <w:spacing w:after="0" w:line="276" w:lineRule="auto"/>
            </w:pPr>
            <w:r>
              <w:rPr>
                <w:sz w:val="18"/>
                <w:szCs w:val="18"/>
              </w:rPr>
              <w:t>Participaction</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F44A338" w14:textId="77777777" w:rsidR="002530E2" w:rsidRDefault="002530E2">
            <w:pPr>
              <w:spacing w:after="0" w:line="276" w:lineRule="auto"/>
            </w:pPr>
            <w:r>
              <w:rPr>
                <w:sz w:val="18"/>
                <w:szCs w:val="18"/>
              </w:rPr>
              <w:t>“Those taking part are usually referred to as respondents.”</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7364F7F" w14:textId="77777777" w:rsidR="002530E2" w:rsidRDefault="002530E2">
            <w:pPr>
              <w:spacing w:after="0" w:line="276" w:lineRule="auto"/>
            </w:pPr>
            <w:r>
              <w:rPr>
                <w:sz w:val="18"/>
                <w:szCs w:val="18"/>
              </w:rPr>
              <w:t>“Those taking part are referred to as participants or informants.”</w:t>
            </w:r>
          </w:p>
        </w:tc>
      </w:tr>
      <w:tr w:rsidR="002530E2" w14:paraId="7CD98B1D"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D132C7" w14:textId="77777777" w:rsidR="002530E2" w:rsidRDefault="002530E2">
            <w:pPr>
              <w:spacing w:after="0" w:line="276" w:lineRule="auto"/>
            </w:pPr>
            <w:r>
              <w:rPr>
                <w:sz w:val="18"/>
                <w:szCs w:val="18"/>
              </w:rPr>
              <w:t>Design</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495A786" w14:textId="77777777" w:rsidR="002530E2" w:rsidRDefault="002530E2">
            <w:pPr>
              <w:spacing w:after="0" w:line="276" w:lineRule="auto"/>
            </w:pPr>
            <w:r>
              <w:rPr>
                <w:sz w:val="18"/>
                <w:szCs w:val="18"/>
              </w:rPr>
              <w:t>“Designed to examine relationships between variables.”</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C48B877" w14:textId="77777777" w:rsidR="002530E2" w:rsidRDefault="002530E2">
            <w:pPr>
              <w:spacing w:after="0" w:line="276" w:lineRule="auto"/>
            </w:pPr>
            <w:r>
              <w:rPr>
                <w:sz w:val="18"/>
                <w:szCs w:val="18"/>
              </w:rPr>
              <w:t>“Designed to study participants’ attributed meanings and associated relationships.”</w:t>
            </w:r>
          </w:p>
        </w:tc>
      </w:tr>
      <w:tr w:rsidR="002530E2" w14:paraId="14714052"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0BAC83A" w14:textId="77777777" w:rsidR="002530E2" w:rsidRDefault="002530E2">
            <w:pPr>
              <w:spacing w:after="0" w:line="276" w:lineRule="auto"/>
            </w:pPr>
            <w:r>
              <w:rPr>
                <w:sz w:val="18"/>
                <w:szCs w:val="18"/>
              </w:rPr>
              <w:t xml:space="preserve">Sampling </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8A03A1A" w14:textId="77777777" w:rsidR="002530E2" w:rsidRDefault="002530E2">
            <w:pPr>
              <w:spacing w:after="0" w:line="276" w:lineRule="auto"/>
            </w:pPr>
            <w:r>
              <w:rPr>
                <w:sz w:val="18"/>
                <w:szCs w:val="18"/>
              </w:rPr>
              <w:t>“Often uses probability sampling techniques to ensure generalisability.”</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5E1D9E7" w14:textId="77777777" w:rsidR="002530E2" w:rsidRDefault="002530E2">
            <w:pPr>
              <w:spacing w:after="0" w:line="276" w:lineRule="auto"/>
            </w:pPr>
            <w:r>
              <w:rPr>
                <w:sz w:val="18"/>
                <w:szCs w:val="18"/>
              </w:rPr>
              <w:t>“Generally uses non-probability sampling techniques.”</w:t>
            </w:r>
          </w:p>
        </w:tc>
      </w:tr>
      <w:tr w:rsidR="002530E2" w14:paraId="43AA5FD4"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7BD559E" w14:textId="77777777" w:rsidR="002530E2" w:rsidRDefault="002530E2">
            <w:pPr>
              <w:spacing w:after="0" w:line="276" w:lineRule="auto"/>
            </w:pPr>
            <w:r>
              <w:rPr>
                <w:sz w:val="18"/>
                <w:szCs w:val="18"/>
              </w:rPr>
              <w:t>Data collection</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58A6159" w14:textId="77777777" w:rsidR="002530E2" w:rsidRDefault="002530E2">
            <w:pPr>
              <w:spacing w:after="0" w:line="276" w:lineRule="auto"/>
            </w:pPr>
            <w:r>
              <w:rPr>
                <w:sz w:val="18"/>
                <w:szCs w:val="18"/>
              </w:rPr>
              <w:t>“Method(s) used to collect data are rigorously defined and highly structured.”</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8C549BA" w14:textId="77777777" w:rsidR="002530E2" w:rsidRDefault="002530E2">
            <w:pPr>
              <w:spacing w:after="0" w:line="276" w:lineRule="auto"/>
            </w:pPr>
            <w:r>
              <w:rPr>
                <w:sz w:val="18"/>
                <w:szCs w:val="18"/>
              </w:rPr>
              <w:t>“Method(s) used to collect data are unstructured or semi-structured.”</w:t>
            </w:r>
          </w:p>
        </w:tc>
      </w:tr>
      <w:tr w:rsidR="002530E2" w14:paraId="46910832"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A2B1A35" w14:textId="77777777" w:rsidR="002530E2" w:rsidRDefault="002530E2">
            <w:pPr>
              <w:spacing w:after="0" w:line="276" w:lineRule="auto"/>
            </w:pPr>
            <w:r>
              <w:rPr>
                <w:sz w:val="18"/>
                <w:szCs w:val="18"/>
              </w:rPr>
              <w:t>Data type</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2996D6B" w14:textId="77777777" w:rsidR="002530E2" w:rsidRDefault="002530E2">
            <w:pPr>
              <w:spacing w:after="0" w:line="276" w:lineRule="auto"/>
            </w:pPr>
            <w:r>
              <w:rPr>
                <w:sz w:val="18"/>
                <w:szCs w:val="18"/>
              </w:rPr>
              <w:t>“Collection results in numerical and standardised data.”</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3079FFA" w14:textId="77777777" w:rsidR="002530E2" w:rsidRDefault="002530E2">
            <w:pPr>
              <w:spacing w:after="0" w:line="276" w:lineRule="auto"/>
            </w:pPr>
            <w:r>
              <w:rPr>
                <w:sz w:val="18"/>
                <w:szCs w:val="18"/>
              </w:rPr>
              <w:t>“Collection results in non-standardised data generally requiring classification into categories.”</w:t>
            </w:r>
          </w:p>
        </w:tc>
      </w:tr>
      <w:tr w:rsidR="002530E2" w14:paraId="472DA337"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4F43FDA" w14:textId="77777777" w:rsidR="002530E2" w:rsidRDefault="002530E2">
            <w:pPr>
              <w:spacing w:after="0" w:line="276" w:lineRule="auto"/>
            </w:pPr>
            <w:r>
              <w:rPr>
                <w:sz w:val="18"/>
                <w:szCs w:val="18"/>
              </w:rPr>
              <w:t>Analysis</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942784B" w14:textId="77777777" w:rsidR="002530E2" w:rsidRDefault="002530E2">
            <w:pPr>
              <w:spacing w:after="0" w:line="276" w:lineRule="auto"/>
            </w:pPr>
            <w:r>
              <w:rPr>
                <w:sz w:val="18"/>
                <w:szCs w:val="18"/>
              </w:rPr>
              <w:t>“Analysis conducted through the use of statistics and diagrams.”</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60DB6E1" w14:textId="77777777" w:rsidR="002530E2" w:rsidRDefault="002530E2">
            <w:pPr>
              <w:spacing w:after="0" w:line="276" w:lineRule="auto"/>
            </w:pPr>
            <w:r>
              <w:rPr>
                <w:sz w:val="18"/>
                <w:szCs w:val="18"/>
              </w:rPr>
              <w:t>“Analysis conducted through the use of conceptualisation.”</w:t>
            </w:r>
          </w:p>
        </w:tc>
      </w:tr>
      <w:tr w:rsidR="002530E2" w14:paraId="751A62A4" w14:textId="77777777">
        <w:tc>
          <w:tcPr>
            <w:tcW w:w="14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CDB47C7" w14:textId="77777777" w:rsidR="002530E2" w:rsidRDefault="002530E2">
            <w:pPr>
              <w:spacing w:after="0" w:line="276" w:lineRule="auto"/>
            </w:pPr>
            <w:r>
              <w:rPr>
                <w:sz w:val="18"/>
                <w:szCs w:val="18"/>
              </w:rPr>
              <w:t xml:space="preserve">Results </w:t>
            </w:r>
          </w:p>
        </w:tc>
        <w:tc>
          <w:tcPr>
            <w:tcW w:w="333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35D6C1E" w14:textId="77777777" w:rsidR="002530E2" w:rsidRDefault="002530E2">
            <w:pPr>
              <w:spacing w:after="0" w:line="276" w:lineRule="auto"/>
            </w:pPr>
            <w:r>
              <w:rPr>
                <w:sz w:val="18"/>
                <w:szCs w:val="18"/>
              </w:rPr>
              <w:t>“Resulting meanings derived from numbers.”</w:t>
            </w:r>
          </w:p>
        </w:tc>
        <w:tc>
          <w:tcPr>
            <w:tcW w:w="42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2099808" w14:textId="77777777" w:rsidR="002530E2" w:rsidRDefault="002530E2">
            <w:pPr>
              <w:spacing w:after="0" w:line="276" w:lineRule="auto"/>
            </w:pPr>
            <w:r>
              <w:rPr>
                <w:sz w:val="18"/>
                <w:szCs w:val="18"/>
              </w:rPr>
              <w:t>“Resulting meaning derived from words (spoken or text) and images.”</w:t>
            </w:r>
          </w:p>
        </w:tc>
      </w:tr>
    </w:tbl>
    <w:p w14:paraId="1047119C" w14:textId="77777777" w:rsidR="002530E2" w:rsidRDefault="002530E2">
      <w:pPr>
        <w:pStyle w:val="Heading4"/>
      </w:pPr>
      <w:bookmarkStart w:id="152" w:name="_liy4tqt1wr9e" w:colFirst="0" w:colLast="0"/>
      <w:bookmarkEnd w:id="152"/>
    </w:p>
    <w:p w14:paraId="117B5408" w14:textId="77777777" w:rsidR="002530E2" w:rsidRDefault="002530E2">
      <w:pPr>
        <w:pStyle w:val="Heading4"/>
      </w:pPr>
      <w:bookmarkStart w:id="153" w:name="_x1dj1obtd7ip" w:colFirst="0" w:colLast="0"/>
      <w:bookmarkEnd w:id="153"/>
      <w:r>
        <w:t>Table [Appendix (CHP:3) 001] 12: Comparison of quantitative and qualitative characteristics by Saunders et. al (2018)</w:t>
      </w:r>
    </w:p>
    <w:p w14:paraId="43537FE3" w14:textId="77777777" w:rsidR="002530E2" w:rsidRDefault="002530E2">
      <w:pPr>
        <w:spacing w:after="0"/>
      </w:pPr>
    </w:p>
    <w:p w14:paraId="755DFE27" w14:textId="77777777" w:rsidR="002530E2" w:rsidRDefault="002530E2">
      <w:r>
        <w:t>Banister et al. (1994) points out that the goal of “qualitative research is the development of concepts which help us to understand social phenomena in natural (rather than experimental) settings, giving due emphasis to the meanings, experiences, and views of all the participants. ”</w:t>
      </w:r>
    </w:p>
    <w:p w14:paraId="31EC2471" w14:textId="77777777" w:rsidR="002530E2" w:rsidRDefault="002530E2">
      <w:r>
        <w:t xml:space="preserve">According to Saunders et al. (2018), research designs that employ “quantitative data are often associated with positivism,” especially when they are employed in conjunction with predetermined and highly structured data collection techniques. The “realist and pragmatic philosophies can also employ quantitative research” designs. Denzin and Lincoln (2018) assert that “qualitative research is often associated with interpretivist philosophy” since the researcher's interpretation makes sense and socially constructed meanings about the phenomenon being studied in the research create the knowledge (Saunders, Lewis, and Thornhill, 2018). </w:t>
      </w:r>
    </w:p>
    <w:p w14:paraId="4B3EC9B5" w14:textId="77777777" w:rsidR="002530E2" w:rsidRDefault="002530E2">
      <w:r>
        <w:t xml:space="preserve">The interpretivist choice of methods on the considerations of ontological, epistemological, and axiological assumptions is qualitative in this study that employed a large sample of incident reports for in-depth investigations and qualitative methods of analysis. </w:t>
      </w:r>
    </w:p>
    <w:p w14:paraId="42CD099C" w14:textId="77777777" w:rsidR="002530E2" w:rsidRDefault="002530E2">
      <w:r>
        <w:t xml:space="preserve">In contrast to quantitative researchers who tend to look for a fundamental purpose, a predictability method, and finally present a simplified report, qualitative researchers investigate to enlarge, illuminate, comprehend, and reuse their collected knowledge (Dick, Kaplan and Duchon, 1988; and Neuman, 2003). </w:t>
      </w:r>
    </w:p>
    <w:p w14:paraId="4EF66BE1" w14:textId="77777777" w:rsidR="002530E2" w:rsidRDefault="002530E2">
      <w:r>
        <w:lastRenderedPageBreak/>
        <w:t>The interpreted data in this study by the researcher at the end of the research process benefits organisations where these beneficiaries can look at the problem and phenomenon more critically. The researcher's interpretation involved his decisions, experiences, and ethical practices in explaining the in the event of queries made in the research following a systematic research process.</w:t>
      </w:r>
    </w:p>
    <w:p w14:paraId="5E957825" w14:textId="77777777" w:rsidR="002530E2" w:rsidRDefault="002530E2">
      <w:pPr>
        <w:pStyle w:val="Heading1"/>
      </w:pPr>
      <w:bookmarkStart w:id="154" w:name="_n17y9uckt5oa" w:colFirst="0" w:colLast="0"/>
      <w:bookmarkEnd w:id="154"/>
      <w:r>
        <w:t>RESEARCH METHOD CHOICE</w:t>
      </w:r>
    </w:p>
    <w:p w14:paraId="272F0261" w14:textId="77777777" w:rsidR="002530E2" w:rsidRDefault="002530E2">
      <w:r>
        <w:t>The first methodological choice in a research design is to follow either a quantitative method, a qualitative method; or mixed methods (Saunders, Lewis, and Thornhill, 2018).</w:t>
      </w:r>
    </w:p>
    <w:p w14:paraId="517AFC08" w14:textId="77777777" w:rsidR="002530E2" w:rsidRDefault="002530E2">
      <w:r>
        <w:t>Banister et al. (1994) define qualitative research as “…the interpretive study of a specified issue or problem in which the researcher is central to the sense that is made” (Kamali, 2015). The definition of qualitative research by Maanen (1979) is “...an umbrella term covering an array of interpretive techniques which seek to describe, decode, translate, and otherwise come to terms with the meaning, not the frequency, of certain naturally occurring phenomena in the social world” (Kamali, 2015).</w:t>
      </w:r>
    </w:p>
    <w:p w14:paraId="7623B2F8" w14:textId="77777777" w:rsidR="002530E2" w:rsidRDefault="002530E2">
      <w:r>
        <w:t xml:space="preserve">Qualitative research relies primarily on gathering qualitative data, and quantitative research relies primarily on gathering quantitative data. Saunders et al. (2018) suggest that quantitative research can be distinguished from qualitative research in its scope and use of data type. While quantitative research is distinguished by numeric data or numbers, qualitative research is distinguished by data that is non-numeric in nature, such as textual matter (words), images, photographs, video and audio recording clips, etc. </w:t>
      </w:r>
    </w:p>
    <w:p w14:paraId="5295BBCB" w14:textId="77777777" w:rsidR="002530E2" w:rsidRDefault="002530E2">
      <w:pPr>
        <w:pStyle w:val="Heading1"/>
      </w:pPr>
      <w:bookmarkStart w:id="155" w:name="_bu8xce1kiaos" w:colFirst="0" w:colLast="0"/>
      <w:bookmarkEnd w:id="155"/>
      <w:r>
        <w:t>RESEARCH TIME HORIZONS</w:t>
      </w:r>
    </w:p>
    <w:p w14:paraId="55524392" w14:textId="77777777" w:rsidR="002530E2" w:rsidRDefault="002530E2">
      <w:r>
        <w:t xml:space="preserve">Saunders et al. (2018) explain that there are mainly two types of time horizons: cross-sectional time horizon and longitudinal time horizon. While cross-sectional refers to a “snapshot” taken at a particular time in the past, longitudinal refers to a series of snapshots, which means more than one snapshot, like keeping a diary of events for a long duration. </w:t>
      </w:r>
    </w:p>
    <w:p w14:paraId="4FF7164C" w14:textId="77777777" w:rsidR="002530E2" w:rsidRDefault="002530E2">
      <w:r>
        <w:t>Thomas (2020) suggests that a cross-sectional study is a researcher's best choice when he wants to examine the prevalence of some outcome at a particular moment in time. Thomas adds that “a cross-sectional study is a cheap and easy way to gather initial data and identify correlations that can then be investigated further in a longitudinal study.” In a longitudinal time horizon, data is collected over a long period of time repeatedly, the main purpose of which is to compare the data over the longitudinal time period (Melnikovas, 2018).</w:t>
      </w:r>
    </w:p>
    <w:p w14:paraId="551F4EC7" w14:textId="77777777" w:rsidR="002530E2" w:rsidRDefault="002530E2">
      <w:r>
        <w:t>The time horizon for planning depends on the type of research questions and objectives the research will undertake. Below is a list of comparisons between the cross-sectional study and the longitudinal study.</w:t>
      </w:r>
    </w:p>
    <w:tbl>
      <w:tblPr>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3255"/>
        <w:gridCol w:w="3375"/>
      </w:tblGrid>
      <w:tr w:rsidR="002530E2" w14:paraId="4DB829EF"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1E1B16" w14:textId="77777777" w:rsidR="002530E2" w:rsidRDefault="002530E2">
            <w:pPr>
              <w:spacing w:after="0" w:line="276" w:lineRule="auto"/>
              <w:jc w:val="center"/>
            </w:pPr>
            <w:r>
              <w:rPr>
                <w:sz w:val="18"/>
                <w:szCs w:val="18"/>
              </w:rPr>
              <w:t>#</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701D8F4" w14:textId="77777777" w:rsidR="002530E2" w:rsidRDefault="002530E2">
            <w:pPr>
              <w:spacing w:after="0" w:line="276" w:lineRule="auto"/>
            </w:pPr>
            <w:r>
              <w:rPr>
                <w:sz w:val="18"/>
                <w:szCs w:val="18"/>
              </w:rPr>
              <w:t>CROSS-SECTIONAL STUDY</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CED112A" w14:textId="77777777" w:rsidR="002530E2" w:rsidRDefault="002530E2">
            <w:pPr>
              <w:spacing w:after="0" w:line="276" w:lineRule="auto"/>
            </w:pPr>
            <w:r>
              <w:rPr>
                <w:sz w:val="18"/>
                <w:szCs w:val="18"/>
              </w:rPr>
              <w:t>LONGITUDINAL STUDY</w:t>
            </w:r>
          </w:p>
        </w:tc>
      </w:tr>
      <w:tr w:rsidR="002530E2" w14:paraId="03B47655"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2DA013" w14:textId="77777777" w:rsidR="002530E2" w:rsidRDefault="002530E2">
            <w:pPr>
              <w:spacing w:after="0" w:line="276" w:lineRule="auto"/>
            </w:pPr>
            <w:r>
              <w:rPr>
                <w:sz w:val="18"/>
                <w:szCs w:val="18"/>
              </w:rPr>
              <w:lastRenderedPageBreak/>
              <w:t xml:space="preserve">SNAPSHOT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A62C21B" w14:textId="77777777" w:rsidR="002530E2" w:rsidRDefault="002530E2">
            <w:pPr>
              <w:spacing w:after="0" w:line="276" w:lineRule="auto"/>
            </w:pPr>
            <w:r>
              <w:rPr>
                <w:sz w:val="18"/>
                <w:szCs w:val="18"/>
              </w:rPr>
              <w:t>Single or one point in time</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9BD7168" w14:textId="77777777" w:rsidR="002530E2" w:rsidRDefault="002530E2">
            <w:pPr>
              <w:spacing w:after="0" w:line="276" w:lineRule="auto"/>
            </w:pPr>
            <w:r>
              <w:rPr>
                <w:sz w:val="18"/>
                <w:szCs w:val="18"/>
              </w:rPr>
              <w:t>Multiple, or several or more than one point in time</w:t>
            </w:r>
          </w:p>
        </w:tc>
      </w:tr>
      <w:tr w:rsidR="002530E2" w14:paraId="636B5A82"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D2C3C4C" w14:textId="77777777" w:rsidR="002530E2" w:rsidRDefault="002530E2">
            <w:pPr>
              <w:spacing w:after="0" w:line="276" w:lineRule="auto"/>
            </w:pPr>
            <w:r>
              <w:rPr>
                <w:sz w:val="18"/>
                <w:szCs w:val="18"/>
              </w:rPr>
              <w:t xml:space="preserve">SAMPLE SIMILARITY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51209E5" w14:textId="77777777" w:rsidR="002530E2" w:rsidRDefault="002530E2">
            <w:pPr>
              <w:spacing w:after="0" w:line="276" w:lineRule="auto"/>
            </w:pPr>
            <w:r>
              <w:rPr>
                <w:sz w:val="18"/>
                <w:szCs w:val="18"/>
              </w:rPr>
              <w:t>Different samples</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01291AD" w14:textId="77777777" w:rsidR="002530E2" w:rsidRDefault="002530E2">
            <w:pPr>
              <w:spacing w:after="0" w:line="276" w:lineRule="auto"/>
            </w:pPr>
            <w:r>
              <w:rPr>
                <w:sz w:val="18"/>
                <w:szCs w:val="18"/>
              </w:rPr>
              <w:t>Same samples</w:t>
            </w:r>
          </w:p>
        </w:tc>
      </w:tr>
      <w:tr w:rsidR="002530E2" w14:paraId="078E2D82"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87C2411" w14:textId="77777777" w:rsidR="002530E2" w:rsidRDefault="002530E2">
            <w:pPr>
              <w:spacing w:after="0" w:line="276" w:lineRule="auto"/>
            </w:pPr>
            <w:r>
              <w:rPr>
                <w:sz w:val="18"/>
                <w:szCs w:val="18"/>
              </w:rPr>
              <w:t xml:space="preserve">WHAT IS OBSERVED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D806470" w14:textId="77777777" w:rsidR="002530E2" w:rsidRDefault="002530E2">
            <w:pPr>
              <w:spacing w:after="0" w:line="276" w:lineRule="auto"/>
            </w:pPr>
            <w:r>
              <w:rPr>
                <w:sz w:val="18"/>
                <w:szCs w:val="18"/>
              </w:rPr>
              <w:t xml:space="preserve">A change at a social level in a snapshot of time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199E260" w14:textId="77777777" w:rsidR="002530E2" w:rsidRDefault="002530E2">
            <w:pPr>
              <w:spacing w:after="0" w:line="276" w:lineRule="auto"/>
            </w:pPr>
            <w:r>
              <w:rPr>
                <w:sz w:val="18"/>
                <w:szCs w:val="18"/>
              </w:rPr>
              <w:t xml:space="preserve">Changes at an individual level recovered over a long period of time </w:t>
            </w:r>
          </w:p>
        </w:tc>
      </w:tr>
      <w:tr w:rsidR="002530E2" w14:paraId="4C7AD42D"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4748348" w14:textId="77777777" w:rsidR="002530E2" w:rsidRDefault="002530E2">
            <w:pPr>
              <w:spacing w:after="0" w:line="276" w:lineRule="auto"/>
            </w:pPr>
            <w:r>
              <w:rPr>
                <w:sz w:val="18"/>
                <w:szCs w:val="18"/>
              </w:rPr>
              <w:t xml:space="preserve">EXAMPLE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4DD4932" w14:textId="77777777" w:rsidR="002530E2" w:rsidRDefault="002530E2">
            <w:pPr>
              <w:spacing w:after="0" w:line="276" w:lineRule="auto"/>
            </w:pPr>
            <w:r>
              <w:rPr>
                <w:sz w:val="18"/>
                <w:szCs w:val="18"/>
              </w:rPr>
              <w:t xml:space="preserve">A survey study to understand a social attitude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84DD1EA" w14:textId="77777777" w:rsidR="002530E2" w:rsidRDefault="002530E2">
            <w:pPr>
              <w:spacing w:after="0" w:line="276" w:lineRule="auto"/>
            </w:pPr>
            <w:r>
              <w:rPr>
                <w:sz w:val="18"/>
                <w:szCs w:val="18"/>
              </w:rPr>
              <w:t xml:space="preserve">A cohort study to understand society </w:t>
            </w:r>
          </w:p>
        </w:tc>
      </w:tr>
      <w:tr w:rsidR="002530E2" w14:paraId="784D9CC6"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F2A97D8" w14:textId="77777777" w:rsidR="002530E2" w:rsidRDefault="002530E2">
            <w:pPr>
              <w:spacing w:after="0" w:line="276" w:lineRule="auto"/>
            </w:pPr>
            <w:r>
              <w:rPr>
                <w:sz w:val="18"/>
                <w:szCs w:val="18"/>
              </w:rPr>
              <w:t xml:space="preserve">COSTS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00FF69C" w14:textId="77777777" w:rsidR="002530E2" w:rsidRDefault="002530E2">
            <w:pPr>
              <w:spacing w:after="0" w:line="276" w:lineRule="auto"/>
            </w:pPr>
            <w:r>
              <w:rPr>
                <w:sz w:val="18"/>
                <w:szCs w:val="18"/>
              </w:rPr>
              <w:t xml:space="preserve">Low or not expensive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F74A0E7" w14:textId="77777777" w:rsidR="002530E2" w:rsidRDefault="002530E2">
            <w:pPr>
              <w:spacing w:after="0" w:line="276" w:lineRule="auto"/>
            </w:pPr>
            <w:r>
              <w:rPr>
                <w:sz w:val="18"/>
                <w:szCs w:val="18"/>
              </w:rPr>
              <w:t xml:space="preserve">High and expensive </w:t>
            </w:r>
          </w:p>
        </w:tc>
      </w:tr>
      <w:tr w:rsidR="002530E2" w14:paraId="435B09B2"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484567C" w14:textId="77777777" w:rsidR="002530E2" w:rsidRDefault="002530E2">
            <w:pPr>
              <w:spacing w:after="0" w:line="276" w:lineRule="auto"/>
            </w:pPr>
            <w:r>
              <w:rPr>
                <w:sz w:val="18"/>
                <w:szCs w:val="18"/>
              </w:rPr>
              <w:t xml:space="preserve">TIME EFFECTIVENESS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F6A4F1" w14:textId="77777777" w:rsidR="002530E2" w:rsidRDefault="002530E2">
            <w:pPr>
              <w:spacing w:after="0" w:line="276" w:lineRule="auto"/>
            </w:pPr>
            <w:r>
              <w:rPr>
                <w:sz w:val="18"/>
                <w:szCs w:val="18"/>
              </w:rPr>
              <w:t xml:space="preserve">Less time consuming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8229FD8" w14:textId="77777777" w:rsidR="002530E2" w:rsidRDefault="002530E2">
            <w:pPr>
              <w:spacing w:after="0" w:line="276" w:lineRule="auto"/>
            </w:pPr>
            <w:r>
              <w:rPr>
                <w:sz w:val="18"/>
                <w:szCs w:val="18"/>
              </w:rPr>
              <w:t>Highly time consuming</w:t>
            </w:r>
          </w:p>
        </w:tc>
      </w:tr>
      <w:tr w:rsidR="002530E2" w14:paraId="2AB9CA0B"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68FBE8B" w14:textId="77777777" w:rsidR="002530E2" w:rsidRDefault="002530E2">
            <w:pPr>
              <w:spacing w:after="0" w:line="276" w:lineRule="auto"/>
            </w:pPr>
            <w:r>
              <w:rPr>
                <w:sz w:val="18"/>
                <w:szCs w:val="18"/>
              </w:rPr>
              <w:t xml:space="preserve">COMPARISON AND CONTRAST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8D9BE9" w14:textId="77777777" w:rsidR="002530E2" w:rsidRDefault="002530E2">
            <w:pPr>
              <w:spacing w:after="0" w:line="276" w:lineRule="auto"/>
            </w:pPr>
            <w:r>
              <w:rPr>
                <w:sz w:val="18"/>
                <w:szCs w:val="18"/>
              </w:rPr>
              <w:t xml:space="preserve">Find patterns and themes in the data of the different samples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AA30314" w14:textId="77777777" w:rsidR="002530E2" w:rsidRDefault="002530E2">
            <w:pPr>
              <w:spacing w:after="0" w:line="276" w:lineRule="auto"/>
            </w:pPr>
            <w:r>
              <w:rPr>
                <w:sz w:val="18"/>
                <w:szCs w:val="18"/>
              </w:rPr>
              <w:t xml:space="preserve">Compare the data of the same samples over a long time </w:t>
            </w:r>
          </w:p>
        </w:tc>
      </w:tr>
      <w:tr w:rsidR="002530E2" w14:paraId="4370D24B" w14:textId="77777777">
        <w:tc>
          <w:tcPr>
            <w:tcW w:w="238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488CF2E" w14:textId="77777777" w:rsidR="002530E2" w:rsidRDefault="002530E2">
            <w:pPr>
              <w:spacing w:after="0" w:line="276" w:lineRule="auto"/>
            </w:pPr>
            <w:r>
              <w:rPr>
                <w:sz w:val="18"/>
                <w:szCs w:val="18"/>
              </w:rPr>
              <w:t xml:space="preserve">CAUSE-EFFECT RELATIONSHIP CONFIRMATION </w:t>
            </w:r>
          </w:p>
        </w:tc>
        <w:tc>
          <w:tcPr>
            <w:tcW w:w="325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F80E09D" w14:textId="77777777" w:rsidR="002530E2" w:rsidRDefault="002530E2">
            <w:pPr>
              <w:spacing w:after="0" w:line="276" w:lineRule="auto"/>
            </w:pPr>
            <w:r>
              <w:rPr>
                <w:sz w:val="18"/>
                <w:szCs w:val="18"/>
              </w:rPr>
              <w:t xml:space="preserve">Unable to study or precisely confirm a cause-effect relationship between two variables </w:t>
            </w:r>
          </w:p>
        </w:tc>
        <w:tc>
          <w:tcPr>
            <w:tcW w:w="337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E35DD20" w14:textId="77777777" w:rsidR="002530E2" w:rsidRDefault="002530E2">
            <w:pPr>
              <w:spacing w:after="0" w:line="276" w:lineRule="auto"/>
            </w:pPr>
            <w:r>
              <w:rPr>
                <w:sz w:val="18"/>
                <w:szCs w:val="18"/>
              </w:rPr>
              <w:t xml:space="preserve">Able to study cause-effect relationship and precisely establish a link between two variables </w:t>
            </w:r>
          </w:p>
        </w:tc>
      </w:tr>
    </w:tbl>
    <w:p w14:paraId="5A404D87" w14:textId="77777777" w:rsidR="002530E2" w:rsidRDefault="002530E2">
      <w:pPr>
        <w:pStyle w:val="Heading4"/>
      </w:pPr>
      <w:bookmarkStart w:id="156" w:name="_w8b0x5xuqvvc" w:colFirst="0" w:colLast="0"/>
      <w:bookmarkEnd w:id="156"/>
    </w:p>
    <w:p w14:paraId="6FEB1C6A" w14:textId="77777777" w:rsidR="002530E2" w:rsidRDefault="002530E2">
      <w:pPr>
        <w:pStyle w:val="Heading4"/>
        <w:keepNext w:val="0"/>
      </w:pPr>
      <w:bookmarkStart w:id="157" w:name="_j4q8ggg9yril" w:colFirst="0" w:colLast="0"/>
      <w:bookmarkEnd w:id="157"/>
      <w:r>
        <w:t>Table [Appendix (CHP:3) 001] 13: Comparison of Cross-sectional studies &amp; Longitudinal studies, collectively by IOE UCL Learning Hub (2020) from their work titled “Longitudinal vs. cross-sectional studies;” Thomas (2020) from his work titled “Cross-Sectional Study: Definitions, Uses &amp; Examples;” and Cherry (2020) from her work titled “What Is a Longitudinal Study?”</w:t>
      </w:r>
    </w:p>
    <w:p w14:paraId="29AE0FB0" w14:textId="77777777" w:rsidR="002530E2" w:rsidRDefault="002530E2">
      <w:pPr>
        <w:pStyle w:val="Heading1"/>
      </w:pPr>
      <w:bookmarkStart w:id="158" w:name="_6gecp5qyw365" w:colFirst="0" w:colLast="0"/>
      <w:bookmarkEnd w:id="158"/>
      <w:r>
        <w:t xml:space="preserve">DATA SAMPLING </w:t>
      </w:r>
    </w:p>
    <w:p w14:paraId="159C8C1C"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According to Saunders et al. (2018), “population” in the process of sampling data as “the full set of cases or elements from which a sample is taken is called the population.” Bordens and Abbott (2008) point out that populations often come in large sizes, so a subpopulation or a small population of that population is studied. The government level research, for example, “census,” which is to study a large group, is time-consuming, expensive, and has participant access limitations (Saunders et al., 2018). So a sample can represent a small population. </w:t>
      </w:r>
    </w:p>
    <w:p w14:paraId="31B7D85A"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A “sample” is defined as “a small subgroup chosen from a large population,” (Bordens and Abbott, 2008). Becker (1998) suggests that in the selection of a sample to study, the sample should represent the population to which it belongs. The sample should be capable of providing meaningful representation and a justification can be made in the study with regard to answering the research question and meeting the research objectives (Saunders et al., 2018). </w:t>
      </w:r>
    </w:p>
    <w:p w14:paraId="74F3C7CA"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Saunders et al. (2018) explain that when an entire population is of a small or manageable size, research questions can possibly collect data from the entire population. Sampling is a valid alternative to conducting a census or studying large populations when it is not feasible or practical to </w:t>
      </w:r>
      <w:r>
        <w:lastRenderedPageBreak/>
        <w:t xml:space="preserve">survey the entire population and there are time and budget constraints. To answer the research questions, studies employ selective samples that best represent an entire population. A sample can represent a small population. </w:t>
      </w:r>
    </w:p>
    <w:p w14:paraId="47447B15"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The Australian Statistics Bureau (2015) refers to a frame or “sample frame” as “the list of units (e.g., persons, households, businesses, etc) in the survey population. Since the selection of the sample is directly based on this list, the frame is one of the most important tools in the design of a survey.”</w:t>
      </w:r>
    </w:p>
    <w:tbl>
      <w:tblPr>
        <w:tblW w:w="8460" w:type="dxa"/>
        <w:tblInd w:w="-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00"/>
        <w:gridCol w:w="4260"/>
      </w:tblGrid>
      <w:tr w:rsidR="002530E2" w14:paraId="4C8D5456" w14:textId="77777777">
        <w:tc>
          <w:tcPr>
            <w:tcW w:w="4200"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2932A148" w14:textId="77777777" w:rsidR="002530E2" w:rsidRDefault="002530E2">
            <w:pPr>
              <w:pStyle w:val="Heading3"/>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59" w:name="_icauf64c045n" w:colFirst="0" w:colLast="0"/>
            <w:bookmarkEnd w:id="159"/>
            <w:r>
              <w:rPr>
                <w:noProof/>
              </w:rPr>
              <w:drawing>
                <wp:inline distT="114300" distB="114300" distL="114300" distR="114300" wp14:anchorId="42371377" wp14:editId="55F28522">
                  <wp:extent cx="2486025" cy="2273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486025" cy="2273300"/>
                          </a:xfrm>
                          <a:prstGeom prst="rect">
                            <a:avLst/>
                          </a:prstGeom>
                          <a:ln/>
                        </pic:spPr>
                      </pic:pic>
                    </a:graphicData>
                  </a:graphic>
                </wp:inline>
              </w:drawing>
            </w:r>
          </w:p>
        </w:tc>
        <w:tc>
          <w:tcPr>
            <w:tcW w:w="4260"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16621A08"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line="240" w:lineRule="auto"/>
            </w:pPr>
            <w:r>
              <w:rPr>
                <w:noProof/>
              </w:rPr>
              <w:drawing>
                <wp:inline distT="114300" distB="114300" distL="114300" distR="114300" wp14:anchorId="53EA5F70" wp14:editId="615C2FB7">
                  <wp:extent cx="2486025" cy="17145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486025" cy="1714500"/>
                          </a:xfrm>
                          <a:prstGeom prst="rect">
                            <a:avLst/>
                          </a:prstGeom>
                          <a:ln/>
                        </pic:spPr>
                      </pic:pic>
                    </a:graphicData>
                  </a:graphic>
                </wp:inline>
              </w:drawing>
            </w:r>
          </w:p>
        </w:tc>
      </w:tr>
      <w:tr w:rsidR="002530E2" w14:paraId="62508E88" w14:textId="77777777">
        <w:tc>
          <w:tcPr>
            <w:tcW w:w="4200"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4E94041"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0" w:name="_vej61spuis49" w:colFirst="0" w:colLast="0"/>
            <w:bookmarkEnd w:id="160"/>
            <w:r>
              <w:t xml:space="preserve">Figure [Appendix (CHP:3) 001] 5: </w:t>
            </w:r>
          </w:p>
          <w:p w14:paraId="6352F5B9"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1" w:name="_lspqf8clsr01" w:colFirst="0" w:colLast="0"/>
            <w:bookmarkEnd w:id="161"/>
            <w:r>
              <w:t xml:space="preserve">“Population &amp; Sample”, </w:t>
            </w:r>
          </w:p>
          <w:p w14:paraId="00A99A92"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2" w:name="_b19dujp5o1lm" w:colFirst="0" w:colLast="0"/>
            <w:bookmarkEnd w:id="162"/>
            <w:r>
              <w:t>by Bhandari (2020) via scribbr.com</w:t>
            </w:r>
          </w:p>
        </w:tc>
        <w:tc>
          <w:tcPr>
            <w:tcW w:w="4260"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059B76C9"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3" w:name="_susrec3cklis" w:colFirst="0" w:colLast="0"/>
            <w:bookmarkEnd w:id="163"/>
            <w:r>
              <w:t xml:space="preserve">Figure [Appendix (CHP:3) 001] 6: </w:t>
            </w:r>
          </w:p>
          <w:p w14:paraId="3828A2C9"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4" w:name="_92ekrtpbiro8" w:colFirst="0" w:colLast="0"/>
            <w:bookmarkEnd w:id="164"/>
            <w:r>
              <w:t xml:space="preserve">“Population, target population, </w:t>
            </w:r>
          </w:p>
          <w:p w14:paraId="09F9CCFA"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5" w:name="_px24c9nreuko" w:colFirst="0" w:colLast="0"/>
            <w:bookmarkEnd w:id="165"/>
            <w:r>
              <w:t xml:space="preserve">sample and individual cases”, </w:t>
            </w:r>
          </w:p>
          <w:p w14:paraId="4F393FC7"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6" w:name="_f24qml5nssc5" w:colFirst="0" w:colLast="0"/>
            <w:bookmarkEnd w:id="166"/>
            <w:r>
              <w:t>by Saunders et al. (2018)</w:t>
            </w:r>
          </w:p>
        </w:tc>
      </w:tr>
    </w:tbl>
    <w:p w14:paraId="4778DE0F"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pPr>
    </w:p>
    <w:p w14:paraId="02EBB973"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Saunders et al. (2018) suggest that there are mainly two sampling techniques: “probability or representative sampling” and “non-probability sampling.” However, they point out that with both sample types, one can answer all kinds of ‘What’ or ‘How’ research question types. The definitions of the two techniques as given below.</w:t>
      </w:r>
    </w:p>
    <w:tbl>
      <w:tblPr>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95"/>
        <w:gridCol w:w="4920"/>
      </w:tblGrid>
      <w:tr w:rsidR="002530E2" w14:paraId="32F76F3C" w14:textId="77777777">
        <w:tc>
          <w:tcPr>
            <w:tcW w:w="4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83615A5" w14:textId="77777777" w:rsidR="002530E2" w:rsidRDefault="002530E2">
            <w:pPr>
              <w:spacing w:after="0" w:line="276" w:lineRule="auto"/>
            </w:pPr>
            <w:r>
              <w:rPr>
                <w:sz w:val="18"/>
                <w:szCs w:val="18"/>
              </w:rPr>
              <w:t>Probability sampling</w:t>
            </w:r>
          </w:p>
        </w:tc>
        <w:tc>
          <w:tcPr>
            <w:tcW w:w="492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DE91C82" w14:textId="77777777" w:rsidR="002530E2" w:rsidRDefault="002530E2">
            <w:pPr>
              <w:spacing w:after="0" w:line="276" w:lineRule="auto"/>
            </w:pPr>
            <w:r>
              <w:rPr>
                <w:sz w:val="18"/>
                <w:szCs w:val="18"/>
              </w:rPr>
              <w:t>Non-probability sampling</w:t>
            </w:r>
          </w:p>
        </w:tc>
      </w:tr>
      <w:tr w:rsidR="002530E2" w14:paraId="4DE878AC" w14:textId="77777777">
        <w:tc>
          <w:tcPr>
            <w:tcW w:w="4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97319A0" w14:textId="77777777" w:rsidR="002530E2" w:rsidRDefault="002530E2">
            <w:pPr>
              <w:spacing w:after="0" w:line="276" w:lineRule="auto"/>
            </w:pPr>
            <w:r>
              <w:rPr>
                <w:sz w:val="18"/>
                <w:szCs w:val="18"/>
              </w:rPr>
              <w:t xml:space="preserve">“With probability samples, the chance, or probability, of each case being selected from the target population is known and is usually equal for all cases. This means it is possible to answer research questions and to achieve objectives that require an estimate statistically of the characteristics of the target population from the sample. Consequently, </w:t>
            </w:r>
            <w:r>
              <w:rPr>
                <w:sz w:val="18"/>
                <w:szCs w:val="18"/>
              </w:rPr>
              <w:lastRenderedPageBreak/>
              <w:t>probability sampling is often associated with survey and experiment research strategies,”(Saunders et al., 2018).</w:t>
            </w:r>
          </w:p>
        </w:tc>
        <w:tc>
          <w:tcPr>
            <w:tcW w:w="492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FAAFE3F" w14:textId="77777777" w:rsidR="002530E2" w:rsidRDefault="002530E2">
            <w:pPr>
              <w:spacing w:after="0" w:line="276" w:lineRule="auto"/>
            </w:pPr>
            <w:r>
              <w:rPr>
                <w:sz w:val="18"/>
                <w:szCs w:val="18"/>
              </w:rPr>
              <w:lastRenderedPageBreak/>
              <w:t xml:space="preserve">“For non-probability samples, the probability of each case being selected from the target population is not known, and it is impossible to answer research questions or to address objectives that are required to make statistical inferences about the characteristics of the population. Researchers in this case may still be able to generalise from non-probability samples </w:t>
            </w:r>
            <w:r>
              <w:rPr>
                <w:sz w:val="18"/>
                <w:szCs w:val="18"/>
              </w:rPr>
              <w:lastRenderedPageBreak/>
              <w:t>about the target population, but not on statistical grounds,”(Saunders et al., 2018).</w:t>
            </w:r>
          </w:p>
        </w:tc>
      </w:tr>
    </w:tbl>
    <w:p w14:paraId="6A6A4AC1"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7" w:name="_88z10rz2cf4r" w:colFirst="0" w:colLast="0"/>
      <w:bookmarkEnd w:id="167"/>
    </w:p>
    <w:p w14:paraId="0AC2BA03"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8" w:name="_kja72lgi1n0o" w:colFirst="0" w:colLast="0"/>
      <w:bookmarkEnd w:id="168"/>
      <w:r>
        <w:t>Table [Appendix (CHP:3) 001] 14: Probability sampling vs Non-probability sampling, Author’s own table based on theory by Saunders et al. (2018).</w:t>
      </w:r>
    </w:p>
    <w:p w14:paraId="6B66CE25"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pPr>
    </w:p>
    <w:p w14:paraId="61FF3F1A"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Terceros (2021) suggests the main differences between Probability Sampling and Non-Probability Sampling, as listed below. Most of the information is based on the definition by Saunders et al. (2018), as provided above. </w:t>
      </w:r>
    </w:p>
    <w:tbl>
      <w:tblPr>
        <w:tblW w:w="90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790"/>
        <w:gridCol w:w="4425"/>
      </w:tblGrid>
      <w:tr w:rsidR="002530E2" w14:paraId="783134B3" w14:textId="77777777">
        <w:tc>
          <w:tcPr>
            <w:tcW w:w="1860" w:type="dxa"/>
            <w:tcBorders>
              <w:top w:val="single" w:sz="8" w:space="0" w:color="FFFFFF"/>
              <w:left w:val="single" w:sz="8" w:space="0" w:color="FFFFFF"/>
              <w:bottom w:val="single" w:sz="8" w:space="0" w:color="666666"/>
              <w:right w:val="single" w:sz="8" w:space="0" w:color="666666"/>
            </w:tcBorders>
            <w:tcMar>
              <w:top w:w="100" w:type="dxa"/>
              <w:left w:w="100" w:type="dxa"/>
              <w:bottom w:w="100" w:type="dxa"/>
              <w:right w:w="100" w:type="dxa"/>
            </w:tcMar>
          </w:tcPr>
          <w:p w14:paraId="1824A463" w14:textId="77777777" w:rsidR="002530E2" w:rsidRDefault="002530E2">
            <w:pPr>
              <w:spacing w:after="0" w:line="276" w:lineRule="auto"/>
            </w:pP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0C31892" w14:textId="77777777" w:rsidR="002530E2" w:rsidRDefault="002530E2">
            <w:pPr>
              <w:spacing w:after="0" w:line="276" w:lineRule="auto"/>
            </w:pPr>
            <w:r>
              <w:rPr>
                <w:sz w:val="18"/>
                <w:szCs w:val="18"/>
              </w:rPr>
              <w:t>Probability sampling</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7927220" w14:textId="77777777" w:rsidR="002530E2" w:rsidRDefault="002530E2">
            <w:pPr>
              <w:spacing w:after="0" w:line="276" w:lineRule="auto"/>
            </w:pPr>
            <w:r>
              <w:rPr>
                <w:sz w:val="18"/>
                <w:szCs w:val="18"/>
              </w:rPr>
              <w:t>Non-probability sampling</w:t>
            </w:r>
          </w:p>
        </w:tc>
      </w:tr>
      <w:tr w:rsidR="002530E2" w14:paraId="1C835822"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2BFB9A1" w14:textId="77777777" w:rsidR="002530E2" w:rsidRDefault="002530E2">
            <w:pPr>
              <w:spacing w:after="0" w:line="276" w:lineRule="auto"/>
            </w:pPr>
            <w:r>
              <w:rPr>
                <w:sz w:val="18"/>
                <w:szCs w:val="18"/>
              </w:rPr>
              <w:t xml:space="preserve">Sample selection criteria </w:t>
            </w: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41200A" w14:textId="77777777" w:rsidR="002530E2" w:rsidRDefault="002530E2">
            <w:pPr>
              <w:spacing w:after="0" w:line="276" w:lineRule="auto"/>
            </w:pPr>
            <w:r>
              <w:rPr>
                <w:sz w:val="18"/>
                <w:szCs w:val="18"/>
              </w:rPr>
              <w:t>Sample selected at random.</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D771592" w14:textId="77777777" w:rsidR="002530E2" w:rsidRDefault="002530E2">
            <w:pPr>
              <w:spacing w:after="0" w:line="276" w:lineRule="auto"/>
            </w:pPr>
            <w:r>
              <w:rPr>
                <w:sz w:val="18"/>
                <w:szCs w:val="18"/>
              </w:rPr>
              <w:t>Sample selected subjectively as per the research’s judgement based on his research needs.</w:t>
            </w:r>
          </w:p>
        </w:tc>
      </w:tr>
      <w:tr w:rsidR="002530E2" w14:paraId="7AC2A7CF"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5D8DEE0" w14:textId="77777777" w:rsidR="002530E2" w:rsidRDefault="002530E2">
            <w:pPr>
              <w:spacing w:after="0" w:line="276" w:lineRule="auto"/>
            </w:pPr>
            <w:r>
              <w:rPr>
                <w:sz w:val="18"/>
                <w:szCs w:val="18"/>
              </w:rPr>
              <w:t xml:space="preserve">Sample inclusion &amp;  representation </w:t>
            </w: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BEB1F01" w14:textId="77777777" w:rsidR="002530E2" w:rsidRDefault="002530E2">
            <w:pPr>
              <w:spacing w:after="0" w:line="276" w:lineRule="auto"/>
            </w:pPr>
            <w:r>
              <w:rPr>
                <w:sz w:val="18"/>
                <w:szCs w:val="18"/>
              </w:rPr>
              <w:t>All participants or cases of the entire population have an equal chance of being selected.</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61124EF" w14:textId="77777777" w:rsidR="002530E2" w:rsidRDefault="002530E2">
            <w:pPr>
              <w:spacing w:after="0" w:line="276" w:lineRule="auto"/>
            </w:pPr>
            <w:r>
              <w:rPr>
                <w:sz w:val="18"/>
                <w:szCs w:val="18"/>
              </w:rPr>
              <w:t>Not all participants or cases of the entire population have an equal chance to participate.</w:t>
            </w:r>
          </w:p>
        </w:tc>
      </w:tr>
      <w:tr w:rsidR="002530E2" w14:paraId="56EE2FD5" w14:textId="77777777">
        <w:trPr>
          <w:trHeight w:val="474"/>
        </w:trPr>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8AC98E0" w14:textId="77777777" w:rsidR="002530E2" w:rsidRDefault="002530E2">
            <w:pPr>
              <w:spacing w:after="0" w:line="276" w:lineRule="auto"/>
            </w:pPr>
            <w:r>
              <w:rPr>
                <w:sz w:val="18"/>
                <w:szCs w:val="18"/>
              </w:rPr>
              <w:t>Where is it applied?</w:t>
            </w: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07199C6" w14:textId="77777777" w:rsidR="002530E2" w:rsidRDefault="002530E2">
            <w:pPr>
              <w:spacing w:after="0" w:line="276" w:lineRule="auto"/>
            </w:pPr>
            <w:r>
              <w:rPr>
                <w:sz w:val="18"/>
                <w:szCs w:val="18"/>
              </w:rPr>
              <w:t>When the population is diverse.</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12516F3" w14:textId="77777777" w:rsidR="002530E2" w:rsidRDefault="002530E2">
            <w:pPr>
              <w:spacing w:after="0" w:line="276" w:lineRule="auto"/>
            </w:pPr>
            <w:r>
              <w:rPr>
                <w:sz w:val="18"/>
                <w:szCs w:val="18"/>
              </w:rPr>
              <w:t>When the population has similar characteristics and traits.</w:t>
            </w:r>
          </w:p>
        </w:tc>
      </w:tr>
      <w:tr w:rsidR="002530E2" w14:paraId="46E51528"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AADEA21" w14:textId="77777777" w:rsidR="002530E2" w:rsidRDefault="002530E2">
            <w:pPr>
              <w:spacing w:after="0" w:line="276" w:lineRule="auto"/>
            </w:pPr>
            <w:r>
              <w:rPr>
                <w:sz w:val="18"/>
                <w:szCs w:val="18"/>
              </w:rPr>
              <w:t xml:space="preserve">Sampling accuracy </w:t>
            </w: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FBAF1B" w14:textId="77777777" w:rsidR="002530E2" w:rsidRDefault="002530E2">
            <w:pPr>
              <w:spacing w:after="0" w:line="276" w:lineRule="auto"/>
            </w:pPr>
            <w:r>
              <w:rPr>
                <w:sz w:val="18"/>
                <w:szCs w:val="18"/>
              </w:rPr>
              <w:t>Provides an accurate sample.</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E7984B5" w14:textId="77777777" w:rsidR="002530E2" w:rsidRDefault="002530E2">
            <w:pPr>
              <w:spacing w:after="0" w:line="276" w:lineRule="auto"/>
            </w:pPr>
            <w:r>
              <w:rPr>
                <w:sz w:val="18"/>
                <w:szCs w:val="18"/>
              </w:rPr>
              <w:t>Provides a sample that's not an accurate representation of the population.</w:t>
            </w:r>
          </w:p>
        </w:tc>
      </w:tr>
      <w:tr w:rsidR="002530E2" w14:paraId="0ADAF2D4"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D696DAE" w14:textId="77777777" w:rsidR="002530E2" w:rsidRDefault="002530E2">
            <w:pPr>
              <w:spacing w:after="0" w:line="276" w:lineRule="auto"/>
            </w:pPr>
            <w:r>
              <w:rPr>
                <w:sz w:val="18"/>
                <w:szCs w:val="18"/>
              </w:rPr>
              <w:t xml:space="preserve">Sampling bias reduction  </w:t>
            </w: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0A1975C" w14:textId="77777777" w:rsidR="002530E2" w:rsidRDefault="002530E2">
            <w:pPr>
              <w:spacing w:after="0" w:line="276" w:lineRule="auto"/>
            </w:pPr>
            <w:r>
              <w:rPr>
                <w:sz w:val="18"/>
                <w:szCs w:val="18"/>
              </w:rPr>
              <w:t>This type of sampling reduces the bias.</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2387485" w14:textId="77777777" w:rsidR="002530E2" w:rsidRDefault="002530E2">
            <w:pPr>
              <w:spacing w:after="0" w:line="276" w:lineRule="auto"/>
            </w:pPr>
            <w:r>
              <w:rPr>
                <w:sz w:val="18"/>
                <w:szCs w:val="18"/>
              </w:rPr>
              <w:t>In this type of sampling the researcher disregards the sampling bias.</w:t>
            </w:r>
          </w:p>
        </w:tc>
      </w:tr>
      <w:tr w:rsidR="002530E2" w14:paraId="38FE1332" w14:textId="77777777">
        <w:tc>
          <w:tcPr>
            <w:tcW w:w="186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CA260B2" w14:textId="77777777" w:rsidR="002530E2" w:rsidRDefault="002530E2">
            <w:pPr>
              <w:spacing w:after="0" w:line="276" w:lineRule="auto"/>
            </w:pPr>
            <w:r>
              <w:rPr>
                <w:sz w:val="18"/>
                <w:szCs w:val="18"/>
              </w:rPr>
              <w:t xml:space="preserve">Ease of finding the respondents </w:t>
            </w:r>
          </w:p>
        </w:tc>
        <w:tc>
          <w:tcPr>
            <w:tcW w:w="27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64508C" w14:textId="77777777" w:rsidR="002530E2" w:rsidRDefault="002530E2">
            <w:pPr>
              <w:spacing w:after="0" w:line="276" w:lineRule="auto"/>
            </w:pPr>
            <w:r>
              <w:rPr>
                <w:sz w:val="18"/>
                <w:szCs w:val="18"/>
              </w:rPr>
              <w:t xml:space="preserve">It is not easy to find the respondents. </w:t>
            </w:r>
          </w:p>
        </w:tc>
        <w:tc>
          <w:tcPr>
            <w:tcW w:w="442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F72FA6E" w14:textId="77777777" w:rsidR="002530E2" w:rsidRDefault="002530E2">
            <w:pPr>
              <w:spacing w:after="0" w:line="276" w:lineRule="auto"/>
            </w:pPr>
            <w:r>
              <w:rPr>
                <w:sz w:val="18"/>
                <w:szCs w:val="18"/>
              </w:rPr>
              <w:t xml:space="preserve">It is easy to find the respondents. </w:t>
            </w:r>
          </w:p>
        </w:tc>
      </w:tr>
    </w:tbl>
    <w:p w14:paraId="063338B7"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69" w:name="_q4fged7rlyyg" w:colFirst="0" w:colLast="0"/>
      <w:bookmarkEnd w:id="169"/>
    </w:p>
    <w:p w14:paraId="761365E5"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0" w:name="_yxmy2clm2okr" w:colFirst="0" w:colLast="0"/>
      <w:bookmarkEnd w:id="170"/>
      <w:r>
        <w:t>Table [Appendix (CHP:3) 001] 15: Probability sampling vs Non-probability sampling, Author’s own table.</w:t>
      </w:r>
    </w:p>
    <w:p w14:paraId="613902D7"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pPr>
    </w:p>
    <w:p w14:paraId="632EEDA9"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Probability sampling and non-probability sampling are further classified into various types of sampling techniques based on research questions, researcher judgement, and/or researcher needs (Saunders et al., 2018).</w:t>
      </w:r>
    </w:p>
    <w:p w14:paraId="1A605A64"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jc w:val="center"/>
      </w:pPr>
      <w:r>
        <w:rPr>
          <w:noProof/>
        </w:rPr>
        <w:lastRenderedPageBreak/>
        <w:drawing>
          <wp:inline distT="114300" distB="114300" distL="114300" distR="114300" wp14:anchorId="289F6C21" wp14:editId="0703F001">
            <wp:extent cx="4377263" cy="3076771"/>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377263" cy="3076771"/>
                    </a:xfrm>
                    <a:prstGeom prst="rect">
                      <a:avLst/>
                    </a:prstGeom>
                    <a:ln/>
                  </pic:spPr>
                </pic:pic>
              </a:graphicData>
            </a:graphic>
          </wp:inline>
        </w:drawing>
      </w:r>
    </w:p>
    <w:p w14:paraId="7D787AAD"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1" w:name="_sdy2hpkb1q04" w:colFirst="0" w:colLast="0"/>
      <w:bookmarkEnd w:id="171"/>
      <w:r>
        <w:t>Figure [Appendix (CHP:3) 001] 7: Sampling  techniques, adapted from Saunders et al. (2018)</w:t>
      </w:r>
    </w:p>
    <w:p w14:paraId="12074293"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jc w:val="center"/>
      </w:pPr>
    </w:p>
    <w:p w14:paraId="3B91C177" w14:textId="77777777" w:rsidR="002530E2" w:rsidRDefault="002530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pPr>
      <w:r>
        <w:rPr>
          <w:noProof/>
        </w:rPr>
        <w:drawing>
          <wp:inline distT="0" distB="0" distL="0" distR="0" wp14:anchorId="3D1B0AD0" wp14:editId="517AAD18">
            <wp:extent cx="3691463" cy="3196855"/>
            <wp:effectExtent l="0" t="0" r="0" b="0"/>
            <wp:docPr id="2" name="image5.gif"/>
            <wp:cNvGraphicFramePr/>
            <a:graphic xmlns:a="http://schemas.openxmlformats.org/drawingml/2006/main">
              <a:graphicData uri="http://schemas.openxmlformats.org/drawingml/2006/picture">
                <pic:pic xmlns:pic="http://schemas.openxmlformats.org/drawingml/2006/picture">
                  <pic:nvPicPr>
                    <pic:cNvPr id="0" name="image5.gif"/>
                    <pic:cNvPicPr preferRelativeResize="0"/>
                  </pic:nvPicPr>
                  <pic:blipFill>
                    <a:blip r:embed="rId11"/>
                    <a:srcRect/>
                    <a:stretch>
                      <a:fillRect/>
                    </a:stretch>
                  </pic:blipFill>
                  <pic:spPr>
                    <a:xfrm>
                      <a:off x="0" y="0"/>
                      <a:ext cx="3691463" cy="3196855"/>
                    </a:xfrm>
                    <a:prstGeom prst="rect">
                      <a:avLst/>
                    </a:prstGeom>
                    <a:ln/>
                  </pic:spPr>
                </pic:pic>
              </a:graphicData>
            </a:graphic>
          </wp:inline>
        </w:drawing>
      </w:r>
    </w:p>
    <w:p w14:paraId="61B7D7AF"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2" w:name="_xolmf2nst13r" w:colFirst="0" w:colLast="0"/>
      <w:bookmarkEnd w:id="172"/>
      <w:r>
        <w:t>Figure [Appendix (CHP:3) 001] 8: Sampling strategies, adapted from Blaxter, Hughes and Tight (1998)</w:t>
      </w:r>
    </w:p>
    <w:p w14:paraId="64DA2C2A"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pPr>
    </w:p>
    <w:p w14:paraId="20DD2E10"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Given below are the advantages and disadvantages of all the sampling techniques: </w:t>
      </w:r>
    </w:p>
    <w:tbl>
      <w:tblPr>
        <w:tblW w:w="89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0"/>
        <w:gridCol w:w="1350"/>
        <w:gridCol w:w="1890"/>
        <w:gridCol w:w="2400"/>
        <w:gridCol w:w="2895"/>
      </w:tblGrid>
      <w:tr w:rsidR="002530E2" w14:paraId="191F8D97" w14:textId="77777777">
        <w:trPr>
          <w:trHeight w:val="380"/>
        </w:trPr>
        <w:tc>
          <w:tcPr>
            <w:tcW w:w="8955" w:type="dxa"/>
            <w:gridSpan w:val="5"/>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3CD761" w14:textId="77777777" w:rsidR="002530E2" w:rsidRDefault="002530E2">
            <w:pPr>
              <w:spacing w:after="0" w:line="276" w:lineRule="auto"/>
            </w:pPr>
            <w:r>
              <w:rPr>
                <w:sz w:val="18"/>
                <w:szCs w:val="18"/>
              </w:rPr>
              <w:t>Probability sampling</w:t>
            </w:r>
          </w:p>
        </w:tc>
      </w:tr>
      <w:tr w:rsidR="002530E2" w14:paraId="1ACB41EF"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A879C2A" w14:textId="77777777" w:rsidR="002530E2" w:rsidRDefault="002530E2">
            <w:pPr>
              <w:spacing w:after="0" w:line="276" w:lineRule="auto"/>
              <w:jc w:val="center"/>
            </w:pPr>
            <w:r>
              <w:rPr>
                <w:sz w:val="18"/>
                <w:szCs w:val="18"/>
              </w:rPr>
              <w:t>#</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F7EEDF1" w14:textId="77777777" w:rsidR="002530E2" w:rsidRDefault="002530E2">
            <w:pPr>
              <w:spacing w:after="0" w:line="276" w:lineRule="auto"/>
            </w:pPr>
            <w:r>
              <w:rPr>
                <w:sz w:val="18"/>
                <w:szCs w:val="18"/>
              </w:rPr>
              <w:t>Technique</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37B2BF6" w14:textId="77777777" w:rsidR="002530E2" w:rsidRDefault="002530E2">
            <w:pPr>
              <w:spacing w:after="0" w:line="276" w:lineRule="auto"/>
            </w:pPr>
            <w:r>
              <w:rPr>
                <w:sz w:val="18"/>
                <w:szCs w:val="18"/>
              </w:rPr>
              <w:t>Descriptions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7526E7B" w14:textId="77777777" w:rsidR="002530E2" w:rsidRDefault="002530E2">
            <w:pPr>
              <w:spacing w:after="0" w:line="276" w:lineRule="auto"/>
            </w:pPr>
            <w:r>
              <w:rPr>
                <w:sz w:val="18"/>
                <w:szCs w:val="18"/>
              </w:rPr>
              <w:t>Advantages</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065571A" w14:textId="77777777" w:rsidR="002530E2" w:rsidRDefault="002530E2">
            <w:pPr>
              <w:spacing w:after="0" w:line="276" w:lineRule="auto"/>
            </w:pPr>
            <w:r>
              <w:rPr>
                <w:sz w:val="18"/>
                <w:szCs w:val="18"/>
              </w:rPr>
              <w:t>Disadvantages</w:t>
            </w:r>
          </w:p>
        </w:tc>
      </w:tr>
      <w:tr w:rsidR="002530E2" w14:paraId="4C98C2A3"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2AD3E3A" w14:textId="77777777" w:rsidR="002530E2" w:rsidRDefault="002530E2">
            <w:pPr>
              <w:spacing w:after="0" w:line="276" w:lineRule="auto"/>
              <w:jc w:val="center"/>
            </w:pPr>
            <w:r>
              <w:rPr>
                <w:sz w:val="18"/>
                <w:szCs w:val="18"/>
              </w:rPr>
              <w:lastRenderedPageBreak/>
              <w:t>1</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B38E6B9" w14:textId="77777777" w:rsidR="002530E2" w:rsidRDefault="002530E2">
            <w:pPr>
              <w:spacing w:after="0" w:line="276" w:lineRule="auto"/>
            </w:pPr>
            <w:r>
              <w:rPr>
                <w:sz w:val="18"/>
                <w:szCs w:val="18"/>
              </w:rPr>
              <w:t>Simple random</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0F83521" w14:textId="77777777" w:rsidR="002530E2" w:rsidRDefault="002530E2">
            <w:pPr>
              <w:spacing w:after="0" w:line="276" w:lineRule="auto"/>
            </w:pPr>
            <w:r>
              <w:rPr>
                <w:sz w:val="18"/>
                <w:szCs w:val="18"/>
              </w:rPr>
              <w:t>“Random sample from the whole population.”</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D1B0F60" w14:textId="77777777" w:rsidR="002530E2" w:rsidRDefault="002530E2">
            <w:pPr>
              <w:spacing w:after="0" w:line="276" w:lineRule="auto"/>
            </w:pPr>
            <w:r>
              <w:rPr>
                <w:sz w:val="18"/>
                <w:szCs w:val="18"/>
              </w:rPr>
              <w:t xml:space="preserve">“Highly representative if all subjects participate; the ideal.” </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229AE4B" w14:textId="77777777" w:rsidR="002530E2" w:rsidRDefault="002530E2">
            <w:pPr>
              <w:spacing w:after="0" w:line="276" w:lineRule="auto"/>
            </w:pPr>
            <w:r>
              <w:rPr>
                <w:sz w:val="18"/>
                <w:szCs w:val="18"/>
              </w:rPr>
              <w:t>“Not possible without a complete list of population members; potentially uneconomical to achieve; can be disruptive to isolate members from a group; time-scale may be too long, data/sample could change.”</w:t>
            </w:r>
          </w:p>
          <w:p w14:paraId="1410339D" w14:textId="77777777" w:rsidR="002530E2" w:rsidRDefault="002530E2">
            <w:pPr>
              <w:spacing w:after="0" w:line="276" w:lineRule="auto"/>
            </w:pPr>
          </w:p>
        </w:tc>
      </w:tr>
      <w:tr w:rsidR="002530E2" w14:paraId="21A6D6D1"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B6FC554" w14:textId="77777777" w:rsidR="002530E2" w:rsidRDefault="002530E2">
            <w:pPr>
              <w:spacing w:after="0" w:line="276" w:lineRule="auto"/>
              <w:jc w:val="center"/>
            </w:pPr>
            <w:r>
              <w:rPr>
                <w:sz w:val="18"/>
                <w:szCs w:val="18"/>
              </w:rPr>
              <w:t>2</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9F1E063" w14:textId="77777777" w:rsidR="002530E2" w:rsidRDefault="002530E2">
            <w:pPr>
              <w:spacing w:after="0" w:line="276" w:lineRule="auto"/>
            </w:pPr>
            <w:r>
              <w:rPr>
                <w:sz w:val="18"/>
                <w:szCs w:val="18"/>
              </w:rPr>
              <w:t>Stratified random</w:t>
            </w:r>
          </w:p>
          <w:p w14:paraId="3F3A0AA2" w14:textId="77777777" w:rsidR="002530E2" w:rsidRDefault="002530E2">
            <w:pPr>
              <w:spacing w:after="0" w:line="276" w:lineRule="auto"/>
            </w:pPr>
          </w:p>
          <w:p w14:paraId="30B6CC6F" w14:textId="77777777" w:rsidR="002530E2" w:rsidRDefault="002530E2">
            <w:pPr>
              <w:spacing w:after="0" w:line="276" w:lineRule="auto"/>
            </w:pPr>
          </w:p>
          <w:p w14:paraId="6FCD8128" w14:textId="77777777" w:rsidR="002530E2" w:rsidRDefault="002530E2">
            <w:pPr>
              <w:spacing w:after="0" w:line="276" w:lineRule="auto"/>
            </w:pPr>
          </w:p>
          <w:p w14:paraId="39E0DCA2" w14:textId="77777777" w:rsidR="002530E2" w:rsidRDefault="002530E2">
            <w:pPr>
              <w:spacing w:after="0" w:line="276" w:lineRule="auto"/>
            </w:pP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27D0B7F" w14:textId="77777777" w:rsidR="002530E2" w:rsidRPr="002530E2" w:rsidRDefault="002530E2">
            <w:pPr>
              <w:spacing w:after="0" w:line="276" w:lineRule="auto"/>
              <w:rPr>
                <w:lang w:val="fr-FR"/>
              </w:rPr>
            </w:pPr>
            <w:r w:rsidRPr="002530E2">
              <w:rPr>
                <w:sz w:val="18"/>
                <w:szCs w:val="18"/>
                <w:lang w:val="fr-FR"/>
              </w:rPr>
              <w:t>“Random sample from identifiable groups (strata), subgroups, etc.”</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22EB60C" w14:textId="77777777" w:rsidR="002530E2" w:rsidRDefault="002530E2">
            <w:pPr>
              <w:spacing w:after="0" w:line="276" w:lineRule="auto"/>
            </w:pPr>
            <w:r>
              <w:rPr>
                <w:sz w:val="18"/>
                <w:szCs w:val="18"/>
              </w:rPr>
              <w:t>“Can ensure that specific groups are represented, even proportionally, in the sample(s) (e.g., by gender), by selecting individuals from strata list.”</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50A929A" w14:textId="77777777" w:rsidR="002530E2" w:rsidRDefault="002530E2">
            <w:pPr>
              <w:spacing w:after="0" w:line="276" w:lineRule="auto"/>
            </w:pPr>
            <w:r>
              <w:rPr>
                <w:sz w:val="18"/>
                <w:szCs w:val="18"/>
              </w:rPr>
              <w:t>“More complex, requires greater effort than simple random; strata must be carefully defined.”</w:t>
            </w:r>
          </w:p>
        </w:tc>
      </w:tr>
      <w:tr w:rsidR="002530E2" w14:paraId="7A3A26C8"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88BE499" w14:textId="77777777" w:rsidR="002530E2" w:rsidRDefault="002530E2">
            <w:pPr>
              <w:spacing w:after="0" w:line="276" w:lineRule="auto"/>
              <w:jc w:val="center"/>
            </w:pPr>
            <w:r>
              <w:rPr>
                <w:sz w:val="18"/>
                <w:szCs w:val="18"/>
              </w:rPr>
              <w:t>3</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9CD7ECC" w14:textId="77777777" w:rsidR="002530E2" w:rsidRDefault="002530E2">
            <w:pPr>
              <w:spacing w:after="0" w:line="276" w:lineRule="auto"/>
            </w:pPr>
            <w:r>
              <w:rPr>
                <w:sz w:val="18"/>
                <w:szCs w:val="18"/>
              </w:rPr>
              <w:t>Cluster</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B86414E" w14:textId="77777777" w:rsidR="002530E2" w:rsidRDefault="002530E2">
            <w:pPr>
              <w:spacing w:after="0" w:line="276" w:lineRule="auto"/>
            </w:pPr>
            <w:r>
              <w:rPr>
                <w:sz w:val="18"/>
                <w:szCs w:val="18"/>
              </w:rPr>
              <w:t>“Random samples of successive clusters of subjects (e.g., by institution) until small groups are chosen as units.”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8844E71" w14:textId="77777777" w:rsidR="002530E2" w:rsidRDefault="002530E2">
            <w:pPr>
              <w:spacing w:after="0" w:line="276" w:lineRule="auto"/>
            </w:pPr>
            <w:r>
              <w:rPr>
                <w:sz w:val="18"/>
                <w:szCs w:val="18"/>
              </w:rPr>
              <w:t>“Possible to select randomly when no single list of population members exists, but local lists do; data collected on groups may avoid the introduction of confounding by isolating members.”</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6C1F754" w14:textId="77777777" w:rsidR="002530E2" w:rsidRDefault="002530E2">
            <w:pPr>
              <w:spacing w:after="0" w:line="276" w:lineRule="auto"/>
            </w:pPr>
            <w:r>
              <w:rPr>
                <w:sz w:val="18"/>
                <w:szCs w:val="18"/>
              </w:rPr>
              <w:t>“Clusters in a level must be equivalent and some natural ones are not for essential characteristics (e.g., geographic: numbers equal, but unemployment rates differ).”</w:t>
            </w:r>
          </w:p>
        </w:tc>
      </w:tr>
      <w:tr w:rsidR="002530E2" w14:paraId="1BB14215"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3EEBB9F" w14:textId="77777777" w:rsidR="002530E2" w:rsidRDefault="002530E2">
            <w:pPr>
              <w:spacing w:after="0" w:line="276" w:lineRule="auto"/>
              <w:jc w:val="center"/>
            </w:pPr>
            <w:r>
              <w:rPr>
                <w:sz w:val="18"/>
                <w:szCs w:val="18"/>
              </w:rPr>
              <w:t>4</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8A08B12" w14:textId="77777777" w:rsidR="002530E2" w:rsidRDefault="002530E2">
            <w:pPr>
              <w:spacing w:after="0" w:line="276" w:lineRule="auto"/>
            </w:pPr>
            <w:r>
              <w:rPr>
                <w:sz w:val="18"/>
                <w:szCs w:val="18"/>
              </w:rPr>
              <w:t>Stage</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203EFE1" w14:textId="77777777" w:rsidR="002530E2" w:rsidRDefault="002530E2">
            <w:pPr>
              <w:spacing w:after="0" w:line="276" w:lineRule="auto"/>
            </w:pPr>
            <w:r>
              <w:rPr>
                <w:sz w:val="18"/>
                <w:szCs w:val="18"/>
              </w:rPr>
              <w:t>“Combination of clusters (randomly selecting clusters) and random or stratified random sampling of individuals.”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C16695F" w14:textId="77777777" w:rsidR="002530E2" w:rsidRDefault="002530E2">
            <w:pPr>
              <w:spacing w:after="0" w:line="276" w:lineRule="auto"/>
            </w:pPr>
            <w:r>
              <w:rPr>
                <w:sz w:val="18"/>
                <w:szCs w:val="18"/>
              </w:rPr>
              <w:t>“Can make up probability samples by random at stages and within groups; possible to select random samples when population lists are very localised.”</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12D54B2A" w14:textId="77777777" w:rsidR="002530E2" w:rsidRDefault="002530E2">
            <w:pPr>
              <w:spacing w:after="0" w:line="276" w:lineRule="auto"/>
            </w:pPr>
            <w:r>
              <w:rPr>
                <w:sz w:val="18"/>
                <w:szCs w:val="18"/>
              </w:rPr>
              <w:t>“Complex, combines limitations of cluster and stratified random sampling.”</w:t>
            </w:r>
          </w:p>
        </w:tc>
      </w:tr>
      <w:tr w:rsidR="002530E2" w14:paraId="25C9CF25" w14:textId="77777777">
        <w:trPr>
          <w:trHeight w:val="584"/>
        </w:trPr>
        <w:tc>
          <w:tcPr>
            <w:tcW w:w="8955" w:type="dxa"/>
            <w:gridSpan w:val="5"/>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A40DF77" w14:textId="77777777" w:rsidR="002530E2" w:rsidRDefault="002530E2">
            <w:pPr>
              <w:spacing w:after="0" w:line="276" w:lineRule="auto"/>
              <w:jc w:val="center"/>
            </w:pPr>
            <w:r>
              <w:rPr>
                <w:sz w:val="18"/>
                <w:szCs w:val="18"/>
              </w:rPr>
              <w:t>Non-probability sampling</w:t>
            </w:r>
          </w:p>
        </w:tc>
      </w:tr>
      <w:tr w:rsidR="002530E2" w14:paraId="6C678AD6" w14:textId="77777777">
        <w:trPr>
          <w:trHeight w:val="314"/>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A1C7C1B" w14:textId="77777777" w:rsidR="002530E2" w:rsidRDefault="002530E2">
            <w:pPr>
              <w:spacing w:after="0" w:line="276" w:lineRule="auto"/>
              <w:jc w:val="center"/>
            </w:pPr>
            <w:r>
              <w:rPr>
                <w:sz w:val="18"/>
                <w:szCs w:val="18"/>
              </w:rPr>
              <w:t>#</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41D20474" w14:textId="77777777" w:rsidR="002530E2" w:rsidRDefault="002530E2">
            <w:pPr>
              <w:spacing w:after="0" w:line="276" w:lineRule="auto"/>
            </w:pPr>
            <w:r>
              <w:rPr>
                <w:sz w:val="18"/>
                <w:szCs w:val="18"/>
              </w:rPr>
              <w:t>Technique</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101BE84" w14:textId="77777777" w:rsidR="002530E2" w:rsidRDefault="002530E2">
            <w:pPr>
              <w:spacing w:after="0" w:line="276" w:lineRule="auto"/>
            </w:pPr>
            <w:r>
              <w:rPr>
                <w:sz w:val="18"/>
                <w:szCs w:val="18"/>
              </w:rPr>
              <w:t>Descriptions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AF6A8C5" w14:textId="77777777" w:rsidR="002530E2" w:rsidRDefault="002530E2">
            <w:pPr>
              <w:spacing w:after="0" w:line="276" w:lineRule="auto"/>
            </w:pPr>
            <w:r>
              <w:rPr>
                <w:sz w:val="18"/>
                <w:szCs w:val="18"/>
              </w:rPr>
              <w:t>Advantages</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3B546BC" w14:textId="77777777" w:rsidR="002530E2" w:rsidRDefault="002530E2">
            <w:pPr>
              <w:spacing w:after="0" w:line="276" w:lineRule="auto"/>
            </w:pPr>
            <w:r>
              <w:rPr>
                <w:sz w:val="18"/>
                <w:szCs w:val="18"/>
              </w:rPr>
              <w:t>Disadvantages</w:t>
            </w:r>
          </w:p>
        </w:tc>
      </w:tr>
      <w:tr w:rsidR="002530E2" w14:paraId="3EA915D5"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B462D33" w14:textId="77777777" w:rsidR="002530E2" w:rsidRDefault="002530E2">
            <w:pPr>
              <w:spacing w:after="0" w:line="276" w:lineRule="auto"/>
              <w:jc w:val="center"/>
            </w:pPr>
            <w:r>
              <w:rPr>
                <w:sz w:val="18"/>
                <w:szCs w:val="18"/>
              </w:rPr>
              <w:t>1</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E40E84D" w14:textId="77777777" w:rsidR="002530E2" w:rsidRDefault="002530E2">
            <w:pPr>
              <w:spacing w:after="0" w:line="276" w:lineRule="auto"/>
            </w:pPr>
            <w:r>
              <w:rPr>
                <w:sz w:val="18"/>
                <w:szCs w:val="18"/>
              </w:rPr>
              <w:t xml:space="preserve">Purposive </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B1CA599" w14:textId="77777777" w:rsidR="002530E2" w:rsidRDefault="002530E2">
            <w:pPr>
              <w:spacing w:after="0" w:line="276" w:lineRule="auto"/>
            </w:pPr>
            <w:r>
              <w:rPr>
                <w:sz w:val="18"/>
                <w:szCs w:val="18"/>
              </w:rPr>
              <w:t>“Hand-pick subjects on the basis of specific characteristics.”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50986F7" w14:textId="77777777" w:rsidR="002530E2" w:rsidRDefault="002530E2">
            <w:pPr>
              <w:spacing w:after="0" w:line="276" w:lineRule="auto"/>
            </w:pPr>
            <w:r>
              <w:rPr>
                <w:sz w:val="18"/>
                <w:szCs w:val="18"/>
              </w:rPr>
              <w:t>“Ensures balance of group sizes when multiple groups are to be selected.”</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98BAE43" w14:textId="77777777" w:rsidR="002530E2" w:rsidRDefault="002530E2">
            <w:pPr>
              <w:spacing w:after="0" w:line="276" w:lineRule="auto"/>
            </w:pPr>
            <w:r>
              <w:rPr>
                <w:sz w:val="18"/>
                <w:szCs w:val="18"/>
              </w:rPr>
              <w:t>“Samples are not easily defensible as being representative of populations due to potential subjectivity of researchers.”</w:t>
            </w:r>
          </w:p>
        </w:tc>
      </w:tr>
      <w:tr w:rsidR="002530E2" w14:paraId="121ABE0F"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7B76FE1" w14:textId="77777777" w:rsidR="002530E2" w:rsidRDefault="002530E2">
            <w:pPr>
              <w:spacing w:after="0" w:line="276" w:lineRule="auto"/>
              <w:jc w:val="center"/>
            </w:pPr>
            <w:r>
              <w:rPr>
                <w:sz w:val="18"/>
                <w:szCs w:val="18"/>
              </w:rPr>
              <w:t>2</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34C1355" w14:textId="77777777" w:rsidR="002530E2" w:rsidRDefault="002530E2">
            <w:pPr>
              <w:spacing w:after="0" w:line="276" w:lineRule="auto"/>
            </w:pPr>
            <w:r>
              <w:rPr>
                <w:sz w:val="18"/>
                <w:szCs w:val="18"/>
              </w:rPr>
              <w:t>Quota</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88E82D1" w14:textId="77777777" w:rsidR="002530E2" w:rsidRDefault="002530E2">
            <w:pPr>
              <w:spacing w:after="0" w:line="276" w:lineRule="auto"/>
            </w:pPr>
            <w:r>
              <w:rPr>
                <w:sz w:val="18"/>
                <w:szCs w:val="18"/>
              </w:rPr>
              <w:t>“Select individuals as they come to fill a quota by characteristics proportional to populations.”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E3D44B8" w14:textId="77777777" w:rsidR="002530E2" w:rsidRDefault="002530E2">
            <w:pPr>
              <w:spacing w:after="0" w:line="276" w:lineRule="auto"/>
            </w:pPr>
            <w:r>
              <w:rPr>
                <w:sz w:val="18"/>
                <w:szCs w:val="18"/>
              </w:rPr>
              <w:t>“Ensures selection of adequate numbers of subjects with appropriate characteristics.”</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F823AE9" w14:textId="77777777" w:rsidR="002530E2" w:rsidRDefault="002530E2">
            <w:pPr>
              <w:spacing w:after="0" w:line="276" w:lineRule="auto"/>
            </w:pPr>
            <w:r>
              <w:rPr>
                <w:sz w:val="18"/>
                <w:szCs w:val="18"/>
              </w:rPr>
              <w:t>“It is not possible to prove that the sample is representative of the designated population.”</w:t>
            </w:r>
          </w:p>
        </w:tc>
      </w:tr>
      <w:tr w:rsidR="002530E2" w14:paraId="40B60801"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6FA0EE1" w14:textId="77777777" w:rsidR="002530E2" w:rsidRDefault="002530E2">
            <w:pPr>
              <w:spacing w:after="0" w:line="276" w:lineRule="auto"/>
              <w:jc w:val="center"/>
            </w:pPr>
            <w:r>
              <w:rPr>
                <w:sz w:val="18"/>
                <w:szCs w:val="18"/>
              </w:rPr>
              <w:t>3</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219A7E0" w14:textId="77777777" w:rsidR="002530E2" w:rsidRDefault="002530E2">
            <w:pPr>
              <w:spacing w:after="0" w:line="276" w:lineRule="auto"/>
            </w:pPr>
            <w:r>
              <w:rPr>
                <w:sz w:val="18"/>
                <w:szCs w:val="18"/>
              </w:rPr>
              <w:t xml:space="preserve">Snowball </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D4A29EC" w14:textId="77777777" w:rsidR="002530E2" w:rsidRDefault="002530E2">
            <w:pPr>
              <w:spacing w:after="0" w:line="276" w:lineRule="auto"/>
            </w:pPr>
            <w:r>
              <w:rPr>
                <w:sz w:val="18"/>
                <w:szCs w:val="18"/>
              </w:rPr>
              <w:t xml:space="preserve">“Subjects with desired traits or characteristics </w:t>
            </w:r>
            <w:r>
              <w:rPr>
                <w:sz w:val="18"/>
                <w:szCs w:val="18"/>
              </w:rPr>
              <w:lastRenderedPageBreak/>
              <w:t>give names of further appropriate subjects.”</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1370BA3" w14:textId="77777777" w:rsidR="002530E2" w:rsidRDefault="002530E2">
            <w:pPr>
              <w:spacing w:after="0" w:line="276" w:lineRule="auto"/>
            </w:pPr>
            <w:r>
              <w:rPr>
                <w:sz w:val="18"/>
                <w:szCs w:val="18"/>
              </w:rPr>
              <w:lastRenderedPageBreak/>
              <w:t xml:space="preserve">“Possible to include members of groups where no lists or identifiable clusters even exist </w:t>
            </w:r>
            <w:r>
              <w:rPr>
                <w:sz w:val="18"/>
                <w:szCs w:val="18"/>
              </w:rPr>
              <w:lastRenderedPageBreak/>
              <w:t>(e.g., drug abusers, criminals).”</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67C6624D" w14:textId="77777777" w:rsidR="002530E2" w:rsidRDefault="002530E2">
            <w:pPr>
              <w:spacing w:after="0" w:line="276" w:lineRule="auto"/>
            </w:pPr>
            <w:r>
              <w:rPr>
                <w:sz w:val="18"/>
                <w:szCs w:val="18"/>
              </w:rPr>
              <w:lastRenderedPageBreak/>
              <w:t>“No way of knowing whether the sample is representative of the population.”</w:t>
            </w:r>
          </w:p>
        </w:tc>
      </w:tr>
      <w:tr w:rsidR="002530E2" w14:paraId="5BEAC66F" w14:textId="77777777">
        <w:trPr>
          <w:trHeight w:val="380"/>
        </w:trPr>
        <w:tc>
          <w:tcPr>
            <w:tcW w:w="42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225DD4A6" w14:textId="77777777" w:rsidR="002530E2" w:rsidRDefault="002530E2">
            <w:pPr>
              <w:spacing w:after="0" w:line="276" w:lineRule="auto"/>
              <w:jc w:val="center"/>
            </w:pPr>
            <w:r>
              <w:rPr>
                <w:sz w:val="18"/>
                <w:szCs w:val="18"/>
              </w:rPr>
              <w:t>4</w:t>
            </w:r>
          </w:p>
        </w:tc>
        <w:tc>
          <w:tcPr>
            <w:tcW w:w="135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04B3A652" w14:textId="77777777" w:rsidR="002530E2" w:rsidRDefault="002530E2">
            <w:pPr>
              <w:spacing w:after="0" w:line="276" w:lineRule="auto"/>
            </w:pPr>
            <w:r>
              <w:rPr>
                <w:sz w:val="18"/>
                <w:szCs w:val="18"/>
              </w:rPr>
              <w:t>Volunteer, accidental, convenience</w:t>
            </w:r>
          </w:p>
        </w:tc>
        <w:tc>
          <w:tcPr>
            <w:tcW w:w="189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7B004C3C" w14:textId="77777777" w:rsidR="002530E2" w:rsidRDefault="002530E2">
            <w:pPr>
              <w:spacing w:after="0" w:line="276" w:lineRule="auto"/>
            </w:pPr>
            <w:r>
              <w:rPr>
                <w:sz w:val="18"/>
                <w:szCs w:val="18"/>
              </w:rPr>
              <w:t>“Either asking for volunteers, or the consequence of not all those selected finally participating, or a set of subjects who just happen to be available.”</w:t>
            </w:r>
          </w:p>
        </w:tc>
        <w:tc>
          <w:tcPr>
            <w:tcW w:w="2400"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55799FB1" w14:textId="77777777" w:rsidR="002530E2" w:rsidRDefault="002530E2">
            <w:pPr>
              <w:spacing w:after="0" w:line="276" w:lineRule="auto"/>
            </w:pPr>
            <w:r>
              <w:rPr>
                <w:sz w:val="18"/>
                <w:szCs w:val="18"/>
              </w:rPr>
              <w:t>“Inexpensive way of ensuring sufficient numbers of study.”</w:t>
            </w:r>
          </w:p>
        </w:tc>
        <w:tc>
          <w:tcPr>
            <w:tcW w:w="2895" w:type="dxa"/>
            <w:tcBorders>
              <w:top w:val="single" w:sz="8" w:space="0" w:color="666666"/>
              <w:left w:val="single" w:sz="8" w:space="0" w:color="666666"/>
              <w:bottom w:val="single" w:sz="8" w:space="0" w:color="666666"/>
              <w:right w:val="single" w:sz="8" w:space="0" w:color="666666"/>
            </w:tcBorders>
            <w:tcMar>
              <w:top w:w="100" w:type="dxa"/>
              <w:left w:w="100" w:type="dxa"/>
              <w:bottom w:w="100" w:type="dxa"/>
              <w:right w:w="100" w:type="dxa"/>
            </w:tcMar>
          </w:tcPr>
          <w:p w14:paraId="35F039EB" w14:textId="77777777" w:rsidR="002530E2" w:rsidRDefault="002530E2">
            <w:pPr>
              <w:spacing w:after="0" w:line="276" w:lineRule="auto"/>
            </w:pPr>
            <w:r>
              <w:rPr>
                <w:sz w:val="18"/>
                <w:szCs w:val="18"/>
              </w:rPr>
              <w:t>“Can be highly unrepresentative.”</w:t>
            </w:r>
          </w:p>
        </w:tc>
      </w:tr>
    </w:tbl>
    <w:p w14:paraId="58CB76E6"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3" w:name="_yh0b1f2zch9q" w:colFirst="0" w:colLast="0"/>
      <w:bookmarkEnd w:id="173"/>
    </w:p>
    <w:p w14:paraId="109D48F3"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4" w:name="_r4xwick7cw97" w:colFirst="0" w:colLast="0"/>
      <w:bookmarkEnd w:id="174"/>
      <w:r>
        <w:t>Table [Appendix (CHP:3) 001] 16: Sampling techniques advantages and disadvantages, adapted from Black (1999), from his work titled “Doing quantitative research in the social sciences: An integrated approach to research design, measurement, and statistics.”</w:t>
      </w:r>
    </w:p>
    <w:p w14:paraId="7D043B42"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pPr>
    </w:p>
    <w:p w14:paraId="266260E5"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Ridder (2017) points out that typically, “non-random sampling is the sampling technique” for case study research; “there is no sample that represents a larger population.” Stake (2005) adds that in qualitative logic, “if the case is of interest, it gets selected” on the basis of interest in the case. Eisenhardt and Graebner (2007) add that cases may also be “selected for theoretical reasons.”</w:t>
      </w:r>
    </w:p>
    <w:p w14:paraId="272BE5DE" w14:textId="77777777" w:rsidR="002530E2" w:rsidRDefault="002530E2">
      <w:pPr>
        <w:pStyle w:val="Heading1"/>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5" w:name="_5p5mkar0lu1k" w:colFirst="0" w:colLast="0"/>
      <w:bookmarkEnd w:id="175"/>
      <w:r>
        <w:t>SAMPLE SIZE</w:t>
      </w:r>
    </w:p>
    <w:p w14:paraId="5A1E43B9"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Jones (2019) suggests that it is essential that the sample size be sufficient to explain the phenomenon under study, and to provide adequate answers to the research question. However, a large sample size increases the possibility of having repetitive data. Saturation should therefore be the goal of qualitative research. </w:t>
      </w:r>
    </w:p>
    <w:p w14:paraId="5618F463"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According to Saunders, Lewis, and Thornhill (2018), there are many factors that influence the decision of a suitable sample size, such as the following. </w:t>
      </w:r>
    </w:p>
    <w:p w14:paraId="16644E30" w14:textId="77777777" w:rsidR="002530E2" w:rsidRDefault="002530E2" w:rsidP="002530E2">
      <w:pPr>
        <w:numPr>
          <w:ilvl w:val="0"/>
          <w:numId w:val="45"/>
        </w:num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line="360" w:lineRule="auto"/>
        <w:jc w:val="both"/>
      </w:pPr>
      <w:r>
        <w:t>The larger the sample size, the lower the likelihood of erroneous generalisations to the population as a whole;</w:t>
      </w:r>
    </w:p>
    <w:p w14:paraId="21184136" w14:textId="77777777" w:rsidR="002530E2" w:rsidRDefault="002530E2" w:rsidP="002530E2">
      <w:pPr>
        <w:numPr>
          <w:ilvl w:val="0"/>
          <w:numId w:val="45"/>
        </w:num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line="360" w:lineRule="auto"/>
        <w:jc w:val="both"/>
      </w:pPr>
      <w:r>
        <w:t>It is beneficial to choose a probability sample since it represents the population as accurately as possible.</w:t>
      </w:r>
    </w:p>
    <w:p w14:paraId="3A8A69D1" w14:textId="77777777" w:rsidR="002530E2" w:rsidRDefault="002530E2" w:rsidP="002530E2">
      <w:pPr>
        <w:numPr>
          <w:ilvl w:val="0"/>
          <w:numId w:val="45"/>
        </w:num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line="360" w:lineRule="auto"/>
        <w:jc w:val="both"/>
      </w:pPr>
      <w:r>
        <w:t>Research studies often combine several types of sampling techniques.</w:t>
      </w:r>
    </w:p>
    <w:p w14:paraId="6B0A4F6A" w14:textId="77777777" w:rsidR="002530E2" w:rsidRDefault="002530E2" w:rsidP="002530E2">
      <w:pPr>
        <w:numPr>
          <w:ilvl w:val="0"/>
          <w:numId w:val="45"/>
        </w:num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line="360" w:lineRule="auto"/>
        <w:jc w:val="both"/>
      </w:pPr>
      <w:r>
        <w:t>Time, resources, and financial support affect sample size and methodology.</w:t>
      </w:r>
    </w:p>
    <w:p w14:paraId="05958335" w14:textId="77777777" w:rsidR="002530E2" w:rsidRDefault="002530E2" w:rsidP="002530E2">
      <w:pPr>
        <w:numPr>
          <w:ilvl w:val="0"/>
          <w:numId w:val="45"/>
        </w:num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line="360" w:lineRule="auto"/>
        <w:jc w:val="both"/>
      </w:pPr>
      <w:r>
        <w:t>Additionally, the researcher's ability to access an organisation can have an influence on the sampling he chooses.</w:t>
      </w:r>
    </w:p>
    <w:p w14:paraId="53D738BB" w14:textId="77777777" w:rsidR="002530E2" w:rsidRDefault="002530E2">
      <w:pPr>
        <w:pStyle w:val="Heading1"/>
      </w:pPr>
      <w:bookmarkStart w:id="176" w:name="_rudnmc472940" w:colFirst="0" w:colLast="0"/>
      <w:bookmarkEnd w:id="176"/>
      <w:r>
        <w:lastRenderedPageBreak/>
        <w:t>DATA COLLECTION (TYPE, SOURCES &amp; TECHNIQUE)</w:t>
      </w:r>
    </w:p>
    <w:p w14:paraId="02A84BC8"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According to Saunders, Lewis, and Thornhill (2018), “Secondary data includes both quantitative (numeric) and qualitative (non-numeric) data.” Unprocessed data is called raw data, and the data that has been summarised is referred to as compiled data. Data that is organised into a format which is easy to process is known as structured data. Meanwhile, data that is organised but does not follow a predefined structure and is present in a database or spreadsheet format but is not easy to search or process in its current form is called unstructured data. Big data are data sets that are complex in variety (available in both structured and unstructured data formats) and massive in volume, and this data or data sets are being added at a rapid rate.</w:t>
      </w:r>
    </w:p>
    <w:p w14:paraId="0D6FF613"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Wagh (2015) defines “primary data” as the data that has been generated directly by the researcher, using research methods such as experiments, interviews, surveys, that are particularly designed for understanding the research problem and solving it. </w:t>
      </w:r>
    </w:p>
    <w:p w14:paraId="1B3FF626"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“Secondary data” refers to data generated by large institutions such as the government and healthcare facilities, as well as data derived from previous research, studies, or experiments (Wagh, 2015). Saunders, Lewis, and Thornhill (2018) point out that researchers may collect data for other purposes, but in order to answer their research questions or meet their objectives, they have to consider further analyses of the initially collected data. This type of data is known as “secondary data,” which includes both raw data and published summaries. In addition to providing additional knowledge, interpretations, or conclusions, these data can also be further analysed (Bishop and KuulaLuumi 2017; Bulmer et al. 2009). </w:t>
      </w:r>
    </w:p>
    <w:p w14:paraId="7FD2BF9B"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jc w:val="center"/>
      </w:pPr>
      <w:r>
        <w:rPr>
          <w:noProof/>
        </w:rPr>
        <w:drawing>
          <wp:inline distT="114300" distB="114300" distL="114300" distR="114300" wp14:anchorId="6A4F6242" wp14:editId="02797770">
            <wp:extent cx="5256000" cy="2768600"/>
            <wp:effectExtent l="0" t="0" r="0" b="0"/>
            <wp:docPr id="918162632" name="Picture 918162632"/>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256000" cy="2768600"/>
                    </a:xfrm>
                    <a:prstGeom prst="rect">
                      <a:avLst/>
                    </a:prstGeom>
                    <a:ln/>
                  </pic:spPr>
                </pic:pic>
              </a:graphicData>
            </a:graphic>
          </wp:inline>
        </w:drawing>
      </w:r>
    </w:p>
    <w:p w14:paraId="530D992A"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7" w:name="_k693x84blwfi" w:colFirst="0" w:colLast="0"/>
      <w:bookmarkEnd w:id="177"/>
      <w:r>
        <w:lastRenderedPageBreak/>
        <w:t>Figure [Appendix (CHP:3) 001] 9: “Types and examples of secondary data” adopted from Saunders, Lewis, and Thornhill (2018)</w:t>
      </w:r>
    </w:p>
    <w:p w14:paraId="4BB9C3D6" w14:textId="77777777" w:rsidR="002530E2" w:rsidRDefault="002530E2">
      <w:pPr>
        <w:pStyle w:val="Heading1"/>
      </w:pPr>
      <w:bookmarkStart w:id="178" w:name="_gk567f9lzmza" w:colFirst="0" w:colLast="0"/>
      <w:bookmarkEnd w:id="178"/>
      <w:r>
        <w:t xml:space="preserve">DATA COLLECTION SOURCE </w:t>
      </w:r>
    </w:p>
    <w:p w14:paraId="309AD1F1"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Data collection refers to the process of collecting research data that also involves analysing information on variables of interest in a systematic approach to answering the research questions, testing hypotheses, and evaluating results and outcomes. (Whitney, Lind, and Wahl, 1998). </w:t>
      </w:r>
    </w:p>
    <w:p w14:paraId="3E74E54A"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jc w:val="center"/>
      </w:pPr>
      <w:r>
        <w:rPr>
          <w:noProof/>
        </w:rPr>
        <w:drawing>
          <wp:inline distT="114300" distB="114300" distL="114300" distR="114300" wp14:anchorId="08E7C807" wp14:editId="3EF15AD6">
            <wp:extent cx="3225638" cy="202045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225638" cy="2020454"/>
                    </a:xfrm>
                    <a:prstGeom prst="rect">
                      <a:avLst/>
                    </a:prstGeom>
                    <a:ln/>
                  </pic:spPr>
                </pic:pic>
              </a:graphicData>
            </a:graphic>
          </wp:inline>
        </w:drawing>
      </w:r>
    </w:p>
    <w:p w14:paraId="258D2073" w14:textId="77777777" w:rsidR="002530E2" w:rsidRDefault="002530E2">
      <w:pPr>
        <w:pStyle w:val="Heading4"/>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bookmarkStart w:id="179" w:name="_4o251vogl73i" w:colFirst="0" w:colLast="0"/>
      <w:bookmarkEnd w:id="179"/>
      <w:r>
        <w:t>Figure [Appendix (CHP:3) 001] 10: “Evaluating potential secondary data sources,” adopted from Saunders et. al (2018)</w:t>
      </w:r>
    </w:p>
    <w:p w14:paraId="3222AA14"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spacing w:after="0"/>
      </w:pPr>
    </w:p>
    <w:p w14:paraId="76E393FC"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Whitney, Lind, and Wahl (1998) suggest examples of data collection issues that require expeditious action. These include “errors in individual data items;  systematic errors; violations of protocol; problems with individual staff or site performance; and fraud or scientific misconduct.” </w:t>
      </w:r>
    </w:p>
    <w:p w14:paraId="13B118C5" w14:textId="77777777" w:rsidR="002530E2" w:rsidRDefault="002530E2">
      <w:pPr>
        <w:pStyle w:val="Heading1"/>
      </w:pPr>
      <w:bookmarkStart w:id="180" w:name="_5xgqobz9y1kx" w:colFirst="0" w:colLast="0"/>
      <w:bookmarkEnd w:id="180"/>
      <w:r>
        <w:t xml:space="preserve">DATA ANALYSIS &amp; TECHNIQUES </w:t>
      </w:r>
    </w:p>
    <w:p w14:paraId="0C0FF88A"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LeCompte and Schensul (1999) explains that a researcher uses data analysis as a process to transform data into a story and interpret its meanings. By using data analysis, a large amount of data can be reduced into smaller fragments, which is very useful. Bhat (2020) emphasises that research analysis and interpretation involve the use of both deductive and inductive logic and reasoning. Marshall &amp; Rossman (1995) describe data analysis as “a process that is messy, ambiguous, time-consuming yet creative, and fascinating through which a mass of collected data is being brought to order, structure, and meaning,” (Mellor, 2001). </w:t>
      </w:r>
    </w:p>
    <w:p w14:paraId="5BBE77BC" w14:textId="77777777" w:rsidR="002530E2" w:rsidRDefault="002530E2">
      <w:r>
        <w:t xml:space="preserve">In case study analysis (of either a single-case study or multiple-case studies), Creswell and Poth (2018) argue that the use of different sources of information enables the case description to be enhanced. In a qualitative case study, data analysis is the first step toward understanding the situation. The next steps in the analysis of a case study are that the researchers must decide whether there is a case to analyse, define the case study's context and boundaries (set the focus and scope), </w:t>
      </w:r>
      <w:r>
        <w:lastRenderedPageBreak/>
        <w:t xml:space="preserve">decide whether to use single or multiple-case studies, and explore analytical techniques such as theme analysis and articulating findings. </w:t>
      </w:r>
    </w:p>
    <w:p w14:paraId="35044A94"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Bhat (2020) explains below several techniques to analyse qualitative research data; the most commonly used methods are: content analysis, narrative analysis, discourse analysis, and grounded theory. </w:t>
      </w:r>
    </w:p>
    <w:p w14:paraId="00ADDD19"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CONTENT ANALYSIS</w:t>
      </w:r>
    </w:p>
    <w:p w14:paraId="2907A694"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Content analysis is a widely accepted and frequently used technique as a method for data analysis for analysing written or visual content, as well as the physical items. Content analysis depends on the research questions in order to know when and where it will be used (Bhat, 2020). </w:t>
      </w:r>
    </w:p>
    <w:p w14:paraId="258E52D6"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NARRATIVE ANALYSIS</w:t>
      </w:r>
    </w:p>
    <w:p w14:paraId="600C9D44"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Narrative Analysis is a method of analysis of data or content in the form of gathered stories or opinions shared by research participants (people) from various sources, such as personal interviews, field observation, and surveys, focused on finding answers to research questions (Bhat, 2020). </w:t>
      </w:r>
    </w:p>
    <w:p w14:paraId="5EFA20C4"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DISCOURSE ANALYSIS</w:t>
      </w:r>
    </w:p>
    <w:p w14:paraId="3CC7E64E"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Discourse Analysis is somewhat similar to narrative analysis; it is a method that analyses interactions with people. However, this particular method takes the social context into account as it relates to the communication between the researcher and respondents. Discourse analysis also looks at the lifestyle and environment of day-to-day life while drawing conclusions (Bhat, 2020). </w:t>
      </w:r>
    </w:p>
    <w:p w14:paraId="5BDB15C7"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GROUNDED THEORY</w:t>
      </w:r>
    </w:p>
    <w:p w14:paraId="7EDF4C28" w14:textId="77777777" w:rsidR="002530E2" w:rsidRDefault="002530E2">
      <w:pPr>
        <w:tabs>
          <w:tab w:val="left" w:pos="560"/>
          <w:tab w:val="left" w:pos="1120"/>
          <w:tab w:val="left" w:pos="1843"/>
          <w:tab w:val="left" w:pos="2410"/>
          <w:tab w:val="left" w:pos="2800"/>
          <w:tab w:val="left" w:pos="3360"/>
          <w:tab w:val="left" w:pos="3920"/>
          <w:tab w:val="left" w:pos="4480"/>
          <w:tab w:val="left" w:pos="5040"/>
          <w:tab w:val="left" w:pos="5600"/>
          <w:tab w:val="left" w:pos="6160"/>
          <w:tab w:val="left" w:pos="6720"/>
        </w:tabs>
      </w:pPr>
      <w:r>
        <w:t xml:space="preserve">A grounded theory for analysing quality data is the best way to explain why a certain phenomenon occurred or why something happened. Data concerning a number of similar cases from various settings is studied using grounded theory. The researcher may alter explanations or develop new ones until the conclusion is reached when using this method (Bhat, 2020). Runeson et al. (2012) describe the focus shift in the research process from data sourcing to analysis stages after quantitative or qualitative data has been collected, and since case study is a flexible type of research method, data analysis more commonly uses qualitative methods. </w:t>
      </w:r>
    </w:p>
    <w:p w14:paraId="577984B4" w14:textId="77777777" w:rsidR="002530E2" w:rsidRDefault="002530E2">
      <w:pPr>
        <w:spacing w:line="432" w:lineRule="auto"/>
        <w:rPr>
          <w:sz w:val="2"/>
          <w:szCs w:val="2"/>
        </w:rPr>
      </w:pP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44F51A80"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BE4D610" w14:textId="77777777" w:rsidR="002530E2" w:rsidRDefault="002530E2">
            <w:pPr>
              <w:widowControl w:val="0"/>
              <w:spacing w:after="0" w:line="276" w:lineRule="auto"/>
              <w:jc w:val="center"/>
              <w:rPr>
                <w:color w:val="0E101A"/>
                <w:sz w:val="28"/>
                <w:szCs w:val="28"/>
              </w:rPr>
            </w:pPr>
            <w:r>
              <w:rPr>
                <w:color w:val="0E101A"/>
                <w:sz w:val="28"/>
                <w:szCs w:val="28"/>
              </w:rPr>
              <w:t>APPENDIX (CHP:3) 002</w:t>
            </w:r>
          </w:p>
        </w:tc>
      </w:tr>
    </w:tbl>
    <w:p w14:paraId="0A066F8E" w14:textId="77777777" w:rsidR="002530E2" w:rsidRDefault="002530E2">
      <w:pPr>
        <w:pStyle w:val="Heading5"/>
      </w:pPr>
      <w:bookmarkStart w:id="181" w:name="_3f7p68l5mc4l" w:colFirst="0" w:colLast="0"/>
      <w:bookmarkEnd w:id="181"/>
      <w:r>
        <w:t>TABLE OF CONTENT</w:t>
      </w:r>
    </w:p>
    <w:p w14:paraId="33F23FE7" w14:textId="77777777" w:rsidR="002530E2" w:rsidRDefault="002530E2">
      <w:pPr>
        <w:spacing w:after="0"/>
        <w:jc w:val="center"/>
      </w:pPr>
      <w:r>
        <w:t>TOPIC RELATED KEY TERMS AND DEFINITIONS</w:t>
      </w:r>
    </w:p>
    <w:p w14:paraId="6F8A45ED" w14:textId="77777777" w:rsidR="002530E2" w:rsidRDefault="002530E2">
      <w:pPr>
        <w:spacing w:after="0"/>
      </w:pPr>
    </w:p>
    <w:p w14:paraId="26A97A1A" w14:textId="77777777" w:rsidR="002530E2" w:rsidRDefault="002530E2">
      <w:pPr>
        <w:spacing w:after="200"/>
      </w:pPr>
      <w:r>
        <w:t>TABLE OF CONTENT FOR APPENDIX (CHP:3) 002</w:t>
      </w:r>
    </w:p>
    <w:sdt>
      <w:sdtPr>
        <w:id w:val="1441107045"/>
        <w:docPartObj>
          <w:docPartGallery w:val="Table of Contents"/>
          <w:docPartUnique/>
        </w:docPartObj>
      </w:sdtPr>
      <w:sdtContent>
        <w:p w14:paraId="4EBE0B97"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r>
            <w:fldChar w:fldCharType="begin"/>
          </w:r>
          <w:r>
            <w:instrText xml:space="preserve"> TOC \h \u \z \t "Heading 1,1,Heading 2,2,Heading 3,3,Heading 6,6,"</w:instrText>
          </w:r>
          <w:r>
            <w:fldChar w:fldCharType="separate"/>
          </w:r>
          <w:hyperlink w:anchor="_1t2wd1m137ya">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469</w:t>
            </w:r>
          </w:hyperlink>
        </w:p>
        <w:p w14:paraId="6BCF7905"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a9m8b2x8mf06">
            <w:r>
              <w:rPr>
                <w:rFonts w:ascii="Book Antiqua" w:eastAsia="Book Antiqua" w:hAnsi="Book Antiqua" w:cs="Book Antiqua"/>
                <w:color w:val="1155CC"/>
                <w:sz w:val="20"/>
                <w:szCs w:val="20"/>
              </w:rPr>
              <w:t>BRIEF DEFINITIONS RELEVANT TO THIS STUDY</w:t>
            </w:r>
            <w:r>
              <w:rPr>
                <w:rFonts w:ascii="Book Antiqua" w:eastAsia="Book Antiqua" w:hAnsi="Book Antiqua" w:cs="Book Antiqua"/>
                <w:color w:val="1155CC"/>
                <w:sz w:val="20"/>
                <w:szCs w:val="20"/>
              </w:rPr>
              <w:tab/>
              <w:t>469</w:t>
            </w:r>
          </w:hyperlink>
        </w:p>
        <w:p w14:paraId="11629481"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67bvg2r6r47i">
            <w:r>
              <w:rPr>
                <w:rFonts w:ascii="Book Antiqua" w:eastAsia="Book Antiqua" w:hAnsi="Book Antiqua" w:cs="Book Antiqua"/>
                <w:color w:val="1155CC"/>
                <w:sz w:val="20"/>
                <w:szCs w:val="20"/>
              </w:rPr>
              <w:t>RELIGION</w:t>
            </w:r>
            <w:r>
              <w:rPr>
                <w:rFonts w:ascii="Book Antiqua" w:eastAsia="Book Antiqua" w:hAnsi="Book Antiqua" w:cs="Book Antiqua"/>
                <w:color w:val="1155CC"/>
                <w:sz w:val="20"/>
                <w:szCs w:val="20"/>
              </w:rPr>
              <w:tab/>
              <w:t>469</w:t>
            </w:r>
          </w:hyperlink>
        </w:p>
        <w:p w14:paraId="0DE7CAB2"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8lmt2ilbf9ix">
            <w:r>
              <w:rPr>
                <w:rFonts w:ascii="Book Antiqua" w:eastAsia="Book Antiqua" w:hAnsi="Book Antiqua" w:cs="Book Antiqua"/>
                <w:color w:val="1155CC"/>
                <w:sz w:val="20"/>
                <w:szCs w:val="20"/>
              </w:rPr>
              <w:t>WORLD RELIGIONS</w:t>
            </w:r>
            <w:r>
              <w:rPr>
                <w:rFonts w:ascii="Book Antiqua" w:eastAsia="Book Antiqua" w:hAnsi="Book Antiqua" w:cs="Book Antiqua"/>
                <w:color w:val="1155CC"/>
                <w:sz w:val="20"/>
                <w:szCs w:val="20"/>
              </w:rPr>
              <w:tab/>
              <w:t>470</w:t>
            </w:r>
          </w:hyperlink>
        </w:p>
        <w:p w14:paraId="1057BA20"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ssi6vfc9dg0m">
            <w:r>
              <w:rPr>
                <w:rFonts w:ascii="Book Antiqua" w:eastAsia="Book Antiqua" w:hAnsi="Book Antiqua" w:cs="Book Antiqua"/>
                <w:color w:val="1155CC"/>
                <w:sz w:val="20"/>
                <w:szCs w:val="20"/>
              </w:rPr>
              <w:t>ISLAM</w:t>
            </w:r>
            <w:r>
              <w:rPr>
                <w:rFonts w:ascii="Book Antiqua" w:eastAsia="Book Antiqua" w:hAnsi="Book Antiqua" w:cs="Book Antiqua"/>
                <w:color w:val="1155CC"/>
                <w:sz w:val="20"/>
                <w:szCs w:val="20"/>
              </w:rPr>
              <w:tab/>
              <w:t>471</w:t>
            </w:r>
          </w:hyperlink>
        </w:p>
        <w:p w14:paraId="108C1E97"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cu9zetn4d3zd">
            <w:r>
              <w:rPr>
                <w:rFonts w:ascii="Book Antiqua" w:eastAsia="Book Antiqua" w:hAnsi="Book Antiqua" w:cs="Book Antiqua"/>
                <w:color w:val="1155CC"/>
                <w:sz w:val="20"/>
                <w:szCs w:val="20"/>
              </w:rPr>
              <w:t>MUHAMMAD, THE PROPHET OF ISLAM</w:t>
            </w:r>
            <w:r>
              <w:rPr>
                <w:rFonts w:ascii="Book Antiqua" w:eastAsia="Book Antiqua" w:hAnsi="Book Antiqua" w:cs="Book Antiqua"/>
                <w:color w:val="1155CC"/>
                <w:sz w:val="20"/>
                <w:szCs w:val="20"/>
              </w:rPr>
              <w:tab/>
              <w:t>473</w:t>
            </w:r>
          </w:hyperlink>
        </w:p>
        <w:p w14:paraId="6A7E4CD6"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16lkfofaf7pt">
            <w:r>
              <w:rPr>
                <w:rFonts w:ascii="Book Antiqua" w:eastAsia="Book Antiqua" w:hAnsi="Book Antiqua" w:cs="Book Antiqua"/>
                <w:color w:val="1155CC"/>
                <w:sz w:val="20"/>
                <w:szCs w:val="20"/>
              </w:rPr>
              <w:t>ALLAH</w:t>
            </w:r>
            <w:r>
              <w:rPr>
                <w:rFonts w:ascii="Book Antiqua" w:eastAsia="Book Antiqua" w:hAnsi="Book Antiqua" w:cs="Book Antiqua"/>
                <w:color w:val="1155CC"/>
                <w:sz w:val="20"/>
                <w:szCs w:val="20"/>
              </w:rPr>
              <w:tab/>
              <w:t>473</w:t>
            </w:r>
          </w:hyperlink>
        </w:p>
        <w:p w14:paraId="0A56A09C"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cwtw1lv0r1fj">
            <w:r>
              <w:rPr>
                <w:rFonts w:ascii="Book Antiqua" w:eastAsia="Book Antiqua" w:hAnsi="Book Antiqua" w:cs="Book Antiqua"/>
                <w:color w:val="1155CC"/>
                <w:sz w:val="20"/>
                <w:szCs w:val="20"/>
              </w:rPr>
              <w:t>KEY ISLAMIC DATES</w:t>
            </w:r>
            <w:r>
              <w:rPr>
                <w:rFonts w:ascii="Book Antiqua" w:eastAsia="Book Antiqua" w:hAnsi="Book Antiqua" w:cs="Book Antiqua"/>
                <w:color w:val="1155CC"/>
                <w:sz w:val="20"/>
                <w:szCs w:val="20"/>
              </w:rPr>
              <w:tab/>
              <w:t>474</w:t>
            </w:r>
          </w:hyperlink>
        </w:p>
        <w:p w14:paraId="385C459B"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r6dtlhx16lqw">
            <w:r>
              <w:rPr>
                <w:rFonts w:ascii="Book Antiqua" w:eastAsia="Book Antiqua" w:hAnsi="Book Antiqua" w:cs="Book Antiqua"/>
                <w:color w:val="1155CC"/>
                <w:sz w:val="20"/>
                <w:szCs w:val="20"/>
              </w:rPr>
              <w:t>MUSLIM</w:t>
            </w:r>
            <w:r>
              <w:rPr>
                <w:rFonts w:ascii="Book Antiqua" w:eastAsia="Book Antiqua" w:hAnsi="Book Antiqua" w:cs="Book Antiqua"/>
                <w:color w:val="1155CC"/>
                <w:sz w:val="20"/>
                <w:szCs w:val="20"/>
              </w:rPr>
              <w:tab/>
              <w:t>475</w:t>
            </w:r>
          </w:hyperlink>
        </w:p>
        <w:p w14:paraId="46E72958"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ob9ioge3tcdh">
            <w:r>
              <w:rPr>
                <w:rFonts w:ascii="Book Antiqua" w:eastAsia="Book Antiqua" w:hAnsi="Book Antiqua" w:cs="Book Antiqua"/>
                <w:color w:val="1155CC"/>
                <w:sz w:val="20"/>
                <w:szCs w:val="20"/>
              </w:rPr>
              <w:t>QURAN</w:t>
            </w:r>
            <w:r>
              <w:rPr>
                <w:rFonts w:ascii="Book Antiqua" w:eastAsia="Book Antiqua" w:hAnsi="Book Antiqua" w:cs="Book Antiqua"/>
                <w:color w:val="1155CC"/>
                <w:sz w:val="20"/>
                <w:szCs w:val="20"/>
              </w:rPr>
              <w:tab/>
              <w:t>476</w:t>
            </w:r>
          </w:hyperlink>
        </w:p>
        <w:p w14:paraId="2D29ED3C"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tcdcotsouxm7">
            <w:r>
              <w:rPr>
                <w:rFonts w:ascii="Book Antiqua" w:eastAsia="Book Antiqua" w:hAnsi="Book Antiqua" w:cs="Book Antiqua"/>
                <w:color w:val="1155CC"/>
                <w:sz w:val="20"/>
                <w:szCs w:val="20"/>
              </w:rPr>
              <w:t>HADITH</w:t>
            </w:r>
            <w:r>
              <w:rPr>
                <w:rFonts w:ascii="Book Antiqua" w:eastAsia="Book Antiqua" w:hAnsi="Book Antiqua" w:cs="Book Antiqua"/>
                <w:color w:val="1155CC"/>
                <w:sz w:val="20"/>
                <w:szCs w:val="20"/>
              </w:rPr>
              <w:tab/>
              <w:t>478</w:t>
            </w:r>
          </w:hyperlink>
        </w:p>
        <w:p w14:paraId="3C7EEF96"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b4jrw46ow3am">
            <w:r>
              <w:rPr>
                <w:rFonts w:ascii="Book Antiqua" w:eastAsia="Book Antiqua" w:hAnsi="Book Antiqua" w:cs="Book Antiqua"/>
                <w:color w:val="1155CC"/>
                <w:sz w:val="20"/>
                <w:szCs w:val="20"/>
              </w:rPr>
              <w:t>THE FIVE PILLARS OF ISLAM</w:t>
            </w:r>
            <w:r>
              <w:rPr>
                <w:rFonts w:ascii="Book Antiqua" w:eastAsia="Book Antiqua" w:hAnsi="Book Antiqua" w:cs="Book Antiqua"/>
                <w:color w:val="1155CC"/>
                <w:sz w:val="20"/>
                <w:szCs w:val="20"/>
              </w:rPr>
              <w:tab/>
              <w:t>478</w:t>
            </w:r>
          </w:hyperlink>
        </w:p>
        <w:p w14:paraId="6CBA30B2"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uw5cjhko5rvi">
            <w:r>
              <w:rPr>
                <w:rFonts w:ascii="Book Antiqua" w:eastAsia="Book Antiqua" w:hAnsi="Book Antiqua" w:cs="Book Antiqua"/>
                <w:color w:val="1155CC"/>
                <w:sz w:val="20"/>
                <w:szCs w:val="20"/>
              </w:rPr>
              <w:t>SHARIAH</w:t>
            </w:r>
            <w:r>
              <w:rPr>
                <w:rFonts w:ascii="Book Antiqua" w:eastAsia="Book Antiqua" w:hAnsi="Book Antiqua" w:cs="Book Antiqua"/>
                <w:color w:val="1155CC"/>
                <w:sz w:val="20"/>
                <w:szCs w:val="20"/>
              </w:rPr>
              <w:tab/>
              <w:t>481</w:t>
            </w:r>
          </w:hyperlink>
        </w:p>
        <w:p w14:paraId="3DEB0963"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1x7iayghldlu">
            <w:r>
              <w:rPr>
                <w:rFonts w:ascii="Book Antiqua" w:eastAsia="Book Antiqua" w:hAnsi="Book Antiqua" w:cs="Book Antiqua"/>
                <w:color w:val="1155CC"/>
                <w:sz w:val="20"/>
                <w:szCs w:val="20"/>
              </w:rPr>
              <w:t>ISLAMIC VALUES</w:t>
            </w:r>
            <w:r>
              <w:rPr>
                <w:rFonts w:ascii="Book Antiqua" w:eastAsia="Book Antiqua" w:hAnsi="Book Antiqua" w:cs="Book Antiqua"/>
                <w:color w:val="1155CC"/>
                <w:sz w:val="20"/>
                <w:szCs w:val="20"/>
              </w:rPr>
              <w:tab/>
              <w:t>482</w:t>
            </w:r>
          </w:hyperlink>
        </w:p>
        <w:p w14:paraId="7CD3E404"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iycoltj4iemn">
            <w:r>
              <w:rPr>
                <w:rFonts w:ascii="Book Antiqua" w:eastAsia="Book Antiqua" w:hAnsi="Book Antiqua" w:cs="Book Antiqua"/>
                <w:color w:val="1155CC"/>
                <w:sz w:val="20"/>
                <w:szCs w:val="20"/>
              </w:rPr>
              <w:t>ISLAMIC CALENDAR</w:t>
            </w:r>
            <w:r>
              <w:rPr>
                <w:rFonts w:ascii="Book Antiqua" w:eastAsia="Book Antiqua" w:hAnsi="Book Antiqua" w:cs="Book Antiqua"/>
                <w:color w:val="1155CC"/>
                <w:sz w:val="20"/>
                <w:szCs w:val="20"/>
              </w:rPr>
              <w:tab/>
              <w:t>482</w:t>
            </w:r>
          </w:hyperlink>
        </w:p>
        <w:p w14:paraId="67DF717A"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i5mu0eoercue">
            <w:r>
              <w:rPr>
                <w:rFonts w:ascii="Book Antiqua" w:eastAsia="Book Antiqua" w:hAnsi="Book Antiqua" w:cs="Book Antiqua"/>
                <w:color w:val="1155CC"/>
                <w:sz w:val="20"/>
                <w:szCs w:val="20"/>
              </w:rPr>
              <w:t>RAMADAN</w:t>
            </w:r>
            <w:r>
              <w:rPr>
                <w:rFonts w:ascii="Book Antiqua" w:eastAsia="Book Antiqua" w:hAnsi="Book Antiqua" w:cs="Book Antiqua"/>
                <w:color w:val="1155CC"/>
                <w:sz w:val="20"/>
                <w:szCs w:val="20"/>
              </w:rPr>
              <w:tab/>
              <w:t>484</w:t>
            </w:r>
          </w:hyperlink>
        </w:p>
        <w:p w14:paraId="02113143"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3u4wtaww87q6">
            <w:r>
              <w:rPr>
                <w:rFonts w:ascii="Book Antiqua" w:eastAsia="Book Antiqua" w:hAnsi="Book Antiqua" w:cs="Book Antiqua"/>
                <w:color w:val="1155CC"/>
                <w:sz w:val="20"/>
                <w:szCs w:val="20"/>
              </w:rPr>
              <w:t>EID AL-FITR</w:t>
            </w:r>
            <w:r>
              <w:rPr>
                <w:rFonts w:ascii="Book Antiqua" w:eastAsia="Book Antiqua" w:hAnsi="Book Antiqua" w:cs="Book Antiqua"/>
                <w:color w:val="1155CC"/>
                <w:sz w:val="20"/>
                <w:szCs w:val="20"/>
              </w:rPr>
              <w:tab/>
              <w:t>484</w:t>
            </w:r>
          </w:hyperlink>
        </w:p>
        <w:p w14:paraId="689B85F1"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untjyy4e0y6s">
            <w:r>
              <w:rPr>
                <w:rFonts w:ascii="Book Antiqua" w:eastAsia="Book Antiqua" w:hAnsi="Book Antiqua" w:cs="Book Antiqua"/>
                <w:color w:val="1155CC"/>
                <w:sz w:val="20"/>
                <w:szCs w:val="20"/>
              </w:rPr>
              <w:t>EID AL-ADHA</w:t>
            </w:r>
            <w:r>
              <w:rPr>
                <w:rFonts w:ascii="Book Antiqua" w:eastAsia="Book Antiqua" w:hAnsi="Book Antiqua" w:cs="Book Antiqua"/>
                <w:color w:val="1155CC"/>
                <w:sz w:val="20"/>
                <w:szCs w:val="20"/>
              </w:rPr>
              <w:tab/>
              <w:t>484</w:t>
            </w:r>
          </w:hyperlink>
        </w:p>
        <w:p w14:paraId="316E6E02"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kv9vtk1iwlwu">
            <w:r>
              <w:rPr>
                <w:rFonts w:ascii="Book Antiqua" w:eastAsia="Book Antiqua" w:hAnsi="Book Antiqua" w:cs="Book Antiqua"/>
                <w:color w:val="1155CC"/>
                <w:sz w:val="20"/>
                <w:szCs w:val="20"/>
              </w:rPr>
              <w:t>JUDAISM &amp; JEW</w:t>
            </w:r>
            <w:r>
              <w:rPr>
                <w:rFonts w:ascii="Book Antiqua" w:eastAsia="Book Antiqua" w:hAnsi="Book Antiqua" w:cs="Book Antiqua"/>
                <w:color w:val="1155CC"/>
                <w:sz w:val="20"/>
                <w:szCs w:val="20"/>
              </w:rPr>
              <w:tab/>
              <w:t>485</w:t>
            </w:r>
          </w:hyperlink>
        </w:p>
        <w:p w14:paraId="747F0C14"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3nf4b396g9z3">
            <w:r>
              <w:rPr>
                <w:rFonts w:ascii="Book Antiqua" w:eastAsia="Book Antiqua" w:hAnsi="Book Antiqua" w:cs="Book Antiqua"/>
                <w:color w:val="1155CC"/>
                <w:sz w:val="20"/>
                <w:szCs w:val="20"/>
              </w:rPr>
              <w:t>CHRISTIANITY &amp; CHRISTIAN</w:t>
            </w:r>
            <w:r>
              <w:rPr>
                <w:rFonts w:ascii="Book Antiqua" w:eastAsia="Book Antiqua" w:hAnsi="Book Antiqua" w:cs="Book Antiqua"/>
                <w:color w:val="1155CC"/>
                <w:sz w:val="20"/>
                <w:szCs w:val="20"/>
              </w:rPr>
              <w:tab/>
              <w:t>485</w:t>
            </w:r>
          </w:hyperlink>
        </w:p>
        <w:p w14:paraId="48FF54CD"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kehfzza52qv4">
            <w:r>
              <w:rPr>
                <w:rFonts w:ascii="Book Antiqua" w:eastAsia="Book Antiqua" w:hAnsi="Book Antiqua" w:cs="Book Antiqua"/>
                <w:color w:val="1155CC"/>
                <w:sz w:val="20"/>
                <w:szCs w:val="20"/>
              </w:rPr>
              <w:t>ANGER</w:t>
            </w:r>
            <w:r>
              <w:rPr>
                <w:rFonts w:ascii="Book Antiqua" w:eastAsia="Book Antiqua" w:hAnsi="Book Antiqua" w:cs="Book Antiqua"/>
                <w:color w:val="1155CC"/>
                <w:sz w:val="20"/>
                <w:szCs w:val="20"/>
              </w:rPr>
              <w:tab/>
              <w:t>485</w:t>
            </w:r>
          </w:hyperlink>
        </w:p>
        <w:p w14:paraId="066507EE"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1u48js2g33u6">
            <w:r>
              <w:rPr>
                <w:rFonts w:ascii="Book Antiqua" w:eastAsia="Book Antiqua" w:hAnsi="Book Antiqua" w:cs="Book Antiqua"/>
                <w:color w:val="1155CC"/>
                <w:sz w:val="20"/>
                <w:szCs w:val="20"/>
              </w:rPr>
              <w:t>HATE</w:t>
            </w:r>
            <w:r>
              <w:rPr>
                <w:rFonts w:ascii="Book Antiqua" w:eastAsia="Book Antiqua" w:hAnsi="Book Antiqua" w:cs="Book Antiqua"/>
                <w:color w:val="1155CC"/>
                <w:sz w:val="20"/>
                <w:szCs w:val="20"/>
              </w:rPr>
              <w:tab/>
              <w:t>486</w:t>
            </w:r>
          </w:hyperlink>
        </w:p>
        <w:p w14:paraId="6CEDE590"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unxnp64ikqgs">
            <w:r>
              <w:rPr>
                <w:rFonts w:ascii="Book Antiqua" w:eastAsia="Book Antiqua" w:hAnsi="Book Antiqua" w:cs="Book Antiqua"/>
                <w:color w:val="1155CC"/>
                <w:sz w:val="20"/>
                <w:szCs w:val="20"/>
              </w:rPr>
              <w:t>OUTCRY</w:t>
            </w:r>
            <w:r>
              <w:rPr>
                <w:rFonts w:ascii="Book Antiqua" w:eastAsia="Book Antiqua" w:hAnsi="Book Antiqua" w:cs="Book Antiqua"/>
                <w:color w:val="1155CC"/>
                <w:sz w:val="20"/>
                <w:szCs w:val="20"/>
              </w:rPr>
              <w:tab/>
              <w:t>486</w:t>
            </w:r>
          </w:hyperlink>
        </w:p>
        <w:p w14:paraId="7D8CB6AD"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6sa2pi56tlb9">
            <w:r>
              <w:rPr>
                <w:rFonts w:ascii="Book Antiqua" w:eastAsia="Book Antiqua" w:hAnsi="Book Antiqua" w:cs="Book Antiqua"/>
                <w:color w:val="1155CC"/>
                <w:sz w:val="20"/>
                <w:szCs w:val="20"/>
              </w:rPr>
              <w:t>OUTRAGE</w:t>
            </w:r>
            <w:r>
              <w:rPr>
                <w:rFonts w:ascii="Book Antiqua" w:eastAsia="Book Antiqua" w:hAnsi="Book Antiqua" w:cs="Book Antiqua"/>
                <w:color w:val="1155CC"/>
                <w:sz w:val="20"/>
                <w:szCs w:val="20"/>
              </w:rPr>
              <w:tab/>
              <w:t>486</w:t>
            </w:r>
          </w:hyperlink>
        </w:p>
        <w:p w14:paraId="1A49044F"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8b01qt55fyga">
            <w:r>
              <w:rPr>
                <w:rFonts w:ascii="Book Antiqua" w:eastAsia="Book Antiqua" w:hAnsi="Book Antiqua" w:cs="Book Antiqua"/>
                <w:color w:val="1155CC"/>
                <w:sz w:val="20"/>
                <w:szCs w:val="20"/>
              </w:rPr>
              <w:t>ANIMOSITY</w:t>
            </w:r>
            <w:r>
              <w:rPr>
                <w:rFonts w:ascii="Book Antiqua" w:eastAsia="Book Antiqua" w:hAnsi="Book Antiqua" w:cs="Book Antiqua"/>
                <w:color w:val="1155CC"/>
                <w:sz w:val="20"/>
                <w:szCs w:val="20"/>
              </w:rPr>
              <w:tab/>
              <w:t>486</w:t>
            </w:r>
          </w:hyperlink>
        </w:p>
        <w:p w14:paraId="7E370F1B"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z2f1uhxlifqy">
            <w:r>
              <w:rPr>
                <w:rFonts w:ascii="Book Antiqua" w:eastAsia="Book Antiqua" w:hAnsi="Book Antiqua" w:cs="Book Antiqua"/>
                <w:color w:val="1155CC"/>
                <w:sz w:val="20"/>
                <w:szCs w:val="20"/>
              </w:rPr>
              <w:t>CONTROVERSY</w:t>
            </w:r>
            <w:r>
              <w:rPr>
                <w:rFonts w:ascii="Book Antiqua" w:eastAsia="Book Antiqua" w:hAnsi="Book Antiqua" w:cs="Book Antiqua"/>
                <w:color w:val="1155CC"/>
                <w:sz w:val="20"/>
                <w:szCs w:val="20"/>
              </w:rPr>
              <w:tab/>
              <w:t>486</w:t>
            </w:r>
          </w:hyperlink>
        </w:p>
        <w:p w14:paraId="214B78CB"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ppxfgo39h40w">
            <w:r>
              <w:rPr>
                <w:rFonts w:ascii="Book Antiqua" w:eastAsia="Book Antiqua" w:hAnsi="Book Antiqua" w:cs="Book Antiqua"/>
                <w:color w:val="1155CC"/>
                <w:sz w:val="20"/>
                <w:szCs w:val="20"/>
              </w:rPr>
              <w:t>BOYCOTT</w:t>
            </w:r>
            <w:r>
              <w:rPr>
                <w:rFonts w:ascii="Book Antiqua" w:eastAsia="Book Antiqua" w:hAnsi="Book Antiqua" w:cs="Book Antiqua"/>
                <w:color w:val="1155CC"/>
                <w:sz w:val="20"/>
                <w:szCs w:val="20"/>
              </w:rPr>
              <w:tab/>
              <w:t>486</w:t>
            </w:r>
          </w:hyperlink>
        </w:p>
        <w:p w14:paraId="6765D27E"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947mlv97jyx4">
            <w:r>
              <w:rPr>
                <w:rFonts w:ascii="Book Antiqua" w:eastAsia="Book Antiqua" w:hAnsi="Book Antiqua" w:cs="Book Antiqua"/>
                <w:color w:val="1155CC"/>
                <w:sz w:val="20"/>
                <w:szCs w:val="20"/>
              </w:rPr>
              <w:t>BAN</w:t>
            </w:r>
            <w:r>
              <w:rPr>
                <w:rFonts w:ascii="Book Antiqua" w:eastAsia="Book Antiqua" w:hAnsi="Book Antiqua" w:cs="Book Antiqua"/>
                <w:color w:val="1155CC"/>
                <w:sz w:val="20"/>
                <w:szCs w:val="20"/>
              </w:rPr>
              <w:tab/>
              <w:t>487</w:t>
            </w:r>
          </w:hyperlink>
        </w:p>
        <w:p w14:paraId="4849284E"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9h15iix5xmta">
            <w:r>
              <w:rPr>
                <w:rFonts w:ascii="Book Antiqua" w:eastAsia="Book Antiqua" w:hAnsi="Book Antiqua" w:cs="Book Antiqua"/>
                <w:color w:val="1155CC"/>
                <w:sz w:val="20"/>
                <w:szCs w:val="20"/>
              </w:rPr>
              <w:t>TRADITION</w:t>
            </w:r>
            <w:r>
              <w:rPr>
                <w:rFonts w:ascii="Book Antiqua" w:eastAsia="Book Antiqua" w:hAnsi="Book Antiqua" w:cs="Book Antiqua"/>
                <w:color w:val="1155CC"/>
                <w:sz w:val="20"/>
                <w:szCs w:val="20"/>
              </w:rPr>
              <w:tab/>
              <w:t>487</w:t>
            </w:r>
          </w:hyperlink>
        </w:p>
        <w:p w14:paraId="399C0DD4"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ok0c26nj71g3">
            <w:r>
              <w:rPr>
                <w:rFonts w:ascii="Book Antiqua" w:eastAsia="Book Antiqua" w:hAnsi="Book Antiqua" w:cs="Book Antiqua"/>
                <w:color w:val="1155CC"/>
                <w:sz w:val="20"/>
                <w:szCs w:val="20"/>
              </w:rPr>
              <w:t>RITUAL</w:t>
            </w:r>
            <w:r>
              <w:rPr>
                <w:rFonts w:ascii="Book Antiqua" w:eastAsia="Book Antiqua" w:hAnsi="Book Antiqua" w:cs="Book Antiqua"/>
                <w:color w:val="1155CC"/>
                <w:sz w:val="20"/>
                <w:szCs w:val="20"/>
              </w:rPr>
              <w:tab/>
              <w:t>487</w:t>
            </w:r>
          </w:hyperlink>
        </w:p>
        <w:p w14:paraId="32CB6186"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xtr2sm95g171">
            <w:r>
              <w:rPr>
                <w:rFonts w:ascii="Book Antiqua" w:eastAsia="Book Antiqua" w:hAnsi="Book Antiqua" w:cs="Book Antiqua"/>
                <w:color w:val="1155CC"/>
                <w:sz w:val="20"/>
                <w:szCs w:val="20"/>
              </w:rPr>
              <w:t>ISLAMIC RITUALS</w:t>
            </w:r>
            <w:r>
              <w:rPr>
                <w:rFonts w:ascii="Book Antiqua" w:eastAsia="Book Antiqua" w:hAnsi="Book Antiqua" w:cs="Book Antiqua"/>
                <w:color w:val="1155CC"/>
                <w:sz w:val="20"/>
                <w:szCs w:val="20"/>
              </w:rPr>
              <w:tab/>
              <w:t>487</w:t>
            </w:r>
          </w:hyperlink>
          <w:r>
            <w:fldChar w:fldCharType="end"/>
          </w:r>
        </w:p>
      </w:sdtContent>
    </w:sdt>
    <w:p w14:paraId="3F690D8C" w14:textId="77777777" w:rsidR="002530E2" w:rsidRDefault="002530E2">
      <w:pPr>
        <w:pStyle w:val="Heading1"/>
      </w:pPr>
      <w:bookmarkStart w:id="182" w:name="_51vatllxaklv" w:colFirst="0" w:colLast="0"/>
      <w:bookmarkEnd w:id="182"/>
    </w:p>
    <w:p w14:paraId="3C3992B8" w14:textId="77777777" w:rsidR="002530E2" w:rsidRDefault="002530E2">
      <w:pPr>
        <w:pStyle w:val="Heading1"/>
      </w:pPr>
      <w:bookmarkStart w:id="183" w:name="_1t2wd1m137ya" w:colFirst="0" w:colLast="0"/>
      <w:bookmarkEnd w:id="183"/>
      <w:r>
        <w:t>INTRODUCTION</w:t>
      </w:r>
    </w:p>
    <w:p w14:paraId="07BE750A" w14:textId="77777777" w:rsidR="002530E2" w:rsidRDefault="002530E2">
      <w:r>
        <w:t>This appendix serves to provide the definitions of key research terms that are relevant to this study. These definitions are an integral part of the systematic literature review and analysis conducted within this research. By clearly defining these terms, the study ensures a shared understanding of their meaning and usage, contributing to the accuracy and consistency of the research findings.</w:t>
      </w:r>
    </w:p>
    <w:p w14:paraId="309CAC18" w14:textId="77777777" w:rsidR="002530E2" w:rsidRDefault="002530E2">
      <w:pPr>
        <w:pStyle w:val="Heading1"/>
      </w:pPr>
      <w:bookmarkStart w:id="184" w:name="_a9m8b2x8mf06" w:colFirst="0" w:colLast="0"/>
      <w:bookmarkEnd w:id="184"/>
      <w:r>
        <w:lastRenderedPageBreak/>
        <w:t>BRIEF DEFINITIONS RELEVANT TO THIS STUDY</w:t>
      </w:r>
    </w:p>
    <w:p w14:paraId="0582D5AF" w14:textId="77777777" w:rsidR="002530E2" w:rsidRDefault="002530E2">
      <w:r>
        <w:t>The following section of the chapter contains brief definitions with their sources.</w:t>
      </w:r>
    </w:p>
    <w:p w14:paraId="074C6090" w14:textId="77777777" w:rsidR="002530E2" w:rsidRDefault="002530E2">
      <w:pPr>
        <w:pStyle w:val="Heading1"/>
        <w:spacing w:before="0"/>
      </w:pPr>
      <w:bookmarkStart w:id="185" w:name="_67bvg2r6r47i" w:colFirst="0" w:colLast="0"/>
      <w:bookmarkEnd w:id="185"/>
      <w:r>
        <w:t>RELIGION</w:t>
      </w:r>
    </w:p>
    <w:p w14:paraId="18211A74" w14:textId="77777777" w:rsidR="002530E2" w:rsidRDefault="002530E2">
      <w:r>
        <w:t>Religion is the belief system, practices, rituals, moral values, and systems of worship that make up a complex and multifaceted social and cultural phenomenon. There are several beliefs and teachings associated with religion and religious faith, including the nature of reality, the existence of a higher power or powers, and the purpose of life. In addition to providing a framework for understanding the world and our place in it, religious teachings frequently offer principles for moral behaviour.</w:t>
      </w:r>
    </w:p>
    <w:p w14:paraId="49009913" w14:textId="77777777" w:rsidR="002530E2" w:rsidRDefault="002530E2">
      <w:r>
        <w:t>Religion encompasses a number of key aspects, such as:</w:t>
      </w:r>
    </w:p>
    <w:p w14:paraId="36FD4BF0" w14:textId="77777777" w:rsidR="002530E2" w:rsidRDefault="002530E2" w:rsidP="002530E2">
      <w:pPr>
        <w:numPr>
          <w:ilvl w:val="0"/>
          <w:numId w:val="70"/>
        </w:numPr>
        <w:spacing w:before="240" w:after="240" w:line="360" w:lineRule="auto"/>
        <w:jc w:val="both"/>
        <w:rPr>
          <w:sz w:val="20"/>
          <w:szCs w:val="20"/>
        </w:rPr>
      </w:pPr>
      <w:r>
        <w:t>Religious Faith in the Divine: Religious belief in God, gods, or a supreme being is mostly associated with religions that believe in a higher power. In terms of understanding the universe and relating to the divine, this belief shapes an individual's perception of reality.</w:t>
      </w:r>
    </w:p>
    <w:p w14:paraId="2E570E74" w14:textId="77777777" w:rsidR="002530E2" w:rsidRDefault="002530E2" w:rsidP="002530E2">
      <w:pPr>
        <w:numPr>
          <w:ilvl w:val="0"/>
          <w:numId w:val="70"/>
        </w:numPr>
        <w:spacing w:before="240" w:after="240" w:line="360" w:lineRule="auto"/>
        <w:jc w:val="both"/>
        <w:rPr>
          <w:sz w:val="20"/>
          <w:szCs w:val="20"/>
        </w:rPr>
      </w:pPr>
      <w:r>
        <w:t>Sacred Texts and Scriptures: Religions often have sacred texts or scriptures that contain teachings, stories, and moral guidance. These texts are considered authoritative and provide a foundation for religious beliefs and practices.</w:t>
      </w:r>
    </w:p>
    <w:p w14:paraId="5CD250EE" w14:textId="77777777" w:rsidR="002530E2" w:rsidRDefault="002530E2" w:rsidP="002530E2">
      <w:pPr>
        <w:numPr>
          <w:ilvl w:val="0"/>
          <w:numId w:val="70"/>
        </w:numPr>
        <w:spacing w:before="240" w:after="240" w:line="360" w:lineRule="auto"/>
        <w:jc w:val="both"/>
        <w:rPr>
          <w:sz w:val="20"/>
          <w:szCs w:val="20"/>
        </w:rPr>
      </w:pPr>
      <w:r>
        <w:t>Rituals and Worship: Religious rituals and worship practices vary across different religions and may include prayer, meditation, sacrifices, sacraments, ceremonies, and festivals. These rituals are often performed to express devotion, seek spiritual connection, and participate in religious community life.</w:t>
      </w:r>
    </w:p>
    <w:p w14:paraId="0B779DAB" w14:textId="77777777" w:rsidR="002530E2" w:rsidRDefault="002530E2" w:rsidP="002530E2">
      <w:pPr>
        <w:numPr>
          <w:ilvl w:val="0"/>
          <w:numId w:val="70"/>
        </w:numPr>
        <w:spacing w:before="240" w:after="240" w:line="360" w:lineRule="auto"/>
        <w:jc w:val="both"/>
        <w:rPr>
          <w:sz w:val="20"/>
          <w:szCs w:val="20"/>
        </w:rPr>
      </w:pPr>
      <w:r>
        <w:t>Moral and Ethical Principles: Religions provide moral and ethical frameworks that guide adherents' behaviour and decision-making. They offer principles and guidelines for living a righteous and virtuous life, which often include values such as compassion, justice, honesty, and love.</w:t>
      </w:r>
    </w:p>
    <w:p w14:paraId="06E86F7C" w14:textId="77777777" w:rsidR="002530E2" w:rsidRDefault="002530E2" w:rsidP="002530E2">
      <w:pPr>
        <w:numPr>
          <w:ilvl w:val="0"/>
          <w:numId w:val="70"/>
        </w:numPr>
        <w:spacing w:before="240" w:after="240" w:line="360" w:lineRule="auto"/>
        <w:jc w:val="both"/>
        <w:rPr>
          <w:sz w:val="20"/>
          <w:szCs w:val="20"/>
        </w:rPr>
      </w:pPr>
      <w:r>
        <w:t>Community and Fellowship: Religion often involves a sense of community and fellowship among its adherents. Religious communities provide social support, a sense of belonging, and opportunities for collective worship, religious education, and service to others.</w:t>
      </w:r>
    </w:p>
    <w:p w14:paraId="1E098AAB" w14:textId="77777777" w:rsidR="002530E2" w:rsidRDefault="002530E2" w:rsidP="002530E2">
      <w:pPr>
        <w:numPr>
          <w:ilvl w:val="0"/>
          <w:numId w:val="70"/>
        </w:numPr>
        <w:spacing w:before="240" w:after="240" w:line="360" w:lineRule="auto"/>
        <w:jc w:val="both"/>
        <w:rPr>
          <w:sz w:val="20"/>
          <w:szCs w:val="20"/>
        </w:rPr>
      </w:pPr>
      <w:r>
        <w:t>Life Cycle and Rites of Passage: Religions often have rituals and ceremonies that mark significant life events such as birth, initiation, marriage, and death. These rites of passage reflect religious beliefs and practises related to the transitions and milestones in a person's life.</w:t>
      </w:r>
    </w:p>
    <w:p w14:paraId="6F197273" w14:textId="77777777" w:rsidR="002530E2" w:rsidRDefault="002530E2" w:rsidP="002530E2">
      <w:pPr>
        <w:numPr>
          <w:ilvl w:val="0"/>
          <w:numId w:val="70"/>
        </w:numPr>
        <w:spacing w:before="240" w:after="240" w:line="360" w:lineRule="auto"/>
        <w:jc w:val="both"/>
        <w:rPr>
          <w:sz w:val="20"/>
          <w:szCs w:val="20"/>
        </w:rPr>
      </w:pPr>
      <w:r>
        <w:lastRenderedPageBreak/>
        <w:t>Impact on Culture and Society: Religion plays a significant role in shaping culture, social norms, and societal values. It influences art, architecture, music, literature, and other expressions of cultural identity. It can also impact social institutions, laws, and governance systems in different societies.</w:t>
      </w:r>
    </w:p>
    <w:p w14:paraId="3E4885B0" w14:textId="77777777" w:rsidR="002530E2" w:rsidRDefault="002530E2">
      <w:r>
        <w:t>Religion is a deeply personal and subjective aspect of the human experience. It provides individuals with a sense of meaning, purpose, and guidance in their lives. Moreover, religion has a profound influence on individuals' identities, worldviews, and interactions with others. It can foster community cohesion, provide moral guidance, and serve as a source of inspiration and comfort for many people. However, it is important to recognise and respect the diversity of religious beliefs and practises that exist in the world.</w:t>
      </w:r>
    </w:p>
    <w:p w14:paraId="7F3D7797" w14:textId="77777777" w:rsidR="002530E2" w:rsidRDefault="002530E2">
      <w:pPr>
        <w:pStyle w:val="Heading1"/>
        <w:spacing w:before="0"/>
      </w:pPr>
      <w:bookmarkStart w:id="186" w:name="_8lmt2ilbf9ix" w:colFirst="0" w:colLast="0"/>
      <w:bookmarkEnd w:id="186"/>
      <w:r>
        <w:t>WORLD RELIGIONS</w:t>
      </w:r>
    </w:p>
    <w:p w14:paraId="7421E712" w14:textId="77777777" w:rsidR="002530E2" w:rsidRDefault="002530E2">
      <w:r>
        <w:t>There are several major religions practised around the world. Here are some of the most prominent ones:</w:t>
      </w:r>
    </w:p>
    <w:p w14:paraId="53AA8A42" w14:textId="77777777" w:rsidR="002530E2" w:rsidRDefault="002530E2" w:rsidP="002530E2">
      <w:pPr>
        <w:numPr>
          <w:ilvl w:val="0"/>
          <w:numId w:val="68"/>
        </w:numPr>
        <w:spacing w:before="240" w:after="240" w:line="360" w:lineRule="auto"/>
        <w:jc w:val="both"/>
        <w:rPr>
          <w:sz w:val="20"/>
          <w:szCs w:val="20"/>
        </w:rPr>
      </w:pPr>
      <w:r>
        <w:t>Christianity: Christianity is the largest religion in the world, with over 2.3 billion followers. It is based on the life and teachings of Jesus Christ as recorded in the Bible. Christians believe in the concept of the Holy Trinity, consisting of God the Father, Jesus Christ the Son, and the Holy Spirit. The religion has various denominations, including Catholicism, Protestantism, and Eastern Orthodoxy.</w:t>
      </w:r>
    </w:p>
    <w:p w14:paraId="5086F565" w14:textId="77777777" w:rsidR="002530E2" w:rsidRDefault="002530E2" w:rsidP="002530E2">
      <w:pPr>
        <w:numPr>
          <w:ilvl w:val="0"/>
          <w:numId w:val="68"/>
        </w:numPr>
        <w:spacing w:before="240" w:after="240" w:line="360" w:lineRule="auto"/>
        <w:jc w:val="both"/>
        <w:rPr>
          <w:sz w:val="20"/>
          <w:szCs w:val="20"/>
        </w:rPr>
      </w:pPr>
      <w:r>
        <w:t>Islam: Islam is the second-largest religion globally, with over 1.9 billion followers. It was founded in the 7th century CE by the Prophet Muhammad in what is now Saudi Arabia. Muslims believe in the oneness of God (Allah) and follow the teachings of the Quran. The Five Pillars of Islam, including belief, prayer, fasting, charity, and pilgrimage, form the foundation of Muslim practice.</w:t>
      </w:r>
    </w:p>
    <w:p w14:paraId="6481015A" w14:textId="77777777" w:rsidR="002530E2" w:rsidRDefault="002530E2" w:rsidP="002530E2">
      <w:pPr>
        <w:numPr>
          <w:ilvl w:val="0"/>
          <w:numId w:val="68"/>
        </w:numPr>
        <w:spacing w:before="240" w:after="240" w:line="360" w:lineRule="auto"/>
        <w:jc w:val="both"/>
        <w:rPr>
          <w:sz w:val="20"/>
          <w:szCs w:val="20"/>
        </w:rPr>
      </w:pPr>
      <w:r>
        <w:t>Hinduism: Hinduism is one of the oldest religions, with approximately 1.2 billion adherents, mostly in India and Nepal. It is a diverse and complex religion with a wide range of beliefs and practices. Hinduism emphasises karma (action and consequence), dharma (duty and righteousness), and moksha (liberation from the cycle of rebirth). It has various deities and sacred texts, including the Vedas and the Bhagavad Gita.</w:t>
      </w:r>
    </w:p>
    <w:p w14:paraId="441DB57C" w14:textId="77777777" w:rsidR="002530E2" w:rsidRDefault="002530E2" w:rsidP="002530E2">
      <w:pPr>
        <w:numPr>
          <w:ilvl w:val="0"/>
          <w:numId w:val="68"/>
        </w:numPr>
        <w:spacing w:before="240" w:after="240" w:line="360" w:lineRule="auto"/>
        <w:jc w:val="both"/>
        <w:rPr>
          <w:sz w:val="20"/>
          <w:szCs w:val="20"/>
        </w:rPr>
      </w:pPr>
      <w:r>
        <w:t xml:space="preserve">Buddhism: Buddhism originated in the 5th century BCE in ancient India and has around 535 million followers worldwide. It was founded by Siddhartha Gautama, known as the Buddha, </w:t>
      </w:r>
      <w:r>
        <w:lastRenderedPageBreak/>
        <w:t>who taught the path to enlightenment and the cessation of suffering. Buddhism emphasises the Four Noble Truths and the Eightfold Path as the means to achieve liberation from suffering.</w:t>
      </w:r>
    </w:p>
    <w:p w14:paraId="42C81D14" w14:textId="77777777" w:rsidR="002530E2" w:rsidRDefault="002530E2" w:rsidP="002530E2">
      <w:pPr>
        <w:numPr>
          <w:ilvl w:val="0"/>
          <w:numId w:val="68"/>
        </w:numPr>
        <w:spacing w:before="240" w:after="240" w:line="360" w:lineRule="auto"/>
        <w:jc w:val="both"/>
        <w:rPr>
          <w:sz w:val="20"/>
          <w:szCs w:val="20"/>
        </w:rPr>
      </w:pPr>
      <w:r>
        <w:t>Sikhism: Sikhism emerged in the 15th century CE in the Punjab region of South Asia. It has approximately 30 million followers, primarily in India. Sikhs follow the teachings of the Guru Granth Sahib, the central religious scripture, and emphasise the pursuit of spiritual growth, equality, and service to others.</w:t>
      </w:r>
    </w:p>
    <w:p w14:paraId="1210699A" w14:textId="77777777" w:rsidR="002530E2" w:rsidRDefault="002530E2" w:rsidP="002530E2">
      <w:pPr>
        <w:numPr>
          <w:ilvl w:val="0"/>
          <w:numId w:val="68"/>
        </w:numPr>
        <w:spacing w:before="240" w:after="240" w:line="360" w:lineRule="auto"/>
        <w:jc w:val="both"/>
        <w:rPr>
          <w:sz w:val="20"/>
          <w:szCs w:val="20"/>
        </w:rPr>
      </w:pPr>
      <w:r>
        <w:t>Judaism: Judaism is one of the oldest monotheistic religions, with approximately 15 million adherents. It originated in the ancient Near East and is based on the covenant between God and the Jewish people. Jews follow the Torah (the first five books of the Hebrew Bible) and observe a wide range of religious practices and traditions.</w:t>
      </w:r>
    </w:p>
    <w:p w14:paraId="1AAFEA8D" w14:textId="77777777" w:rsidR="002530E2" w:rsidRDefault="002530E2" w:rsidP="002530E2">
      <w:pPr>
        <w:numPr>
          <w:ilvl w:val="0"/>
          <w:numId w:val="68"/>
        </w:numPr>
        <w:spacing w:before="240" w:after="240" w:line="360" w:lineRule="auto"/>
        <w:jc w:val="both"/>
        <w:rPr>
          <w:sz w:val="20"/>
          <w:szCs w:val="20"/>
        </w:rPr>
      </w:pPr>
      <w:r>
        <w:t>Other Religions: There are numerous other religions practised globally, including Jainism, Baha'i Faith, Shintoism, Taoism, Confucianism, and various indigenous and tribal religions. These religions have their own unique beliefs, practises, and cultural expressions.</w:t>
      </w:r>
    </w:p>
    <w:p w14:paraId="69C5E023" w14:textId="77777777" w:rsidR="002530E2" w:rsidRDefault="002530E2">
      <w:r>
        <w:t>It's important to note that the number of followers and geographical distribution of religions can vary, and there may be regional or local variations within each religion. Additionally, individuals may identify as non-religious, atheist, or agnostic, indicating a lack of belief in or affiliation with organised religions.</w:t>
      </w:r>
    </w:p>
    <w:p w14:paraId="67349267" w14:textId="77777777" w:rsidR="002530E2" w:rsidRDefault="002530E2">
      <w:pPr>
        <w:pStyle w:val="Heading1"/>
        <w:spacing w:before="0"/>
      </w:pPr>
      <w:bookmarkStart w:id="187" w:name="_ssi6vfc9dg0m" w:colFirst="0" w:colLast="0"/>
      <w:bookmarkEnd w:id="187"/>
      <w:r>
        <w:t>ISLAM</w:t>
      </w:r>
    </w:p>
    <w:p w14:paraId="66E164A3" w14:textId="77777777" w:rsidR="002530E2" w:rsidRDefault="002530E2">
      <w:r>
        <w:t>Islam is a major world religion that originated in the 7th century CE in the Arabian Peninsula. It is based on the teachings of the Prophet Muhammad, whom Muslims believe received revelations from God (Allah) through the angel Gabriel. Islam is founded on the principles of monotheism, emphasising the belief in the oneness of God.</w:t>
      </w:r>
    </w:p>
    <w:p w14:paraId="6FDEBEA4" w14:textId="77777777" w:rsidR="002530E2" w:rsidRDefault="002530E2">
      <w:r>
        <w:t>Some key aspects of Islam include:</w:t>
      </w:r>
    </w:p>
    <w:p w14:paraId="4F449C54" w14:textId="77777777" w:rsidR="002530E2" w:rsidRDefault="002530E2" w:rsidP="002530E2">
      <w:pPr>
        <w:numPr>
          <w:ilvl w:val="0"/>
          <w:numId w:val="69"/>
        </w:numPr>
        <w:spacing w:before="240" w:after="240" w:line="360" w:lineRule="auto"/>
        <w:jc w:val="both"/>
        <w:rPr>
          <w:sz w:val="20"/>
          <w:szCs w:val="20"/>
        </w:rPr>
      </w:pPr>
      <w:r>
        <w:t>The Five Pillars of Islam: These are the core principles and practises that form the foundation of Islamic faith and are considered essential for Muslims. They include Shahada (faith and declaration of belief in one God and Muhammad is His prophet), Salah (ritual prayer performed five times a day), Zakah (giving of alms and charitable donations), Sawm (fasting during the month of Ramadan), and Hajj (pilgrimage to the holy city of Mecca).</w:t>
      </w:r>
    </w:p>
    <w:p w14:paraId="162E1B02" w14:textId="77777777" w:rsidR="002530E2" w:rsidRDefault="002530E2" w:rsidP="002530E2">
      <w:pPr>
        <w:numPr>
          <w:ilvl w:val="0"/>
          <w:numId w:val="69"/>
        </w:numPr>
        <w:spacing w:before="240" w:after="240" w:line="360" w:lineRule="auto"/>
        <w:jc w:val="both"/>
        <w:rPr>
          <w:sz w:val="20"/>
          <w:szCs w:val="20"/>
        </w:rPr>
      </w:pPr>
      <w:r>
        <w:t xml:space="preserve">The Quran: The Quran is the central religious text of Islam, believed by Muslims to be the word of God as revealed to Muhammad over a period of approximately 23 years. It serves as a guide </w:t>
      </w:r>
      <w:r>
        <w:lastRenderedPageBreak/>
        <w:t>for moral and ethical conduct, spiritual guidance, and the laws and principles that Muslims are to follow.</w:t>
      </w:r>
    </w:p>
    <w:p w14:paraId="01CEE310" w14:textId="77777777" w:rsidR="002530E2" w:rsidRDefault="002530E2" w:rsidP="002530E2">
      <w:pPr>
        <w:numPr>
          <w:ilvl w:val="0"/>
          <w:numId w:val="69"/>
        </w:numPr>
        <w:spacing w:before="240" w:after="240" w:line="360" w:lineRule="auto"/>
        <w:jc w:val="both"/>
        <w:rPr>
          <w:sz w:val="20"/>
          <w:szCs w:val="20"/>
        </w:rPr>
      </w:pPr>
      <w:r>
        <w:t>Prophethood: Muslims believe that Muhammad is the last and final prophet sent by God to guide humanity. They also believe in the prophethood of earlier figures, including Adam, Noah, Abraham, Moses, and Jesus, among others.</w:t>
      </w:r>
    </w:p>
    <w:p w14:paraId="78E98D4A" w14:textId="77777777" w:rsidR="002530E2" w:rsidRDefault="002530E2" w:rsidP="002530E2">
      <w:pPr>
        <w:numPr>
          <w:ilvl w:val="0"/>
          <w:numId w:val="69"/>
        </w:numPr>
        <w:spacing w:before="240" w:after="240" w:line="360" w:lineRule="auto"/>
        <w:jc w:val="both"/>
        <w:rPr>
          <w:sz w:val="20"/>
          <w:szCs w:val="20"/>
        </w:rPr>
      </w:pPr>
      <w:r>
        <w:t>Monotheism: Islam strongly emphasises the belief in the oneness of God, known as Tawhid. Muslims believe that there is no deity worthy of worship except Allah and that associating partners with God (polytheism) is a grave sin.</w:t>
      </w:r>
    </w:p>
    <w:p w14:paraId="32DE3DBB" w14:textId="77777777" w:rsidR="002530E2" w:rsidRDefault="002530E2" w:rsidP="002530E2">
      <w:pPr>
        <w:numPr>
          <w:ilvl w:val="0"/>
          <w:numId w:val="69"/>
        </w:numPr>
        <w:spacing w:before="240" w:after="240" w:line="360" w:lineRule="auto"/>
        <w:jc w:val="both"/>
        <w:rPr>
          <w:sz w:val="20"/>
          <w:szCs w:val="20"/>
        </w:rPr>
      </w:pPr>
      <w:r>
        <w:t>Day of Judgement: Islam teaches the belief in the Day of Judgement, when all individuals will be held accountable for their actions in this life. It is believed that there will be a resurrection, followed by a final judgement by God, determining the eternal destiny of each person based on their deeds.</w:t>
      </w:r>
    </w:p>
    <w:p w14:paraId="12F3046E" w14:textId="77777777" w:rsidR="002530E2" w:rsidRDefault="002530E2" w:rsidP="002530E2">
      <w:pPr>
        <w:numPr>
          <w:ilvl w:val="0"/>
          <w:numId w:val="69"/>
        </w:numPr>
        <w:spacing w:before="240" w:after="240" w:line="360" w:lineRule="auto"/>
        <w:jc w:val="both"/>
        <w:rPr>
          <w:sz w:val="20"/>
          <w:szCs w:val="20"/>
        </w:rPr>
      </w:pPr>
      <w:r>
        <w:t>Moral and Ethical Principles: Islam provides a comprehensive ethical framework, encompassing personal morality, social responsibility, and justice. It emphasises virtues such as honesty, compassion, humility, generosity, and fairness.</w:t>
      </w:r>
    </w:p>
    <w:p w14:paraId="0FFDAD1B" w14:textId="77777777" w:rsidR="002530E2" w:rsidRDefault="002530E2" w:rsidP="002530E2">
      <w:pPr>
        <w:numPr>
          <w:ilvl w:val="0"/>
          <w:numId w:val="69"/>
        </w:numPr>
        <w:spacing w:before="240" w:after="240" w:line="360" w:lineRule="auto"/>
        <w:jc w:val="both"/>
        <w:rPr>
          <w:sz w:val="20"/>
          <w:szCs w:val="20"/>
        </w:rPr>
      </w:pPr>
      <w:r>
        <w:t>Community and Brotherhood: Islam emphasises the importance of community and the unity of believers. The Muslim community, known as the Ummah, is encouraged to support and care for one another, fostering a sense of brotherhood and solidarity.</w:t>
      </w:r>
    </w:p>
    <w:p w14:paraId="11E6A0AE" w14:textId="77777777" w:rsidR="002530E2" w:rsidRDefault="002530E2">
      <w:r>
        <w:t>Islam has a rich cultural and intellectual tradition, encompassing various branches and interpretations, including Sunni, Shia, and Sufi traditions. It has had a profound influence on art, architecture, literature, science, and philosophy throughout history. Islam is practised by over 1.9 billion Muslims worldwide, making it the second-largest religion globally.</w:t>
      </w:r>
    </w:p>
    <w:p w14:paraId="57AEEBB5" w14:textId="77777777" w:rsidR="002530E2" w:rsidRDefault="002530E2">
      <w:r>
        <w:t xml:space="preserve">Islam is often recognised as one of the fastest growing religions globally. It is a relatively young religion that originated in the 7th century and was founded by the Prophet Muhammad, who was born in the year 570 CE in the city of Mecca, located in present-day Saudi Arabia, and is considered the last and final prophet in Islamic belief. Muhammad. At the age of 40, in the year 610 CE, Muhammad received the first revelations from God through the angel Gabriel, marking the beginning of his prophethood and the establishment of Islam. Muhammad spent the next 23 years of his life receiving further revelations and spreading the message of Islam among the people of Mecca and Medina. The Quran, which is considered the holy book of Islam, was revealed to Muhammad during this period. It contains the teachings, principles, and guidance for Muslims. Muhammad is revered as the last and final prophet in Islam, following a lineage of earlier prophets, including Abraham, Moses, and Jesus, among others, who are also respected figures in Islam. The message of Islam, as delivered by Muhammad, emphasises monotheism (belief in one God), the importance of </w:t>
      </w:r>
      <w:r>
        <w:lastRenderedPageBreak/>
        <w:t>following God's guidance, and living a righteous life based on moral and ethical principles. Since its inception, Islam has grown to become one of the world's major religions, with millions of followers across diverse regions and cultures. It has shaped the lives, cultures, and histories of numerous nations and has had a profound impact on various aspects of society, including spirituality, law, art, science, and social norms.</w:t>
      </w:r>
    </w:p>
    <w:p w14:paraId="6C9556F1" w14:textId="77777777" w:rsidR="002530E2" w:rsidRDefault="002530E2">
      <w:pPr>
        <w:pStyle w:val="Heading1"/>
      </w:pPr>
      <w:bookmarkStart w:id="188" w:name="_cu9zetn4d3zd" w:colFirst="0" w:colLast="0"/>
      <w:bookmarkEnd w:id="188"/>
      <w:r>
        <w:t>MUHAMMAD, THE PROPHET OF ISLAM</w:t>
      </w:r>
    </w:p>
    <w:p w14:paraId="383553BD" w14:textId="77777777" w:rsidR="002530E2" w:rsidRDefault="002530E2">
      <w:r>
        <w:t xml:space="preserve">According to Schimmel, Rahman, and Mahdi (2021), “Mohammed” in Islam refers to the final prophet to be the last of all the prophets in Islam who came before him, which includes prophet Adam, prophet Noah, prophet Abraham, prophet Moses, prophet Solomon, and prophet Jesus. Mohammed's message offers closure that complements and concludes the revelations of the earlier prophets. The name Muhammad refers to the Islamic Prophet born in Mecca in Saudi Arabia (History.com, 2018), dating to 570—632 AD (Wikipedia contributors, 2022). Muhammad also sometimes spelled as Mohammed or Mohammad. </w:t>
      </w:r>
    </w:p>
    <w:p w14:paraId="70DA3A9F" w14:textId="77777777" w:rsidR="002530E2" w:rsidRDefault="002530E2">
      <w:r>
        <w:t xml:space="preserve">According to History.com (2018), in 610 AD, while Muhammad was meditating in a cave, an angel named Gabriel appeared to him and instructed him to recite the words of the Allah (the Islamic God). Throughout Muhammad's life, Muslims believe he received revelations from Allah. In about 613 AD, Mohammed began preaching the message he received to Muslims in Mecca and teaching that there is no other god that exists but only Allah, and Muslims should devote themselves to Allah the God. </w:t>
      </w:r>
    </w:p>
    <w:p w14:paraId="7F07D21B" w14:textId="77777777" w:rsidR="002530E2" w:rsidRDefault="002530E2">
      <w:r>
        <w:t xml:space="preserve">According to Dictionary.com (2022), the literal meaning of the name Muhammad is “the praiseworthy.” The full name of prophet Muhammad is Muḥammad ibn Abd Allah and the name Muhammad is referred to as “Prophet”, “Messenger”, and “Messenger of God” throughout the Quran (Wikipedia contributors, 2022), who was born into a respected family lineage called the Quraish of Mecca in 570 AD and earned the title “al-Amin”, which means “the Trustworthy” (Khan and Ali, 1998). The al-Amin title attributed to Muhammad was from people of that time, who regarded Muhammad's character and behaviour from his early childhood as honest and trustworthy. </w:t>
      </w:r>
    </w:p>
    <w:p w14:paraId="6A1448D2" w14:textId="77777777" w:rsidR="002530E2" w:rsidRDefault="002530E2">
      <w:r>
        <w:t xml:space="preserve">The various other accounts of information on Muhammad are: “the Arab Prophet through whom the Quran was revealed and the religion of Islam established and completed.” (The Oxford Learners’ English Dictionaries, 2022 and The Cambridge English Dictionary, 2022); “Arab prophet and founder of Islam.” (Lexico English Dictionaries, 2022); “Arab prophet: founder of Islam” (Dictionary.com, 2022). </w:t>
      </w:r>
    </w:p>
    <w:p w14:paraId="273A999A" w14:textId="77777777" w:rsidR="002530E2" w:rsidRDefault="002530E2">
      <w:pPr>
        <w:pStyle w:val="Heading1"/>
        <w:spacing w:before="0"/>
      </w:pPr>
      <w:bookmarkStart w:id="189" w:name="_16lkfofaf7pt" w:colFirst="0" w:colLast="0"/>
      <w:bookmarkEnd w:id="189"/>
      <w:r>
        <w:t>ALLAH</w:t>
      </w:r>
    </w:p>
    <w:p w14:paraId="0E235F59" w14:textId="77777777" w:rsidR="002530E2" w:rsidRDefault="002530E2">
      <w:r>
        <w:t xml:space="preserve">According to Schimmel, Rahman, and Mahdi (2021), the term Allah in Arabic means God of Islam or Islamic God, where “Allah is viewed as the sole God—creator, sustainer, and restorer of the world and the will of Allah, to which human beings must submit, is made known through the sacred scriptures, the Quran (or Koran in English), which Allah revealed to his messenger, Muhammad.” The various other definitions of ‘Allah’ are: “the name of God among Muslims” (The Oxford Learners’ English Dictionaries, 2022); “the name of God for Muslims and Arab Christians” (The Cambridge </w:t>
      </w:r>
      <w:r>
        <w:lastRenderedPageBreak/>
        <w:t>English Dictionary, 2022); “the name of God among Muslims (and Arab Christians)” (Lexico English Dictionaries, 2022); “the Supreme Being; God” (Dictionary.com, 2022).</w:t>
      </w:r>
    </w:p>
    <w:p w14:paraId="7E0D87DC" w14:textId="77777777" w:rsidR="002530E2" w:rsidRDefault="002530E2">
      <w:pPr>
        <w:pStyle w:val="Heading1"/>
      </w:pPr>
      <w:bookmarkStart w:id="190" w:name="_cwtw1lv0r1fj" w:colFirst="0" w:colLast="0"/>
      <w:bookmarkEnd w:id="190"/>
      <w:r>
        <w:t>KEY ISLAMIC DATES</w:t>
      </w:r>
    </w:p>
    <w:tbl>
      <w:tblPr>
        <w:tblW w:w="9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
        <w:gridCol w:w="1035"/>
        <w:gridCol w:w="1560"/>
        <w:gridCol w:w="3360"/>
        <w:gridCol w:w="2685"/>
      </w:tblGrid>
      <w:tr w:rsidR="002530E2" w14:paraId="3A4C420C"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821FB68" w14:textId="77777777" w:rsidR="002530E2" w:rsidRDefault="002530E2">
            <w:pPr>
              <w:spacing w:after="0" w:line="276" w:lineRule="auto"/>
              <w:jc w:val="center"/>
            </w:pPr>
            <w:r>
              <w:rPr>
                <w:sz w:val="18"/>
                <w:szCs w:val="18"/>
              </w:rPr>
              <w:t>#</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AB6A19D" w14:textId="77777777" w:rsidR="002530E2" w:rsidRDefault="002530E2">
            <w:pPr>
              <w:spacing w:after="0" w:line="276" w:lineRule="auto"/>
            </w:pPr>
            <w:r>
              <w:rPr>
                <w:sz w:val="18"/>
                <w:szCs w:val="18"/>
              </w:rPr>
              <w:t xml:space="preserve">Key dates </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B630643" w14:textId="77777777" w:rsidR="002530E2" w:rsidRDefault="002530E2">
            <w:pPr>
              <w:spacing w:after="0" w:line="276" w:lineRule="auto"/>
            </w:pPr>
            <w:r>
              <w:rPr>
                <w:sz w:val="18"/>
                <w:szCs w:val="18"/>
              </w:rPr>
              <w:t>Relevant to</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0F4067E" w14:textId="77777777" w:rsidR="002530E2" w:rsidRDefault="002530E2">
            <w:pPr>
              <w:spacing w:after="0" w:line="276" w:lineRule="auto"/>
            </w:pPr>
            <w:r>
              <w:rPr>
                <w:sz w:val="18"/>
                <w:szCs w:val="18"/>
              </w:rPr>
              <w:t xml:space="preserve">Event </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CA9D48F" w14:textId="77777777" w:rsidR="002530E2" w:rsidRDefault="002530E2">
            <w:pPr>
              <w:spacing w:after="0" w:line="276" w:lineRule="auto"/>
            </w:pPr>
            <w:r>
              <w:rPr>
                <w:sz w:val="18"/>
                <w:szCs w:val="18"/>
              </w:rPr>
              <w:t xml:space="preserve">Source </w:t>
            </w:r>
          </w:p>
        </w:tc>
      </w:tr>
      <w:tr w:rsidR="002530E2" w14:paraId="55388B61"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A8EA6DF" w14:textId="77777777" w:rsidR="002530E2" w:rsidRDefault="002530E2">
            <w:pPr>
              <w:spacing w:after="0" w:line="276" w:lineRule="auto"/>
              <w:jc w:val="center"/>
            </w:pPr>
            <w:r>
              <w:rPr>
                <w:sz w:val="18"/>
                <w:szCs w:val="18"/>
              </w:rPr>
              <w:t>1</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DA46AB0" w14:textId="77777777" w:rsidR="002530E2" w:rsidRDefault="002530E2">
            <w:pPr>
              <w:spacing w:after="0" w:line="276" w:lineRule="auto"/>
            </w:pPr>
            <w:r>
              <w:rPr>
                <w:sz w:val="18"/>
                <w:szCs w:val="18"/>
              </w:rPr>
              <w:t>570 AD</w:t>
            </w:r>
          </w:p>
          <w:p w14:paraId="579DCC2F" w14:textId="77777777" w:rsidR="002530E2" w:rsidRDefault="002530E2">
            <w:pPr>
              <w:spacing w:after="0" w:line="276" w:lineRule="auto"/>
            </w:pP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BAF16CA" w14:textId="77777777" w:rsidR="002530E2" w:rsidRDefault="002530E2">
            <w:pPr>
              <w:spacing w:after="0" w:line="276" w:lineRule="auto"/>
            </w:pPr>
            <w:r>
              <w:rPr>
                <w:sz w:val="18"/>
                <w:szCs w:val="18"/>
              </w:rPr>
              <w:t>PROPHET BIRTH</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70A3CEA" w14:textId="77777777" w:rsidR="002530E2" w:rsidRDefault="002530E2">
            <w:pPr>
              <w:spacing w:after="0" w:line="276" w:lineRule="auto"/>
            </w:pPr>
            <w:r>
              <w:rPr>
                <w:sz w:val="18"/>
                <w:szCs w:val="18"/>
              </w:rPr>
              <w:t>The Islamic Prophet Muhammad was born in Mecca, Hejaz, Arabia (presently Arabia is Saudi Arabia) on Monday, 12 Rabi' al-Awwal 53 BH (570 CE or 570 AD).</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ECFCEAD" w14:textId="77777777" w:rsidR="002530E2" w:rsidRDefault="002530E2">
            <w:pPr>
              <w:spacing w:after="0" w:line="276" w:lineRule="auto"/>
            </w:pPr>
            <w:r>
              <w:rPr>
                <w:sz w:val="18"/>
                <w:szCs w:val="18"/>
              </w:rPr>
              <w:t xml:space="preserve">Khan and Ali (1998), History.com (2018), and Wikipedia contributors (2022) </w:t>
            </w:r>
          </w:p>
        </w:tc>
      </w:tr>
      <w:tr w:rsidR="002530E2" w14:paraId="1BF8923D"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547DB7B" w14:textId="77777777" w:rsidR="002530E2" w:rsidRDefault="002530E2">
            <w:pPr>
              <w:spacing w:after="0" w:line="276" w:lineRule="auto"/>
              <w:jc w:val="center"/>
            </w:pPr>
            <w:r>
              <w:rPr>
                <w:sz w:val="18"/>
                <w:szCs w:val="18"/>
              </w:rPr>
              <w:t>2</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0BBF651" w14:textId="77777777" w:rsidR="002530E2" w:rsidRDefault="002530E2">
            <w:pPr>
              <w:spacing w:after="0" w:line="276" w:lineRule="auto"/>
            </w:pPr>
            <w:r>
              <w:rPr>
                <w:sz w:val="18"/>
                <w:szCs w:val="18"/>
              </w:rPr>
              <w:t>610 AD</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5E56C5A" w14:textId="77777777" w:rsidR="002530E2" w:rsidRDefault="002530E2">
            <w:pPr>
              <w:spacing w:after="0" w:line="276" w:lineRule="auto"/>
            </w:pPr>
            <w:r>
              <w:rPr>
                <w:sz w:val="18"/>
                <w:szCs w:val="18"/>
              </w:rPr>
              <w:t>PROPHET, ANGEL &amp; ALLAH</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D7A73E3" w14:textId="77777777" w:rsidR="002530E2" w:rsidRDefault="002530E2">
            <w:pPr>
              <w:spacing w:after="0" w:line="276" w:lineRule="auto"/>
            </w:pPr>
            <w:r>
              <w:rPr>
                <w:sz w:val="18"/>
                <w:szCs w:val="18"/>
              </w:rPr>
              <w:t xml:space="preserve">The Archangel Gabriel appeared to Muhammad while he was meditating in a cave to reveal the words of Allah to him and make him recite the words. </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DBCB857" w14:textId="77777777" w:rsidR="002530E2" w:rsidRDefault="002530E2">
            <w:pPr>
              <w:spacing w:after="0" w:line="276" w:lineRule="auto"/>
            </w:pPr>
            <w:r>
              <w:rPr>
                <w:sz w:val="18"/>
                <w:szCs w:val="18"/>
              </w:rPr>
              <w:t xml:space="preserve">History.com (2018), and Wikipedia contributors (2022) </w:t>
            </w:r>
          </w:p>
        </w:tc>
      </w:tr>
      <w:tr w:rsidR="002530E2" w14:paraId="4B12014C"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A0EDD37" w14:textId="77777777" w:rsidR="002530E2" w:rsidRDefault="002530E2">
            <w:pPr>
              <w:spacing w:after="0" w:line="276" w:lineRule="auto"/>
              <w:jc w:val="center"/>
            </w:pPr>
            <w:r>
              <w:rPr>
                <w:sz w:val="18"/>
                <w:szCs w:val="18"/>
              </w:rPr>
              <w:t>3</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7496385" w14:textId="77777777" w:rsidR="002530E2" w:rsidRDefault="002530E2">
            <w:pPr>
              <w:spacing w:after="0" w:line="276" w:lineRule="auto"/>
            </w:pPr>
            <w:r>
              <w:rPr>
                <w:sz w:val="18"/>
                <w:szCs w:val="18"/>
              </w:rPr>
              <w:t>615 AD</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57BA54D" w14:textId="77777777" w:rsidR="002530E2" w:rsidRDefault="002530E2">
            <w:pPr>
              <w:spacing w:after="0" w:line="276" w:lineRule="auto"/>
            </w:pPr>
            <w:r>
              <w:rPr>
                <w:sz w:val="18"/>
                <w:szCs w:val="18"/>
              </w:rPr>
              <w:t>PROPHET’S CONVERSION</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3817FD3" w14:textId="77777777" w:rsidR="002530E2" w:rsidRDefault="002530E2">
            <w:pPr>
              <w:spacing w:after="0" w:line="276" w:lineRule="auto"/>
            </w:pPr>
            <w:r>
              <w:rPr>
                <w:sz w:val="18"/>
                <w:szCs w:val="18"/>
              </w:rPr>
              <w:t>Prophet Muhammad converted about 100 non-Muslim people to Islam in Mecca.</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A117714" w14:textId="77777777" w:rsidR="002530E2" w:rsidRDefault="002530E2">
            <w:pPr>
              <w:spacing w:after="0" w:line="276" w:lineRule="auto"/>
            </w:pPr>
            <w:r>
              <w:rPr>
                <w:sz w:val="18"/>
                <w:szCs w:val="18"/>
              </w:rPr>
              <w:t xml:space="preserve">History.com (2010) </w:t>
            </w:r>
          </w:p>
        </w:tc>
      </w:tr>
      <w:tr w:rsidR="002530E2" w14:paraId="799B881C"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CC8A1F2" w14:textId="77777777" w:rsidR="002530E2" w:rsidRDefault="002530E2">
            <w:pPr>
              <w:spacing w:after="0" w:line="276" w:lineRule="auto"/>
              <w:jc w:val="center"/>
            </w:pPr>
            <w:r>
              <w:rPr>
                <w:sz w:val="18"/>
                <w:szCs w:val="18"/>
              </w:rPr>
              <w:t>4</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7F97285" w14:textId="77777777" w:rsidR="002530E2" w:rsidRDefault="002530E2">
            <w:pPr>
              <w:spacing w:after="0" w:line="276" w:lineRule="auto"/>
            </w:pPr>
            <w:r>
              <w:rPr>
                <w:sz w:val="18"/>
                <w:szCs w:val="18"/>
              </w:rPr>
              <w:t>622 AD</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7AB153D" w14:textId="77777777" w:rsidR="002530E2" w:rsidRDefault="002530E2">
            <w:pPr>
              <w:spacing w:after="0" w:line="276" w:lineRule="auto"/>
            </w:pPr>
            <w:r>
              <w:rPr>
                <w:sz w:val="18"/>
                <w:szCs w:val="18"/>
              </w:rPr>
              <w:t>PROPHET’S MIGRATION</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95A6C1F" w14:textId="77777777" w:rsidR="002530E2" w:rsidRDefault="002530E2">
            <w:pPr>
              <w:spacing w:after="0" w:line="276" w:lineRule="auto"/>
            </w:pPr>
            <w:r>
              <w:rPr>
                <w:sz w:val="18"/>
                <w:szCs w:val="18"/>
              </w:rPr>
              <w:t>After fleeing enemies' persecution in Mecca, the Prophet Muhammad and his followers relocated to Medina on September 24, 622. This migration was named “Hijrah,” which is “the beginning of the Islamic calendar.”</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CF2CC7C" w14:textId="77777777" w:rsidR="002530E2" w:rsidRDefault="002530E2">
            <w:pPr>
              <w:spacing w:after="0" w:line="276" w:lineRule="auto"/>
            </w:pPr>
            <w:r>
              <w:rPr>
                <w:sz w:val="18"/>
                <w:szCs w:val="18"/>
              </w:rPr>
              <w:t xml:space="preserve">History.com (2010) and Ducksters.com (2022) </w:t>
            </w:r>
          </w:p>
        </w:tc>
      </w:tr>
      <w:tr w:rsidR="002530E2" w14:paraId="356C1A12"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EC19CEC" w14:textId="77777777" w:rsidR="002530E2" w:rsidRDefault="002530E2">
            <w:pPr>
              <w:spacing w:after="0" w:line="276" w:lineRule="auto"/>
              <w:jc w:val="center"/>
            </w:pPr>
            <w:r>
              <w:rPr>
                <w:sz w:val="18"/>
                <w:szCs w:val="18"/>
              </w:rPr>
              <w:t>5</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4ADE23A" w14:textId="77777777" w:rsidR="002530E2" w:rsidRDefault="002530E2">
            <w:pPr>
              <w:spacing w:after="0" w:line="276" w:lineRule="auto"/>
            </w:pPr>
            <w:r>
              <w:rPr>
                <w:sz w:val="18"/>
                <w:szCs w:val="18"/>
              </w:rPr>
              <w:t>6th century</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DCC9267" w14:textId="77777777" w:rsidR="002530E2" w:rsidRDefault="002530E2">
            <w:pPr>
              <w:spacing w:after="0" w:line="276" w:lineRule="auto"/>
            </w:pPr>
            <w:r>
              <w:rPr>
                <w:sz w:val="18"/>
                <w:szCs w:val="18"/>
              </w:rPr>
              <w:t>FIRST ARABIC QURAN</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C195043" w14:textId="77777777" w:rsidR="002530E2" w:rsidRDefault="002530E2">
            <w:pPr>
              <w:spacing w:after="0" w:line="276" w:lineRule="auto"/>
            </w:pPr>
            <w:r>
              <w:rPr>
                <w:sz w:val="18"/>
                <w:szCs w:val="18"/>
              </w:rPr>
              <w:t>The original Quranic data dates from the time of Muhammad, and the Rashidun Caliphs.</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228E1D2" w14:textId="77777777" w:rsidR="002530E2" w:rsidRDefault="002530E2">
            <w:pPr>
              <w:spacing w:after="0" w:line="276" w:lineRule="auto"/>
            </w:pPr>
            <w:r>
              <w:rPr>
                <w:sz w:val="18"/>
                <w:szCs w:val="18"/>
              </w:rPr>
              <w:t>Khan Academy, (2018) and Wikipedia contributors (2018)</w:t>
            </w:r>
          </w:p>
        </w:tc>
      </w:tr>
      <w:tr w:rsidR="002530E2" w14:paraId="09A5E906"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F30E3C8" w14:textId="77777777" w:rsidR="002530E2" w:rsidRDefault="002530E2">
            <w:pPr>
              <w:spacing w:after="0" w:line="276" w:lineRule="auto"/>
              <w:jc w:val="center"/>
            </w:pPr>
            <w:r>
              <w:rPr>
                <w:sz w:val="18"/>
                <w:szCs w:val="18"/>
              </w:rPr>
              <w:t>6</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19F2ED2" w14:textId="77777777" w:rsidR="002530E2" w:rsidRDefault="002530E2">
            <w:pPr>
              <w:spacing w:after="0" w:line="276" w:lineRule="auto"/>
            </w:pPr>
            <w:r>
              <w:rPr>
                <w:sz w:val="18"/>
                <w:szCs w:val="18"/>
              </w:rPr>
              <w:t>613 AD</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2D40CDA" w14:textId="77777777" w:rsidR="002530E2" w:rsidRDefault="002530E2">
            <w:pPr>
              <w:spacing w:after="0" w:line="276" w:lineRule="auto"/>
            </w:pPr>
            <w:r>
              <w:rPr>
                <w:sz w:val="18"/>
                <w:szCs w:val="18"/>
              </w:rPr>
              <w:t>PROPHET PREACHING SHAHADA</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BFDC384" w14:textId="77777777" w:rsidR="002530E2" w:rsidRDefault="002530E2">
            <w:pPr>
              <w:spacing w:after="0" w:line="276" w:lineRule="auto"/>
            </w:pPr>
            <w:r>
              <w:rPr>
                <w:sz w:val="18"/>
                <w:szCs w:val="18"/>
              </w:rPr>
              <w:t>Mohammed began preaching the Shahada (oneness of God; that there is no other god that exists but only Allah) to Muslims, which he received from God through Archangel Gabriel.</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1425AE6" w14:textId="77777777" w:rsidR="002530E2" w:rsidRDefault="002530E2">
            <w:pPr>
              <w:spacing w:after="0" w:line="276" w:lineRule="auto"/>
            </w:pPr>
            <w:r>
              <w:rPr>
                <w:sz w:val="18"/>
                <w:szCs w:val="18"/>
              </w:rPr>
              <w:t xml:space="preserve">History.com (2018), and Wikipedia contributors (2022) </w:t>
            </w:r>
          </w:p>
        </w:tc>
      </w:tr>
      <w:tr w:rsidR="002530E2" w14:paraId="02BC36BE"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CE938E3" w14:textId="77777777" w:rsidR="002530E2" w:rsidRDefault="002530E2">
            <w:pPr>
              <w:spacing w:after="0" w:line="276" w:lineRule="auto"/>
              <w:jc w:val="center"/>
            </w:pPr>
            <w:r>
              <w:rPr>
                <w:sz w:val="18"/>
                <w:szCs w:val="18"/>
              </w:rPr>
              <w:t>7</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A382EA9" w14:textId="77777777" w:rsidR="002530E2" w:rsidRDefault="002530E2">
            <w:pPr>
              <w:spacing w:after="0" w:line="276" w:lineRule="auto"/>
            </w:pPr>
            <w:r>
              <w:rPr>
                <w:sz w:val="18"/>
                <w:szCs w:val="18"/>
              </w:rPr>
              <w:t xml:space="preserve">7th century </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862ED33" w14:textId="77777777" w:rsidR="002530E2" w:rsidRDefault="002530E2">
            <w:pPr>
              <w:spacing w:after="0" w:line="276" w:lineRule="auto"/>
            </w:pPr>
            <w:r>
              <w:rPr>
                <w:sz w:val="18"/>
                <w:szCs w:val="18"/>
              </w:rPr>
              <w:t xml:space="preserve">ISLAM SPREADS </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6329545" w14:textId="77777777" w:rsidR="002530E2" w:rsidRDefault="002530E2">
            <w:pPr>
              <w:spacing w:after="0" w:line="276" w:lineRule="auto"/>
            </w:pPr>
            <w:r>
              <w:rPr>
                <w:sz w:val="18"/>
                <w:szCs w:val="18"/>
              </w:rPr>
              <w:t xml:space="preserve">Islam promulgated in the Arab region by Muhammad. </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D954672" w14:textId="77777777" w:rsidR="002530E2" w:rsidRDefault="002530E2">
            <w:pPr>
              <w:spacing w:after="0" w:line="276" w:lineRule="auto"/>
            </w:pPr>
            <w:r>
              <w:rPr>
                <w:sz w:val="18"/>
                <w:szCs w:val="18"/>
              </w:rPr>
              <w:t>Schimmel, Rahman, and Mahdi (2021)</w:t>
            </w:r>
          </w:p>
        </w:tc>
      </w:tr>
      <w:tr w:rsidR="002530E2" w14:paraId="041ECA9D"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98CDAC3" w14:textId="77777777" w:rsidR="002530E2" w:rsidRDefault="002530E2">
            <w:pPr>
              <w:spacing w:after="0" w:line="276" w:lineRule="auto"/>
              <w:jc w:val="center"/>
            </w:pPr>
            <w:r>
              <w:rPr>
                <w:sz w:val="18"/>
                <w:szCs w:val="18"/>
              </w:rPr>
              <w:t>8</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BB1261B" w14:textId="77777777" w:rsidR="002530E2" w:rsidRDefault="002530E2">
            <w:pPr>
              <w:spacing w:after="0" w:line="276" w:lineRule="auto"/>
            </w:pPr>
            <w:r>
              <w:rPr>
                <w:sz w:val="18"/>
                <w:szCs w:val="18"/>
              </w:rPr>
              <w:t>632 AD</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60FE4A4" w14:textId="77777777" w:rsidR="002530E2" w:rsidRDefault="002530E2">
            <w:pPr>
              <w:spacing w:after="0" w:line="276" w:lineRule="auto"/>
            </w:pPr>
            <w:r>
              <w:rPr>
                <w:sz w:val="18"/>
                <w:szCs w:val="18"/>
              </w:rPr>
              <w:t>PROPHET’S DEMISE</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AC34876" w14:textId="77777777" w:rsidR="002530E2" w:rsidRDefault="002530E2">
            <w:pPr>
              <w:spacing w:after="0" w:line="276" w:lineRule="auto"/>
            </w:pPr>
            <w:r>
              <w:rPr>
                <w:sz w:val="18"/>
                <w:szCs w:val="18"/>
              </w:rPr>
              <w:t>Muhammad passed away in Medina, Hejaz, Arabia (presently Arabia is Saudi Arabia) on Monday, 12 Rabi' al-Awwal 11 AH (8 June 632 CE or 632 AD).</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0BFAB62" w14:textId="77777777" w:rsidR="002530E2" w:rsidRDefault="002530E2">
            <w:pPr>
              <w:spacing w:after="0" w:line="276" w:lineRule="auto"/>
            </w:pPr>
            <w:r>
              <w:rPr>
                <w:sz w:val="18"/>
                <w:szCs w:val="18"/>
              </w:rPr>
              <w:t>Wikipedia contributors (2022)</w:t>
            </w:r>
          </w:p>
        </w:tc>
      </w:tr>
      <w:tr w:rsidR="002530E2" w14:paraId="13314CEB"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C4F8DD4" w14:textId="77777777" w:rsidR="002530E2" w:rsidRDefault="002530E2">
            <w:pPr>
              <w:spacing w:after="0" w:line="276" w:lineRule="auto"/>
              <w:jc w:val="center"/>
            </w:pPr>
            <w:r>
              <w:rPr>
                <w:sz w:val="18"/>
                <w:szCs w:val="18"/>
              </w:rPr>
              <w:t>9</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300B89D" w14:textId="77777777" w:rsidR="002530E2" w:rsidRDefault="002530E2">
            <w:pPr>
              <w:spacing w:after="0" w:line="276" w:lineRule="auto"/>
            </w:pPr>
            <w:r>
              <w:rPr>
                <w:sz w:val="18"/>
                <w:szCs w:val="18"/>
              </w:rPr>
              <w:t xml:space="preserve">9th century </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DB71429" w14:textId="77777777" w:rsidR="002530E2" w:rsidRDefault="002530E2">
            <w:pPr>
              <w:spacing w:after="0" w:line="276" w:lineRule="auto"/>
            </w:pPr>
            <w:r>
              <w:rPr>
                <w:sz w:val="18"/>
                <w:szCs w:val="18"/>
              </w:rPr>
              <w:t>FIRST BOOK OF HADITH COMPILED</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38D3A6C" w14:textId="77777777" w:rsidR="002530E2" w:rsidRDefault="002530E2">
            <w:pPr>
              <w:spacing w:after="0" w:line="276" w:lineRule="auto"/>
            </w:pPr>
            <w:r>
              <w:rPr>
                <w:sz w:val="18"/>
                <w:szCs w:val="18"/>
              </w:rPr>
              <w:t>Muḥammad ibn Ismail al-Bukhari (Persian scholar) compiled and published Sahih al-Bukhari, with 7,000 hadiths broken into 97 chapters 846 AD/232 Hijri (9th century).</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C06FD53" w14:textId="77777777" w:rsidR="002530E2" w:rsidRDefault="002530E2">
            <w:pPr>
              <w:spacing w:after="0" w:line="276" w:lineRule="auto"/>
            </w:pPr>
            <w:r>
              <w:rPr>
                <w:sz w:val="18"/>
                <w:szCs w:val="18"/>
              </w:rPr>
              <w:t>Khan (2020), Gulf times (2021) and Wikipedia contributors (2022)</w:t>
            </w:r>
          </w:p>
        </w:tc>
      </w:tr>
      <w:tr w:rsidR="002530E2" w14:paraId="4511187E"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5609F32" w14:textId="77777777" w:rsidR="002530E2" w:rsidRDefault="002530E2">
            <w:pPr>
              <w:spacing w:after="0" w:line="276" w:lineRule="auto"/>
              <w:jc w:val="center"/>
            </w:pPr>
            <w:r>
              <w:rPr>
                <w:sz w:val="18"/>
                <w:szCs w:val="18"/>
              </w:rPr>
              <w:lastRenderedPageBreak/>
              <w:t>10</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6C83A79" w14:textId="77777777" w:rsidR="002530E2" w:rsidRDefault="002530E2">
            <w:pPr>
              <w:spacing w:after="0" w:line="276" w:lineRule="auto"/>
            </w:pPr>
            <w:r>
              <w:rPr>
                <w:sz w:val="18"/>
                <w:szCs w:val="18"/>
              </w:rPr>
              <w:t>1649</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A7810B9" w14:textId="77777777" w:rsidR="002530E2" w:rsidRDefault="002530E2">
            <w:pPr>
              <w:spacing w:after="0" w:line="276" w:lineRule="auto"/>
            </w:pPr>
            <w:r>
              <w:rPr>
                <w:sz w:val="18"/>
                <w:szCs w:val="18"/>
              </w:rPr>
              <w:t>FIRST ENGLISH TRANSLATION OF QURAN</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B2637BD" w14:textId="77777777" w:rsidR="002530E2" w:rsidRDefault="002530E2">
            <w:pPr>
              <w:spacing w:after="0" w:line="276" w:lineRule="auto"/>
            </w:pPr>
            <w:r>
              <w:rPr>
                <w:sz w:val="18"/>
                <w:szCs w:val="18"/>
              </w:rPr>
              <w:t>First English translation of the original Arabic Quran by Alexander Ross in the 16th century.</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4351FC8" w14:textId="77777777" w:rsidR="002530E2" w:rsidRDefault="002530E2">
            <w:pPr>
              <w:spacing w:after="0" w:line="276" w:lineRule="auto"/>
            </w:pPr>
            <w:r>
              <w:rPr>
                <w:sz w:val="18"/>
                <w:szCs w:val="18"/>
              </w:rPr>
              <w:t>Wélé (2020) and Quran12-21.org (2020)</w:t>
            </w:r>
          </w:p>
        </w:tc>
      </w:tr>
      <w:tr w:rsidR="002530E2" w14:paraId="662E57D3" w14:textId="77777777">
        <w:tc>
          <w:tcPr>
            <w:tcW w:w="45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BE575A3" w14:textId="77777777" w:rsidR="002530E2" w:rsidRDefault="002530E2">
            <w:pPr>
              <w:spacing w:after="0" w:line="276" w:lineRule="auto"/>
              <w:jc w:val="center"/>
            </w:pPr>
            <w:r>
              <w:rPr>
                <w:sz w:val="18"/>
                <w:szCs w:val="18"/>
              </w:rPr>
              <w:t>11</w:t>
            </w:r>
          </w:p>
        </w:tc>
        <w:tc>
          <w:tcPr>
            <w:tcW w:w="10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CDEBC36" w14:textId="77777777" w:rsidR="002530E2" w:rsidRDefault="002530E2">
            <w:pPr>
              <w:spacing w:after="0" w:line="276" w:lineRule="auto"/>
            </w:pPr>
            <w:r>
              <w:rPr>
                <w:sz w:val="18"/>
                <w:szCs w:val="18"/>
              </w:rPr>
              <w:t>1734</w:t>
            </w:r>
          </w:p>
        </w:tc>
        <w:tc>
          <w:tcPr>
            <w:tcW w:w="1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7E76731" w14:textId="77777777" w:rsidR="002530E2" w:rsidRDefault="002530E2">
            <w:pPr>
              <w:spacing w:after="0" w:line="276" w:lineRule="auto"/>
            </w:pPr>
            <w:r>
              <w:rPr>
                <w:sz w:val="18"/>
                <w:szCs w:val="18"/>
              </w:rPr>
              <w:t>SECOND ENGLISH TRANSLATION OF QURAN</w:t>
            </w:r>
          </w:p>
        </w:tc>
        <w:tc>
          <w:tcPr>
            <w:tcW w:w="33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36E9B24" w14:textId="77777777" w:rsidR="002530E2" w:rsidRDefault="002530E2">
            <w:pPr>
              <w:spacing w:after="0" w:line="276" w:lineRule="auto"/>
            </w:pPr>
            <w:r>
              <w:rPr>
                <w:sz w:val="18"/>
                <w:szCs w:val="18"/>
              </w:rPr>
              <w:t>Second English translation of the original Arabic Quran by George Sale was published in the 17th century.</w:t>
            </w:r>
          </w:p>
        </w:tc>
        <w:tc>
          <w:tcPr>
            <w:tcW w:w="26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54293D7" w14:textId="77777777" w:rsidR="002530E2" w:rsidRDefault="002530E2">
            <w:pPr>
              <w:spacing w:after="0" w:line="276" w:lineRule="auto"/>
            </w:pPr>
            <w:r>
              <w:rPr>
                <w:sz w:val="18"/>
                <w:szCs w:val="18"/>
              </w:rPr>
              <w:t>Wélé (2020) and Quran12-21.org (2020)</w:t>
            </w:r>
          </w:p>
        </w:tc>
      </w:tr>
    </w:tbl>
    <w:p w14:paraId="1AEC26C0" w14:textId="77777777" w:rsidR="002530E2" w:rsidRDefault="002530E2">
      <w:pPr>
        <w:pStyle w:val="Heading4"/>
        <w:rPr>
          <w:color w:val="000000"/>
        </w:rPr>
      </w:pPr>
      <w:bookmarkStart w:id="191" w:name="_1x12ij6zzgdf" w:colFirst="0" w:colLast="0"/>
      <w:bookmarkEnd w:id="191"/>
      <w:r>
        <w:t>Table [Appendix (CHP:3) 002] 1: Key Islamic Dates (table suggested by author of this study based on various data sources).</w:t>
      </w:r>
    </w:p>
    <w:p w14:paraId="70975935" w14:textId="77777777" w:rsidR="002530E2" w:rsidRDefault="002530E2">
      <w:pPr>
        <w:pStyle w:val="Heading1"/>
        <w:spacing w:before="0"/>
      </w:pPr>
      <w:bookmarkStart w:id="192" w:name="_is2b5cpk7iau" w:colFirst="0" w:colLast="0"/>
      <w:bookmarkEnd w:id="192"/>
    </w:p>
    <w:p w14:paraId="79462EB3" w14:textId="77777777" w:rsidR="002530E2" w:rsidRDefault="002530E2">
      <w:pPr>
        <w:pStyle w:val="Heading1"/>
        <w:spacing w:before="0"/>
      </w:pPr>
      <w:bookmarkStart w:id="193" w:name="_r6dtlhx16lqw" w:colFirst="0" w:colLast="0"/>
      <w:bookmarkEnd w:id="193"/>
      <w:r>
        <w:t>MUSLIM</w:t>
      </w:r>
    </w:p>
    <w:p w14:paraId="147A9153" w14:textId="77777777" w:rsidR="002530E2" w:rsidRDefault="002530E2">
      <w:r>
        <w:t xml:space="preserve">The term "Muslims" refers to the adherents or followers of the Islamic faith. Muslims are individuals who believe in and practise Islam, following its teachings, principles, and rituals. They consider themselves part of the global Muslim community, known as the ummah, and strive to live their lives in accordance with Islamic beliefs and values. The term "Muslim" comes from the Arabic word "Muslimun," which means "one who submits" or "one who surrenders to God." </w:t>
      </w:r>
    </w:p>
    <w:p w14:paraId="3D25E037" w14:textId="77777777" w:rsidR="002530E2" w:rsidRDefault="002530E2">
      <w:r>
        <w:t>According to Schimmel, Rahman, and Mahdi (2021), the term “Muslim” means a believer in Islam. History.com (2018) refers to Muslims as the followers of Islam. The various other definitions of Muslim are: “Believing in and practising Islam; connected with the religion of Islam.” (The Oxford Learners’ English Dictionaries, 2022); “a person who follows the religion of Islam.” (The Cambridge English Dictionary, 2022); “a follower of the religion of Islam.” (Lexico English Dictionaries, 2022); “an adherent of Islam.” (Dictionary.com, 2022). Schimmel, Rahman, and Mahdi (2021) emphasise that all Muslims have a sense of belonging to one single community, despite the fact that there have been many sectarian movements in Islam.</w:t>
      </w:r>
    </w:p>
    <w:p w14:paraId="71176742" w14:textId="77777777" w:rsidR="002530E2" w:rsidRDefault="002530E2">
      <w:r>
        <w:t xml:space="preserve">According to Esposito (1988), although Islam is often viewed historically as a 7th century religion promulgated by the prophet Muhammad, and its origins are validated by God's divine revelation in the Quran around 570–632 AD, Muslims do not regard Islam as a more recent or new religion to them. According to Muslims, Allah (the Islamic God in Arabic) is the same God who revealed himself to previous prophets such as Abraham, Moses, and Jesus, so Jews, Christians, and Muslims follow the same God, and their ancestor's name was Abraham, suggesting that they are all descendants of the same God. The Quranic revelation is regarded as the final and complete revelation of God to all people by Muslims. </w:t>
      </w:r>
    </w:p>
    <w:p w14:paraId="29E1418B" w14:textId="77777777" w:rsidR="002530E2" w:rsidRDefault="002530E2">
      <w:r>
        <w:t xml:space="preserve">Esposito (1988) explains that the central fact or fundamental principle of the Muslim experience is Allah, the God of the Quran, and the believer's overwhelming concern. Muslims take their God as one and transcendent, which means the experience lies or extends beyond the limits of ordinary experience and is the creator and sustainer of the universe. The nature of a Muslim is that he or she submits to God as a servant to God, and this is rooted in the belief that Islam means submission (the submission to God or Allah's will). Muslims seek guidance first from Allah's word (The Quran), then from examples of the prophetic living model Muhammad's words and deeds (Hadith), and finally </w:t>
      </w:r>
      <w:r>
        <w:lastRenderedPageBreak/>
        <w:t xml:space="preserve">from Islamic Law (Shariah). A Muslim observes the five pillars of Islam throughout his life. The five pillars guide the Muslim way of life, through rituals and traditions, all of which cover the Islamic culture. The divinely mandated missions assigned to Muslims are both communal and individual. In the same way that all humanity is called to worship and serve the one true God, the Islamic state or community (ummah) is the dynamic vehicle for achieving God's will. </w:t>
      </w:r>
    </w:p>
    <w:p w14:paraId="419C40FF" w14:textId="77777777" w:rsidR="002530E2" w:rsidRDefault="002530E2">
      <w:r>
        <w:t>Quran also talks about how Muslims are commanded by Allah to exclusively worship him in Islam in verse 56 of Surah Adh-Dhariyat, as presented below via Quran.com (2022):</w:t>
      </w:r>
    </w:p>
    <w:p w14:paraId="227645C3" w14:textId="77777777" w:rsidR="002530E2" w:rsidRDefault="002530E2">
      <w:pPr>
        <w:spacing w:line="276" w:lineRule="auto"/>
        <w:jc w:val="center"/>
        <w:rPr>
          <w:i/>
        </w:rPr>
      </w:pPr>
      <w:r>
        <w:rPr>
          <w:i/>
        </w:rPr>
        <w:t>“I created Jinn and mankind only to worship Me.”</w:t>
      </w:r>
    </w:p>
    <w:p w14:paraId="2E5F1C7D" w14:textId="77777777" w:rsidR="002530E2" w:rsidRDefault="002530E2">
      <w:pPr>
        <w:spacing w:after="0" w:line="276" w:lineRule="auto"/>
        <w:jc w:val="center"/>
      </w:pPr>
      <w:r>
        <w:t>[Quran (Abdul Haleem): Chapter 51: Adh-Dhariyat, Verse 56]</w:t>
      </w:r>
    </w:p>
    <w:p w14:paraId="11D4A84D" w14:textId="77777777" w:rsidR="002530E2" w:rsidRDefault="002530E2">
      <w:pPr>
        <w:spacing w:after="0" w:line="276" w:lineRule="auto"/>
        <w:jc w:val="center"/>
        <w:rPr>
          <w:sz w:val="2"/>
          <w:szCs w:val="2"/>
        </w:rPr>
      </w:pPr>
    </w:p>
    <w:p w14:paraId="264950FD" w14:textId="77777777" w:rsidR="002530E2" w:rsidRDefault="002530E2">
      <w:r>
        <w:t>Esposito (1988) points out that the Muslim community or Muslims today are divided into two major groups as a result of an early dispute about succession to Muhammad's leadership; the Sunni Muslims, which constitutes 85% of the Muslim population, and the Shia Muslims, found in various parts of the globe.</w:t>
      </w:r>
    </w:p>
    <w:p w14:paraId="65B4CA88" w14:textId="77777777" w:rsidR="002530E2" w:rsidRDefault="002530E2">
      <w:r>
        <w:t xml:space="preserve">GotQuestions.org contributors (2014) conclude that there are common misconceptions and stereotypes about the Middle East: that all Arabs in the Middle East are predominantly Muslims, and that the region has a majority of Muslims, which is not true. And all Muslims are not Arabs either. While Muslims constitute the vast majority of Arabs, there are many non-Muslim Arabs as well. It is observed that not all Arabs despise Jews, not all Muslims hate Jews, and not all Jews despise Arabs and Muslims. </w:t>
      </w:r>
    </w:p>
    <w:p w14:paraId="63CAAE54" w14:textId="77777777" w:rsidR="002530E2" w:rsidRDefault="002530E2">
      <w:pPr>
        <w:pStyle w:val="Heading1"/>
      </w:pPr>
      <w:bookmarkStart w:id="194" w:name="_ob9ioge3tcdh" w:colFirst="0" w:colLast="0"/>
      <w:bookmarkEnd w:id="194"/>
      <w:r>
        <w:t>QURAN</w:t>
      </w:r>
    </w:p>
    <w:p w14:paraId="718EAE12" w14:textId="77777777" w:rsidR="002530E2" w:rsidRDefault="002530E2">
      <w:r>
        <w:t>The Quran was revealed in Arabic by the Islamic God “Allah” through the Archangel Gabriel to Muhammad, the Islamic Prophet regarded by Muslims as the sacred word of God (BBC, 2011). Sinai and Ringgren (2007) refer to the Quran and Koran as the sacred Islamic scripture which was revealed to the Prophet Muhammad by the angel Gabriel in the towns of Mecca and Medina between the periods of 610 AD and 632 AD. The various other definitions of the Quran are: “the holy book of the Islamic religion, written in Arabic, containing the word of Allah as revealed to the Prophet Muhammad.” (The Oxford Learners’ English Dictionaries, 2022); “the holy book of the Islamic religion.” (The Cambridge English Dictionary, 2022); “The Islamic sacred book, believed to be the word of God as dictated to Muhammad by the archangel Gabriel and written down in Arabic, consists of 114 units of varying lengths, known as suras or verses; the first sura is recited as part of the ritual prayer and these verses touch upon all aspects of human existence, including matters of doctrine, social organisation, and legislation.” (Lexico English Dictionaries, 2022); “the sacred text of Islam, divided into 114 chapters, or suras; revered as the word of God, dictated to Muhammad by the archangel Gabriel, and accepted as the foundation of Islamic law, religion, culture, and politics.” (Dictionary.com, 2022).</w:t>
      </w:r>
    </w:p>
    <w:p w14:paraId="09B8D56A" w14:textId="77777777" w:rsidR="002530E2" w:rsidRDefault="002530E2">
      <w:r>
        <w:t xml:space="preserve">​​Atwell and Sharaf (2009) in their research, “The Quran Annotation for Text Mining”, assert that the Quran is the religious book with conceptual text for Muslims and represents the religion of Islam. Muslims believe that the Quran is the word of God, which was revealed to the prophet Muhammad about 1443 years ago in the Arabic language. The Quran claims to have answers to all humankind's problems and is free from contradictions and discrepancies. The Quran is unique and, in various </w:t>
      </w:r>
      <w:r>
        <w:lastRenderedPageBreak/>
        <w:t xml:space="preserve">places, it has challenged mankind to author such a book or a chapter which would resemble the Quran in content, style, and form. The Quran has 114 chapters (called “Surahs”). Each chapter contains verses (called “ayat”) and totals 6200 verses. The Quranic chapters and verses vary in their size and word count, which totals around 77,000 words. </w:t>
      </w:r>
    </w:p>
    <w:p w14:paraId="12DFF424" w14:textId="77777777" w:rsidR="002530E2" w:rsidRDefault="002530E2">
      <w:r>
        <w:t>The Quran was later on documented and written by Quranic scholars over the course of 15 centuries, and the most distinguishing feature of the book in Arabic is that it remains the same throughout all copies of the Quran available on Earth, with the exception of their interpretation, which varies slightly from author to author, who presents the most meaningful understanding of classical Arabic literature. The Quran was revealed to Prophet Muhammad in his lifetime over 23 years. At the age of 40, the first verse was revealed to him in Mecca, a city in Saudi Arabia. During that time in Mecca, where the people had general polytheistic beliefs, the Quranic preaching by Prophet Muhammad emphasised the one God concept and differed from "polytheism" (i.e., the belief of multiple deities, gods and goddesses, along with their own mythologies and rituals). A large number of people opposed this Islam initially, but gradually they became believers. Prophet Muhammad continued the preaching of the Quran for 13 years in the city of Mecca. And eventually, Islam expanded to other tribes than Mecca, like in Medina and other nearby cities. The Quranic verses lay emphasis on founding the Islamic laws, code of conduct and ethics, values, laws related to family, relationships, and marriage, financial dealings, and relationships between Islam and Muslims with other religions existing worldwide.</w:t>
      </w:r>
    </w:p>
    <w:p w14:paraId="34A5B822" w14:textId="77777777" w:rsidR="002530E2" w:rsidRDefault="002530E2">
      <w:r>
        <w:t>According to Mawdudi (2016) and Ansari (2020), the Quran is a foundation and mainstay of Islamic faith, life, and culture. The Qur'an gave the Muslims their distinct worldview and vision of life. Historically speaking, the Quran performed the great feat of transforming a motley group of warring tribes of seventh-century Arabia into the Muslim ummah, which soon developed into a dynamic world community with a message for humanity at large. It not only fashioned the historical personality of the Muslims but also remained the main source of their inspiration and guidance throughout the fourteen centuries of their history. The Quran encompasses the totality of God’s revelation to the prophet Muhammad, the last in the distinguished series of prophets raised for mankind’s guidance. The uniqueness of the Quran lies in its being the final revelation.</w:t>
      </w:r>
    </w:p>
    <w:p w14:paraId="5495CCE3" w14:textId="77777777" w:rsidR="002530E2" w:rsidRDefault="002530E2">
      <w:r>
        <w:t xml:space="preserve">The original Quranic data dates from the time of Muhammad, the Islamic prophet, and the Rashidun Caliphs in the 6th century CE (13 BH – 23 AH), but the English translation was not available until the 16th century (wiki, 2018 and khanacademy.org, 2018). According to Wélé (2020) and Quran12-21.org (2020), the first English translation of the original Arabic Quran was by Alexander Ross in 1649 (16th century), and the second English translation of the original Arabic Quran by George Sale was published in 1734 (17th century). From Kidwai (2017), it is learnt that Alexander Ross (1592–1654) was not literate in the Arabic language despite having first translated the Quran into the English language and that George Sale (1697–1736), who was second to have translated the Quran into the English language, had Arabic literacy and was a Christian church minister by his occupation. </w:t>
      </w:r>
    </w:p>
    <w:p w14:paraId="11E206D2" w14:textId="77777777" w:rsidR="002530E2" w:rsidRDefault="002530E2">
      <w:r>
        <w:t xml:space="preserve">This study analysed the Quranic data in English meaning and translation in the published edition of the year 1991 by Khan and Al-Hilali (1991). The data resource of the Quran has 978 pages titled “Translation of the Meanings of the Noble Quran in the English Language by Dr.Muhammad Taqi-ud-Din Al-Hilali and Dr.Muhammad Muhsin Khan” in PDF format, downloaded from The Internet Archive via archive.org. Additionally, the Quranic meaning in English of the original version was downloaded from kalamullah.com for additional research analysis. This study found that the English translation of the Quran has 114 chapters (Surahs), 6,236 verses (or ayats), with 207,880 words, 1,146,278 </w:t>
      </w:r>
      <w:r>
        <w:lastRenderedPageBreak/>
        <w:t>characters, and 481 pages in the data source PDF. The data collection source is certified by the highest religious linguistic authority of the Kingdom of Saudi Arabia, the centre of Islam, with Mecca, Mena, and Medina as prominent religious places for Muslims.</w:t>
      </w:r>
    </w:p>
    <w:p w14:paraId="272C5E6A" w14:textId="77777777" w:rsidR="002530E2" w:rsidRDefault="002530E2">
      <w:pPr>
        <w:pStyle w:val="Heading1"/>
      </w:pPr>
      <w:bookmarkStart w:id="195" w:name="_tcdcotsouxm7" w:colFirst="0" w:colLast="0"/>
      <w:bookmarkEnd w:id="195"/>
      <w:r>
        <w:t>HADITH</w:t>
      </w:r>
    </w:p>
    <w:p w14:paraId="6C2EBDDB" w14:textId="77777777" w:rsidR="002530E2" w:rsidRDefault="002530E2">
      <w:r>
        <w:t>Hadith is an authentic source of religious literature considered as recordings of anecdotes of Muhammad (Prophet). It is basically the sayings of Muhammad (Prophet) based on his words, actions, or habits of the Islamic life he led, which are recorded by a few scholars in the form of a Hadith (reported by various companions of Prophet Muhammad in his lifetime). The various other definitions of Hadith are: “a text containing things said by Muhammad and descriptions of his daily life, used by Muslims as a spiritual guide.” (The Oxford Learners’ English Dictionaries, 2022); “a collection of traditions containing sayings of the prophet Muhammad which, with accounts of his daily practise (the Sunna), constitute the major source of guidance for Muslims apart from the Koran.” (Lexico English Dictionaries, 2022); “a traditional account of things said or done by Muhammad or his companions, or the entire body of such accounts.” (Dictionary.com, 2022).</w:t>
      </w:r>
    </w:p>
    <w:p w14:paraId="583660FC" w14:textId="77777777" w:rsidR="002530E2" w:rsidRDefault="002530E2">
      <w:r>
        <w:t>According to Alamy (2015), “Hadith are sayings, acts or tacit approval, validly or invalidly, ascribed to the Islamic prophet Muhammad.” There are Sunni and Shia categories in the Hadith collections. The Hadith types are mainly three types: authentic Hadith, weak Hadith (as declared but not considered fabricated), and fabricated Hadith. Mainly Sunni Muslims consider the following two Hadith, referred to as the Two Sahihs, as an indication of their authenticity and trusted collections of Hadith. These are Sahih al-Bukhari (which contains 7275 aHadith, Hadith compiled by the Persian Muslim scholar Muhammad ibn Ismail al-Bukhari) and Sahih Muslim (which contains 9200 Hadith compiled by Muslim ibn al-Hajjaj). The other four important Hadith, which are also considered important in their order of authenticity, are: Sunan al-Sughra (Hadith collected by al-Nasa'i); Sunan Abu Dawood (Hadith collected by Abu Dawood); Jami al-Tirmidhi (Hadith collected by al-Tirmidhi); and Sunan ibn Majah (Hadith collected by Ibn Majah).</w:t>
      </w:r>
    </w:p>
    <w:p w14:paraId="39338913" w14:textId="77777777" w:rsidR="002530E2" w:rsidRDefault="002530E2">
      <w:r>
        <w:t xml:space="preserve">According to Khan (2020), Gulf Times (2021) and Wikipedia contributors (2022), Muammad ibn Ismail al-Bukhari, a Persian scholar, compiled and published 7,000 hadiths broken into 97 chapters based on the teachings, sayings, traditions, and practises of the Islamic prophet Muhammad, around 846 AD/232 Hijri (9th century) and produced the Sahih al-Bukhari, which is one of the six major collections of hadith. The Hadith ‘Sahih al-Bukhari’ is regarded by the Islamic scholars as the most authentic Hadith in the form of a book. This study analysed the 9 volumes of the English translation of the meaning and interpretation of the Arabic corpus of Hadith ‘Sahih al-Bukhari’, which has 7,563 Hadith records. The Hadith ‘Sahih al-Bukhari’ in PDF was authored and translated by Dr. Muhammad Muhsin Khan (1997), Formerly Director, University Hospital at Islamic University, Al-Madina Al-Munawwara (Kingdom of Saudi Arabia). The data resource of the Hadith ‘Sahih al-Bukhari’ was in PDF format, downloaded from The Internet Archive via archive.org. The data source is certified by the highest religious linguistic authority of the Kingdom of Saudi Arabia, the centre of Islam, with Mecca, Mena, and Medina as prominent religious places for Muslims. </w:t>
      </w:r>
    </w:p>
    <w:p w14:paraId="091E7C77" w14:textId="77777777" w:rsidR="002530E2" w:rsidRDefault="002530E2">
      <w:pPr>
        <w:pStyle w:val="Heading1"/>
      </w:pPr>
      <w:bookmarkStart w:id="196" w:name="_b4jrw46ow3am" w:colFirst="0" w:colLast="0"/>
      <w:bookmarkEnd w:id="196"/>
      <w:r>
        <w:lastRenderedPageBreak/>
        <w:t>THE FIVE PILLARS OF ISLAM</w:t>
      </w:r>
    </w:p>
    <w:p w14:paraId="71999D8C" w14:textId="77777777" w:rsidR="002530E2" w:rsidRDefault="002530E2">
      <w:r>
        <w:t xml:space="preserve">The five pillars of Islam in Arabic are known as “Arkan al-Islam” (Encyclopaedia Britannica Editors, 2020). Knott (2016) points out that the five pillars of Islam represent the fundamental standards of Islamic practice. The five pillars of Islam are: “Shahada (or the declaration of faith);” “Salah (or prayer);” “Zakat (or almsgiving);” “Sawm (or fasting);” and “Hajj (or pilgrimage).” The concepts of Salah (or prayer), Zakat (or almsgiving), Sawm (or fasting), and Hajj (or pilgrimage) are briefly explained in the following paragraphs according to descriptions provided by Knott (2016) and other sources. </w:t>
      </w:r>
    </w:p>
    <w:p w14:paraId="2D3DE62B" w14:textId="77777777" w:rsidR="002530E2" w:rsidRDefault="002530E2">
      <w:r>
        <w:t xml:space="preserve">The Shahada (or the declaration of faith) is the first pillar of Islam, which Knott (2016) calls “the fundamental statement of faith and commitment made by Muslims,” and it is indeed a primary requirement of anyone becoming a Muslim to recite the Shahada three times in front of other Muslim witnesses. According to White (2009), the sacred Quranic script “There is no God but Allah, and Muhammad is his prophet” is a part of the Muslim Shahada, or declaration of faith. Of the five pillars of Islam, Shahada is the first and foremost significant pillar (Encyclopedia Britannica Editors, 2020). </w:t>
      </w:r>
    </w:p>
    <w:p w14:paraId="3AB3BF16" w14:textId="77777777" w:rsidR="002530E2" w:rsidRDefault="002530E2">
      <w:r>
        <w:t xml:space="preserve">The declaration of faith (or Shahada) is uniquely found on the national flag of Saudi Arabia. There are three case studies researched in this study which have relevance to the national flag of Saudi Arabia, thus some relevant information is provided here. Flagpedia.Net (2022), describes three elements of the Saudi Arabian flag: the Islamic Shahada in Arabic (saying, “There is no god but Allah and Mohammed is his prophet”); the sword below the Shahada (that commemorates the unification of the Kingdom under the leadership of Ibn Saud in the 12th century); and the green colour of the flag (which is classified as the colour of Wanhabis and Sunnis, although traditionally green is a colour closely associated with the early days of Islam). </w:t>
      </w:r>
    </w:p>
    <w:p w14:paraId="1CB68310" w14:textId="77777777" w:rsidR="002530E2" w:rsidRDefault="002530E2">
      <w:pPr>
        <w:spacing w:after="0"/>
        <w:jc w:val="center"/>
      </w:pPr>
      <w:r>
        <w:t>​</w:t>
      </w:r>
      <w:r>
        <w:rPr>
          <w:noProof/>
        </w:rPr>
        <w:drawing>
          <wp:inline distT="114300" distB="114300" distL="114300" distR="114300" wp14:anchorId="4C36873E" wp14:editId="62EF3953">
            <wp:extent cx="3324552" cy="2554560"/>
            <wp:effectExtent l="0" t="0" r="0" b="0"/>
            <wp:docPr id="1250956811" name="Picture 1250956811"/>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3324552" cy="2554560"/>
                    </a:xfrm>
                    <a:prstGeom prst="rect">
                      <a:avLst/>
                    </a:prstGeom>
                    <a:ln/>
                  </pic:spPr>
                </pic:pic>
              </a:graphicData>
            </a:graphic>
          </wp:inline>
        </w:drawing>
      </w:r>
    </w:p>
    <w:p w14:paraId="20CECF03" w14:textId="77777777" w:rsidR="002530E2" w:rsidRDefault="002530E2">
      <w:pPr>
        <w:pStyle w:val="Heading4"/>
        <w:spacing w:before="0"/>
      </w:pPr>
      <w:bookmarkStart w:id="197" w:name="_cb0pmdmolf25" w:colFirst="0" w:colLast="0"/>
      <w:bookmarkEnd w:id="197"/>
      <w:r>
        <w:lastRenderedPageBreak/>
        <w:t>Figure [Appendix (CHP:3) 002] 1: The Islamic Shahada in Arabic and English translation. Image credits: Duasrevival.com (2018) (Image artwork further verified by cross-checking image data at websites of The Islamic Society of Boston Cultural Centre (2021) and The Islamic Centre DC (2021).</w:t>
      </w:r>
    </w:p>
    <w:p w14:paraId="38E86388" w14:textId="77777777" w:rsidR="002530E2" w:rsidRDefault="002530E2">
      <w:pPr>
        <w:jc w:val="center"/>
      </w:pPr>
      <w:r>
        <w:rPr>
          <w:noProof/>
        </w:rPr>
        <w:drawing>
          <wp:inline distT="114300" distB="114300" distL="114300" distR="114300" wp14:anchorId="0E772343" wp14:editId="0B90695B">
            <wp:extent cx="3021380" cy="2014254"/>
            <wp:effectExtent l="0" t="0" r="0" b="0"/>
            <wp:docPr id="1774809256" name="Picture 1774809256"/>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3021380" cy="2014254"/>
                    </a:xfrm>
                    <a:prstGeom prst="rect">
                      <a:avLst/>
                    </a:prstGeom>
                    <a:ln/>
                  </pic:spPr>
                </pic:pic>
              </a:graphicData>
            </a:graphic>
          </wp:inline>
        </w:drawing>
      </w:r>
    </w:p>
    <w:p w14:paraId="463F3026" w14:textId="77777777" w:rsidR="002530E2" w:rsidRDefault="002530E2">
      <w:pPr>
        <w:pStyle w:val="Heading4"/>
        <w:keepNext w:val="0"/>
      </w:pPr>
      <w:bookmarkStart w:id="198" w:name="_y0ss9dbe86z7" w:colFirst="0" w:colLast="0"/>
      <w:bookmarkEnd w:id="198"/>
      <w:r>
        <w:t xml:space="preserve">Figure [Appendix (CHP:3) 002] 2: The Islamic Shahada in Arabic on the flag of Saudi Arabia. Image adapted from the web article “Flag of Saudi Arabia” by Flagpedia.net (2022). </w:t>
      </w:r>
    </w:p>
    <w:p w14:paraId="0126F02F" w14:textId="77777777" w:rsidR="002530E2" w:rsidRDefault="002530E2">
      <w:pPr>
        <w:pStyle w:val="Heading1"/>
        <w:jc w:val="center"/>
      </w:pPr>
      <w:bookmarkStart w:id="199" w:name="_y2defvchz40z" w:colFirst="0" w:colLast="0"/>
      <w:bookmarkEnd w:id="199"/>
      <w:r>
        <w:rPr>
          <w:noProof/>
        </w:rPr>
        <w:drawing>
          <wp:inline distT="114300" distB="114300" distL="114300" distR="114300" wp14:anchorId="3E267B63" wp14:editId="655848B3">
            <wp:extent cx="3445161" cy="2415866"/>
            <wp:effectExtent l="0" t="0" r="0" b="0"/>
            <wp:docPr id="1954459166" name="Picture 1954459166"/>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3445161" cy="2415866"/>
                    </a:xfrm>
                    <a:prstGeom prst="rect">
                      <a:avLst/>
                    </a:prstGeom>
                    <a:ln/>
                  </pic:spPr>
                </pic:pic>
              </a:graphicData>
            </a:graphic>
          </wp:inline>
        </w:drawing>
      </w:r>
    </w:p>
    <w:p w14:paraId="4DD8EE66" w14:textId="77777777" w:rsidR="002530E2" w:rsidRDefault="002530E2">
      <w:pPr>
        <w:pStyle w:val="Heading4"/>
      </w:pPr>
      <w:bookmarkStart w:id="200" w:name="_e50c30wpb6e5" w:colFirst="0" w:colLast="0"/>
      <w:bookmarkEnd w:id="200"/>
      <w:r>
        <w:t>Figure [Appendix (CHP:3) 002] 3: Saudi Arabia geographical location, image credit: Teitelbaum, Philby and Ochsenwald (2022) via Encyclopaedia Britannica (britannica.com).</w:t>
      </w:r>
    </w:p>
    <w:p w14:paraId="163EA928" w14:textId="77777777" w:rsidR="002530E2" w:rsidRDefault="002530E2">
      <w:r>
        <w:t xml:space="preserve">Knott (2016) explains that Salah (or prayer) is the five-times-a-day Islamic ritual prayer through which Muslims submit to Allah's will. The Friday congregational prayer (Jum'a) is a salah reserved for large groups of Muslims to gather and pray together, standing side by side, symbolising Islamic brotherhood and a sense of unity. </w:t>
      </w:r>
    </w:p>
    <w:p w14:paraId="7CEC2A43" w14:textId="77777777" w:rsidR="002530E2" w:rsidRDefault="002530E2">
      <w:r>
        <w:t xml:space="preserve">Knott (2016) adds that Zakat (or almsgiving) refers to a compulsory donation of a portion of a Muslim's surplus wealth. </w:t>
      </w:r>
    </w:p>
    <w:p w14:paraId="0B1E382A" w14:textId="77777777" w:rsidR="002530E2" w:rsidRDefault="002530E2">
      <w:r>
        <w:lastRenderedPageBreak/>
        <w:t xml:space="preserve">Knott (2016) refers to Sawm (or fasting), the 30-day fast between sunrise and sunset during the month of Ramadan. During Ramadan, Muslims refrain from eating or drinking, engaging in sexual activity, or smoking during daylight hours beginning at dawn and ending at sunset. The exempt categories who may not take part in the fast include those who are travelling, ill, pregnant, or breastfeeding, children, and the elderly. According to History.com (2010), for Muslims, Ramadan is a sacred month of fasting, prayer, and self-reflection. During the month of Ramadan, Muslims who follow Islam fast, pray, and reflect introspectively. Ramadan dates back to the time of Prophet Muhammad, when he received the initial words of the Quran during the month of Ramadan, which is the ninth month of the Islamic year and a holy month for Muslims for that reason. In addition, Muslim men and women do not consume food or drink from dawn to sunset during the 30 days of Ramadan, in addition to refraining from bad behaviour or impurity in thoughts. </w:t>
      </w:r>
    </w:p>
    <w:p w14:paraId="215D656C" w14:textId="77777777" w:rsidR="002530E2" w:rsidRDefault="002530E2">
      <w:r>
        <w:t>According to Knott (2016), Hajj (or pilgrimage) refers to Muslims travelling from all over the world to Mecca, Mena, and Arafat in Saudi Arabia to perform the same rituals in small groups with fellow and other Muslim pilgrims despite their many differences. In 2015, around two million Muslims performed Hajj, visiting Saudi Arabia. BBC (2021) adds that Hajj is a pilgrimage where pilgrims reaffirm and renew their faith and sense of purpose in the world and perform rituals and acts of worship, which include standing together to give praise to Allah before the Ka'bah, a shrine built in Mecca centuries ago by Prophet Ibrahim.</w:t>
      </w:r>
    </w:p>
    <w:p w14:paraId="1708A2A0" w14:textId="77777777" w:rsidR="002530E2" w:rsidRDefault="002530E2">
      <w:pPr>
        <w:jc w:val="center"/>
      </w:pPr>
      <w:r>
        <w:rPr>
          <w:noProof/>
        </w:rPr>
        <w:drawing>
          <wp:inline distT="114300" distB="114300" distL="114300" distR="114300" wp14:anchorId="06E9DCAA" wp14:editId="54C30CDF">
            <wp:extent cx="5256000" cy="2959100"/>
            <wp:effectExtent l="0" t="0" r="0" b="0"/>
            <wp:docPr id="1769998208" name="Picture 1769998208"/>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256000" cy="2959100"/>
                    </a:xfrm>
                    <a:prstGeom prst="rect">
                      <a:avLst/>
                    </a:prstGeom>
                    <a:ln/>
                  </pic:spPr>
                </pic:pic>
              </a:graphicData>
            </a:graphic>
          </wp:inline>
        </w:drawing>
      </w:r>
    </w:p>
    <w:p w14:paraId="4153850E" w14:textId="77777777" w:rsidR="002530E2" w:rsidRDefault="002530E2">
      <w:pPr>
        <w:pStyle w:val="Heading4"/>
      </w:pPr>
      <w:bookmarkStart w:id="201" w:name="_69hou4bzshqc" w:colFirst="0" w:colLast="0"/>
      <w:bookmarkEnd w:id="201"/>
      <w:r>
        <w:lastRenderedPageBreak/>
        <w:t>Figure [Appendix (CHP:3) 002] 4: A view of Hajj prayers in Mecca, Saudi Arabia, adapted from The New York Times article “Saudi Arabia will allow a million hajj pilgrims to visit Mecca, with Covid precautions” by Kim (2022); (image credits: The New York Times).</w:t>
      </w:r>
    </w:p>
    <w:p w14:paraId="3C243504" w14:textId="77777777" w:rsidR="002530E2" w:rsidRDefault="002530E2">
      <w:pPr>
        <w:pStyle w:val="Heading1"/>
      </w:pPr>
      <w:bookmarkStart w:id="202" w:name="_uw5cjhko5rvi" w:colFirst="0" w:colLast="0"/>
      <w:bookmarkEnd w:id="202"/>
      <w:r>
        <w:t>SHARIAH</w:t>
      </w:r>
    </w:p>
    <w:p w14:paraId="5412A681" w14:textId="77777777" w:rsidR="002530E2" w:rsidRDefault="002530E2">
      <w:r>
        <w:t xml:space="preserve">The various generic definitions of Sharia are: “Islamic religious law is based on the teachings of the Koran and the traditional sayings of Muhammad.” (The Oxford Learners’ English Dictionaries, 2022); “the holy laws of Islam that cover all parts of a Muslim's life.” (The Cambridge English Dictionary, 2022); “Islamic canonical law based on the teachings of the Koran and the traditions of the Prophet (Hadith and Sunna), prescribing both religious and secular duties and sometimes retributive penalties for lawbreaking.” (Lexico English Dictionaries, 2022); “law, seen as deriving from the Quran, Hadith, Ijma, and Qiyas.” (Dictionary.com, 2022). </w:t>
      </w:r>
    </w:p>
    <w:p w14:paraId="6A8A8AB6" w14:textId="77777777" w:rsidR="002530E2" w:rsidRDefault="002530E2">
      <w:r>
        <w:t xml:space="preserve">Shamsy and Coulson (2022) suggest that Sharia, which literally means “the path leading to the watering place”, refers to Islamic law, which in principle, is the religious law of Islam, declares God's instruction for Muslims and, in application, entails duties shared by all Muslims. Muslims follow the law as an external expression of their religious conviction in this world and as a way to achieve divine favour in the hereafter. According to another definition by Williams (2009) via BBC UK (2009) and BBC News (2021), Sharia in Arabic means “the clear, well-trodden path to water” and it is a legal system derived from three major sources: the Quran, the Sunnah, and Hadith. The Quran is the word of God, originally memorised by the companions of the Islamic prophet and compiled in the form of a book. According to Nasr (2013), “the hadith contains the words of Muhammad, while the sunnah contains his words and actions along with pre-Islamic practises of which he approved.” In other words, the Sunnah and Hadith are examples of the sayings and deeds of the Prophet Muhammad that were later compiled into book volumes by various authors. Sharia, or Islamic law officially applied by Islamic judges, or qazis (or qadis), mostly deals with topics such as politics and injustice, criminal cases and economics, as well as personal issues such as prayer, fasting, diet, hygiene, and sexuality. </w:t>
      </w:r>
    </w:p>
    <w:p w14:paraId="5FF85EE0" w14:textId="77777777" w:rsidR="002530E2" w:rsidRDefault="002530E2">
      <w:r>
        <w:t xml:space="preserve">Williams (2009) suggests that there are four manuals under the classical Sharia which cover almost all aspects of human life. These are, “laws relating to personal acts of worship,” “laws relating to commercial dealings,” “laws relating to marriage,” and “laws relating to divorce, and penal laws.” Williams (2009) describe that according to Islamic law, every human action falls into one of five categories, in other words as per Wikipedia contributors (2022), the Sharia rulings fall into one of five categories known as “the five decisions (al-aḥkām al-khamsa)”. These five categories of the Sharia rulings are: obligatory (farḍ or wājib) actions; forbidden (ḥarām) actions; recommended (mandūb or mustaḥabb) actions; disliked or reprehensible (makrūh) actions; and neutral/permissible or permitted (mubāḥ) actions. Obligatory (farḍ or wājib) actions refer to those human actions which, when performed with good intention, will be rewarded by Allah. Forbidden (ḥarām) actions are those human actions which, when performed regardless of the intention, are subjected to punishment. Forbidden actions are just the opposite of obligatory actions. Recommended (mandūb or mustaḥabb) actions refer to those human actions which are encouraged or recommended to be performed. Disliked or reprehensible (makrūh) actions refer to those human actions which are </w:t>
      </w:r>
      <w:r>
        <w:lastRenderedPageBreak/>
        <w:t>discouraged or not recommended to be performed. Disliked actions are just the opposite of recommended actions. Neutral/permissible or permitted (mubāḥ) actions refer to those human actions which are neither encouraged nor discouraged.</w:t>
      </w:r>
    </w:p>
    <w:p w14:paraId="565CB3C1" w14:textId="77777777" w:rsidR="002530E2" w:rsidRDefault="002530E2">
      <w:pPr>
        <w:pStyle w:val="Heading1"/>
      </w:pPr>
      <w:bookmarkStart w:id="203" w:name="_1x7iayghldlu" w:colFirst="0" w:colLast="0"/>
      <w:bookmarkEnd w:id="203"/>
      <w:r>
        <w:t>ISLAMIC VALUES</w:t>
      </w:r>
    </w:p>
    <w:p w14:paraId="3D68E109" w14:textId="77777777" w:rsidR="002530E2" w:rsidRDefault="002530E2">
      <w:r>
        <w:t xml:space="preserve">According to the sayings and teachings of Prophet Muhammad listed on Sunnah.com (2018), the Islamic values according to Islam include kindness (to humans and animals), charity, forgiveness, honesty, patience, justice, respecting parents and elders, keeping promises, and controlling anger. Additionally, Islamic virtues include loving God and those he loves, loving his prophet (Muhammad), and loving fellow believers. </w:t>
      </w:r>
    </w:p>
    <w:p w14:paraId="7B8DDBA6" w14:textId="77777777" w:rsidR="002530E2" w:rsidRDefault="002530E2">
      <w:pPr>
        <w:pStyle w:val="Heading1"/>
      </w:pPr>
      <w:bookmarkStart w:id="204" w:name="_iycoltj4iemn" w:colFirst="0" w:colLast="0"/>
      <w:bookmarkEnd w:id="204"/>
      <w:r>
        <w:t>ISLAMIC CALENDAR</w:t>
      </w:r>
    </w:p>
    <w:p w14:paraId="0C307727" w14:textId="77777777" w:rsidR="002530E2" w:rsidRDefault="002530E2">
      <w:r>
        <w:t xml:space="preserve">History.com (2010) and Ducksters.com (2022) give an account of the prophet Muhammad’s migration, that after fleeing enemies' persecution in Mecca, the Prophet Muhammad and his followers relocated to Medina on September 24, 622. This migration was named “Hijrah,” which is “the beginning of the Islamic calendar.” See the figure below. </w:t>
      </w:r>
    </w:p>
    <w:p w14:paraId="3A57D2C8" w14:textId="77777777" w:rsidR="002530E2" w:rsidRDefault="002530E2">
      <w:pPr>
        <w:jc w:val="center"/>
      </w:pPr>
      <w:r>
        <w:rPr>
          <w:noProof/>
        </w:rPr>
        <w:drawing>
          <wp:inline distT="114300" distB="114300" distL="114300" distR="114300" wp14:anchorId="59D199CE" wp14:editId="59066906">
            <wp:extent cx="2824688" cy="1591445"/>
            <wp:effectExtent l="12700" t="12700" r="12700" b="12700"/>
            <wp:docPr id="588122182" name="Picture 588122182"/>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2824688" cy="1591445"/>
                    </a:xfrm>
                    <a:prstGeom prst="rect">
                      <a:avLst/>
                    </a:prstGeom>
                    <a:ln w="12700">
                      <a:solidFill>
                        <a:srgbClr val="B7B7B7"/>
                      </a:solidFill>
                      <a:prstDash val="solid"/>
                    </a:ln>
                  </pic:spPr>
                </pic:pic>
              </a:graphicData>
            </a:graphic>
          </wp:inline>
        </w:drawing>
      </w:r>
    </w:p>
    <w:p w14:paraId="563E24A9" w14:textId="77777777" w:rsidR="002530E2" w:rsidRDefault="002530E2">
      <w:pPr>
        <w:pStyle w:val="Heading4"/>
      </w:pPr>
      <w:bookmarkStart w:id="205" w:name="_1v4o8gmsm3fj" w:colFirst="0" w:colLast="0"/>
      <w:bookmarkEnd w:id="205"/>
      <w:r>
        <w:t>Figure 5: Map indicating the Hijri or migration of Prophet Muhammad from Mecca to Medina in Saudi Arabia adopted from Shirbini (2021) and muslimhands.org (2021) via article titled “The Islamic Calendar: Everything You NEED to Know about the History of the Hijri Calendar.”</w:t>
      </w:r>
    </w:p>
    <w:p w14:paraId="291157B7" w14:textId="77777777" w:rsidR="002530E2" w:rsidRDefault="002530E2"/>
    <w:p w14:paraId="195EC5AC" w14:textId="77777777" w:rsidR="002530E2" w:rsidRDefault="002530E2">
      <w:r>
        <w:t>According to the Islamic tradition as explained by Islamicfinder.org (2020), the Islamic calendar, which is also known as the Hijri calendar, begins after the Hijrah (migration) of the Prophet Muhammad from Mecca to Medina in Saudi Arabia. The Islamic calendar is lunar in nature and based on the moon. The twelve months of the Islamic Hijri calendar are: “Muharram,” “Safar,” “Rabi al-Awwal,” “Rabi al-Thani,” “Jumada al-Awwal,” “Jumada al-Thani,” “Rajab,” “Shaban,” “Ramadan,” “Shawwal,” “Dhul Qa’dah” and “Dhu’l-Hijjah.” Muharram is the first month and Dhul-Hijjah is the twelfth month of the Islamic Hijri calendar, respectively. See the figure below.</w:t>
      </w:r>
    </w:p>
    <w:p w14:paraId="63D2282E" w14:textId="77777777" w:rsidR="002530E2" w:rsidRDefault="002530E2">
      <w:pPr>
        <w:jc w:val="center"/>
      </w:pPr>
      <w:r>
        <w:rPr>
          <w:noProof/>
        </w:rPr>
        <w:lastRenderedPageBreak/>
        <w:drawing>
          <wp:inline distT="114300" distB="114300" distL="114300" distR="114300" wp14:anchorId="65F7E850" wp14:editId="72983CCC">
            <wp:extent cx="4167713" cy="2348113"/>
            <wp:effectExtent l="0" t="0" r="0" b="0"/>
            <wp:docPr id="413905376" name="Picture 413905376"/>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167713" cy="2348113"/>
                    </a:xfrm>
                    <a:prstGeom prst="rect">
                      <a:avLst/>
                    </a:prstGeom>
                    <a:ln/>
                  </pic:spPr>
                </pic:pic>
              </a:graphicData>
            </a:graphic>
          </wp:inline>
        </w:drawing>
      </w:r>
    </w:p>
    <w:p w14:paraId="105C5E9B" w14:textId="77777777" w:rsidR="002530E2" w:rsidRDefault="002530E2">
      <w:pPr>
        <w:pStyle w:val="Heading4"/>
      </w:pPr>
      <w:bookmarkStart w:id="206" w:name="_e2913z7w3qdo" w:colFirst="0" w:colLast="0"/>
      <w:bookmarkEnd w:id="206"/>
      <w:r>
        <w:t>Figure 6: The Islamic Hijri Calendar adopted from Shirbini (2021) and muslimhands.org (2021) via article titled “The Islamic Calendar: Everything You NEED to Know about the History of the Hijri Calendar.”</w:t>
      </w:r>
    </w:p>
    <w:p w14:paraId="42A61762" w14:textId="77777777" w:rsidR="002530E2" w:rsidRDefault="002530E2">
      <w:r>
        <w:t>Islamicfinder.org (2020) further adds that the beginning of each month of the Islamic Hijri calendar is determined at the end of the previous month by the visibility of the full moon, and once the full moon is visible, the next month or new month begins. Every month, a new lunar cycle begins, which means a new month in the Islamic Hijri calendar. Unlike the 365–366 days of the regular Gregorian calendar, the Islamic Hijri calendar consists of 354–355 days in their version of the calendar. In four of these twelve months, which are Dhu al-Qadah, Dhul-Hijjah, Muharram, and Rajab, in these months, waging war is forbidden. It is forbidden because these are considered sacred months in Islam.</w:t>
      </w:r>
    </w:p>
    <w:p w14:paraId="78DBD17B" w14:textId="77777777" w:rsidR="002530E2" w:rsidRDefault="002530E2">
      <w:r>
        <w:t>Quran also talks about the calendar in Islam in the quranic verse 36 of Surah At-Tawbah, as presented below via Quran.com (2022):</w:t>
      </w:r>
    </w:p>
    <w:p w14:paraId="24005572" w14:textId="77777777" w:rsidR="002530E2" w:rsidRDefault="002530E2">
      <w:pPr>
        <w:spacing w:after="0" w:line="240" w:lineRule="auto"/>
        <w:jc w:val="center"/>
      </w:pPr>
      <w:r>
        <w:t>“Indeed, the number of months ordained by Allah is twelve—in Allah’s Record since the day He created the heavens and the earth—of which four are sacred. That is the Right Way. So do not wrong one another during these months. And together fight the polytheists as they fight against you together. And know that Allah is with those mindful of Him.”</w:t>
      </w:r>
    </w:p>
    <w:p w14:paraId="3BDAB056" w14:textId="77777777" w:rsidR="002530E2" w:rsidRPr="002530E2" w:rsidRDefault="002530E2">
      <w:pPr>
        <w:spacing w:after="0" w:line="240" w:lineRule="auto"/>
        <w:jc w:val="center"/>
        <w:rPr>
          <w:lang w:val="da-DK"/>
        </w:rPr>
      </w:pPr>
      <w:r w:rsidRPr="002530E2">
        <w:rPr>
          <w:lang w:val="da-DK"/>
        </w:rPr>
        <w:t>[Quran: Chapter 9: At-Tawbah, Verse 36]</w:t>
      </w:r>
    </w:p>
    <w:p w14:paraId="4FAB9661" w14:textId="77777777" w:rsidR="002530E2" w:rsidRDefault="002530E2">
      <w:pPr>
        <w:pStyle w:val="Heading1"/>
      </w:pPr>
      <w:bookmarkStart w:id="207" w:name="_i5mu0eoercue" w:colFirst="0" w:colLast="0"/>
      <w:bookmarkEnd w:id="207"/>
      <w:r>
        <w:t>RAMADAN</w:t>
      </w:r>
    </w:p>
    <w:p w14:paraId="04B4D77E" w14:textId="77777777" w:rsidR="002530E2" w:rsidRDefault="002530E2">
      <w:r>
        <w:t xml:space="preserve">According to History.com (2010), for Muslims, Ramadan is a sacred month of fasting, prayer, and self-reflection. During the month of Ramadan, Muslims who follow Islam fast, pray, and reflect introspectively. Ramadan dates back to the time of Prophet Muhammad, when he received the initial words of the Quran during the month of Ramadan, which is the ninth month of the Islamic year and a holy month for Muslims for that reason. In addition, Muslim men and women do not consume food or drink from dawn to sunset during the 30 days of Ramadan, in addition to refraining from bad behaviour or impurity in thoughts. </w:t>
      </w:r>
    </w:p>
    <w:p w14:paraId="28BB9E7E" w14:textId="77777777" w:rsidR="002530E2" w:rsidRDefault="002530E2">
      <w:r>
        <w:t xml:space="preserve">Knott (2016) points out that Sawm (or fasting) is one of the five pillars of Islam that represent the fundamental standards of Islamic practice. Knott (2016) further explains that Sawm is the observance </w:t>
      </w:r>
      <w:r>
        <w:lastRenderedPageBreak/>
        <w:t xml:space="preserve">of the 30-day fast during the month of Ramadan between sunrise and sunset. During Ramadan, Muslims refrain from eating or drinking, engaging in sexual activity, or smoking during daylight hours beginning at dawn and ending at sunset. The exempt categories who may not take part in the fast include those who are travelling, ill, pregnant, or breastfeeding, children, and the elderly. </w:t>
      </w:r>
    </w:p>
    <w:p w14:paraId="40BC1793" w14:textId="77777777" w:rsidR="002530E2" w:rsidRDefault="002530E2">
      <w:r>
        <w:t xml:space="preserve">The three dictionaries, The Oxford Learners’ English Dictionaries (2022), The Cambridge English Dictionary (2022), and The Lexico English Dictionaries (2022), commonly define “Ramadan” as “the ninth month in the Islamic year, during which Muslims take no food or drink during the day from the time the light from the sun appears in the morning until the sun can no longer be seen in the evening.” </w:t>
      </w:r>
    </w:p>
    <w:p w14:paraId="0AE1270A" w14:textId="77777777" w:rsidR="002530E2" w:rsidRDefault="002530E2">
      <w:pPr>
        <w:pStyle w:val="Heading1"/>
      </w:pPr>
      <w:bookmarkStart w:id="208" w:name="_3u4wtaww87q6" w:colFirst="0" w:colLast="0"/>
      <w:bookmarkEnd w:id="208"/>
      <w:r>
        <w:t>EID AL-FITR</w:t>
      </w:r>
    </w:p>
    <w:p w14:paraId="7AA36CCB" w14:textId="77777777" w:rsidR="002530E2" w:rsidRDefault="002530E2">
      <w:r>
        <w:t>According to History.com (2010), the fast-breaking festival of Eid al-Fitr (or Eid ul-Fitr) marks the end of the 30 days of Ramadan and lasts for three days. It begins the day after the Feast of Fast-Breaking ends. In addition to special prayers and meals on the day of Eid al-Fitr with family and friends, it is also a time when Muslims exchange gifts and food among themselves.</w:t>
      </w:r>
    </w:p>
    <w:p w14:paraId="6A91907E" w14:textId="77777777" w:rsidR="002530E2" w:rsidRDefault="002530E2">
      <w:pPr>
        <w:pStyle w:val="Heading1"/>
      </w:pPr>
      <w:bookmarkStart w:id="209" w:name="_untjyy4e0y6s" w:colFirst="0" w:colLast="0"/>
      <w:bookmarkEnd w:id="209"/>
      <w:r>
        <w:t>EID AL-ADHA</w:t>
      </w:r>
    </w:p>
    <w:p w14:paraId="6D612F93" w14:textId="77777777" w:rsidR="002530E2" w:rsidRDefault="002530E2">
      <w:r>
        <w:t xml:space="preserve">According to History.com (2010), Eid al-Adha is an Islamic festival celebrating sacrifice. It is also one of the most important holidays in Islam, honouring the Prophet Ibrahim's willingness to sacrifice his son, Ismail, on the instruction of Allah. In Judaism and Christianity, the Prophet Ibrahim is otherwise known as Abraham. The Eid al-Adha celebration occurs on the 10th day of the Muslim lunar month of Dhul-Hijja, which usually lasts three to four days, and is celebrated by millions of Muslims throughout the world during the Hajj, the once-a-year pilgrimage to Mecca in Saudi Arabia that able and privileged Muslims undertake. </w:t>
      </w:r>
    </w:p>
    <w:p w14:paraId="446B19A1" w14:textId="77777777" w:rsidR="002530E2" w:rsidRDefault="002530E2">
      <w:pPr>
        <w:pStyle w:val="Heading1"/>
      </w:pPr>
      <w:bookmarkStart w:id="210" w:name="_kv9vtk1iwlwu" w:colFirst="0" w:colLast="0"/>
      <w:bookmarkEnd w:id="210"/>
      <w:r>
        <w:t>JUDAISM &amp; JEW</w:t>
      </w:r>
    </w:p>
    <w:p w14:paraId="5BC31FCF" w14:textId="77777777" w:rsidR="002530E2" w:rsidRDefault="002530E2">
      <w:r>
        <w:t>According to Vajda, G. et al. (2021), the ancient Hebrews developed the monotheistic religion of Judaism and practised it. Jewish people believe in one transcendent God, revealed to the prophets whom Jews believe were Abraham, Moses, and other Hebrew prophets, and live their lives according to their religious scriptures and rabbinic traditions. For the Jewish people, Judaism is a way of life and culture that encompasses innumerable cultural traditions, theology, and law and is an integral part of Jewish culture.</w:t>
      </w:r>
    </w:p>
    <w:p w14:paraId="67A83EBC" w14:textId="77777777" w:rsidR="002530E2" w:rsidRDefault="002530E2">
      <w:r>
        <w:t xml:space="preserve">According to The Oxford Learners’ English Dictionaries (2022), the definition of the term “Jew” is “a member of the people and cultural community whose traditional religion is Judaism and who comes from the ancient Hebrew people of Israel; a person who believes in and practises Judaism.” The Cambridge English Dictionary (2022) refers to “Jew” as “a member of a people whose traditional religion is Judaism” and the Lexico English Dictionaries (2022) define “Jew” as “a member of the </w:t>
      </w:r>
      <w:r>
        <w:lastRenderedPageBreak/>
        <w:t>people and cultural community whose traditional religion is Judaism and who trace their origins through the ancient Hebrew people of Israel to Abraham.”</w:t>
      </w:r>
    </w:p>
    <w:p w14:paraId="3C7B99C6" w14:textId="77777777" w:rsidR="002530E2" w:rsidRDefault="002530E2">
      <w:pPr>
        <w:pStyle w:val="Heading1"/>
      </w:pPr>
      <w:bookmarkStart w:id="211" w:name="_3nf4b396g9z3" w:colFirst="0" w:colLast="0"/>
      <w:bookmarkEnd w:id="211"/>
      <w:r>
        <w:t>CHRISTIANITY &amp; CHRISTIAN</w:t>
      </w:r>
    </w:p>
    <w:p w14:paraId="6CC714D9" w14:textId="77777777" w:rsidR="002530E2" w:rsidRDefault="002530E2">
      <w:r>
        <w:t>According to Stefon, M. et al. (2022), Christianity was founded in the 1st century by Jesus of Nazareth ("the Christ, or the Anointed One of God"), which has become the world's largest and most widely accepted religion, and, geographically, the most widely distributed religion. Roman Catholics, Eastern Orthodox churches, and Protestants make up the largest groups of Christians, with more than two billion followers.</w:t>
      </w:r>
    </w:p>
    <w:p w14:paraId="2C77B375" w14:textId="77777777" w:rsidR="002530E2" w:rsidRDefault="002530E2">
      <w:r>
        <w:t>According to The Oxford Learners’ English Dictionaries (2022), the definition of the term “Christianity” is “the religion that is based on the teachings of Jesus Christ and the belief that he was the son of God” and the Cambridge English Dictionary (2022) refers to “Christianity” as “a religion based on belief in God, and the life and teachings of Jesus Christ, and on the Bible.” The Lexico English Dictionaries (2022) define “Christianity” as “the religion based on the person and teachings of Jesus Christ, or its beliefs and practices,” and “Christian” as “a person who has received Christian baptism or is a believer in Christianity.”</w:t>
      </w:r>
    </w:p>
    <w:p w14:paraId="072C5544" w14:textId="77777777" w:rsidR="002530E2" w:rsidRDefault="002530E2">
      <w:pPr>
        <w:pStyle w:val="Heading1"/>
      </w:pPr>
      <w:bookmarkStart w:id="212" w:name="_kehfzza52qv4" w:colFirst="0" w:colLast="0"/>
      <w:bookmarkEnd w:id="212"/>
      <w:r>
        <w:t>ANGER</w:t>
      </w:r>
    </w:p>
    <w:p w14:paraId="4ACFC94D" w14:textId="77777777" w:rsidR="002530E2" w:rsidRDefault="002530E2">
      <w:r>
        <w:t>According to The Oxford Learners’ English Dictionaries (2022), the definition of the term “anger” is “the strong feeling that you have when something has happened that you think is bad and unfair.” The Cambridge English Dictionary (2022) refers to “anger” as “a strong feeling that makes you want to hurt someone or be unpleasant because of something unfair or unkind that has happened” and the Lexico English Dictionaries (2022) define “anger” as “a strong feeling of annoyance, displeasure, or hostility.”</w:t>
      </w:r>
    </w:p>
    <w:p w14:paraId="206A6046" w14:textId="77777777" w:rsidR="002530E2" w:rsidRDefault="002530E2">
      <w:pPr>
        <w:pStyle w:val="Heading1"/>
      </w:pPr>
      <w:bookmarkStart w:id="213" w:name="_1u48js2g33u6" w:colFirst="0" w:colLast="0"/>
      <w:bookmarkEnd w:id="213"/>
      <w:r>
        <w:t xml:space="preserve">HATE </w:t>
      </w:r>
    </w:p>
    <w:p w14:paraId="2BFC13FB" w14:textId="77777777" w:rsidR="002530E2" w:rsidRDefault="002530E2">
      <w:r>
        <w:t>According to The Oxford Learners’ English Dictionaries (2022) and The Cambridge English Dictionary (2022), the definition of the term “hate” is “to dislike somebody/ something very much.” The Lexico English Dictionaries (2022) define “hate” as “a strong feeling of annoyance, displeasure, or hostility.”</w:t>
      </w:r>
    </w:p>
    <w:p w14:paraId="009740A8" w14:textId="77777777" w:rsidR="002530E2" w:rsidRDefault="002530E2">
      <w:pPr>
        <w:pStyle w:val="Heading1"/>
      </w:pPr>
      <w:bookmarkStart w:id="214" w:name="_unxnp64ikqgs" w:colFirst="0" w:colLast="0"/>
      <w:bookmarkEnd w:id="214"/>
      <w:r>
        <w:t xml:space="preserve">OUTCRY </w:t>
      </w:r>
    </w:p>
    <w:p w14:paraId="4598108C" w14:textId="77777777" w:rsidR="002530E2" w:rsidRDefault="002530E2">
      <w:r>
        <w:t>According to The Oxford Learners’ English Dictionaries (2022), the definition of the term “outcry” is “a reaction of anger or strong protest shown by people in public.” The Cambridge English Dictionary (2022) refers to “outcry” as “a strong expression of anger and disapproval about something, made by a group of people or by the public.” and the Lexico English Dictionaries (2022) define “outcry” as “a strong expression of public disapproval or anger.”</w:t>
      </w:r>
    </w:p>
    <w:p w14:paraId="75BFA871" w14:textId="77777777" w:rsidR="002530E2" w:rsidRDefault="002530E2">
      <w:pPr>
        <w:pStyle w:val="Heading1"/>
      </w:pPr>
      <w:bookmarkStart w:id="215" w:name="_6sa2pi56tlb9" w:colFirst="0" w:colLast="0"/>
      <w:bookmarkEnd w:id="215"/>
      <w:r>
        <w:lastRenderedPageBreak/>
        <w:t xml:space="preserve">OUTRAGE </w:t>
      </w:r>
    </w:p>
    <w:p w14:paraId="54ADFDB2" w14:textId="77777777" w:rsidR="002530E2" w:rsidRDefault="002530E2">
      <w:r>
        <w:t>According to The Oxford Learners’ English Dictionaries (2022) and The Cambridge English Dictionary (2022), the definition of the term “outrage” is “a strong feeling of shock and anger.” The Lexico English Dictionaries (2022) define “outrage” as “an extremely strong reaction of anger, shock, or indignation.”</w:t>
      </w:r>
    </w:p>
    <w:p w14:paraId="31EA7F3D" w14:textId="77777777" w:rsidR="002530E2" w:rsidRDefault="002530E2">
      <w:pPr>
        <w:pStyle w:val="Heading1"/>
      </w:pPr>
      <w:bookmarkStart w:id="216" w:name="_8b01qt55fyga" w:colFirst="0" w:colLast="0"/>
      <w:bookmarkEnd w:id="216"/>
      <w:r>
        <w:t xml:space="preserve">ANIMOSITY </w:t>
      </w:r>
    </w:p>
    <w:p w14:paraId="0C201E61" w14:textId="77777777" w:rsidR="002530E2" w:rsidRDefault="002530E2">
      <w:r>
        <w:t>According to The Oxford Learners’ English Dictionaries (2022), the definition of the term “animosity” is “a strong feeling of opposition, anger, or hate.” The Cambridge English Dictionary (2022) refers to “animosity” as “strong dislike, opposition, or anger” and the Lexico English Dictionaries (2022) define “animosity” as “Strong hostility.”</w:t>
      </w:r>
    </w:p>
    <w:p w14:paraId="473A3333" w14:textId="77777777" w:rsidR="002530E2" w:rsidRDefault="002530E2">
      <w:pPr>
        <w:pStyle w:val="Heading1"/>
      </w:pPr>
      <w:bookmarkStart w:id="217" w:name="_z2f1uhxlifqy" w:colFirst="0" w:colLast="0"/>
      <w:bookmarkEnd w:id="217"/>
      <w:r>
        <w:t xml:space="preserve">CONTROVERSY </w:t>
      </w:r>
    </w:p>
    <w:p w14:paraId="1ECAFBB4" w14:textId="77777777" w:rsidR="002530E2" w:rsidRDefault="002530E2">
      <w:r>
        <w:t>According to The Oxford Learners’ English Dictionaries (2022), the definition of the term “controversy” is the “public discussion and argument about something that many people strongly disagree about, think is bad, or are shocked by…” The Cambridge English Dictionary (2022) refers to “controversy” as “a lot of disagreement or argument about something, usually because it affects or is important to many people” and the Lexico English Dictionaries (2022) define “controversy” as “disagreement, typically when prolonged, public, and heated.”</w:t>
      </w:r>
    </w:p>
    <w:p w14:paraId="6C26E980" w14:textId="77777777" w:rsidR="002530E2" w:rsidRDefault="002530E2">
      <w:pPr>
        <w:pStyle w:val="Heading1"/>
      </w:pPr>
      <w:bookmarkStart w:id="218" w:name="_ppxfgo39h40w" w:colFirst="0" w:colLast="0"/>
      <w:bookmarkEnd w:id="218"/>
      <w:r>
        <w:t>BOYCOTT</w:t>
      </w:r>
    </w:p>
    <w:p w14:paraId="2BD8CDC9" w14:textId="77777777" w:rsidR="002530E2" w:rsidRDefault="002530E2">
      <w:r>
        <w:t>According to The Oxford Learners’ English Dictionaries (2022), the definition of the term “boycott” is “to refuse to buy, use, or take part in something as a way of protesting.” The Cambridge English Dictionary (2022) refers to “boycott” as “to refuse to buy a product or take part in an activity as a way of expressing strong disapproval” and the Lexico English Dictionaries (2022) define “boycott” as “a withdraw from commercial or social relations with (a country, organisation, or person) as a punishment or protest.”</w:t>
      </w:r>
    </w:p>
    <w:p w14:paraId="375B5C48" w14:textId="77777777" w:rsidR="002530E2" w:rsidRDefault="002530E2">
      <w:r>
        <w:t>Friedman (1985) defines a consumer boycott as an action in which one or more parties desire to achieve certain objectives through consumer boycotts (Friedman, 1985). Abd-Razak and Abdul-Talib (2012) explain consumer boycotts as an expression of hostility leading to a refusal to make certain purchases in the market due to a variety of factors like military violence, political violence, economic inequality, or irresponsible behaviour by a firm. Consumers commonly use boycotts to express their unhappiness with companies' economic and social factors, for example “price, unsafe products, unhealthy products, inhumane acts, human rights,” (Abdullah, Anuar, and Yaacob, 2021).</w:t>
      </w:r>
    </w:p>
    <w:p w14:paraId="46EFFBD7" w14:textId="77777777" w:rsidR="002530E2" w:rsidRDefault="002530E2">
      <w:r>
        <w:t xml:space="preserve">Abdullah, Anuar, and Yaacob (2021) refer to boycott as consumers' most powerful weapon at a recent time, and consumer boycotts are unwelcome by companies or brands because they are one of </w:t>
      </w:r>
      <w:r>
        <w:lastRenderedPageBreak/>
        <w:t>the ways consumers express their hatred, dissatisfaction, or disagreement with the company's or brand's corporate social responsibility (CSR) policies and practices. Friedman (1985) believes that in the case of a customer boycott, one or more parties try to achieve particular aims by urging individuals not to purchase certain products. Farah and Newman (2010) and Khemeini (2001) suggest that the unity and brotherhood in Islam can be used as justification by religious leaders to call for a boycott of foreign brands and their products.</w:t>
      </w:r>
    </w:p>
    <w:p w14:paraId="7F9D3E18" w14:textId="77777777" w:rsidR="002530E2" w:rsidRDefault="002530E2">
      <w:pPr>
        <w:pStyle w:val="Heading1"/>
      </w:pPr>
      <w:bookmarkStart w:id="219" w:name="_947mlv97jyx4" w:colFirst="0" w:colLast="0"/>
      <w:bookmarkEnd w:id="219"/>
      <w:r>
        <w:t>BAN</w:t>
      </w:r>
    </w:p>
    <w:p w14:paraId="4E641A80" w14:textId="77777777" w:rsidR="002530E2" w:rsidRDefault="002530E2">
      <w:r>
        <w:t>According to The Oxford Learners’ English Dictionaries (2022), the definition of the term “boycott” is “to decide or say officially that something is not allowed.” The Cambridge English Dictionary (2022) refers to “boycott” as “to forbid (= refuse to allow) something, especially officially” and the Lexico English Dictionaries (2022) define “boycott” as “officially or legally prohibit.”</w:t>
      </w:r>
    </w:p>
    <w:p w14:paraId="71597D09" w14:textId="77777777" w:rsidR="002530E2" w:rsidRDefault="002530E2">
      <w:pPr>
        <w:pStyle w:val="Heading1"/>
      </w:pPr>
      <w:bookmarkStart w:id="220" w:name="_9h15iix5xmta" w:colFirst="0" w:colLast="0"/>
      <w:bookmarkEnd w:id="220"/>
      <w:r>
        <w:t>TRADITION</w:t>
      </w:r>
    </w:p>
    <w:p w14:paraId="111EA8A0" w14:textId="77777777" w:rsidR="002530E2" w:rsidRDefault="002530E2">
      <w:r>
        <w:t>According to The Oxford Learners’ English Dictionaries (2022), the definition of the term “tradition” is “a belief, custom or way of doing something that has existed for a long time among a particular group of people; a set of these beliefs or customs.” The Cambridge English Dictionary (2022) refers to “tradition” as “a belief, principle, or way of acting that people in a particular society or group have continued to follow for a long time, or all of these beliefs, etc. in a particular society or group” and the Lexico English Dictionaries (2022) define “tradition” as “the transmission of customs or beliefs from generation to generation, or the fact of being passed on in this way.”</w:t>
      </w:r>
    </w:p>
    <w:p w14:paraId="6037BA65" w14:textId="77777777" w:rsidR="002530E2" w:rsidRDefault="002530E2">
      <w:pPr>
        <w:pStyle w:val="Heading1"/>
      </w:pPr>
      <w:bookmarkStart w:id="221" w:name="_ok0c26nj71g3" w:colFirst="0" w:colLast="0"/>
      <w:bookmarkEnd w:id="221"/>
      <w:r>
        <w:t>RITUAL</w:t>
      </w:r>
    </w:p>
    <w:p w14:paraId="54F69E57" w14:textId="77777777" w:rsidR="002530E2" w:rsidRDefault="002530E2">
      <w:r>
        <w:t>According to The Oxford Learners’ English Dictionaries (2022), the definition of the term “ritual” is “a series of actions that are always performed in the same way, especially as part of a religious ceremony.” The Cambridge English Dictionary (2022) refers to “ritual” as “a way of doing something in which the same actions are done in the same way every time” and the Lexico English Dictionaries (2022) define “ritual” as “a religious or solemn ceremony consisting of a series of actions performed according to a prescribed order.”</w:t>
      </w:r>
    </w:p>
    <w:p w14:paraId="14254DCB" w14:textId="77777777" w:rsidR="002530E2" w:rsidRDefault="002530E2">
      <w:pPr>
        <w:pStyle w:val="Heading1"/>
      </w:pPr>
      <w:bookmarkStart w:id="222" w:name="_xtr2sm95g171" w:colFirst="0" w:colLast="0"/>
      <w:bookmarkEnd w:id="222"/>
      <w:r>
        <w:t>ISLAMIC RITUALS</w:t>
      </w:r>
    </w:p>
    <w:p w14:paraId="76262495" w14:textId="77777777" w:rsidR="002530E2" w:rsidRDefault="002530E2">
      <w:r>
        <w:t xml:space="preserve">According to Wikipedia contributors (2022), the Islamic rituals are the five pillars of Islam which include: “Shahada (or the declaration of faith);” “Salah (or prayer);” “Zakat (or almsgiving);” “Sawm (or fasting);” The “Hajj (or pilgrimage)”; the Islamic ritual of purity (Wudu); the Islamic ritual of circumcision (Khitan); the Islamic ritual of sacrificing animals on a child's birth (Aqiqah); common Islamic rituals related to the two Islamic festivals of Eid al-Fitr and Eid al-Adha; and rituals related to Islamic burial, where, as per Gatrad (1994), Muslims do not cremate the bodies of the dead rather </w:t>
      </w:r>
      <w:r>
        <w:lastRenderedPageBreak/>
        <w:t>bury them to the ground and a funeral prayer (Salat al-Janazah) is held in congregation. Also, another common Islamic ritual is related to the slaughter of animals for meat as food (Zabiha), which is added to the list as suggested by The Week (2019).</w:t>
      </w:r>
    </w:p>
    <w:p w14:paraId="30565F0B" w14:textId="77777777" w:rsidR="002530E2" w:rsidRDefault="002530E2"/>
    <w:p w14:paraId="7C88E6A9" w14:textId="77777777" w:rsidR="002530E2" w:rsidRDefault="002530E2"/>
    <w:p w14:paraId="2B05CE0B" w14:textId="77777777" w:rsidR="002530E2" w:rsidRDefault="002530E2">
      <w:pPr>
        <w:ind w:left="720"/>
      </w:pPr>
    </w:p>
    <w:p w14:paraId="18BE3E29" w14:textId="77777777" w:rsidR="002530E2" w:rsidRDefault="002530E2">
      <w:pPr>
        <w:spacing w:before="240" w:after="240" w:line="432" w:lineRule="auto"/>
        <w:rPr>
          <w:sz w:val="2"/>
          <w:szCs w:val="2"/>
        </w:rPr>
      </w:pP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62643A72"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55636D48" w14:textId="77777777" w:rsidR="002530E2" w:rsidRDefault="002530E2">
            <w:pPr>
              <w:widowControl w:val="0"/>
              <w:spacing w:after="0" w:line="276" w:lineRule="auto"/>
              <w:jc w:val="center"/>
              <w:rPr>
                <w:color w:val="0E101A"/>
                <w:sz w:val="28"/>
                <w:szCs w:val="28"/>
              </w:rPr>
            </w:pPr>
            <w:r>
              <w:rPr>
                <w:color w:val="0E101A"/>
                <w:sz w:val="28"/>
                <w:szCs w:val="28"/>
              </w:rPr>
              <w:t>APPENDIX (CHP:3) 003</w:t>
            </w:r>
          </w:p>
        </w:tc>
      </w:tr>
    </w:tbl>
    <w:p w14:paraId="3A2318B5" w14:textId="77777777" w:rsidR="002530E2" w:rsidRDefault="002530E2">
      <w:pPr>
        <w:pStyle w:val="Heading5"/>
        <w:spacing w:before="100" w:after="100" w:line="240" w:lineRule="auto"/>
        <w:ind w:left="720"/>
        <w:jc w:val="center"/>
        <w:rPr>
          <w:color w:val="FFFFFF"/>
          <w:sz w:val="16"/>
          <w:szCs w:val="16"/>
        </w:rPr>
      </w:pPr>
      <w:r>
        <w:rPr>
          <w:color w:val="FFFFFF"/>
          <w:sz w:val="16"/>
          <w:szCs w:val="16"/>
        </w:rPr>
        <w:t>TABLE OF CONTENT</w:t>
      </w:r>
    </w:p>
    <w:p w14:paraId="6F77A3CE" w14:textId="77777777" w:rsidR="002530E2" w:rsidRDefault="002530E2">
      <w:pPr>
        <w:spacing w:after="0"/>
        <w:jc w:val="center"/>
      </w:pPr>
      <w:r>
        <w:t>TOPIC-RELATED CONCEPTS AND BACKGROUND KNOWLEDGE</w:t>
      </w:r>
    </w:p>
    <w:p w14:paraId="5BD3FDAF" w14:textId="77777777" w:rsidR="002530E2" w:rsidRDefault="002530E2">
      <w:pPr>
        <w:spacing w:after="0"/>
      </w:pPr>
    </w:p>
    <w:p w14:paraId="6EB8197C" w14:textId="77777777" w:rsidR="002530E2" w:rsidRDefault="002530E2">
      <w:pPr>
        <w:spacing w:after="0"/>
        <w:rPr>
          <w:sz w:val="2"/>
          <w:szCs w:val="2"/>
        </w:rPr>
      </w:pPr>
    </w:p>
    <w:p w14:paraId="27B68E01" w14:textId="77777777" w:rsidR="002530E2" w:rsidRDefault="002530E2">
      <w:pPr>
        <w:rPr>
          <w:sz w:val="2"/>
          <w:szCs w:val="2"/>
        </w:rPr>
      </w:pPr>
      <w:r>
        <w:t>TABLE OF CONTENT FOR APPENDIX (CHP:3) 003</w:t>
      </w:r>
    </w:p>
    <w:sdt>
      <w:sdtPr>
        <w:id w:val="858317399"/>
        <w:docPartObj>
          <w:docPartGallery w:val="Table of Contents"/>
          <w:docPartUnique/>
        </w:docPartObj>
      </w:sdtPr>
      <w:sdtContent>
        <w:p w14:paraId="21727BD4"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r>
            <w:fldChar w:fldCharType="begin"/>
          </w:r>
          <w:r>
            <w:instrText xml:space="preserve"> TOC \h \u \z \t "Heading 1,1,Heading 2,2,Heading 3,3,Heading 6,6,"</w:instrText>
          </w:r>
          <w:r>
            <w:fldChar w:fldCharType="separate"/>
          </w:r>
          <w:hyperlink w:anchor="_l9923ag4kes4">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490</w:t>
            </w:r>
          </w:hyperlink>
        </w:p>
        <w:p w14:paraId="40054816"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8tantbj3xy0a">
            <w:r>
              <w:rPr>
                <w:rFonts w:ascii="Book Antiqua" w:eastAsia="Book Antiqua" w:hAnsi="Book Antiqua" w:cs="Book Antiqua"/>
                <w:color w:val="1155CC"/>
                <w:sz w:val="20"/>
                <w:szCs w:val="20"/>
              </w:rPr>
              <w:t>CONCEPTS RELATED TO CULTURE</w:t>
            </w:r>
            <w:r>
              <w:rPr>
                <w:rFonts w:ascii="Book Antiqua" w:eastAsia="Book Antiqua" w:hAnsi="Book Antiqua" w:cs="Book Antiqua"/>
                <w:color w:val="1155CC"/>
                <w:sz w:val="20"/>
                <w:szCs w:val="20"/>
              </w:rPr>
              <w:tab/>
              <w:t>490</w:t>
            </w:r>
          </w:hyperlink>
        </w:p>
        <w:p w14:paraId="25AB4631"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f7dwp21vvsxk">
            <w:r>
              <w:rPr>
                <w:rFonts w:ascii="Book Antiqua" w:eastAsia="Book Antiqua" w:hAnsi="Book Antiqua" w:cs="Book Antiqua"/>
                <w:color w:val="1155CC"/>
                <w:sz w:val="20"/>
                <w:szCs w:val="20"/>
              </w:rPr>
              <w:t>CROSS-CULTURE</w:t>
            </w:r>
            <w:r>
              <w:rPr>
                <w:rFonts w:ascii="Book Antiqua" w:eastAsia="Book Antiqua" w:hAnsi="Book Antiqua" w:cs="Book Antiqua"/>
                <w:color w:val="1155CC"/>
                <w:sz w:val="20"/>
                <w:szCs w:val="20"/>
              </w:rPr>
              <w:tab/>
              <w:t>492</w:t>
            </w:r>
          </w:hyperlink>
        </w:p>
        <w:p w14:paraId="36B0833E"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r4owwu71fir">
            <w:r>
              <w:rPr>
                <w:rFonts w:ascii="Book Antiqua" w:eastAsia="Book Antiqua" w:hAnsi="Book Antiqua" w:cs="Book Antiqua"/>
                <w:color w:val="1155CC"/>
                <w:sz w:val="20"/>
                <w:szCs w:val="20"/>
              </w:rPr>
              <w:t>CULTURE AS A SYSTEM OF VALUE, BELIEFS &amp; SYMBOL</w:t>
            </w:r>
            <w:r>
              <w:rPr>
                <w:rFonts w:ascii="Book Antiqua" w:eastAsia="Book Antiqua" w:hAnsi="Book Antiqua" w:cs="Book Antiqua"/>
                <w:color w:val="1155CC"/>
                <w:sz w:val="20"/>
                <w:szCs w:val="20"/>
              </w:rPr>
              <w:tab/>
              <w:t>493</w:t>
            </w:r>
          </w:hyperlink>
        </w:p>
        <w:p w14:paraId="2CA7B94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shxl2qnnepx">
            <w:r>
              <w:rPr>
                <w:rFonts w:ascii="Book Antiqua" w:eastAsia="Book Antiqua" w:hAnsi="Book Antiqua" w:cs="Book Antiqua"/>
                <w:color w:val="1155CC"/>
                <w:sz w:val="20"/>
                <w:szCs w:val="20"/>
              </w:rPr>
              <w:t>INTERRELATED COMPONENTS OF CULTURE</w:t>
            </w:r>
            <w:r>
              <w:rPr>
                <w:rFonts w:ascii="Book Antiqua" w:eastAsia="Book Antiqua" w:hAnsi="Book Antiqua" w:cs="Book Antiqua"/>
                <w:color w:val="1155CC"/>
                <w:sz w:val="20"/>
                <w:szCs w:val="20"/>
              </w:rPr>
              <w:tab/>
              <w:t>494</w:t>
            </w:r>
          </w:hyperlink>
        </w:p>
        <w:p w14:paraId="397B341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pv4j4ko0xu06">
            <w:r>
              <w:rPr>
                <w:rFonts w:ascii="Book Antiqua" w:eastAsia="Book Antiqua" w:hAnsi="Book Antiqua" w:cs="Book Antiqua"/>
                <w:color w:val="1155CC"/>
                <w:sz w:val="20"/>
                <w:szCs w:val="20"/>
              </w:rPr>
              <w:t>COMMON METHODS OF CATEGORISING CULTURE</w:t>
            </w:r>
            <w:r>
              <w:rPr>
                <w:rFonts w:ascii="Book Antiqua" w:eastAsia="Book Antiqua" w:hAnsi="Book Antiqua" w:cs="Book Antiqua"/>
                <w:color w:val="1155CC"/>
                <w:sz w:val="20"/>
                <w:szCs w:val="20"/>
              </w:rPr>
              <w:tab/>
              <w:t>494</w:t>
            </w:r>
          </w:hyperlink>
        </w:p>
        <w:p w14:paraId="4689BCF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rbne7euszaxc">
            <w:r>
              <w:rPr>
                <w:rFonts w:ascii="Book Antiqua" w:eastAsia="Book Antiqua" w:hAnsi="Book Antiqua" w:cs="Book Antiqua"/>
                <w:color w:val="1155CC"/>
                <w:sz w:val="20"/>
                <w:szCs w:val="20"/>
              </w:rPr>
              <w:t>OWN CULTURE BIASES</w:t>
            </w:r>
            <w:r>
              <w:rPr>
                <w:rFonts w:ascii="Book Antiqua" w:eastAsia="Book Antiqua" w:hAnsi="Book Antiqua" w:cs="Book Antiqua"/>
                <w:color w:val="1155CC"/>
                <w:sz w:val="20"/>
                <w:szCs w:val="20"/>
              </w:rPr>
              <w:tab/>
              <w:t>494</w:t>
            </w:r>
          </w:hyperlink>
        </w:p>
        <w:p w14:paraId="2D22C6BE"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n16l7hyy7x8m">
            <w:r>
              <w:rPr>
                <w:rFonts w:ascii="Book Antiqua" w:eastAsia="Book Antiqua" w:hAnsi="Book Antiqua" w:cs="Book Antiqua"/>
                <w:color w:val="1155CC"/>
                <w:sz w:val="20"/>
                <w:szCs w:val="20"/>
              </w:rPr>
              <w:t>SUB-CULTURES</w:t>
            </w:r>
            <w:r>
              <w:rPr>
                <w:rFonts w:ascii="Book Antiqua" w:eastAsia="Book Antiqua" w:hAnsi="Book Antiqua" w:cs="Book Antiqua"/>
                <w:color w:val="1155CC"/>
                <w:sz w:val="20"/>
                <w:szCs w:val="20"/>
              </w:rPr>
              <w:tab/>
              <w:t>494</w:t>
            </w:r>
          </w:hyperlink>
        </w:p>
        <w:p w14:paraId="2A2F224B"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czy8opw8i305">
            <w:r>
              <w:rPr>
                <w:rFonts w:ascii="Book Antiqua" w:eastAsia="Book Antiqua" w:hAnsi="Book Antiqua" w:cs="Book Antiqua"/>
                <w:color w:val="1155CC"/>
                <w:sz w:val="20"/>
                <w:szCs w:val="20"/>
              </w:rPr>
              <w:t>CULTURAL DIFFERENCES</w:t>
            </w:r>
            <w:r>
              <w:rPr>
                <w:rFonts w:ascii="Book Antiqua" w:eastAsia="Book Antiqua" w:hAnsi="Book Antiqua" w:cs="Book Antiqua"/>
                <w:color w:val="1155CC"/>
                <w:sz w:val="20"/>
                <w:szCs w:val="20"/>
              </w:rPr>
              <w:tab/>
              <w:t>495</w:t>
            </w:r>
          </w:hyperlink>
        </w:p>
        <w:p w14:paraId="6D4364B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5647jo8wz51f">
            <w:r>
              <w:rPr>
                <w:rFonts w:ascii="Book Antiqua" w:eastAsia="Book Antiqua" w:hAnsi="Book Antiqua" w:cs="Book Antiqua"/>
                <w:color w:val="1155CC"/>
                <w:sz w:val="20"/>
                <w:szCs w:val="20"/>
              </w:rPr>
              <w:t>CULTURAL APPRECIATION vs CULTURAL APPROPRIATION</w:t>
            </w:r>
            <w:r>
              <w:rPr>
                <w:rFonts w:ascii="Book Antiqua" w:eastAsia="Book Antiqua" w:hAnsi="Book Antiqua" w:cs="Book Antiqua"/>
                <w:color w:val="1155CC"/>
                <w:sz w:val="20"/>
                <w:szCs w:val="20"/>
              </w:rPr>
              <w:tab/>
              <w:t>495</w:t>
            </w:r>
          </w:hyperlink>
        </w:p>
        <w:p w14:paraId="4D7BE001"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xu09s0k5ae1o">
            <w:r>
              <w:rPr>
                <w:rFonts w:ascii="Book Antiqua" w:eastAsia="Book Antiqua" w:hAnsi="Book Antiqua" w:cs="Book Antiqua"/>
                <w:color w:val="1155CC"/>
                <w:sz w:val="20"/>
                <w:szCs w:val="20"/>
              </w:rPr>
              <w:t>WHY CULTURAL APPROPRIATION IS A PROBLEM</w:t>
            </w:r>
            <w:r>
              <w:rPr>
                <w:rFonts w:ascii="Book Antiqua" w:eastAsia="Book Antiqua" w:hAnsi="Book Antiqua" w:cs="Book Antiqua"/>
                <w:color w:val="1155CC"/>
                <w:sz w:val="20"/>
                <w:szCs w:val="20"/>
              </w:rPr>
              <w:tab/>
              <w:t>496</w:t>
            </w:r>
          </w:hyperlink>
        </w:p>
        <w:p w14:paraId="244D554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5h1i52h8ee9z">
            <w:r>
              <w:rPr>
                <w:rFonts w:ascii="Book Antiqua" w:eastAsia="Book Antiqua" w:hAnsi="Book Antiqua" w:cs="Book Antiqua"/>
                <w:color w:val="1155CC"/>
                <w:sz w:val="20"/>
                <w:szCs w:val="20"/>
              </w:rPr>
              <w:t>LANGUAGE IN CULTURE</w:t>
            </w:r>
            <w:r>
              <w:rPr>
                <w:rFonts w:ascii="Book Antiqua" w:eastAsia="Book Antiqua" w:hAnsi="Book Antiqua" w:cs="Book Antiqua"/>
                <w:color w:val="1155CC"/>
                <w:sz w:val="20"/>
                <w:szCs w:val="20"/>
              </w:rPr>
              <w:tab/>
              <w:t>496</w:t>
            </w:r>
          </w:hyperlink>
        </w:p>
        <w:p w14:paraId="45CCCF72"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wcq3mh1jpm7r">
            <w:r>
              <w:rPr>
                <w:rFonts w:ascii="Book Antiqua" w:eastAsia="Book Antiqua" w:hAnsi="Book Antiqua" w:cs="Book Antiqua"/>
                <w:color w:val="1155CC"/>
                <w:sz w:val="20"/>
                <w:szCs w:val="20"/>
              </w:rPr>
              <w:t>MANNERISM IN CULTURE</w:t>
            </w:r>
            <w:r>
              <w:rPr>
                <w:rFonts w:ascii="Book Antiqua" w:eastAsia="Book Antiqua" w:hAnsi="Book Antiqua" w:cs="Book Antiqua"/>
                <w:color w:val="1155CC"/>
                <w:sz w:val="20"/>
                <w:szCs w:val="20"/>
              </w:rPr>
              <w:tab/>
              <w:t>497</w:t>
            </w:r>
          </w:hyperlink>
        </w:p>
        <w:p w14:paraId="5D3F15AA"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lp1zu86gmpit">
            <w:r>
              <w:rPr>
                <w:rFonts w:ascii="Book Antiqua" w:eastAsia="Book Antiqua" w:hAnsi="Book Antiqua" w:cs="Book Antiqua"/>
                <w:color w:val="1155CC"/>
                <w:sz w:val="20"/>
                <w:szCs w:val="20"/>
              </w:rPr>
              <w:t>ISLAMIC/ MUSLIM CULTURE</w:t>
            </w:r>
            <w:r>
              <w:rPr>
                <w:rFonts w:ascii="Book Antiqua" w:eastAsia="Book Antiqua" w:hAnsi="Book Antiqua" w:cs="Book Antiqua"/>
                <w:color w:val="1155CC"/>
                <w:sz w:val="20"/>
                <w:szCs w:val="20"/>
              </w:rPr>
              <w:tab/>
              <w:t>498</w:t>
            </w:r>
          </w:hyperlink>
        </w:p>
        <w:p w14:paraId="582EFF03"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90t6ws7wbkmo">
            <w:r>
              <w:rPr>
                <w:rFonts w:ascii="Book Antiqua" w:eastAsia="Book Antiqua" w:hAnsi="Book Antiqua" w:cs="Book Antiqua"/>
                <w:color w:val="1155CC"/>
                <w:sz w:val="20"/>
                <w:szCs w:val="20"/>
              </w:rPr>
              <w:t>CONCEPTS RELATED TO CONSUMERS</w:t>
            </w:r>
            <w:r>
              <w:rPr>
                <w:rFonts w:ascii="Book Antiqua" w:eastAsia="Book Antiqua" w:hAnsi="Book Antiqua" w:cs="Book Antiqua"/>
                <w:color w:val="1155CC"/>
                <w:sz w:val="20"/>
                <w:szCs w:val="20"/>
              </w:rPr>
              <w:tab/>
              <w:t>499</w:t>
            </w:r>
          </w:hyperlink>
        </w:p>
        <w:p w14:paraId="1DF9F14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evnm0n4bzae">
            <w:r>
              <w:rPr>
                <w:rFonts w:ascii="Book Antiqua" w:eastAsia="Book Antiqua" w:hAnsi="Book Antiqua" w:cs="Book Antiqua"/>
                <w:color w:val="1155CC"/>
                <w:sz w:val="20"/>
                <w:szCs w:val="20"/>
              </w:rPr>
              <w:t>CONSUMER ATTITUDE</w:t>
            </w:r>
            <w:r>
              <w:rPr>
                <w:rFonts w:ascii="Book Antiqua" w:eastAsia="Book Antiqua" w:hAnsi="Book Antiqua" w:cs="Book Antiqua"/>
                <w:color w:val="1155CC"/>
                <w:sz w:val="20"/>
                <w:szCs w:val="20"/>
              </w:rPr>
              <w:tab/>
              <w:t>499</w:t>
            </w:r>
          </w:hyperlink>
        </w:p>
        <w:p w14:paraId="18AA0CCF"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uytstzv4sy4w">
            <w:r>
              <w:rPr>
                <w:rFonts w:ascii="Book Antiqua" w:eastAsia="Book Antiqua" w:hAnsi="Book Antiqua" w:cs="Book Antiqua"/>
                <w:color w:val="1155CC"/>
                <w:sz w:val="20"/>
                <w:szCs w:val="20"/>
              </w:rPr>
              <w:t>CONSUMER BEHAVIOUR</w:t>
            </w:r>
            <w:r>
              <w:rPr>
                <w:rFonts w:ascii="Book Antiqua" w:eastAsia="Book Antiqua" w:hAnsi="Book Antiqua" w:cs="Book Antiqua"/>
                <w:color w:val="1155CC"/>
                <w:sz w:val="20"/>
                <w:szCs w:val="20"/>
              </w:rPr>
              <w:tab/>
              <w:t>500</w:t>
            </w:r>
          </w:hyperlink>
        </w:p>
        <w:p w14:paraId="4EBA16C6"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95tcwl3j8yd7">
            <w:r>
              <w:rPr>
                <w:rFonts w:ascii="Book Antiqua" w:eastAsia="Book Antiqua" w:hAnsi="Book Antiqua" w:cs="Book Antiqua"/>
                <w:color w:val="1155CC"/>
                <w:sz w:val="20"/>
                <w:szCs w:val="20"/>
              </w:rPr>
              <w:t>CONSUMER PERCEPTION</w:t>
            </w:r>
            <w:r>
              <w:rPr>
                <w:rFonts w:ascii="Book Antiqua" w:eastAsia="Book Antiqua" w:hAnsi="Book Antiqua" w:cs="Book Antiqua"/>
                <w:color w:val="1155CC"/>
                <w:sz w:val="20"/>
                <w:szCs w:val="20"/>
              </w:rPr>
              <w:tab/>
              <w:t>501</w:t>
            </w:r>
          </w:hyperlink>
        </w:p>
        <w:p w14:paraId="54087EE6"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fj6il6whiok2">
            <w:r>
              <w:rPr>
                <w:rFonts w:ascii="Book Antiqua" w:eastAsia="Book Antiqua" w:hAnsi="Book Antiqua" w:cs="Book Antiqua"/>
                <w:color w:val="1155CC"/>
                <w:sz w:val="20"/>
                <w:szCs w:val="20"/>
              </w:rPr>
              <w:t>CONCEPTS RELATED TO CONSUMER REACTIONS</w:t>
            </w:r>
            <w:r>
              <w:rPr>
                <w:rFonts w:ascii="Book Antiqua" w:eastAsia="Book Antiqua" w:hAnsi="Book Antiqua" w:cs="Book Antiqua"/>
                <w:color w:val="1155CC"/>
                <w:sz w:val="20"/>
                <w:szCs w:val="20"/>
              </w:rPr>
              <w:tab/>
              <w:t>502</w:t>
            </w:r>
          </w:hyperlink>
        </w:p>
        <w:p w14:paraId="64F916A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k3cpckgi6ti0">
            <w:r>
              <w:rPr>
                <w:rFonts w:ascii="Book Antiqua" w:eastAsia="Book Antiqua" w:hAnsi="Book Antiqua" w:cs="Book Antiqua"/>
                <w:color w:val="1155CC"/>
                <w:sz w:val="20"/>
                <w:szCs w:val="20"/>
              </w:rPr>
              <w:t>NATURE OF CONSUMER REACTIONS</w:t>
            </w:r>
            <w:r>
              <w:rPr>
                <w:rFonts w:ascii="Book Antiqua" w:eastAsia="Book Antiqua" w:hAnsi="Book Antiqua" w:cs="Book Antiqua"/>
                <w:color w:val="1155CC"/>
                <w:sz w:val="20"/>
                <w:szCs w:val="20"/>
              </w:rPr>
              <w:tab/>
              <w:t>502</w:t>
            </w:r>
          </w:hyperlink>
        </w:p>
        <w:p w14:paraId="42E690A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a5uctlfmzjcv">
            <w:r>
              <w:rPr>
                <w:rFonts w:ascii="Book Antiqua" w:eastAsia="Book Antiqua" w:hAnsi="Book Antiqua" w:cs="Book Antiqua"/>
                <w:color w:val="1155CC"/>
                <w:sz w:val="20"/>
                <w:szCs w:val="20"/>
              </w:rPr>
              <w:t>POSITIVE CONSUMER REACTIONS</w:t>
            </w:r>
            <w:r>
              <w:rPr>
                <w:rFonts w:ascii="Book Antiqua" w:eastAsia="Book Antiqua" w:hAnsi="Book Antiqua" w:cs="Book Antiqua"/>
                <w:color w:val="1155CC"/>
                <w:sz w:val="20"/>
                <w:szCs w:val="20"/>
              </w:rPr>
              <w:tab/>
              <w:t>503</w:t>
            </w:r>
          </w:hyperlink>
        </w:p>
        <w:p w14:paraId="22485945"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0nvm5ysze61">
            <w:r>
              <w:rPr>
                <w:rFonts w:ascii="Book Antiqua" w:eastAsia="Book Antiqua" w:hAnsi="Book Antiqua" w:cs="Book Antiqua"/>
                <w:color w:val="1155CC"/>
                <w:sz w:val="20"/>
                <w:szCs w:val="20"/>
              </w:rPr>
              <w:t>NEGATIVE CONSUMER REACTIONS</w:t>
            </w:r>
            <w:r>
              <w:rPr>
                <w:rFonts w:ascii="Book Antiqua" w:eastAsia="Book Antiqua" w:hAnsi="Book Antiqua" w:cs="Book Antiqua"/>
                <w:color w:val="1155CC"/>
                <w:sz w:val="20"/>
                <w:szCs w:val="20"/>
              </w:rPr>
              <w:tab/>
              <w:t>504</w:t>
            </w:r>
          </w:hyperlink>
        </w:p>
        <w:p w14:paraId="4C95768B"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6q856mfd2c0b">
            <w:r>
              <w:rPr>
                <w:rFonts w:ascii="Book Antiqua" w:eastAsia="Book Antiqua" w:hAnsi="Book Antiqua" w:cs="Book Antiqua"/>
                <w:color w:val="1155CC"/>
                <w:sz w:val="20"/>
                <w:szCs w:val="20"/>
              </w:rPr>
              <w:t>EMOTIONAL CONSUMER REACTIONS</w:t>
            </w:r>
            <w:r>
              <w:rPr>
                <w:rFonts w:ascii="Book Antiqua" w:eastAsia="Book Antiqua" w:hAnsi="Book Antiqua" w:cs="Book Antiqua"/>
                <w:color w:val="1155CC"/>
                <w:sz w:val="20"/>
                <w:szCs w:val="20"/>
              </w:rPr>
              <w:tab/>
              <w:t>505</w:t>
            </w:r>
          </w:hyperlink>
        </w:p>
        <w:p w14:paraId="1CF1A17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nlks2kkexn6v">
            <w:r>
              <w:rPr>
                <w:rFonts w:ascii="Book Antiqua" w:eastAsia="Book Antiqua" w:hAnsi="Book Antiqua" w:cs="Book Antiqua"/>
                <w:color w:val="1155CC"/>
                <w:sz w:val="20"/>
                <w:szCs w:val="20"/>
              </w:rPr>
              <w:t>WORD-OF-MOUTH CONSUMER REACTIONS</w:t>
            </w:r>
            <w:r>
              <w:rPr>
                <w:rFonts w:ascii="Book Antiqua" w:eastAsia="Book Antiqua" w:hAnsi="Book Antiqua" w:cs="Book Antiqua"/>
                <w:color w:val="1155CC"/>
                <w:sz w:val="20"/>
                <w:szCs w:val="20"/>
              </w:rPr>
              <w:tab/>
              <w:t>505</w:t>
            </w:r>
          </w:hyperlink>
        </w:p>
        <w:p w14:paraId="7CCC2C71"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eex1h2jry2kq">
            <w:r>
              <w:rPr>
                <w:rFonts w:ascii="Book Antiqua" w:eastAsia="Book Antiqua" w:hAnsi="Book Antiqua" w:cs="Book Antiqua"/>
                <w:color w:val="1155CC"/>
                <w:sz w:val="20"/>
                <w:szCs w:val="20"/>
              </w:rPr>
              <w:t>BEHAVIOURAL CONSUMER REACTIONS</w:t>
            </w:r>
            <w:r>
              <w:rPr>
                <w:rFonts w:ascii="Book Antiqua" w:eastAsia="Book Antiqua" w:hAnsi="Book Antiqua" w:cs="Book Antiqua"/>
                <w:color w:val="1155CC"/>
                <w:sz w:val="20"/>
                <w:szCs w:val="20"/>
              </w:rPr>
              <w:tab/>
              <w:t>507</w:t>
            </w:r>
          </w:hyperlink>
        </w:p>
        <w:p w14:paraId="3FD1DF91"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kojtlgcf7s8i">
            <w:r>
              <w:rPr>
                <w:rFonts w:ascii="Book Antiqua" w:eastAsia="Book Antiqua" w:hAnsi="Book Antiqua" w:cs="Book Antiqua"/>
                <w:color w:val="1155CC"/>
                <w:sz w:val="20"/>
                <w:szCs w:val="20"/>
              </w:rPr>
              <w:t>ENGAGEMENT CONSUMER REACTIONS</w:t>
            </w:r>
            <w:r>
              <w:rPr>
                <w:rFonts w:ascii="Book Antiqua" w:eastAsia="Book Antiqua" w:hAnsi="Book Antiqua" w:cs="Book Antiqua"/>
                <w:color w:val="1155CC"/>
                <w:sz w:val="20"/>
                <w:szCs w:val="20"/>
              </w:rPr>
              <w:tab/>
              <w:t>508</w:t>
            </w:r>
          </w:hyperlink>
        </w:p>
        <w:p w14:paraId="717A8288"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5zv7zo7w9rjc">
            <w:r>
              <w:rPr>
                <w:rFonts w:ascii="Book Antiqua" w:eastAsia="Book Antiqua" w:hAnsi="Book Antiqua" w:cs="Book Antiqua"/>
                <w:color w:val="1155CC"/>
                <w:sz w:val="20"/>
                <w:szCs w:val="20"/>
              </w:rPr>
              <w:t>CONCEPTS RELATED TO VARIOUS SENSITIVITY</w:t>
            </w:r>
            <w:r>
              <w:rPr>
                <w:rFonts w:ascii="Book Antiqua" w:eastAsia="Book Antiqua" w:hAnsi="Book Antiqua" w:cs="Book Antiqua"/>
                <w:color w:val="1155CC"/>
                <w:sz w:val="20"/>
                <w:szCs w:val="20"/>
              </w:rPr>
              <w:tab/>
              <w:t>509</w:t>
            </w:r>
          </w:hyperlink>
        </w:p>
        <w:p w14:paraId="03EE98D7"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86prrhm8blvd">
            <w:r>
              <w:rPr>
                <w:rFonts w:ascii="Book Antiqua" w:eastAsia="Book Antiqua" w:hAnsi="Book Antiqua" w:cs="Book Antiqua"/>
                <w:color w:val="1155CC"/>
                <w:sz w:val="20"/>
                <w:szCs w:val="20"/>
              </w:rPr>
              <w:t>RELIGIOUS SENSITIVITY</w:t>
            </w:r>
            <w:r>
              <w:rPr>
                <w:rFonts w:ascii="Book Antiqua" w:eastAsia="Book Antiqua" w:hAnsi="Book Antiqua" w:cs="Book Antiqua"/>
                <w:color w:val="1155CC"/>
                <w:sz w:val="20"/>
                <w:szCs w:val="20"/>
              </w:rPr>
              <w:tab/>
              <w:t>509</w:t>
            </w:r>
          </w:hyperlink>
        </w:p>
        <w:p w14:paraId="736A2647"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zayi51z6a8mj">
            <w:r>
              <w:rPr>
                <w:rFonts w:ascii="Book Antiqua" w:eastAsia="Book Antiqua" w:hAnsi="Book Antiqua" w:cs="Book Antiqua"/>
                <w:color w:val="1155CC"/>
                <w:sz w:val="20"/>
                <w:szCs w:val="20"/>
              </w:rPr>
              <w:t>CULTURAL SENSITIVITY</w:t>
            </w:r>
            <w:r>
              <w:rPr>
                <w:rFonts w:ascii="Book Antiqua" w:eastAsia="Book Antiqua" w:hAnsi="Book Antiqua" w:cs="Book Antiqua"/>
                <w:color w:val="1155CC"/>
                <w:sz w:val="20"/>
                <w:szCs w:val="20"/>
              </w:rPr>
              <w:tab/>
              <w:t>510</w:t>
            </w:r>
          </w:hyperlink>
        </w:p>
        <w:p w14:paraId="4A4B5825"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y8805g7jbfb2">
            <w:r>
              <w:rPr>
                <w:rFonts w:ascii="Book Antiqua" w:eastAsia="Book Antiqua" w:hAnsi="Book Antiqua" w:cs="Book Antiqua"/>
                <w:color w:val="1155CC"/>
                <w:sz w:val="20"/>
                <w:szCs w:val="20"/>
              </w:rPr>
              <w:t>PATRIOTISM</w:t>
            </w:r>
            <w:r>
              <w:rPr>
                <w:rFonts w:ascii="Book Antiqua" w:eastAsia="Book Antiqua" w:hAnsi="Book Antiqua" w:cs="Book Antiqua"/>
                <w:color w:val="1155CC"/>
                <w:sz w:val="20"/>
                <w:szCs w:val="20"/>
              </w:rPr>
              <w:tab/>
              <w:t>511</w:t>
            </w:r>
          </w:hyperlink>
        </w:p>
        <w:p w14:paraId="47816213"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vl2f47gt59rz">
            <w:r>
              <w:rPr>
                <w:rFonts w:ascii="Book Antiqua" w:eastAsia="Book Antiqua" w:hAnsi="Book Antiqua" w:cs="Book Antiqua"/>
                <w:color w:val="1155CC"/>
                <w:sz w:val="20"/>
                <w:szCs w:val="20"/>
              </w:rPr>
              <w:t>PATRIOTIC SENSITIVITY</w:t>
            </w:r>
            <w:r>
              <w:rPr>
                <w:rFonts w:ascii="Book Antiqua" w:eastAsia="Book Antiqua" w:hAnsi="Book Antiqua" w:cs="Book Antiqua"/>
                <w:color w:val="1155CC"/>
                <w:sz w:val="20"/>
                <w:szCs w:val="20"/>
              </w:rPr>
              <w:tab/>
              <w:t>512</w:t>
            </w:r>
          </w:hyperlink>
        </w:p>
        <w:p w14:paraId="499C5C8D"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nfogk5pwlbjn">
            <w:r>
              <w:rPr>
                <w:rFonts w:ascii="Book Antiqua" w:eastAsia="Book Antiqua" w:hAnsi="Book Antiqua" w:cs="Book Antiqua"/>
                <w:color w:val="1155CC"/>
                <w:sz w:val="20"/>
                <w:szCs w:val="20"/>
              </w:rPr>
              <w:t>POLITICAL SENSITIVITY</w:t>
            </w:r>
            <w:r>
              <w:rPr>
                <w:rFonts w:ascii="Book Antiqua" w:eastAsia="Book Antiqua" w:hAnsi="Book Antiqua" w:cs="Book Antiqua"/>
                <w:color w:val="1155CC"/>
                <w:sz w:val="20"/>
                <w:szCs w:val="20"/>
              </w:rPr>
              <w:tab/>
              <w:t>513</w:t>
            </w:r>
          </w:hyperlink>
        </w:p>
        <w:p w14:paraId="0E976B6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cyilwyhos1am">
            <w:r>
              <w:rPr>
                <w:rFonts w:ascii="Book Antiqua" w:eastAsia="Book Antiqua" w:hAnsi="Book Antiqua" w:cs="Book Antiqua"/>
                <w:color w:val="1155CC"/>
                <w:sz w:val="20"/>
                <w:szCs w:val="20"/>
              </w:rPr>
              <w:t>ISLAMIC RELIGIOUS SENSITIVITY OF A MUSLIM</w:t>
            </w:r>
            <w:r>
              <w:rPr>
                <w:rFonts w:ascii="Book Antiqua" w:eastAsia="Book Antiqua" w:hAnsi="Book Antiqua" w:cs="Book Antiqua"/>
                <w:color w:val="1155CC"/>
                <w:sz w:val="20"/>
                <w:szCs w:val="20"/>
              </w:rPr>
              <w:tab/>
              <w:t>514</w:t>
            </w:r>
          </w:hyperlink>
        </w:p>
        <w:p w14:paraId="62005AFB"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fv4wtxehczno">
            <w:r>
              <w:rPr>
                <w:rFonts w:ascii="Book Antiqua" w:eastAsia="Book Antiqua" w:hAnsi="Book Antiqua" w:cs="Book Antiqua"/>
                <w:color w:val="1155CC"/>
                <w:sz w:val="20"/>
                <w:szCs w:val="20"/>
              </w:rPr>
              <w:t>CONCEPTS RELATED TO MUSLIM MARKETS &amp; CONSUMPTION</w:t>
            </w:r>
            <w:r>
              <w:rPr>
                <w:rFonts w:ascii="Book Antiqua" w:eastAsia="Book Antiqua" w:hAnsi="Book Antiqua" w:cs="Book Antiqua"/>
                <w:color w:val="1155CC"/>
                <w:sz w:val="20"/>
                <w:szCs w:val="20"/>
              </w:rPr>
              <w:tab/>
              <w:t>515</w:t>
            </w:r>
          </w:hyperlink>
        </w:p>
        <w:p w14:paraId="42AF461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qfl868fbwe88">
            <w:r>
              <w:rPr>
                <w:rFonts w:ascii="Book Antiqua" w:eastAsia="Book Antiqua" w:hAnsi="Book Antiqua" w:cs="Book Antiqua"/>
                <w:color w:val="1155CC"/>
                <w:sz w:val="20"/>
                <w:szCs w:val="20"/>
              </w:rPr>
              <w:t>MUSLIM POPULATION STATS</w:t>
            </w:r>
            <w:r>
              <w:rPr>
                <w:rFonts w:ascii="Book Antiqua" w:eastAsia="Book Antiqua" w:hAnsi="Book Antiqua" w:cs="Book Antiqua"/>
                <w:color w:val="1155CC"/>
                <w:sz w:val="20"/>
                <w:szCs w:val="20"/>
              </w:rPr>
              <w:tab/>
              <w:t>515</w:t>
            </w:r>
          </w:hyperlink>
        </w:p>
        <w:p w14:paraId="5920EAAC"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56hk8uh7rb3o">
            <w:r>
              <w:rPr>
                <w:rFonts w:ascii="Book Antiqua" w:eastAsia="Book Antiqua" w:hAnsi="Book Antiqua" w:cs="Book Antiqua"/>
                <w:color w:val="1155CC"/>
                <w:sz w:val="20"/>
                <w:szCs w:val="20"/>
              </w:rPr>
              <w:t>MUSLIMS &amp; WORLD ECONOMY</w:t>
            </w:r>
            <w:r>
              <w:rPr>
                <w:rFonts w:ascii="Book Antiqua" w:eastAsia="Book Antiqua" w:hAnsi="Book Antiqua" w:cs="Book Antiqua"/>
                <w:color w:val="1155CC"/>
                <w:sz w:val="20"/>
                <w:szCs w:val="20"/>
              </w:rPr>
              <w:tab/>
              <w:t>518</w:t>
            </w:r>
          </w:hyperlink>
        </w:p>
        <w:p w14:paraId="5ED7AE2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ylosad6tbcl9">
            <w:r>
              <w:rPr>
                <w:rFonts w:ascii="Book Antiqua" w:eastAsia="Book Antiqua" w:hAnsi="Book Antiqua" w:cs="Book Antiqua"/>
                <w:color w:val="1155CC"/>
                <w:sz w:val="20"/>
                <w:szCs w:val="20"/>
              </w:rPr>
              <w:t>MUSLIM MARKETS</w:t>
            </w:r>
            <w:r>
              <w:rPr>
                <w:rFonts w:ascii="Book Antiqua" w:eastAsia="Book Antiqua" w:hAnsi="Book Antiqua" w:cs="Book Antiqua"/>
                <w:color w:val="1155CC"/>
                <w:sz w:val="20"/>
                <w:szCs w:val="20"/>
              </w:rPr>
              <w:tab/>
              <w:t>518</w:t>
            </w:r>
          </w:hyperlink>
        </w:p>
        <w:p w14:paraId="13414765"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ftkcwca2ee74">
            <w:r>
              <w:rPr>
                <w:rFonts w:ascii="Book Antiqua" w:eastAsia="Book Antiqua" w:hAnsi="Book Antiqua" w:cs="Book Antiqua"/>
                <w:color w:val="1155CC"/>
                <w:sz w:val="20"/>
                <w:szCs w:val="20"/>
              </w:rPr>
              <w:t>MUSLIM CONSUMPTION (CONCEPTS OF HALAL &amp; HARAM)</w:t>
            </w:r>
            <w:r>
              <w:rPr>
                <w:rFonts w:ascii="Book Antiqua" w:eastAsia="Book Antiqua" w:hAnsi="Book Antiqua" w:cs="Book Antiqua"/>
                <w:color w:val="1155CC"/>
                <w:sz w:val="20"/>
                <w:szCs w:val="20"/>
              </w:rPr>
              <w:tab/>
              <w:t>521</w:t>
            </w:r>
          </w:hyperlink>
        </w:p>
        <w:p w14:paraId="4A5CA1C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ku5rbw505qvc">
            <w:r>
              <w:rPr>
                <w:rFonts w:ascii="Book Antiqua" w:eastAsia="Book Antiqua" w:hAnsi="Book Antiqua" w:cs="Book Antiqua"/>
                <w:color w:val="1155CC"/>
                <w:sz w:val="20"/>
                <w:szCs w:val="20"/>
              </w:rPr>
              <w:t>RELIGIOSITY &amp; MUSLIM CONSUMER BEHAVIOUR</w:t>
            </w:r>
            <w:r>
              <w:rPr>
                <w:rFonts w:ascii="Book Antiqua" w:eastAsia="Book Antiqua" w:hAnsi="Book Antiqua" w:cs="Book Antiqua"/>
                <w:color w:val="1155CC"/>
                <w:sz w:val="20"/>
                <w:szCs w:val="20"/>
              </w:rPr>
              <w:tab/>
              <w:t>523</w:t>
            </w:r>
          </w:hyperlink>
        </w:p>
        <w:p w14:paraId="5EB6BF42"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kkisbzvb43mc">
            <w:r>
              <w:rPr>
                <w:rFonts w:ascii="Book Antiqua" w:eastAsia="Book Antiqua" w:hAnsi="Book Antiqua" w:cs="Book Antiqua"/>
                <w:color w:val="1155CC"/>
                <w:sz w:val="20"/>
                <w:szCs w:val="20"/>
              </w:rPr>
              <w:t>MUSLIM CONSUMER BEHAVIOUR</w:t>
            </w:r>
            <w:r>
              <w:rPr>
                <w:rFonts w:ascii="Book Antiqua" w:eastAsia="Book Antiqua" w:hAnsi="Book Antiqua" w:cs="Book Antiqua"/>
                <w:color w:val="1155CC"/>
                <w:sz w:val="20"/>
                <w:szCs w:val="20"/>
              </w:rPr>
              <w:tab/>
              <w:t>525</w:t>
            </w:r>
          </w:hyperlink>
        </w:p>
        <w:p w14:paraId="23D425C3"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xms13e4xbyp5">
            <w:r>
              <w:rPr>
                <w:rFonts w:ascii="Book Antiqua" w:eastAsia="Book Antiqua" w:hAnsi="Book Antiqua" w:cs="Book Antiqua"/>
                <w:color w:val="1155CC"/>
                <w:sz w:val="20"/>
                <w:szCs w:val="20"/>
              </w:rPr>
              <w:t>MUSLIM CONSUMER SEGMENTATION</w:t>
            </w:r>
            <w:r>
              <w:rPr>
                <w:rFonts w:ascii="Book Antiqua" w:eastAsia="Book Antiqua" w:hAnsi="Book Antiqua" w:cs="Book Antiqua"/>
                <w:color w:val="1155CC"/>
                <w:sz w:val="20"/>
                <w:szCs w:val="20"/>
              </w:rPr>
              <w:tab/>
              <w:t>526</w:t>
            </w:r>
          </w:hyperlink>
        </w:p>
        <w:p w14:paraId="1CB97B11"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epf775j8vw0y">
            <w:r>
              <w:rPr>
                <w:rFonts w:ascii="Book Antiqua" w:eastAsia="Book Antiqua" w:hAnsi="Book Antiqua" w:cs="Book Antiqua"/>
                <w:color w:val="1155CC"/>
                <w:sz w:val="20"/>
                <w:szCs w:val="20"/>
              </w:rPr>
              <w:t>MUSLIM CONSUMER NEEDS AND WANTS</w:t>
            </w:r>
            <w:r>
              <w:rPr>
                <w:rFonts w:ascii="Book Antiqua" w:eastAsia="Book Antiqua" w:hAnsi="Book Antiqua" w:cs="Book Antiqua"/>
                <w:color w:val="1155CC"/>
                <w:sz w:val="20"/>
                <w:szCs w:val="20"/>
              </w:rPr>
              <w:tab/>
              <w:t>527</w:t>
            </w:r>
          </w:hyperlink>
        </w:p>
        <w:p w14:paraId="12B2EAC2"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hnl3ntdhnru">
            <w:r>
              <w:rPr>
                <w:rFonts w:ascii="Book Antiqua" w:eastAsia="Book Antiqua" w:hAnsi="Book Antiqua" w:cs="Book Antiqua"/>
                <w:color w:val="1155CC"/>
                <w:sz w:val="20"/>
                <w:szCs w:val="20"/>
              </w:rPr>
              <w:t>MUSLIM CONSUMER DECISION-MAKING PROCESS</w:t>
            </w:r>
            <w:r>
              <w:rPr>
                <w:rFonts w:ascii="Book Antiqua" w:eastAsia="Book Antiqua" w:hAnsi="Book Antiqua" w:cs="Book Antiqua"/>
                <w:color w:val="1155CC"/>
                <w:sz w:val="20"/>
                <w:szCs w:val="20"/>
              </w:rPr>
              <w:tab/>
              <w:t>528</w:t>
            </w:r>
          </w:hyperlink>
        </w:p>
        <w:p w14:paraId="74E4D510"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zlupvk3wq80">
            <w:r>
              <w:rPr>
                <w:rFonts w:ascii="Book Antiqua" w:eastAsia="Book Antiqua" w:hAnsi="Book Antiqua" w:cs="Book Antiqua"/>
                <w:color w:val="1155CC"/>
                <w:sz w:val="20"/>
                <w:szCs w:val="20"/>
              </w:rPr>
              <w:t>MUSLIM CONSUMER ATTITUDES</w:t>
            </w:r>
            <w:r>
              <w:rPr>
                <w:rFonts w:ascii="Book Antiqua" w:eastAsia="Book Antiqua" w:hAnsi="Book Antiqua" w:cs="Book Antiqua"/>
                <w:color w:val="1155CC"/>
                <w:sz w:val="20"/>
                <w:szCs w:val="20"/>
              </w:rPr>
              <w:tab/>
              <w:t>529</w:t>
            </w:r>
          </w:hyperlink>
        </w:p>
        <w:p w14:paraId="09CEB6AF"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3kr4kag1vdc3">
            <w:r>
              <w:rPr>
                <w:rFonts w:ascii="Book Antiqua" w:eastAsia="Book Antiqua" w:hAnsi="Book Antiqua" w:cs="Book Antiqua"/>
                <w:color w:val="1155CC"/>
                <w:sz w:val="20"/>
                <w:szCs w:val="20"/>
              </w:rPr>
              <w:t>MUSLIM CONSUMER PERCEPTION</w:t>
            </w:r>
            <w:r>
              <w:rPr>
                <w:rFonts w:ascii="Book Antiqua" w:eastAsia="Book Antiqua" w:hAnsi="Book Antiqua" w:cs="Book Antiqua"/>
                <w:color w:val="1155CC"/>
                <w:sz w:val="20"/>
                <w:szCs w:val="20"/>
              </w:rPr>
              <w:tab/>
              <w:t>530</w:t>
            </w:r>
          </w:hyperlink>
        </w:p>
        <w:p w14:paraId="5A43126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fmabkaagni9l">
            <w:r>
              <w:rPr>
                <w:rFonts w:ascii="Book Antiqua" w:eastAsia="Book Antiqua" w:hAnsi="Book Antiqua" w:cs="Book Antiqua"/>
                <w:color w:val="1155CC"/>
                <w:sz w:val="20"/>
                <w:szCs w:val="20"/>
              </w:rPr>
              <w:t>A MUSLIM'S SENSITIVITY TO HIS BELIEFS</w:t>
            </w:r>
            <w:r>
              <w:rPr>
                <w:rFonts w:ascii="Book Antiqua" w:eastAsia="Book Antiqua" w:hAnsi="Book Antiqua" w:cs="Book Antiqua"/>
                <w:color w:val="1155CC"/>
                <w:sz w:val="20"/>
                <w:szCs w:val="20"/>
              </w:rPr>
              <w:tab/>
              <w:t>531</w:t>
            </w:r>
          </w:hyperlink>
        </w:p>
        <w:p w14:paraId="5A2576B8"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yygvy2trdwx0">
            <w:r>
              <w:rPr>
                <w:rFonts w:ascii="Book Antiqua" w:eastAsia="Book Antiqua" w:hAnsi="Book Antiqua" w:cs="Book Antiqua"/>
                <w:color w:val="1155CC"/>
                <w:sz w:val="20"/>
                <w:szCs w:val="20"/>
              </w:rPr>
              <w:t>CONCEPTS RELATED TO MUSLIM CONSUMER REACTIONS</w:t>
            </w:r>
            <w:r>
              <w:rPr>
                <w:rFonts w:ascii="Book Antiqua" w:eastAsia="Book Antiqua" w:hAnsi="Book Antiqua" w:cs="Book Antiqua"/>
                <w:color w:val="1155CC"/>
                <w:sz w:val="20"/>
                <w:szCs w:val="20"/>
              </w:rPr>
              <w:tab/>
              <w:t>532</w:t>
            </w:r>
          </w:hyperlink>
        </w:p>
        <w:p w14:paraId="6A485C5D"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hmad0n2ftzf0">
            <w:r>
              <w:rPr>
                <w:rFonts w:ascii="Book Antiqua" w:eastAsia="Book Antiqua" w:hAnsi="Book Antiqua" w:cs="Book Antiqua"/>
                <w:color w:val="1155CC"/>
                <w:sz w:val="20"/>
                <w:szCs w:val="20"/>
              </w:rPr>
              <w:t>EMOTIONAL REACTIONS OF MUSLIMS</w:t>
            </w:r>
            <w:r>
              <w:rPr>
                <w:rFonts w:ascii="Book Antiqua" w:eastAsia="Book Antiqua" w:hAnsi="Book Antiqua" w:cs="Book Antiqua"/>
                <w:color w:val="1155CC"/>
                <w:sz w:val="20"/>
                <w:szCs w:val="20"/>
              </w:rPr>
              <w:tab/>
              <w:t>533</w:t>
            </w:r>
          </w:hyperlink>
        </w:p>
        <w:p w14:paraId="750C4EB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7ztj8bkdh9xs">
            <w:r>
              <w:rPr>
                <w:rFonts w:ascii="Book Antiqua" w:eastAsia="Book Antiqua" w:hAnsi="Book Antiqua" w:cs="Book Antiqua"/>
                <w:color w:val="1155CC"/>
                <w:sz w:val="20"/>
                <w:szCs w:val="20"/>
              </w:rPr>
              <w:t>PREVIOUS STUDIES ON MUSLIM REACTIONS</w:t>
            </w:r>
            <w:r>
              <w:rPr>
                <w:rFonts w:ascii="Book Antiqua" w:eastAsia="Book Antiqua" w:hAnsi="Book Antiqua" w:cs="Book Antiqua"/>
                <w:color w:val="1155CC"/>
                <w:sz w:val="20"/>
                <w:szCs w:val="20"/>
              </w:rPr>
              <w:tab/>
              <w:t>534</w:t>
            </w:r>
          </w:hyperlink>
        </w:p>
        <w:p w14:paraId="7435017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qs24yaxj9f99">
            <w:r>
              <w:rPr>
                <w:rFonts w:ascii="Book Antiqua" w:eastAsia="Book Antiqua" w:hAnsi="Book Antiqua" w:cs="Book Antiqua"/>
                <w:color w:val="1155CC"/>
                <w:sz w:val="20"/>
                <w:szCs w:val="20"/>
              </w:rPr>
              <w:t>OPINIONS AND PERCEPTIONS OF MUSLIMS</w:t>
            </w:r>
            <w:r>
              <w:rPr>
                <w:rFonts w:ascii="Book Antiqua" w:eastAsia="Book Antiqua" w:hAnsi="Book Antiqua" w:cs="Book Antiqua"/>
                <w:color w:val="1155CC"/>
                <w:sz w:val="20"/>
                <w:szCs w:val="20"/>
              </w:rPr>
              <w:tab/>
              <w:t>538</w:t>
            </w:r>
          </w:hyperlink>
        </w:p>
        <w:p w14:paraId="308658F2"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8o7hriyvjz1e">
            <w:r>
              <w:rPr>
                <w:rFonts w:ascii="Book Antiqua" w:eastAsia="Book Antiqua" w:hAnsi="Book Antiqua" w:cs="Book Antiqua"/>
                <w:color w:val="1155CC"/>
                <w:sz w:val="20"/>
                <w:szCs w:val="20"/>
              </w:rPr>
              <w:t>FACTORS INFLUENCING MUSLIMS’ REACTIONS</w:t>
            </w:r>
            <w:r>
              <w:rPr>
                <w:rFonts w:ascii="Book Antiqua" w:eastAsia="Book Antiqua" w:hAnsi="Book Antiqua" w:cs="Book Antiqua"/>
                <w:color w:val="1155CC"/>
                <w:sz w:val="20"/>
                <w:szCs w:val="20"/>
              </w:rPr>
              <w:tab/>
              <w:t>539</w:t>
            </w:r>
          </w:hyperlink>
        </w:p>
        <w:p w14:paraId="2D0F1B9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ci1azgmu6vue">
            <w:r>
              <w:rPr>
                <w:rFonts w:ascii="Book Antiqua" w:eastAsia="Book Antiqua" w:hAnsi="Book Antiqua" w:cs="Book Antiqua"/>
                <w:color w:val="1155CC"/>
                <w:sz w:val="20"/>
                <w:szCs w:val="20"/>
              </w:rPr>
              <w:t>ROLE OF MEDIA AND SOCIAL MEDIA IN MUSLIMS’ REACTIONS</w:t>
            </w:r>
            <w:r>
              <w:rPr>
                <w:rFonts w:ascii="Book Antiqua" w:eastAsia="Book Antiqua" w:hAnsi="Book Antiqua" w:cs="Book Antiqua"/>
                <w:color w:val="1155CC"/>
                <w:sz w:val="20"/>
                <w:szCs w:val="20"/>
              </w:rPr>
              <w:tab/>
              <w:t>540</w:t>
            </w:r>
          </w:hyperlink>
        </w:p>
        <w:p w14:paraId="37A294B3"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mb31vcjabby5">
            <w:r>
              <w:rPr>
                <w:rFonts w:ascii="Book Antiqua" w:eastAsia="Book Antiqua" w:hAnsi="Book Antiqua" w:cs="Book Antiqua"/>
                <w:color w:val="1155CC"/>
                <w:sz w:val="20"/>
                <w:szCs w:val="20"/>
              </w:rPr>
              <w:t>RELIGIOUS SENSITIVITY OF MUSLIMS AND BLUNDERS</w:t>
            </w:r>
            <w:r>
              <w:rPr>
                <w:rFonts w:ascii="Book Antiqua" w:eastAsia="Book Antiqua" w:hAnsi="Book Antiqua" w:cs="Book Antiqua"/>
                <w:color w:val="1155CC"/>
                <w:sz w:val="20"/>
                <w:szCs w:val="20"/>
              </w:rPr>
              <w:tab/>
              <w:t>541</w:t>
            </w:r>
          </w:hyperlink>
        </w:p>
        <w:p w14:paraId="732F61E1"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q53shd2b9xer">
            <w:r>
              <w:rPr>
                <w:rFonts w:ascii="Book Antiqua" w:eastAsia="Book Antiqua" w:hAnsi="Book Antiqua" w:cs="Book Antiqua"/>
                <w:color w:val="1155CC"/>
                <w:sz w:val="20"/>
                <w:szCs w:val="20"/>
              </w:rPr>
              <w:t>CULTURAL SENSITIVITY OF MUSLIMS AND BLUNDERS</w:t>
            </w:r>
            <w:r>
              <w:rPr>
                <w:rFonts w:ascii="Book Antiqua" w:eastAsia="Book Antiqua" w:hAnsi="Book Antiqua" w:cs="Book Antiqua"/>
                <w:color w:val="1155CC"/>
                <w:sz w:val="20"/>
                <w:szCs w:val="20"/>
              </w:rPr>
              <w:tab/>
              <w:t>542</w:t>
            </w:r>
          </w:hyperlink>
        </w:p>
        <w:p w14:paraId="7BCAE02F"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equmknvceiv1">
            <w:r>
              <w:rPr>
                <w:rFonts w:ascii="Book Antiqua" w:eastAsia="Book Antiqua" w:hAnsi="Book Antiqua" w:cs="Book Antiqua"/>
                <w:color w:val="1155CC"/>
                <w:sz w:val="20"/>
                <w:szCs w:val="20"/>
              </w:rPr>
              <w:t>POLITICAL SENSITIVITY OF MUSLIMS AND BLUNDERS</w:t>
            </w:r>
            <w:r>
              <w:rPr>
                <w:rFonts w:ascii="Book Antiqua" w:eastAsia="Book Antiqua" w:hAnsi="Book Antiqua" w:cs="Book Antiqua"/>
                <w:color w:val="1155CC"/>
                <w:sz w:val="20"/>
                <w:szCs w:val="20"/>
              </w:rPr>
              <w:tab/>
              <w:t>543</w:t>
            </w:r>
          </w:hyperlink>
        </w:p>
        <w:p w14:paraId="31075732"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q9e01gfwo4iy">
            <w:r>
              <w:rPr>
                <w:rFonts w:ascii="Book Antiqua" w:eastAsia="Book Antiqua" w:hAnsi="Book Antiqua" w:cs="Book Antiqua"/>
                <w:color w:val="1155CC"/>
                <w:sz w:val="20"/>
                <w:szCs w:val="20"/>
              </w:rPr>
              <w:t>PATRIOTIC SENSITIVITY OF MUSLIMS AND BLUNDERS</w:t>
            </w:r>
            <w:r>
              <w:rPr>
                <w:rFonts w:ascii="Book Antiqua" w:eastAsia="Book Antiqua" w:hAnsi="Book Antiqua" w:cs="Book Antiqua"/>
                <w:color w:val="1155CC"/>
                <w:sz w:val="20"/>
                <w:szCs w:val="20"/>
              </w:rPr>
              <w:tab/>
              <w:t>545</w:t>
            </w:r>
          </w:hyperlink>
        </w:p>
        <w:p w14:paraId="01A8F734"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3mpswo8dtdvw">
            <w:r>
              <w:rPr>
                <w:rFonts w:ascii="Book Antiqua" w:eastAsia="Book Antiqua" w:hAnsi="Book Antiqua" w:cs="Book Antiqua"/>
                <w:color w:val="1155CC"/>
                <w:sz w:val="20"/>
                <w:szCs w:val="20"/>
              </w:rPr>
              <w:t>MISTAKES, ERRORS, GAFFE &amp; BLUNDERS</w:t>
            </w:r>
            <w:r>
              <w:rPr>
                <w:rFonts w:ascii="Book Antiqua" w:eastAsia="Book Antiqua" w:hAnsi="Book Antiqua" w:cs="Book Antiqua"/>
                <w:color w:val="1155CC"/>
                <w:sz w:val="20"/>
                <w:szCs w:val="20"/>
              </w:rPr>
              <w:tab/>
              <w:t>546</w:t>
            </w:r>
          </w:hyperlink>
        </w:p>
        <w:p w14:paraId="4A2037CB"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h5xago1prijx">
            <w:r>
              <w:rPr>
                <w:rFonts w:ascii="Book Antiqua" w:eastAsia="Book Antiqua" w:hAnsi="Book Antiqua" w:cs="Book Antiqua"/>
                <w:color w:val="1155CC"/>
                <w:sz w:val="20"/>
                <w:szCs w:val="20"/>
              </w:rPr>
              <w:t>OTHER SYNONYMS OF BLUNDER</w:t>
            </w:r>
            <w:r>
              <w:rPr>
                <w:rFonts w:ascii="Book Antiqua" w:eastAsia="Book Antiqua" w:hAnsi="Book Antiqua" w:cs="Book Antiqua"/>
                <w:color w:val="1155CC"/>
                <w:sz w:val="20"/>
                <w:szCs w:val="20"/>
              </w:rPr>
              <w:tab/>
              <w:t>547</w:t>
            </w:r>
          </w:hyperlink>
        </w:p>
        <w:p w14:paraId="51093F8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yv0zgdi76hlz">
            <w:r>
              <w:rPr>
                <w:rFonts w:ascii="Book Antiqua" w:eastAsia="Book Antiqua" w:hAnsi="Book Antiqua" w:cs="Book Antiqua"/>
                <w:color w:val="1155CC"/>
                <w:sz w:val="20"/>
                <w:szCs w:val="20"/>
              </w:rPr>
              <w:t>BRAND BLUNDERS &amp; BRANDING BLUNDERS</w:t>
            </w:r>
            <w:r>
              <w:rPr>
                <w:rFonts w:ascii="Book Antiqua" w:eastAsia="Book Antiqua" w:hAnsi="Book Antiqua" w:cs="Book Antiqua"/>
                <w:color w:val="1155CC"/>
                <w:sz w:val="20"/>
                <w:szCs w:val="20"/>
              </w:rPr>
              <w:tab/>
              <w:t>548</w:t>
            </w:r>
          </w:hyperlink>
        </w:p>
        <w:p w14:paraId="6AD75970" w14:textId="77777777" w:rsidR="002530E2" w:rsidRDefault="002530E2">
          <w:pPr>
            <w:widowControl w:val="0"/>
            <w:tabs>
              <w:tab w:val="right" w:leader="dot" w:pos="12000"/>
            </w:tabs>
            <w:spacing w:before="60" w:after="0" w:line="276" w:lineRule="auto"/>
            <w:rPr>
              <w:rFonts w:ascii="Arial" w:eastAsia="Arial" w:hAnsi="Arial" w:cs="Arial"/>
              <w:b/>
              <w:color w:val="000000"/>
              <w:sz w:val="20"/>
              <w:szCs w:val="20"/>
            </w:rPr>
          </w:pPr>
          <w:hyperlink w:anchor="_pm0ilfg0cxl7">
            <w:r>
              <w:rPr>
                <w:rFonts w:ascii="Book Antiqua" w:eastAsia="Book Antiqua" w:hAnsi="Book Antiqua" w:cs="Book Antiqua"/>
                <w:color w:val="1155CC"/>
                <w:sz w:val="20"/>
                <w:szCs w:val="20"/>
              </w:rPr>
              <w:t>CROSS-CULTURAL BRANDING BLUNDERS</w:t>
            </w:r>
            <w:r>
              <w:rPr>
                <w:rFonts w:ascii="Book Antiqua" w:eastAsia="Book Antiqua" w:hAnsi="Book Antiqua" w:cs="Book Antiqua"/>
                <w:color w:val="1155CC"/>
                <w:sz w:val="20"/>
                <w:szCs w:val="20"/>
              </w:rPr>
              <w:tab/>
              <w:t>549</w:t>
            </w:r>
          </w:hyperlink>
        </w:p>
        <w:p w14:paraId="628F026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r0t6i6gokq5x">
            <w:r>
              <w:rPr>
                <w:rFonts w:ascii="Book Antiqua" w:eastAsia="Book Antiqua" w:hAnsi="Book Antiqua" w:cs="Book Antiqua"/>
                <w:color w:val="1155CC"/>
                <w:sz w:val="20"/>
                <w:szCs w:val="20"/>
              </w:rPr>
              <w:t>CAUSES OF CROSS-CULTURAL BLUNDERS</w:t>
            </w:r>
            <w:r>
              <w:rPr>
                <w:rFonts w:ascii="Book Antiqua" w:eastAsia="Book Antiqua" w:hAnsi="Book Antiqua" w:cs="Book Antiqua"/>
                <w:color w:val="1155CC"/>
                <w:sz w:val="20"/>
                <w:szCs w:val="20"/>
              </w:rPr>
              <w:tab/>
              <w:t>550</w:t>
            </w:r>
          </w:hyperlink>
        </w:p>
        <w:p w14:paraId="235B94F7"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ws4b9bcrx3a4">
            <w:r>
              <w:rPr>
                <w:rFonts w:ascii="Book Antiqua" w:eastAsia="Book Antiqua" w:hAnsi="Book Antiqua" w:cs="Book Antiqua"/>
                <w:color w:val="1155CC"/>
                <w:sz w:val="20"/>
                <w:szCs w:val="20"/>
              </w:rPr>
              <w:t>MARKETING BLUNDERS</w:t>
            </w:r>
            <w:r>
              <w:rPr>
                <w:rFonts w:ascii="Book Antiqua" w:eastAsia="Book Antiqua" w:hAnsi="Book Antiqua" w:cs="Book Antiqua"/>
                <w:color w:val="1155CC"/>
                <w:sz w:val="20"/>
                <w:szCs w:val="20"/>
              </w:rPr>
              <w:tab/>
              <w:t>551</w:t>
            </w:r>
          </w:hyperlink>
        </w:p>
        <w:p w14:paraId="0B6E8B05"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pimnz1fbjrej">
            <w:r>
              <w:rPr>
                <w:rFonts w:ascii="Book Antiqua" w:eastAsia="Book Antiqua" w:hAnsi="Book Antiqua" w:cs="Book Antiqua"/>
                <w:color w:val="1155CC"/>
                <w:sz w:val="20"/>
                <w:szCs w:val="20"/>
              </w:rPr>
              <w:t>ADVERTISING BLUNDERS</w:t>
            </w:r>
            <w:r>
              <w:rPr>
                <w:rFonts w:ascii="Book Antiqua" w:eastAsia="Book Antiqua" w:hAnsi="Book Antiqua" w:cs="Book Antiqua"/>
                <w:color w:val="1155CC"/>
                <w:sz w:val="20"/>
                <w:szCs w:val="20"/>
              </w:rPr>
              <w:tab/>
              <w:t>552</w:t>
            </w:r>
          </w:hyperlink>
        </w:p>
        <w:p w14:paraId="2AD7F6A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e5abmuti9jzt">
            <w:r>
              <w:rPr>
                <w:rFonts w:ascii="Book Antiqua" w:eastAsia="Book Antiqua" w:hAnsi="Book Antiqua" w:cs="Book Antiqua"/>
                <w:color w:val="1155CC"/>
                <w:sz w:val="20"/>
                <w:szCs w:val="20"/>
              </w:rPr>
              <w:t>BRANDING BLUNDERS</w:t>
            </w:r>
            <w:r>
              <w:rPr>
                <w:rFonts w:ascii="Book Antiqua" w:eastAsia="Book Antiqua" w:hAnsi="Book Antiqua" w:cs="Book Antiqua"/>
                <w:color w:val="1155CC"/>
                <w:sz w:val="20"/>
                <w:szCs w:val="20"/>
              </w:rPr>
              <w:tab/>
              <w:t>553</w:t>
            </w:r>
          </w:hyperlink>
        </w:p>
        <w:p w14:paraId="3A1DB16B"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87wvp8izyxcb">
            <w:r>
              <w:rPr>
                <w:rFonts w:ascii="Book Antiqua" w:eastAsia="Book Antiqua" w:hAnsi="Book Antiqua" w:cs="Book Antiqua"/>
                <w:color w:val="1155CC"/>
                <w:sz w:val="20"/>
                <w:szCs w:val="20"/>
              </w:rPr>
              <w:t>BOOKS ON THE TOPIC OF BLUNDERS BY MNCs</w:t>
            </w:r>
            <w:r>
              <w:rPr>
                <w:rFonts w:ascii="Book Antiqua" w:eastAsia="Book Antiqua" w:hAnsi="Book Antiqua" w:cs="Book Antiqua"/>
                <w:color w:val="1155CC"/>
                <w:sz w:val="20"/>
                <w:szCs w:val="20"/>
              </w:rPr>
              <w:tab/>
              <w:t>554</w:t>
            </w:r>
          </w:hyperlink>
        </w:p>
        <w:p w14:paraId="202C266C"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9kx6rmun0su6">
            <w:r>
              <w:rPr>
                <w:rFonts w:ascii="Book Antiqua" w:eastAsia="Book Antiqua" w:hAnsi="Book Antiqua" w:cs="Book Antiqua"/>
                <w:color w:val="1155CC"/>
                <w:sz w:val="20"/>
                <w:szCs w:val="20"/>
              </w:rPr>
              <w:t>BOOK 1 (1990)</w:t>
            </w:r>
            <w:r>
              <w:rPr>
                <w:rFonts w:ascii="Book Antiqua" w:eastAsia="Book Antiqua" w:hAnsi="Book Antiqua" w:cs="Book Antiqua"/>
                <w:color w:val="1155CC"/>
                <w:sz w:val="20"/>
                <w:szCs w:val="20"/>
              </w:rPr>
              <w:tab/>
              <w:t>555</w:t>
            </w:r>
          </w:hyperlink>
        </w:p>
        <w:p w14:paraId="58CABAD3"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ish1hzd45vug">
            <w:r>
              <w:rPr>
                <w:rFonts w:ascii="Book Antiqua" w:eastAsia="Book Antiqua" w:hAnsi="Book Antiqua" w:cs="Book Antiqua"/>
                <w:color w:val="1155CC"/>
                <w:sz w:val="20"/>
                <w:szCs w:val="20"/>
              </w:rPr>
              <w:t>BOOK 2 (1992)</w:t>
            </w:r>
            <w:r>
              <w:rPr>
                <w:rFonts w:ascii="Book Antiqua" w:eastAsia="Book Antiqua" w:hAnsi="Book Antiqua" w:cs="Book Antiqua"/>
                <w:color w:val="1155CC"/>
                <w:sz w:val="20"/>
                <w:szCs w:val="20"/>
              </w:rPr>
              <w:tab/>
              <w:t>556</w:t>
            </w:r>
          </w:hyperlink>
        </w:p>
        <w:p w14:paraId="746E165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gjyo3ov6krjg">
            <w:r>
              <w:rPr>
                <w:rFonts w:ascii="Book Antiqua" w:eastAsia="Book Antiqua" w:hAnsi="Book Antiqua" w:cs="Book Antiqua"/>
                <w:color w:val="1155CC"/>
                <w:sz w:val="20"/>
                <w:szCs w:val="20"/>
              </w:rPr>
              <w:t>BOOK 3 (1992)</w:t>
            </w:r>
            <w:r>
              <w:rPr>
                <w:rFonts w:ascii="Book Antiqua" w:eastAsia="Book Antiqua" w:hAnsi="Book Antiqua" w:cs="Book Antiqua"/>
                <w:color w:val="1155CC"/>
                <w:sz w:val="20"/>
                <w:szCs w:val="20"/>
              </w:rPr>
              <w:tab/>
              <w:t>557</w:t>
            </w:r>
          </w:hyperlink>
        </w:p>
        <w:p w14:paraId="3E5B8103"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476manqyb2gq">
            <w:r>
              <w:rPr>
                <w:rFonts w:ascii="Book Antiqua" w:eastAsia="Book Antiqua" w:hAnsi="Book Antiqua" w:cs="Book Antiqua"/>
                <w:color w:val="1155CC"/>
                <w:sz w:val="20"/>
                <w:szCs w:val="20"/>
              </w:rPr>
              <w:t>BOOK 4 (1998)</w:t>
            </w:r>
            <w:r>
              <w:rPr>
                <w:rFonts w:ascii="Book Antiqua" w:eastAsia="Book Antiqua" w:hAnsi="Book Antiqua" w:cs="Book Antiqua"/>
                <w:color w:val="1155CC"/>
                <w:sz w:val="20"/>
                <w:szCs w:val="20"/>
              </w:rPr>
              <w:tab/>
              <w:t>558</w:t>
            </w:r>
          </w:hyperlink>
        </w:p>
        <w:p w14:paraId="57712A87"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i0r6mg7dwse3">
            <w:r>
              <w:rPr>
                <w:rFonts w:ascii="Book Antiqua" w:eastAsia="Book Antiqua" w:hAnsi="Book Antiqua" w:cs="Book Antiqua"/>
                <w:color w:val="1155CC"/>
                <w:sz w:val="20"/>
                <w:szCs w:val="20"/>
              </w:rPr>
              <w:t>BOOK 5 (2002)</w:t>
            </w:r>
            <w:r>
              <w:rPr>
                <w:rFonts w:ascii="Book Antiqua" w:eastAsia="Book Antiqua" w:hAnsi="Book Antiqua" w:cs="Book Antiqua"/>
                <w:color w:val="1155CC"/>
                <w:sz w:val="20"/>
                <w:szCs w:val="20"/>
              </w:rPr>
              <w:tab/>
              <w:t>559</w:t>
            </w:r>
          </w:hyperlink>
        </w:p>
        <w:p w14:paraId="2B79601A"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nqla181q67uu">
            <w:r>
              <w:rPr>
                <w:rFonts w:ascii="Book Antiqua" w:eastAsia="Book Antiqua" w:hAnsi="Book Antiqua" w:cs="Book Antiqua"/>
                <w:color w:val="1155CC"/>
                <w:sz w:val="20"/>
                <w:szCs w:val="20"/>
              </w:rPr>
              <w:t>BOOK 6 (2003)</w:t>
            </w:r>
            <w:r>
              <w:rPr>
                <w:rFonts w:ascii="Book Antiqua" w:eastAsia="Book Antiqua" w:hAnsi="Book Antiqua" w:cs="Book Antiqua"/>
                <w:color w:val="1155CC"/>
                <w:sz w:val="20"/>
                <w:szCs w:val="20"/>
              </w:rPr>
              <w:tab/>
              <w:t>560</w:t>
            </w:r>
          </w:hyperlink>
        </w:p>
        <w:p w14:paraId="6A687DDD"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lz79wea3dsch">
            <w:r>
              <w:rPr>
                <w:rFonts w:ascii="Book Antiqua" w:eastAsia="Book Antiqua" w:hAnsi="Book Antiqua" w:cs="Book Antiqua"/>
                <w:color w:val="1155CC"/>
                <w:sz w:val="20"/>
                <w:szCs w:val="20"/>
              </w:rPr>
              <w:t>BOOK 7 (2006)</w:t>
            </w:r>
            <w:r>
              <w:rPr>
                <w:rFonts w:ascii="Book Antiqua" w:eastAsia="Book Antiqua" w:hAnsi="Book Antiqua" w:cs="Book Antiqua"/>
                <w:color w:val="1155CC"/>
                <w:sz w:val="20"/>
                <w:szCs w:val="20"/>
              </w:rPr>
              <w:tab/>
              <w:t>560</w:t>
            </w:r>
          </w:hyperlink>
        </w:p>
        <w:p w14:paraId="45B17EDF"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bi5uu7yj5hhz">
            <w:r>
              <w:rPr>
                <w:rFonts w:ascii="Book Antiqua" w:eastAsia="Book Antiqua" w:hAnsi="Book Antiqua" w:cs="Book Antiqua"/>
                <w:color w:val="1155CC"/>
                <w:sz w:val="20"/>
                <w:szCs w:val="20"/>
              </w:rPr>
              <w:t>BOOK 8 (2007)</w:t>
            </w:r>
            <w:r>
              <w:rPr>
                <w:rFonts w:ascii="Book Antiqua" w:eastAsia="Book Antiqua" w:hAnsi="Book Antiqua" w:cs="Book Antiqua"/>
                <w:color w:val="1155CC"/>
                <w:sz w:val="20"/>
                <w:szCs w:val="20"/>
              </w:rPr>
              <w:tab/>
              <w:t>561</w:t>
            </w:r>
          </w:hyperlink>
        </w:p>
        <w:p w14:paraId="455D06F4"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x6q5yl7z8ul">
            <w:r>
              <w:rPr>
                <w:rFonts w:ascii="Book Antiqua" w:eastAsia="Book Antiqua" w:hAnsi="Book Antiqua" w:cs="Book Antiqua"/>
                <w:color w:val="1155CC"/>
                <w:sz w:val="20"/>
                <w:szCs w:val="20"/>
              </w:rPr>
              <w:t>BOOK 9 (2010)</w:t>
            </w:r>
            <w:r>
              <w:rPr>
                <w:rFonts w:ascii="Book Antiqua" w:eastAsia="Book Antiqua" w:hAnsi="Book Antiqua" w:cs="Book Antiqua"/>
                <w:color w:val="1155CC"/>
                <w:sz w:val="20"/>
                <w:szCs w:val="20"/>
              </w:rPr>
              <w:tab/>
              <w:t>562</w:t>
            </w:r>
          </w:hyperlink>
        </w:p>
        <w:p w14:paraId="1CE0A598"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1m2acs9u06pu">
            <w:r>
              <w:rPr>
                <w:rFonts w:ascii="Book Antiqua" w:eastAsia="Book Antiqua" w:hAnsi="Book Antiqua" w:cs="Book Antiqua"/>
                <w:color w:val="1155CC"/>
                <w:sz w:val="20"/>
                <w:szCs w:val="20"/>
              </w:rPr>
              <w:t>BOOK 10 (2010)</w:t>
            </w:r>
            <w:r>
              <w:rPr>
                <w:rFonts w:ascii="Book Antiqua" w:eastAsia="Book Antiqua" w:hAnsi="Book Antiqua" w:cs="Book Antiqua"/>
                <w:color w:val="1155CC"/>
                <w:sz w:val="20"/>
                <w:szCs w:val="20"/>
              </w:rPr>
              <w:tab/>
              <w:t>563</w:t>
            </w:r>
          </w:hyperlink>
        </w:p>
        <w:p w14:paraId="713D81B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f0vo14e4cl9c">
            <w:r>
              <w:rPr>
                <w:rFonts w:ascii="Book Antiqua" w:eastAsia="Book Antiqua" w:hAnsi="Book Antiqua" w:cs="Book Antiqua"/>
                <w:color w:val="1155CC"/>
                <w:sz w:val="20"/>
                <w:szCs w:val="20"/>
              </w:rPr>
              <w:t>BOOK 11 (2012)</w:t>
            </w:r>
            <w:r>
              <w:rPr>
                <w:rFonts w:ascii="Book Antiqua" w:eastAsia="Book Antiqua" w:hAnsi="Book Antiqua" w:cs="Book Antiqua"/>
                <w:color w:val="1155CC"/>
                <w:sz w:val="20"/>
                <w:szCs w:val="20"/>
              </w:rPr>
              <w:tab/>
              <w:t>564</w:t>
            </w:r>
          </w:hyperlink>
        </w:p>
        <w:p w14:paraId="5FA67750"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yql6y2ex2zco">
            <w:r>
              <w:rPr>
                <w:rFonts w:ascii="Book Antiqua" w:eastAsia="Book Antiqua" w:hAnsi="Book Antiqua" w:cs="Book Antiqua"/>
                <w:color w:val="1155CC"/>
                <w:sz w:val="20"/>
                <w:szCs w:val="20"/>
              </w:rPr>
              <w:t>BOOK 12 (2014)</w:t>
            </w:r>
            <w:r>
              <w:rPr>
                <w:rFonts w:ascii="Book Antiqua" w:eastAsia="Book Antiqua" w:hAnsi="Book Antiqua" w:cs="Book Antiqua"/>
                <w:color w:val="1155CC"/>
                <w:sz w:val="20"/>
                <w:szCs w:val="20"/>
              </w:rPr>
              <w:tab/>
              <w:t>565</w:t>
            </w:r>
          </w:hyperlink>
        </w:p>
        <w:p w14:paraId="103C217D"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oh4x5ttsomg6">
            <w:r>
              <w:rPr>
                <w:rFonts w:ascii="Book Antiqua" w:eastAsia="Book Antiqua" w:hAnsi="Book Antiqua" w:cs="Book Antiqua"/>
                <w:color w:val="1155CC"/>
                <w:sz w:val="20"/>
                <w:szCs w:val="20"/>
              </w:rPr>
              <w:t>BOOK 13 (2019)</w:t>
            </w:r>
            <w:r>
              <w:rPr>
                <w:rFonts w:ascii="Book Antiqua" w:eastAsia="Book Antiqua" w:hAnsi="Book Antiqua" w:cs="Book Antiqua"/>
                <w:color w:val="1155CC"/>
                <w:sz w:val="20"/>
                <w:szCs w:val="20"/>
              </w:rPr>
              <w:tab/>
              <w:t>566</w:t>
            </w:r>
          </w:hyperlink>
        </w:p>
        <w:p w14:paraId="6DDD81B0"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i8dlp9owci6e">
            <w:r>
              <w:rPr>
                <w:rFonts w:ascii="Book Antiqua" w:eastAsia="Book Antiqua" w:hAnsi="Book Antiqua" w:cs="Book Antiqua"/>
                <w:color w:val="1155CC"/>
                <w:sz w:val="20"/>
                <w:szCs w:val="20"/>
              </w:rPr>
              <w:t>BOOK 14</w:t>
            </w:r>
            <w:r>
              <w:rPr>
                <w:rFonts w:ascii="Book Antiqua" w:eastAsia="Book Antiqua" w:hAnsi="Book Antiqua" w:cs="Book Antiqua"/>
                <w:color w:val="1155CC"/>
                <w:sz w:val="20"/>
                <w:szCs w:val="20"/>
              </w:rPr>
              <w:tab/>
              <w:t>567</w:t>
            </w:r>
          </w:hyperlink>
        </w:p>
        <w:p w14:paraId="65C52F80"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jplpqu2lzsub">
            <w:r>
              <w:rPr>
                <w:rFonts w:ascii="Book Antiqua" w:eastAsia="Book Antiqua" w:hAnsi="Book Antiqua" w:cs="Book Antiqua"/>
                <w:color w:val="1155CC"/>
                <w:sz w:val="20"/>
                <w:szCs w:val="20"/>
              </w:rPr>
              <w:t>MISUNDERSTANDINGS BETWEEN MNCs AND MUSLIMS</w:t>
            </w:r>
            <w:r>
              <w:rPr>
                <w:rFonts w:ascii="Book Antiqua" w:eastAsia="Book Antiqua" w:hAnsi="Book Antiqua" w:cs="Book Antiqua"/>
                <w:color w:val="1155CC"/>
                <w:sz w:val="20"/>
                <w:szCs w:val="20"/>
              </w:rPr>
              <w:tab/>
              <w:t>568</w:t>
            </w:r>
          </w:hyperlink>
        </w:p>
        <w:p w14:paraId="58BC375C"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p54zje809obs">
            <w:r>
              <w:rPr>
                <w:rFonts w:ascii="Book Antiqua" w:eastAsia="Book Antiqua" w:hAnsi="Book Antiqua" w:cs="Book Antiqua"/>
                <w:color w:val="1155CC"/>
                <w:sz w:val="20"/>
                <w:szCs w:val="20"/>
              </w:rPr>
              <w:t>BEHAVIOURS OF MUSLIM IN RESPONSE TO BLUNDERS</w:t>
            </w:r>
            <w:r>
              <w:rPr>
                <w:rFonts w:ascii="Book Antiqua" w:eastAsia="Book Antiqua" w:hAnsi="Book Antiqua" w:cs="Book Antiqua"/>
                <w:color w:val="1155CC"/>
                <w:sz w:val="20"/>
                <w:szCs w:val="20"/>
              </w:rPr>
              <w:tab/>
              <w:t>569</w:t>
            </w:r>
          </w:hyperlink>
        </w:p>
        <w:p w14:paraId="47A4B9E9"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e78ypc2tecik">
            <w:r>
              <w:rPr>
                <w:rFonts w:ascii="Book Antiqua" w:eastAsia="Book Antiqua" w:hAnsi="Book Antiqua" w:cs="Book Antiqua"/>
                <w:color w:val="1155CC"/>
                <w:sz w:val="20"/>
                <w:szCs w:val="20"/>
              </w:rPr>
              <w:t>IMPACT OF MUSLIM REACTIONS ON BUSINESS OPERATIONS</w:t>
            </w:r>
            <w:r>
              <w:rPr>
                <w:rFonts w:ascii="Book Antiqua" w:eastAsia="Book Antiqua" w:hAnsi="Book Antiqua" w:cs="Book Antiqua"/>
                <w:color w:val="1155CC"/>
                <w:sz w:val="20"/>
                <w:szCs w:val="20"/>
              </w:rPr>
              <w:tab/>
              <w:t>570</w:t>
            </w:r>
          </w:hyperlink>
        </w:p>
        <w:p w14:paraId="157CF24B"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twutvnjhxoyl">
            <w:r>
              <w:rPr>
                <w:rFonts w:ascii="Book Antiqua" w:eastAsia="Book Antiqua" w:hAnsi="Book Antiqua" w:cs="Book Antiqua"/>
                <w:color w:val="1155CC"/>
                <w:sz w:val="20"/>
                <w:szCs w:val="20"/>
              </w:rPr>
              <w:t>STRATEGIES TO ADDRESS NEGATIVE MUSLIMS REACTIONS</w:t>
            </w:r>
            <w:r>
              <w:rPr>
                <w:rFonts w:ascii="Book Antiqua" w:eastAsia="Book Antiqua" w:hAnsi="Book Antiqua" w:cs="Book Antiqua"/>
                <w:color w:val="1155CC"/>
                <w:sz w:val="20"/>
                <w:szCs w:val="20"/>
              </w:rPr>
              <w:tab/>
              <w:t>571</w:t>
            </w:r>
          </w:hyperlink>
        </w:p>
        <w:p w14:paraId="7567E822"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aigkrkb0m5jp">
            <w:r>
              <w:rPr>
                <w:rFonts w:ascii="Book Antiqua" w:eastAsia="Book Antiqua" w:hAnsi="Book Antiqua" w:cs="Book Antiqua"/>
                <w:color w:val="1155CC"/>
                <w:sz w:val="20"/>
                <w:szCs w:val="20"/>
              </w:rPr>
              <w:t>CORPORATE RECONCILIATION AND ENGAGEMENT STRATEGIES</w:t>
            </w:r>
            <w:r>
              <w:rPr>
                <w:rFonts w:ascii="Book Antiqua" w:eastAsia="Book Antiqua" w:hAnsi="Book Antiqua" w:cs="Book Antiqua"/>
                <w:color w:val="1155CC"/>
                <w:sz w:val="20"/>
                <w:szCs w:val="20"/>
              </w:rPr>
              <w:tab/>
              <w:t>572</w:t>
            </w:r>
          </w:hyperlink>
        </w:p>
        <w:p w14:paraId="2E4145BB" w14:textId="77777777" w:rsidR="002530E2" w:rsidRDefault="002530E2">
          <w:pPr>
            <w:widowControl w:val="0"/>
            <w:tabs>
              <w:tab w:val="right" w:leader="dot" w:pos="12000"/>
            </w:tabs>
            <w:spacing w:before="60" w:after="0" w:line="276" w:lineRule="auto"/>
            <w:ind w:left="360"/>
            <w:rPr>
              <w:rFonts w:ascii="Arial" w:eastAsia="Arial" w:hAnsi="Arial" w:cs="Arial"/>
              <w:color w:val="000000"/>
              <w:sz w:val="20"/>
              <w:szCs w:val="20"/>
            </w:rPr>
          </w:pPr>
          <w:hyperlink w:anchor="_h9hlj8pt00t7">
            <w:r>
              <w:rPr>
                <w:rFonts w:ascii="Book Antiqua" w:eastAsia="Book Antiqua" w:hAnsi="Book Antiqua" w:cs="Book Antiqua"/>
                <w:color w:val="1155CC"/>
                <w:sz w:val="20"/>
                <w:szCs w:val="20"/>
              </w:rPr>
              <w:t>ROLE OF CORPORATE SOCIAL RESPONSIBILITY (CSR)</w:t>
            </w:r>
            <w:r>
              <w:rPr>
                <w:rFonts w:ascii="Book Antiqua" w:eastAsia="Book Antiqua" w:hAnsi="Book Antiqua" w:cs="Book Antiqua"/>
                <w:color w:val="1155CC"/>
                <w:sz w:val="20"/>
                <w:szCs w:val="20"/>
              </w:rPr>
              <w:tab/>
              <w:t>573</w:t>
            </w:r>
          </w:hyperlink>
          <w:r>
            <w:fldChar w:fldCharType="end"/>
          </w:r>
        </w:p>
      </w:sdtContent>
    </w:sdt>
    <w:p w14:paraId="191CE7A2" w14:textId="77777777" w:rsidR="002530E2" w:rsidRDefault="002530E2">
      <w:pPr>
        <w:pStyle w:val="Heading1"/>
      </w:pPr>
      <w:bookmarkStart w:id="223" w:name="_kwfn5lb0097j" w:colFirst="0" w:colLast="0"/>
      <w:bookmarkEnd w:id="223"/>
    </w:p>
    <w:p w14:paraId="04EEFD62" w14:textId="77777777" w:rsidR="002530E2" w:rsidRDefault="002530E2">
      <w:pPr>
        <w:pStyle w:val="Heading1"/>
      </w:pPr>
      <w:bookmarkStart w:id="224" w:name="_wbvlit3vfvbn" w:colFirst="0" w:colLast="0"/>
      <w:bookmarkEnd w:id="224"/>
    </w:p>
    <w:p w14:paraId="5F7B4FAC" w14:textId="77777777" w:rsidR="002530E2" w:rsidRDefault="002530E2">
      <w:pPr>
        <w:pStyle w:val="Heading1"/>
      </w:pPr>
      <w:bookmarkStart w:id="225" w:name="_l9923ag4kes4" w:colFirst="0" w:colLast="0"/>
      <w:bookmarkEnd w:id="225"/>
      <w:r>
        <w:t>INTRODUCTION</w:t>
      </w:r>
    </w:p>
    <w:p w14:paraId="18AC66BC" w14:textId="77777777" w:rsidR="002530E2" w:rsidRDefault="002530E2">
      <w:r>
        <w:t>This appendix provides an extensive overview of key ideas, concepts, themes, and theories that are relevant to this study as part of its systematic literature review and analysis. The purpose of this section is to present a comprehensive understanding of the topics related to the research area. It covers a wide range of literature that contributes to the existing knowledge and theoretical framework of the study. By exploring these key ideas, concepts, themes, and theories, the study aims to establish a solid foundation for its research methodology and analysis.</w:t>
      </w:r>
    </w:p>
    <w:p w14:paraId="28EDE755" w14:textId="77777777" w:rsidR="002530E2" w:rsidRDefault="002530E2">
      <w:pPr>
        <w:pStyle w:val="Heading1"/>
      </w:pPr>
      <w:bookmarkStart w:id="226" w:name="_8tantbj3xy0a" w:colFirst="0" w:colLast="0"/>
      <w:bookmarkEnd w:id="226"/>
      <w:r>
        <w:lastRenderedPageBreak/>
        <w:t xml:space="preserve">CONCEPTS RELATED TO CULTURE  </w:t>
      </w:r>
    </w:p>
    <w:p w14:paraId="49D061B9" w14:textId="77777777" w:rsidR="002530E2" w:rsidRDefault="002530E2">
      <w:r>
        <w:t xml:space="preserve">According to Lebrón (2013), a list of 164 different definitions of culture was compiled by anthropologists Kroeber and Kluckhohn in 1952. Lebrón (2013) further explains that an individual's culture is defined as their set of values, beliefs, and ideas that are widely shared by their society. A culture is a set of values and beliefs, as well as a set of learned behaviours that give us an identity and belonging within a particular society. People can think, imagine, and learn in different ways, and their collective behaviours shape and sustain a variety of cultures. </w:t>
      </w:r>
    </w:p>
    <w:p w14:paraId="5A41D8BD" w14:textId="77777777" w:rsidR="002530E2" w:rsidRDefault="002530E2">
      <w:r>
        <w:t>According to The Oxford Learners’ English Dictionaries (2022), the definition of the term “culture” is “the customs and beliefs, art, way of life and social organisation of a particular country or group.” The Cambridge English Dictionary (2022) refers to “culture” as “the way of life, especially the general customs and beliefs, of a particular group of people at a particular time” and the Lexico English Dictionaries (2022) define “culture” as “the customs, arts, social institutions, and achievements of a particular nation, people, or other social group.”</w:t>
      </w:r>
    </w:p>
    <w:p w14:paraId="2B249F08" w14:textId="77777777" w:rsidR="002530E2" w:rsidRDefault="002530E2">
      <w:r>
        <w:t xml:space="preserve">Reddy-Best (2020) points out that “culture shapes how people think about things.” Spradley (1972) refers to cultural mentifacts as “what people know”(ideas, values, and knowledge and stereotypes); sociofacts as “what people do”(eg. army officers wear uniforms that reflect their line of work); and artefacts as “what people make” (clothing, footwear, accessories, makeup, toys, electronics, ceramics and brand logo).. </w:t>
      </w:r>
    </w:p>
    <w:p w14:paraId="36F5BD9D" w14:textId="77777777" w:rsidR="002530E2" w:rsidRDefault="002530E2">
      <w:r>
        <w:t>Reddy-Best (2020) highlights that “all people have culture and it is not something held only by society elites, such as only the wealthiest, most educated, or most sophisticated.”</w:t>
      </w:r>
    </w:p>
    <w:p w14:paraId="0C78035C" w14:textId="77777777" w:rsidR="002530E2" w:rsidRDefault="002530E2">
      <w:r>
        <w:t xml:space="preserve">Culture refers to the shared beliefs, values, customs, behaviours, and artefacts that characterise a particular group or society. It encompasses the ways of life and social norms that are passed down from one generation to another. Culture influences how individuals perceive the world, interact with others, and make meaning out of their experiences. </w:t>
      </w:r>
    </w:p>
    <w:p w14:paraId="7325934C" w14:textId="77777777" w:rsidR="002530E2" w:rsidRDefault="002530E2">
      <w:r>
        <w:t>Some key aspects of culture include:</w:t>
      </w:r>
    </w:p>
    <w:p w14:paraId="0390B144" w14:textId="77777777" w:rsidR="002530E2" w:rsidRDefault="002530E2" w:rsidP="002530E2">
      <w:pPr>
        <w:numPr>
          <w:ilvl w:val="0"/>
          <w:numId w:val="73"/>
        </w:numPr>
        <w:spacing w:after="200" w:line="360" w:lineRule="auto"/>
        <w:jc w:val="both"/>
      </w:pPr>
      <w:r>
        <w:t>Beliefs and Values: Beliefs are ideas or assumptions held by individuals or groups about the nature of reality, the existence of a higher power, or the meaning of life. Values, on the other hand, are the principles or standards that guide behaviour and decision-making within a cultural context. Beliefs and values shape individuals' attitudes, moral codes, and social norms.</w:t>
      </w:r>
    </w:p>
    <w:p w14:paraId="60ED2B7C" w14:textId="77777777" w:rsidR="002530E2" w:rsidRDefault="002530E2" w:rsidP="002530E2">
      <w:pPr>
        <w:numPr>
          <w:ilvl w:val="0"/>
          <w:numId w:val="73"/>
        </w:numPr>
        <w:spacing w:after="200" w:line="360" w:lineRule="auto"/>
        <w:jc w:val="both"/>
      </w:pPr>
      <w:r>
        <w:t>Language: Language is a fundamental aspect of culture as it provides a means of communication and expression. It encompasses not only the spoken or written words but also non-verbal forms of communication such as gestures, facial expressions, and body language. Language shapes how individuals think, perceive reality, and convey their cultural values and traditions.</w:t>
      </w:r>
    </w:p>
    <w:p w14:paraId="05AA0D37" w14:textId="77777777" w:rsidR="002530E2" w:rsidRDefault="002530E2" w:rsidP="002530E2">
      <w:pPr>
        <w:numPr>
          <w:ilvl w:val="0"/>
          <w:numId w:val="73"/>
        </w:numPr>
        <w:spacing w:after="200" w:line="360" w:lineRule="auto"/>
        <w:jc w:val="both"/>
      </w:pPr>
      <w:r>
        <w:lastRenderedPageBreak/>
        <w:t>Customs and Traditions: Customs are specific practices or behaviours that are commonly followed within a cultural group. They can include rituals, ceremonies, greetings, social etiquette, and traditional practices. Traditions are long standing customs that are passed down through generations and often hold symbolic meaning for the community.</w:t>
      </w:r>
    </w:p>
    <w:p w14:paraId="67C9B04C" w14:textId="77777777" w:rsidR="002530E2" w:rsidRDefault="002530E2" w:rsidP="002530E2">
      <w:pPr>
        <w:numPr>
          <w:ilvl w:val="0"/>
          <w:numId w:val="73"/>
        </w:numPr>
        <w:spacing w:after="200" w:line="360" w:lineRule="auto"/>
        <w:jc w:val="both"/>
      </w:pPr>
      <w:r>
        <w:t>Social Organization: Culture influences the way people organise themselves in society. This includes the family structure, social hierarchies, roles and expectations, and systems of governance. Social organisation provides a framework for how individuals interact, form relationships, and fulfil societal roles.</w:t>
      </w:r>
    </w:p>
    <w:p w14:paraId="3F7D5217" w14:textId="77777777" w:rsidR="002530E2" w:rsidRDefault="002530E2" w:rsidP="002530E2">
      <w:pPr>
        <w:numPr>
          <w:ilvl w:val="0"/>
          <w:numId w:val="73"/>
        </w:numPr>
        <w:spacing w:after="200" w:line="360" w:lineRule="auto"/>
        <w:jc w:val="both"/>
      </w:pPr>
      <w:r>
        <w:t>Arts, Literature, and Expressive Forms: Culture finds expression through various artistic forms such as music, dance, visual arts, literature, theatre, and film. These artistic expressions often reflect the values, beliefs, and stories of a particular culture. They serve as mediums for preserving cultural heritage, conveying social messages, and fostering a sense of identity and belonging.</w:t>
      </w:r>
    </w:p>
    <w:p w14:paraId="45C30735" w14:textId="77777777" w:rsidR="002530E2" w:rsidRDefault="002530E2" w:rsidP="002530E2">
      <w:pPr>
        <w:numPr>
          <w:ilvl w:val="0"/>
          <w:numId w:val="73"/>
        </w:numPr>
        <w:spacing w:after="200" w:line="360" w:lineRule="auto"/>
        <w:jc w:val="both"/>
      </w:pPr>
      <w:r>
        <w:t>Cultural Identity: Culture plays a vital role in shaping individual and group identities. It provides individuals with a sense of belonging and helps them define their self-concept and affiliation with a particular cultural group. Cultural identity is influenced by factors such as nationality, ethnicity, religion, language, and shared experiences.</w:t>
      </w:r>
    </w:p>
    <w:p w14:paraId="65F867B3" w14:textId="77777777" w:rsidR="002530E2" w:rsidRDefault="002530E2" w:rsidP="002530E2">
      <w:pPr>
        <w:numPr>
          <w:ilvl w:val="0"/>
          <w:numId w:val="73"/>
        </w:numPr>
        <w:spacing w:after="200" w:line="360" w:lineRule="auto"/>
        <w:jc w:val="both"/>
      </w:pPr>
      <w:r>
        <w:t>Cultural Change and Adaptation: Culture is not static; it evolves and changes over time. External influences, technological advancements, globalisation, and interactions between cultures contribute to cultural change. Cultures also adapt to new circumstances, challenges, and social dynamics while retaining certain core elements.</w:t>
      </w:r>
    </w:p>
    <w:p w14:paraId="05AF2A01" w14:textId="77777777" w:rsidR="002530E2" w:rsidRDefault="002530E2">
      <w:r>
        <w:t>Understanding and respecting cultural diversity is essential for fostering social harmony, cross-cultural communication, and global cooperation. Cultural awareness promotes empathy, appreciation for different perspectives, and the recognition of the shared humanity that underlies cultural differences.</w:t>
      </w:r>
    </w:p>
    <w:p w14:paraId="2BEB1206" w14:textId="77777777" w:rsidR="002530E2" w:rsidRDefault="002530E2">
      <w:pPr>
        <w:pStyle w:val="Heading1"/>
      </w:pPr>
      <w:bookmarkStart w:id="227" w:name="_f7dwp21vvsxk" w:colFirst="0" w:colLast="0"/>
      <w:bookmarkEnd w:id="227"/>
      <w:r>
        <w:t>CROSS-CULTURE</w:t>
      </w:r>
    </w:p>
    <w:p w14:paraId="741F49B7" w14:textId="77777777" w:rsidR="002530E2" w:rsidRDefault="002530E2">
      <w:r>
        <w:t>According to The Oxford Learners’ English Dictionaries (2022), the definition of the term “cross-cultural” is “involving or containing ideas from two or more different countries or cultures.” The Cambridge English Dictionary (2022) refers to “cross-cultural” as “involving two or more different cultures and their ideas and customs” and the Lexico English Dictionaries (2022) define “cross-cultural” as “relating to different cultures or comparison between them.”</w:t>
      </w:r>
    </w:p>
    <w:p w14:paraId="6F5BF401" w14:textId="77777777" w:rsidR="002530E2" w:rsidRDefault="002530E2">
      <w:r>
        <w:lastRenderedPageBreak/>
        <w:t xml:space="preserve">Cross-culture, or cross-cultural, refers to interactions or situations that involve individuals or groups from different cultural backgrounds. It encompasses the understanding and appreciation of cultural diversity, as well as the ability to navigate and communicate effectively across cultural boundaries. Cross-cultural interactions can occur in various contexts, such as business, education, travel, or social settings. </w:t>
      </w:r>
    </w:p>
    <w:p w14:paraId="35ACB463" w14:textId="77777777" w:rsidR="002530E2" w:rsidRDefault="002530E2">
      <w:r>
        <w:t>Some key aspects of cross-culture include:</w:t>
      </w:r>
    </w:p>
    <w:p w14:paraId="3D9114B4" w14:textId="77777777" w:rsidR="002530E2" w:rsidRDefault="002530E2" w:rsidP="002530E2">
      <w:pPr>
        <w:numPr>
          <w:ilvl w:val="0"/>
          <w:numId w:val="72"/>
        </w:numPr>
        <w:spacing w:before="240" w:after="200" w:line="360" w:lineRule="auto"/>
        <w:jc w:val="both"/>
      </w:pPr>
      <w:r>
        <w:t>Cultural Awareness: Cross-cultural interactions require awareness and understanding of different cultural norms, values, beliefs, and communication styles. This includes recognising and respecting cultural differences as well as being mindful of potential cultural sensitivities or misunderstandings.</w:t>
      </w:r>
    </w:p>
    <w:p w14:paraId="01D415F6" w14:textId="77777777" w:rsidR="002530E2" w:rsidRDefault="002530E2" w:rsidP="002530E2">
      <w:pPr>
        <w:numPr>
          <w:ilvl w:val="0"/>
          <w:numId w:val="72"/>
        </w:numPr>
        <w:spacing w:after="200" w:line="360" w:lineRule="auto"/>
        <w:jc w:val="both"/>
      </w:pPr>
      <w:r>
        <w:t>Communication: Effective cross-cultural communication involves adapting one's communication style to accommodate cultural differences. This includes being aware of verbal and non-verbal cues, using language and expressions that are culturally appropriate, and being sensitive to different communication styles and norms.</w:t>
      </w:r>
    </w:p>
    <w:p w14:paraId="405B264E" w14:textId="77777777" w:rsidR="002530E2" w:rsidRDefault="002530E2" w:rsidP="002530E2">
      <w:pPr>
        <w:numPr>
          <w:ilvl w:val="0"/>
          <w:numId w:val="72"/>
        </w:numPr>
        <w:spacing w:after="200" w:line="360" w:lineRule="auto"/>
        <w:jc w:val="both"/>
      </w:pPr>
      <w:r>
        <w:t>Cultural Competence: Cultural competence refers to the ability to interact and work effectively with individuals from diverse cultural backgrounds. It involves developing knowledge, skills, and attitudes that promote understanding, empathy, and respect for different cultures. Cultural competence enables individuals to navigate cultural differences and build meaningful connections across cultures.</w:t>
      </w:r>
    </w:p>
    <w:p w14:paraId="03D95110" w14:textId="77777777" w:rsidR="002530E2" w:rsidRDefault="002530E2" w:rsidP="002530E2">
      <w:pPr>
        <w:numPr>
          <w:ilvl w:val="0"/>
          <w:numId w:val="72"/>
        </w:numPr>
        <w:spacing w:after="200" w:line="360" w:lineRule="auto"/>
        <w:jc w:val="both"/>
      </w:pPr>
      <w:r>
        <w:t>Cultural Adaptation: When engaging in cross-cultural experiences, individuals may need to adapt their behaviour, customs, and expectations to fit into a different cultural context. This can involve learning and incorporating local customs, adjusting communication styles, and being open to different ways of doing things.</w:t>
      </w:r>
    </w:p>
    <w:p w14:paraId="43078B4F" w14:textId="77777777" w:rsidR="002530E2" w:rsidRDefault="002530E2" w:rsidP="002530E2">
      <w:pPr>
        <w:numPr>
          <w:ilvl w:val="0"/>
          <w:numId w:val="72"/>
        </w:numPr>
        <w:spacing w:after="200" w:line="360" w:lineRule="auto"/>
        <w:jc w:val="both"/>
      </w:pPr>
      <w:r>
        <w:t>Overcoming Stereotypes and Biases: Cross-cultural interactions provide an opportunity to challenge stereotypes, prejudices, and biases that may exist towards individuals from different cultures. It involves recognising the richness and complexity of diverse cultures and treating individuals as individuals rather than making assumptions based on cultural stereotypes.</w:t>
      </w:r>
    </w:p>
    <w:p w14:paraId="13782DE5" w14:textId="77777777" w:rsidR="002530E2" w:rsidRDefault="002530E2" w:rsidP="002530E2">
      <w:pPr>
        <w:numPr>
          <w:ilvl w:val="0"/>
          <w:numId w:val="72"/>
        </w:numPr>
        <w:spacing w:after="200" w:line="360" w:lineRule="auto"/>
        <w:jc w:val="both"/>
      </w:pPr>
      <w:r>
        <w:t>Collaboration and Cooperation: Cross-cultural interactions often involve collaboration and cooperation among individuals from different cultural backgrounds. This requires building trust, fostering open-mindedness, and valuing diverse perspectives. Successful cross-cultural collaboration can lead to innovation, creativity, and enhanced problem-solving abilities.</w:t>
      </w:r>
    </w:p>
    <w:p w14:paraId="048555A7" w14:textId="77777777" w:rsidR="002530E2" w:rsidRDefault="002530E2" w:rsidP="002530E2">
      <w:pPr>
        <w:numPr>
          <w:ilvl w:val="0"/>
          <w:numId w:val="72"/>
        </w:numPr>
        <w:spacing w:before="240" w:after="200" w:line="360" w:lineRule="auto"/>
        <w:jc w:val="both"/>
      </w:pPr>
      <w:r>
        <w:lastRenderedPageBreak/>
        <w:t>Global Perspective: Engaging in cross-cultural experiences can broaden one's perspective and enhance global awareness. It allows individuals to develop a deeper understanding of global issues, appreciate different cultural perspectives, and contribute to a more inclusive and interconnected world.</w:t>
      </w:r>
    </w:p>
    <w:p w14:paraId="0A33A8A2" w14:textId="77777777" w:rsidR="002530E2" w:rsidRDefault="002530E2">
      <w:r>
        <w:t>Cross-culture is important in an increasingly globalised world, where individuals from different cultures interact and work together. By embracing cultural diversity, promoting cultural understanding, and fostering cross-cultural competence, we can build bridges between cultures, promote mutual respect, and create harmonious and inclusive environments.</w:t>
      </w:r>
    </w:p>
    <w:p w14:paraId="7AD914D5" w14:textId="77777777" w:rsidR="002530E2" w:rsidRDefault="002530E2">
      <w:pPr>
        <w:pStyle w:val="Heading2"/>
      </w:pPr>
      <w:bookmarkStart w:id="228" w:name="_4r4owwu71fir" w:colFirst="0" w:colLast="0"/>
      <w:bookmarkEnd w:id="228"/>
      <w:r>
        <w:t>CULTURE AS A SYSTEM OF VALUE, BELIEFS &amp; SYMBOL</w:t>
      </w:r>
    </w:p>
    <w:p w14:paraId="7501223E" w14:textId="77777777" w:rsidR="002530E2" w:rsidRDefault="002530E2">
      <w:r>
        <w:t>Kunwar (2015) quotes that culture is a term very hard to define and, in his view, the best definition of culture is suggested by Hofstede (1980) as “Culture is the collective programming of the mind which distinguishes the members of one human group from another…culture in this sense, includes systems of values; and values are among the building blocks of culture.” Schein (1990) suggests that culture refers to a system of values, beliefs, and ideas that are widely held by members of a society. “Culture is a system of learned behaviour patterns that are characteristic of the members of a society” (Hoebel, 1958).</w:t>
      </w:r>
    </w:p>
    <w:p w14:paraId="478B8FE5" w14:textId="77777777" w:rsidR="002530E2" w:rsidRDefault="002530E2">
      <w:r>
        <w:t xml:space="preserve">Lee (2006) explains that since an individual's set of values, beliefs, and ideas as defined by their culture are widely shared by their society, interacting with many people from other cultures and countries has made cultural understanding even more important. </w:t>
      </w:r>
    </w:p>
    <w:p w14:paraId="501C2945" w14:textId="77777777" w:rsidR="002530E2" w:rsidRDefault="002530E2">
      <w:r>
        <w:t xml:space="preserve">Kunwar (2015) explains that throughout history, culture has developed through repeated social relationships, which are re-consolidated and internalised by the whole group as a whole. Over time, members of a group learn and acquire cultural beliefs and values, which they pass down from generation to generation. </w:t>
      </w:r>
    </w:p>
    <w:p w14:paraId="6368172D" w14:textId="77777777" w:rsidR="002530E2" w:rsidRDefault="002530E2">
      <w:r>
        <w:t xml:space="preserve">As Hollensen (2011) has noted, while culture is unique to one group, it can be shared by other members of the group and extended to other members of society and influential institutions. A culture can also be multilayered, and the tangible aspects of culture are manifestations of the underlying values that are shared by the people, which in turn bind the culture together. </w:t>
      </w:r>
    </w:p>
    <w:p w14:paraId="2B4E14C2" w14:textId="77777777" w:rsidR="002530E2" w:rsidRDefault="002530E2">
      <w:r>
        <w:t xml:space="preserve">According to Walsham (2002), culture can even simply be a set of shared symbols, norms, and values in a society or a social organisation. </w:t>
      </w:r>
    </w:p>
    <w:p w14:paraId="6D7F102B" w14:textId="77777777" w:rsidR="002530E2" w:rsidRDefault="002530E2">
      <w:r>
        <w:t>A culture is also a system of storing and processing information, as Hall and Hall (1990) explain it.</w:t>
      </w:r>
    </w:p>
    <w:p w14:paraId="3E9C3C94" w14:textId="77777777" w:rsidR="002530E2" w:rsidRDefault="002530E2">
      <w:r>
        <w:t>Gurung and Prater (2006) refer to national culture as the shared values of a specific nation's people.</w:t>
      </w:r>
    </w:p>
    <w:p w14:paraId="0ACCD675" w14:textId="77777777" w:rsidR="002530E2" w:rsidRDefault="002530E2">
      <w:pPr>
        <w:pStyle w:val="Heading2"/>
      </w:pPr>
      <w:bookmarkStart w:id="229" w:name="_4shxl2qnnepx" w:colFirst="0" w:colLast="0"/>
      <w:bookmarkEnd w:id="229"/>
      <w:r>
        <w:t>INTERRELATED COMPONENTS OF CULTURE</w:t>
      </w:r>
    </w:p>
    <w:p w14:paraId="6F4BEE10" w14:textId="77777777" w:rsidR="002530E2" w:rsidRDefault="002530E2">
      <w:r>
        <w:t xml:space="preserve">According to Bodley (1999), culture is made up of three basic components: thought processes, activities, and the products that people create. Individuals perceive and react differently to different </w:t>
      </w:r>
      <w:r>
        <w:lastRenderedPageBreak/>
        <w:t>life situations depending on the culture they come from and its value systems. Kunwar (2015), in contrast to Bodley (1999), refers to religious beliefs, languages, social status, and business as interrelated components of culture.</w:t>
      </w:r>
    </w:p>
    <w:p w14:paraId="4EF8D86B" w14:textId="77777777" w:rsidR="002530E2" w:rsidRDefault="002530E2">
      <w:r>
        <w:t>As Hollensen (2011) further adds, the basic cultural assumptions, however, are deeply ingrained and have developed over a long period of time, influenced by existing family values, sex roles, and friendship patterns. National identity, ethnic culture, and religion are all cultural components. In addition, verbal and non-verbal language, values and attitudes, aesthetics, religion, customs, manners, education, technologies and material culture, social institutions, and other elements of culture are considered important elements.</w:t>
      </w:r>
    </w:p>
    <w:p w14:paraId="3B935D68" w14:textId="77777777" w:rsidR="002530E2" w:rsidRDefault="002530E2">
      <w:r>
        <w:t>According to Scupin (1998), the two components of culture are abstract and concrete. While “abstract components can include the meanings of symbols, events, activities, or actions and how the meanings are created and selected, concrete components include the forms of action, behaviour, event, activity, or artefact, as well as dress (such as a shirt, a pair of shoes, or a hairstyle), but those artefacts develop meanings in a culture.”</w:t>
      </w:r>
    </w:p>
    <w:p w14:paraId="1F734523" w14:textId="77777777" w:rsidR="002530E2" w:rsidRDefault="002530E2">
      <w:pPr>
        <w:pStyle w:val="Heading2"/>
      </w:pPr>
      <w:bookmarkStart w:id="230" w:name="_pv4j4ko0xu06" w:colFirst="0" w:colLast="0"/>
      <w:bookmarkEnd w:id="230"/>
      <w:r>
        <w:t>COMMON METHODS OF CATEGORISING CULTURE</w:t>
      </w:r>
    </w:p>
    <w:p w14:paraId="243007D7" w14:textId="77777777" w:rsidR="002530E2" w:rsidRDefault="002530E2">
      <w:r>
        <w:t>Kunwar (2015) highlights Hall's taxonomy of high-context and low-context cultures (Hall, 1960), Hofstede's dimensions of culture (Hofstede, 1980), and Schwartz's classifications (Schwartz, 1994) as the most popular and widely accepted methods of categorising culture.</w:t>
      </w:r>
    </w:p>
    <w:p w14:paraId="61A97874" w14:textId="77777777" w:rsidR="002530E2" w:rsidRDefault="002530E2">
      <w:pPr>
        <w:pStyle w:val="Heading2"/>
      </w:pPr>
      <w:bookmarkStart w:id="231" w:name="_rbne7euszaxc" w:colFirst="0" w:colLast="0"/>
      <w:bookmarkEnd w:id="231"/>
      <w:r>
        <w:t>OWN CULTURE BIASES</w:t>
      </w:r>
    </w:p>
    <w:p w14:paraId="3D7EE091" w14:textId="77777777" w:rsidR="002530E2" w:rsidRDefault="002530E2">
      <w:r>
        <w:t xml:space="preserve">Kunwar (2015) points out that a lack of cultural sensitivity can lead to one's own cultural bias. This bias comes largely as an influence or hindrance in the way we assess cultures and cultural differences based on our own subconscious cultural stereotypes. Our own cultural biases include mind-traps like the self-reference criterion and ethnocentrism. </w:t>
      </w:r>
    </w:p>
    <w:p w14:paraId="477A0021" w14:textId="77777777" w:rsidR="002530E2" w:rsidRDefault="002530E2">
      <w:r>
        <w:t xml:space="preserve">Lee (1966) refers to the self-reference criterion as “an unconscious tendency of people to use their own cultural experience and value systems to evaluate any given situation.” Kunwar (2015) suggests an example where, with the self-reference criterion bias, certain people intuitively perceive ‘traditional societies’ as ‘backward’ and ‘unmotivated’. </w:t>
      </w:r>
    </w:p>
    <w:p w14:paraId="2E63C995" w14:textId="77777777" w:rsidR="002530E2" w:rsidRDefault="002530E2">
      <w:r>
        <w:t>The term ethnocentrism, according to Lee (1966) and Hollensen (2011), is “the belief that one’s own culture is superior to another.” Reddy-Best (2020) defines ethnocentrism as “the judgement of people of other cultures by one’s own cultural standards and beliefs,” and it is tough to avoid it entirely.</w:t>
      </w:r>
    </w:p>
    <w:p w14:paraId="45391991" w14:textId="77777777" w:rsidR="002530E2" w:rsidRDefault="002530E2">
      <w:pPr>
        <w:pStyle w:val="Heading2"/>
      </w:pPr>
      <w:bookmarkStart w:id="232" w:name="_n16l7hyy7x8m" w:colFirst="0" w:colLast="0"/>
      <w:bookmarkEnd w:id="232"/>
      <w:r>
        <w:t>SUB-CULTURES</w:t>
      </w:r>
    </w:p>
    <w:p w14:paraId="3A96B19C" w14:textId="77777777" w:rsidR="002530E2" w:rsidRDefault="002530E2">
      <w:r>
        <w:t xml:space="preserve">Reddy-Best (2020) describes subcultures as social groups or communities of individuals who share similar beliefs, lifestyles, and/or other characteristics. </w:t>
      </w:r>
    </w:p>
    <w:p w14:paraId="422870A8" w14:textId="77777777" w:rsidR="002530E2" w:rsidRDefault="002530E2">
      <w:r>
        <w:lastRenderedPageBreak/>
        <w:t>Lennon, Johnson, and Rudd (2017) refer to “sub as underneath or below; therefore, subculture refers to individuals who are a part of a group that is different from the dominant culture or dominant people in a particular part of society.” There are various types of subcultures, and some subcultures even have dress codes (Reddy-Best, 2020).</w:t>
      </w:r>
    </w:p>
    <w:p w14:paraId="2476C5B5" w14:textId="77777777" w:rsidR="002530E2" w:rsidRDefault="002530E2">
      <w:r>
        <w:t xml:space="preserve">Examples of subcultures suggested by Drew (2021) include “the hippies, hipsters, cosplayers, hip hop, punks, emos, and goths.” </w:t>
      </w:r>
    </w:p>
    <w:p w14:paraId="7B8B8113" w14:textId="77777777" w:rsidR="002530E2" w:rsidRDefault="002530E2">
      <w:r>
        <w:t>Commonly known ethnic subcultures that have their roots in ethnic groups are: Caribbean subcultures, namely Reggae; Hip-Hop; the African-American subculture; and Bollywood (also the Mumbai-city-based Indian film industry) is an Indian subculture (Drew, 2021).</w:t>
      </w:r>
    </w:p>
    <w:p w14:paraId="31E3AB51" w14:textId="77777777" w:rsidR="002530E2" w:rsidRDefault="002530E2">
      <w:pPr>
        <w:pStyle w:val="Heading2"/>
      </w:pPr>
      <w:bookmarkStart w:id="233" w:name="_czy8opw8i305" w:colFirst="0" w:colLast="0"/>
      <w:bookmarkEnd w:id="233"/>
      <w:r>
        <w:t>CULTURAL DIFFERENCES</w:t>
      </w:r>
    </w:p>
    <w:p w14:paraId="06300E2F" w14:textId="77777777" w:rsidR="002530E2" w:rsidRDefault="002530E2">
      <w:r>
        <w:t xml:space="preserve">Lebrón (2013) adds that the cultural values and norms shared by members of a social group create a unique culture that sets it apart from other groups. It cannot be said that one’s culture is right and another’s is wrong or vice versa, as they are different, and those cultural differences are rooted in their cultural roots. In other words, there is no right or wrong culture, but just one that is different from the other. </w:t>
      </w:r>
    </w:p>
    <w:p w14:paraId="7C9CC6AF" w14:textId="77777777" w:rsidR="002530E2" w:rsidRDefault="002530E2">
      <w:r>
        <w:t>Ricks (2006) quotes in his book titled Blunders in International Business, that “without fully understanding the local culture, trying to ‘do as the Romans do’ can be a dangerous thing.” Misunderstandings in a cross-cultural setting can easily escalate into major mistakes, and having the wrong person on the job can easily result in disaster. Even a minor misunderstanding can have a major impact on the outcome. Ricks (2006) adds that “cultural differences are the most significant and troublesome variables encountered by the multinational company and the failure of managers to comprehend fully these disparities has led to most international business blunders” that bear serious consequences. False assumptions are often made by managers regarding what works well at home and will work the same abroad. The reality is that not all things or strategies universally work everywhere.</w:t>
      </w:r>
    </w:p>
    <w:p w14:paraId="257F2ED2" w14:textId="77777777" w:rsidR="002530E2" w:rsidRDefault="002530E2">
      <w:pPr>
        <w:pStyle w:val="Heading2"/>
      </w:pPr>
      <w:bookmarkStart w:id="234" w:name="_5647jo8wz51f" w:colFirst="0" w:colLast="0"/>
      <w:bookmarkEnd w:id="234"/>
      <w:r>
        <w:t>CULTURAL APPRECIATION vs CULTURAL APPROPRIATION</w:t>
      </w:r>
    </w:p>
    <w:p w14:paraId="1B3402E3" w14:textId="77777777" w:rsidR="002530E2" w:rsidRDefault="002530E2">
      <w:r>
        <w:t xml:space="preserve">The Greenheart Club (2016) explains that while cultural appreciation means that “someone seeks to understand and learn about another culture in an effort to broaden their perspective and connect with others cross-culturally, cultural appropriation, on the other hand, is simply taking one aspect of a culture that is not your own and using it for your own personal interest.” </w:t>
      </w:r>
    </w:p>
    <w:p w14:paraId="355F74B7" w14:textId="77777777" w:rsidR="002530E2" w:rsidRDefault="002530E2">
      <w:r>
        <w:t xml:space="preserve">According to Raypole (2021), “cultural appreciation involves learning and sharing with permission,” and “cultural appropriation” is “any behaviour that stereotypes or puts down members of another culture (or religion).” An example of cultural appropriation includes “wearing clothing or jewellery with religious or spiritual significance,” especially if the person does not follow or practise that religion. </w:t>
      </w:r>
    </w:p>
    <w:p w14:paraId="2A0D5770" w14:textId="77777777" w:rsidR="002530E2" w:rsidRDefault="002530E2">
      <w:r>
        <w:t xml:space="preserve">Cultural appropriation is something a little tricky to understand but has to be avoided (Raypole, 2021) since it is not accepted by the social group or culture. For example, if someone wears ethnic </w:t>
      </w:r>
      <w:r>
        <w:lastRenderedPageBreak/>
        <w:t>clothing based on an ethnic group’s invitation, it can count as cultural appreciation as long as the act is appreciated by the host ethnic group.</w:t>
      </w:r>
    </w:p>
    <w:p w14:paraId="5CE03E0D" w14:textId="77777777" w:rsidR="002530E2" w:rsidRDefault="002530E2">
      <w:pPr>
        <w:pStyle w:val="Heading2"/>
      </w:pPr>
      <w:bookmarkStart w:id="235" w:name="_xu09s0k5ae1o" w:colFirst="0" w:colLast="0"/>
      <w:bookmarkEnd w:id="235"/>
      <w:r>
        <w:t>WHY CULTURAL APPROPRIATION IS A PROBLEM</w:t>
      </w:r>
    </w:p>
    <w:p w14:paraId="21B954D0" w14:textId="77777777" w:rsidR="002530E2" w:rsidRDefault="002530E2">
      <w:r>
        <w:t>Raypole (2021) explains why cultural appropriation is a problem. Taking other cultural practices and using them for one's own benefit causes harm since it contributes to the exploitation and oppression of other cultures. Stereotypes prevent true understanding and cultural exchange by contributing to misleading and harmful stereotypes. Those who appropriate cultural elements do not recognise or honour their true meanings or purposes. Furthermore, they fail to give due credit to those responsible. People who are appropriated are marginalised by such misrepresentation because they lack the same opportunity for success, profit, and recognition as other people do.</w:t>
      </w:r>
    </w:p>
    <w:p w14:paraId="5DF76C1A" w14:textId="77777777" w:rsidR="002530E2" w:rsidRDefault="002530E2">
      <w:pPr>
        <w:pStyle w:val="Heading2"/>
        <w:spacing w:before="0"/>
      </w:pPr>
      <w:bookmarkStart w:id="236" w:name="_5h1i52h8ee9z" w:colFirst="0" w:colLast="0"/>
      <w:bookmarkEnd w:id="236"/>
      <w:r>
        <w:t>LANGUAGE IN CULTURE</w:t>
      </w:r>
    </w:p>
    <w:p w14:paraId="77FB18A7" w14:textId="77777777" w:rsidR="002530E2" w:rsidRDefault="002530E2">
      <w:pPr>
        <w:spacing w:before="240" w:after="240"/>
      </w:pPr>
      <w:r>
        <w:t xml:space="preserve">Language is a fundamental aspect of culture, serving as a key vehicle for communication, expression, and the transmission of cultural knowledge and values. It plays a central role in shaping and reflecting the identity, worldview, and social interactions of a community or group of people. </w:t>
      </w:r>
    </w:p>
    <w:p w14:paraId="76EDBE7E" w14:textId="77777777" w:rsidR="002530E2" w:rsidRDefault="002530E2">
      <w:pPr>
        <w:spacing w:before="240" w:after="240"/>
      </w:pPr>
      <w:r>
        <w:t>Some key points about language as a cultural aspect:</w:t>
      </w:r>
    </w:p>
    <w:p w14:paraId="19B1E37C" w14:textId="77777777" w:rsidR="002530E2" w:rsidRDefault="002530E2" w:rsidP="002530E2">
      <w:pPr>
        <w:numPr>
          <w:ilvl w:val="0"/>
          <w:numId w:val="101"/>
        </w:numPr>
        <w:spacing w:before="240" w:after="200" w:line="360" w:lineRule="auto"/>
        <w:jc w:val="both"/>
      </w:pPr>
      <w:r>
        <w:t>Communication and Expression: Language enables individuals to communicate thoughts, ideas, emotions, and experiences to others within their cultural community. It provides a means of expressing cultural norms, values, beliefs, and customs, allowing for the sharing of knowledge, stories, and traditions.</w:t>
      </w:r>
    </w:p>
    <w:p w14:paraId="5870BB53" w14:textId="77777777" w:rsidR="002530E2" w:rsidRDefault="002530E2" w:rsidP="002530E2">
      <w:pPr>
        <w:numPr>
          <w:ilvl w:val="0"/>
          <w:numId w:val="101"/>
        </w:numPr>
        <w:spacing w:after="200" w:line="360" w:lineRule="auto"/>
        <w:jc w:val="both"/>
      </w:pPr>
      <w:r>
        <w:t>Cultural Identity: Language is closely tied to cultural identity. The specific language or languages spoken by a group of people often contribute to their sense of belonging and identification with a particular culture or ethnic group. Language can be a marker of cultural heritage and a way to preserve and transmit cultural traditions from one generation to the next.</w:t>
      </w:r>
    </w:p>
    <w:p w14:paraId="77CF5097" w14:textId="77777777" w:rsidR="002530E2" w:rsidRDefault="002530E2" w:rsidP="002530E2">
      <w:pPr>
        <w:numPr>
          <w:ilvl w:val="0"/>
          <w:numId w:val="101"/>
        </w:numPr>
        <w:spacing w:after="200" w:line="360" w:lineRule="auto"/>
        <w:jc w:val="both"/>
      </w:pPr>
      <w:r>
        <w:t>Worldview and Perception: Language shapes how individuals perceive and interpret the world around them. Different languages may have unique vocabulary, grammar, and structures that influence the way speakers conceptualise and understand concepts, relationships, and phenomena. Languages can embody cultural perspectives and shape cultural worldviews.</w:t>
      </w:r>
    </w:p>
    <w:p w14:paraId="6753B135" w14:textId="77777777" w:rsidR="002530E2" w:rsidRDefault="002530E2" w:rsidP="002530E2">
      <w:pPr>
        <w:numPr>
          <w:ilvl w:val="0"/>
          <w:numId w:val="101"/>
        </w:numPr>
        <w:spacing w:after="200" w:line="360" w:lineRule="auto"/>
        <w:jc w:val="both"/>
      </w:pPr>
      <w:r>
        <w:t xml:space="preserve">Social Interaction and Relationships: Language is essential for social interaction and the establishment of relationships within a cultural context. It provides a means for individuals to </w:t>
      </w:r>
      <w:r>
        <w:lastRenderedPageBreak/>
        <w:t>connect, build rapport, express respect, and convey social roles and hierarchies. Language use can vary depending on the formality of the situation, age, gender, and social status.</w:t>
      </w:r>
    </w:p>
    <w:p w14:paraId="10C21DF1" w14:textId="77777777" w:rsidR="002530E2" w:rsidRDefault="002530E2" w:rsidP="002530E2">
      <w:pPr>
        <w:numPr>
          <w:ilvl w:val="0"/>
          <w:numId w:val="101"/>
        </w:numPr>
        <w:spacing w:after="200" w:line="360" w:lineRule="auto"/>
        <w:jc w:val="both"/>
      </w:pPr>
      <w:r>
        <w:t>Oral Tradition and Literature: Many cultures have a rich tradition of oral storytelling and literature passed down through generations in the form of myths, legends, proverbs, and folktales. Language is the medium through which these cultural narratives and literary expressions are preserved and shared.</w:t>
      </w:r>
    </w:p>
    <w:p w14:paraId="0203584F" w14:textId="77777777" w:rsidR="002530E2" w:rsidRDefault="002530E2" w:rsidP="002530E2">
      <w:pPr>
        <w:numPr>
          <w:ilvl w:val="0"/>
          <w:numId w:val="101"/>
        </w:numPr>
        <w:spacing w:after="200" w:line="360" w:lineRule="auto"/>
        <w:jc w:val="both"/>
      </w:pPr>
      <w:r>
        <w:t>Linguistic Diversity: The world is home to a vast array of languages, dialects, and linguistic variations. Each language reflects the unique cultural and historical experiences of the communities that speak it. Linguistic diversity is an integral part of global cultural diversity and contributes to the richness and complexity of human expression.</w:t>
      </w:r>
    </w:p>
    <w:p w14:paraId="555F7330" w14:textId="77777777" w:rsidR="002530E2" w:rsidRDefault="002530E2" w:rsidP="002530E2">
      <w:pPr>
        <w:numPr>
          <w:ilvl w:val="0"/>
          <w:numId w:val="101"/>
        </w:numPr>
        <w:spacing w:before="240" w:after="200" w:line="360" w:lineRule="auto"/>
        <w:jc w:val="both"/>
      </w:pPr>
      <w:r>
        <w:t>Language Evolution and Change: Languages evolve over time in response to cultural, social, and historical developments. They adapt, borrow words from other languages, and undergo changes in vocabulary, pronunciation, and grammar. Language change is influenced by cultural contact, globalisation, migration, and technological advancements.</w:t>
      </w:r>
    </w:p>
    <w:p w14:paraId="49D2E3E3" w14:textId="77777777" w:rsidR="002530E2" w:rsidRDefault="002530E2">
      <w:pPr>
        <w:spacing w:before="240" w:after="240"/>
      </w:pPr>
      <w:r>
        <w:t>Understanding and appreciating the cultural aspects of language can enhance intercultural communication, promote cultural diversity, and foster mutual understanding and respect among different linguistic communities. Language serves as a bridge between cultures, facilitating connections and dialogue across cultural boundaries.</w:t>
      </w:r>
    </w:p>
    <w:p w14:paraId="3A7D5814" w14:textId="77777777" w:rsidR="002530E2" w:rsidRDefault="002530E2">
      <w:pPr>
        <w:pStyle w:val="Heading2"/>
        <w:spacing w:before="0"/>
      </w:pPr>
      <w:bookmarkStart w:id="237" w:name="_wcq3mh1jpm7r" w:colFirst="0" w:colLast="0"/>
      <w:bookmarkEnd w:id="237"/>
      <w:r>
        <w:t>MANNERISM IN CULTURE</w:t>
      </w:r>
    </w:p>
    <w:p w14:paraId="75A8BE38" w14:textId="77777777" w:rsidR="002530E2" w:rsidRDefault="002530E2">
      <w:pPr>
        <w:spacing w:before="240" w:after="240"/>
      </w:pPr>
      <w:r>
        <w:t>Mannerism in culture refers to a set of behavioural norms, customs, and etiquette that govern social interactions within a specific cultural context. It encompasses the ways in which individuals express themselves, interact with others, and adhere to social expectations within their cultural environment. Mannerisms vary across cultures and can include aspects such as greetings, body language, gestures, communication styles, and social conventions. Here are some key points about mannerism in culture:</w:t>
      </w:r>
    </w:p>
    <w:p w14:paraId="65966B12" w14:textId="77777777" w:rsidR="002530E2" w:rsidRDefault="002530E2" w:rsidP="002530E2">
      <w:pPr>
        <w:numPr>
          <w:ilvl w:val="0"/>
          <w:numId w:val="122"/>
        </w:numPr>
        <w:spacing w:before="240" w:after="200" w:line="360" w:lineRule="auto"/>
        <w:jc w:val="both"/>
      </w:pPr>
      <w:r>
        <w:t>Greetings: Different cultures have distinct greeting customs. Some cultures may emphasise physical contact, such as handshakes, hugs, or kisses on the cheek, while others may have more formal greetings involving bowing or verbal exchanges. Understanding and adhering to appropriate greeting practices are essential for showing respect and building rapport.</w:t>
      </w:r>
    </w:p>
    <w:p w14:paraId="56966DC6" w14:textId="77777777" w:rsidR="002530E2" w:rsidRDefault="002530E2" w:rsidP="002530E2">
      <w:pPr>
        <w:numPr>
          <w:ilvl w:val="0"/>
          <w:numId w:val="122"/>
        </w:numPr>
        <w:spacing w:after="200" w:line="360" w:lineRule="auto"/>
        <w:jc w:val="both"/>
      </w:pPr>
      <w:r>
        <w:t xml:space="preserve">Personal Space: Personal space, the physical distance maintained between individuals during social interactions, can vary across cultures. Some cultures prefer close proximity during </w:t>
      </w:r>
      <w:r>
        <w:lastRenderedPageBreak/>
        <w:t>conversations, while others prefer more distance. Understanding and respecting cultural norms regarding personal space is crucial to avoiding making others feel uncomfortable.</w:t>
      </w:r>
    </w:p>
    <w:p w14:paraId="63FE35C5" w14:textId="77777777" w:rsidR="002530E2" w:rsidRDefault="002530E2" w:rsidP="002530E2">
      <w:pPr>
        <w:numPr>
          <w:ilvl w:val="0"/>
          <w:numId w:val="122"/>
        </w:numPr>
        <w:spacing w:after="200" w:line="360" w:lineRule="auto"/>
        <w:jc w:val="both"/>
      </w:pPr>
      <w:r>
        <w:t>Body Language and Gestures: Body language and gestures play a significant role in communication and can vary across cultures. Facial expressions, eye contact, hand movements, and posture can convey different meanings and emotions. It is important to be aware of cultural variations in body language to avoid misunderstandings and misinterpretations.</w:t>
      </w:r>
    </w:p>
    <w:p w14:paraId="2A61B589" w14:textId="77777777" w:rsidR="002530E2" w:rsidRDefault="002530E2" w:rsidP="002530E2">
      <w:pPr>
        <w:numPr>
          <w:ilvl w:val="0"/>
          <w:numId w:val="122"/>
        </w:numPr>
        <w:spacing w:after="200" w:line="360" w:lineRule="auto"/>
        <w:jc w:val="both"/>
      </w:pPr>
      <w:r>
        <w:t>Communication Styles: Cultural norms greatly influence communication styles, including verbal and non-verbal cues. Some cultures value direct and explicit communication, while others may use more indirect or nuanced language. Understanding the preferred communication style within a cultural context can facilitate effective and respectful communication.</w:t>
      </w:r>
    </w:p>
    <w:p w14:paraId="017E22FD" w14:textId="77777777" w:rsidR="002530E2" w:rsidRDefault="002530E2" w:rsidP="002530E2">
      <w:pPr>
        <w:numPr>
          <w:ilvl w:val="0"/>
          <w:numId w:val="122"/>
        </w:numPr>
        <w:spacing w:after="200" w:line="360" w:lineRule="auto"/>
        <w:jc w:val="both"/>
      </w:pPr>
      <w:r>
        <w:t>Dining Etiquette: Dining etiquette varies widely across cultures and can include rules regarding table manners, seating arrangements, utensil use, and mealtime customs. Familiarity with cultural dining etiquette can help navigate social situations and demonstrate respect for cultural traditions.</w:t>
      </w:r>
    </w:p>
    <w:p w14:paraId="5F10EBB2" w14:textId="77777777" w:rsidR="002530E2" w:rsidRDefault="002530E2" w:rsidP="002530E2">
      <w:pPr>
        <w:numPr>
          <w:ilvl w:val="0"/>
          <w:numId w:val="122"/>
        </w:numPr>
        <w:spacing w:after="200" w:line="360" w:lineRule="auto"/>
        <w:jc w:val="both"/>
      </w:pPr>
      <w:r>
        <w:t>Punctuality: Punctuality norms can differ among cultures. Some cultures place a high value on being on time, while others have more flexible notions of punctuality. Adhering to cultural expectations regarding timeliness is important to show respect for others' time and avoid causing offence.</w:t>
      </w:r>
    </w:p>
    <w:p w14:paraId="272EF6D1" w14:textId="77777777" w:rsidR="002530E2" w:rsidRDefault="002530E2" w:rsidP="002530E2">
      <w:pPr>
        <w:numPr>
          <w:ilvl w:val="0"/>
          <w:numId w:val="122"/>
        </w:numPr>
        <w:spacing w:after="200" w:line="360" w:lineRule="auto"/>
        <w:jc w:val="both"/>
      </w:pPr>
      <w:r>
        <w:t>Social Hierarchy: Cultural mannerisms often reflect social hierarchies and power dynamics. Respect for elders, deference to authority figures, and appropriate language and behaviour in formal settings are examples of mannerisms that reflect social hierarchy. Understanding and adhering to these cultural norms can facilitate harmonious social interactions.</w:t>
      </w:r>
    </w:p>
    <w:p w14:paraId="4FBF6520" w14:textId="77777777" w:rsidR="002530E2" w:rsidRDefault="002530E2" w:rsidP="002530E2">
      <w:pPr>
        <w:numPr>
          <w:ilvl w:val="0"/>
          <w:numId w:val="122"/>
        </w:numPr>
        <w:spacing w:before="240" w:after="200" w:line="360" w:lineRule="auto"/>
        <w:jc w:val="both"/>
      </w:pPr>
      <w:r>
        <w:t>Non-Verbal Communication: Non-verbal cues, such as facial expressions, eye contact, body posture, and gestures, can vary significantly across cultures. They can convey emotions, attitudes, and intentions. Being aware of and interpreting non-verbal communication within a cultural context can help avoid miscommunication and foster better understanding.</w:t>
      </w:r>
    </w:p>
    <w:p w14:paraId="7C97551D" w14:textId="77777777" w:rsidR="002530E2" w:rsidRDefault="002530E2">
      <w:pPr>
        <w:spacing w:before="240" w:after="240"/>
      </w:pPr>
      <w:r>
        <w:t xml:space="preserve">Mannerisms in culture reflect the values, norms, and social expectations of a particular society. Being sensitive to and respectful of cultural mannerisms promotes effective intercultural communication, fosters positive relationships, and avoids misunderstandings. It is important to approach cultural </w:t>
      </w:r>
      <w:r>
        <w:lastRenderedPageBreak/>
        <w:t>differences with an open mind, curiosity, and a willingness to adapt to different cultural practices when engaging with individuals from diverse backgrounds.</w:t>
      </w:r>
    </w:p>
    <w:p w14:paraId="54A9273B" w14:textId="77777777" w:rsidR="002530E2" w:rsidRDefault="002530E2">
      <w:r>
        <w:t>It is important to note that cultural mannerisms are not fixed or universal. They can vary even within a culture due to factors such as regional differences, generational gaps, or individual preferences. Understanding and respecting cultural mannerisms can help foster effective cross-cultural communication, build positive relationships, and avoid misunderstandings or unintentional offence.</w:t>
      </w:r>
    </w:p>
    <w:p w14:paraId="7852D946" w14:textId="77777777" w:rsidR="002530E2" w:rsidRDefault="002530E2">
      <w:pPr>
        <w:pStyle w:val="Heading2"/>
        <w:spacing w:before="0"/>
      </w:pPr>
      <w:bookmarkStart w:id="238" w:name="_lp1zu86gmpit" w:colFirst="0" w:colLast="0"/>
      <w:bookmarkEnd w:id="238"/>
      <w:r>
        <w:t>ISLAMIC/ MUSLIM CULTURE</w:t>
      </w:r>
    </w:p>
    <w:p w14:paraId="1D664047" w14:textId="77777777" w:rsidR="002530E2" w:rsidRDefault="002530E2">
      <w:r>
        <w:t>Muslim culture encompasses a rich tapestry of traditions, customs, values, and practices that are influenced by the teachings of Islam and the diverse communities of Muslim individuals around the world. It is important to note that Muslim culture is not monolithic, as it varies across regions, countries, and ethnicities. However, there are certain common elements that are often associated with Muslim culture:</w:t>
      </w:r>
    </w:p>
    <w:p w14:paraId="76BCA25B" w14:textId="77777777" w:rsidR="002530E2" w:rsidRDefault="002530E2" w:rsidP="002530E2">
      <w:pPr>
        <w:numPr>
          <w:ilvl w:val="0"/>
          <w:numId w:val="117"/>
        </w:numPr>
        <w:spacing w:before="240" w:after="200" w:line="360" w:lineRule="auto"/>
        <w:jc w:val="both"/>
        <w:rPr>
          <w:sz w:val="20"/>
          <w:szCs w:val="20"/>
        </w:rPr>
      </w:pPr>
      <w:r>
        <w:t>Islamic Beliefs and Practises: Central to Muslim culture are the core beliefs and practises of Islam. Muslims adhere to the Five Pillars of Islam, which include the declaration of faith (Shahada), prayer (Salah), fasting during Ramadan (Sawm), giving to charity (Zakat), and the pilgrimage to Mecca (Hajj). These religious practices shape the daily lives of Muslims and are significant cultural markers.</w:t>
      </w:r>
    </w:p>
    <w:p w14:paraId="3DAD7099" w14:textId="77777777" w:rsidR="002530E2" w:rsidRDefault="002530E2" w:rsidP="002530E2">
      <w:pPr>
        <w:numPr>
          <w:ilvl w:val="0"/>
          <w:numId w:val="117"/>
        </w:numPr>
        <w:spacing w:after="200" w:line="360" w:lineRule="auto"/>
        <w:jc w:val="both"/>
        <w:rPr>
          <w:sz w:val="20"/>
          <w:szCs w:val="20"/>
        </w:rPr>
      </w:pPr>
      <w:r>
        <w:t>Family and Community: Family and community play a central role in Muslim culture. Strong family ties, respect for elders, and communal solidarity are emphasised. Extended families often live together or in close proximity, and important decisions are often made in consultation with family members. Celebrations, religious observances, and community events are important moments for gathering and strengthening social bonds.</w:t>
      </w:r>
    </w:p>
    <w:p w14:paraId="41C57B05" w14:textId="77777777" w:rsidR="002530E2" w:rsidRDefault="002530E2" w:rsidP="002530E2">
      <w:pPr>
        <w:numPr>
          <w:ilvl w:val="0"/>
          <w:numId w:val="117"/>
        </w:numPr>
        <w:spacing w:after="200" w:line="360" w:lineRule="auto"/>
        <w:jc w:val="both"/>
        <w:rPr>
          <w:sz w:val="20"/>
          <w:szCs w:val="20"/>
        </w:rPr>
      </w:pPr>
      <w:r>
        <w:t>Hospitality and generosity: Hospitality is highly valued in Muslim culture. Muslims are known for their generosity and welcoming nature towards guests and visitors. Hosting guests, offering food and refreshments, and creating a warm and inclusive atmosphere are key aspects of Muslim hospitality.</w:t>
      </w:r>
    </w:p>
    <w:p w14:paraId="500D35B3" w14:textId="77777777" w:rsidR="002530E2" w:rsidRDefault="002530E2" w:rsidP="002530E2">
      <w:pPr>
        <w:numPr>
          <w:ilvl w:val="0"/>
          <w:numId w:val="117"/>
        </w:numPr>
        <w:spacing w:after="200" w:line="360" w:lineRule="auto"/>
        <w:jc w:val="both"/>
        <w:rPr>
          <w:sz w:val="20"/>
          <w:szCs w:val="20"/>
        </w:rPr>
      </w:pPr>
      <w:r>
        <w:t>Modesty: Modesty is an important cultural value within Muslim communities. This applies to dress, behaviour, and interactions between genders. Modest clothing that covers the body is commonly observed, particularly among women, as a reflection of Islamic teachings on modesty.</w:t>
      </w:r>
    </w:p>
    <w:p w14:paraId="25D1E76D" w14:textId="77777777" w:rsidR="002530E2" w:rsidRDefault="002530E2" w:rsidP="002530E2">
      <w:pPr>
        <w:numPr>
          <w:ilvl w:val="0"/>
          <w:numId w:val="117"/>
        </w:numPr>
        <w:spacing w:after="200" w:line="360" w:lineRule="auto"/>
        <w:jc w:val="both"/>
        <w:rPr>
          <w:sz w:val="20"/>
          <w:szCs w:val="20"/>
        </w:rPr>
      </w:pPr>
      <w:r>
        <w:t xml:space="preserve">Arts and Literature: Muslim culture has a rich tradition of arts, literature, and calligraphy. Islamic art, with its intricate geometric patterns and Arabic calligraphy, is widely appreciated. </w:t>
      </w:r>
      <w:r>
        <w:lastRenderedPageBreak/>
        <w:t>Islamic literature, including poetry, stories, and religious texts, has made a significant contribution to world literature.</w:t>
      </w:r>
    </w:p>
    <w:p w14:paraId="00A7FA72" w14:textId="77777777" w:rsidR="002530E2" w:rsidRDefault="002530E2" w:rsidP="002530E2">
      <w:pPr>
        <w:numPr>
          <w:ilvl w:val="0"/>
          <w:numId w:val="117"/>
        </w:numPr>
        <w:spacing w:after="200" w:line="360" w:lineRule="auto"/>
        <w:jc w:val="both"/>
        <w:rPr>
          <w:sz w:val="20"/>
          <w:szCs w:val="20"/>
        </w:rPr>
      </w:pPr>
      <w:r>
        <w:t>Culinary Traditions: Muslim cuisine varies across different regions, but it often reflects a fusion of flavours and culinary traditions from diverse cultures influenced by Islam. Halal food, prepared according to Islamic dietary guidelines, is widely consumed by Muslims. Traditional dishes, spices, and culinary practices are important cultural markers within Muslim communities.</w:t>
      </w:r>
    </w:p>
    <w:p w14:paraId="473FA395" w14:textId="77777777" w:rsidR="002530E2" w:rsidRDefault="002530E2" w:rsidP="002530E2">
      <w:pPr>
        <w:numPr>
          <w:ilvl w:val="0"/>
          <w:numId w:val="117"/>
        </w:numPr>
        <w:spacing w:before="240" w:after="200" w:line="360" w:lineRule="auto"/>
        <w:jc w:val="both"/>
        <w:rPr>
          <w:sz w:val="20"/>
          <w:szCs w:val="20"/>
        </w:rPr>
      </w:pPr>
      <w:r>
        <w:t>Islamic Festivals and Celebrations: Muslim culture is characterised by vibrant celebrations of Islamic festivals. Eid al-Fitr, marking the end of Ramadan, and Eid al-Adha, commemorating the willingness of Prophet Ibrahim (Abraham) to sacrifice his son, are widely celebrated with prayer, feasting, the exchanging of gifts, and acts of charity.</w:t>
      </w:r>
    </w:p>
    <w:p w14:paraId="6F735F7F" w14:textId="77777777" w:rsidR="002530E2" w:rsidRDefault="002530E2">
      <w:r>
        <w:t>It is important to recognise the diversity within Muslim culture, as it is influenced by local customs, traditions, and historical contexts. Muslim communities around the world have their unique cultural expressions and practices that add to the richness and diversity of Muslim culture globally.</w:t>
      </w:r>
    </w:p>
    <w:p w14:paraId="382384AC" w14:textId="77777777" w:rsidR="002530E2" w:rsidRDefault="002530E2">
      <w:pPr>
        <w:pStyle w:val="Heading1"/>
      </w:pPr>
      <w:bookmarkStart w:id="239" w:name="_90t6ws7wbkmo" w:colFirst="0" w:colLast="0"/>
      <w:bookmarkEnd w:id="239"/>
      <w:r>
        <w:t xml:space="preserve">CONCEPTS RELATED TO CONSUMERS </w:t>
      </w:r>
    </w:p>
    <w:p w14:paraId="45A585F0" w14:textId="77777777" w:rsidR="002530E2" w:rsidRDefault="002530E2">
      <w:pPr>
        <w:pStyle w:val="Heading2"/>
      </w:pPr>
      <w:bookmarkStart w:id="240" w:name="_4evnm0n4bzae" w:colFirst="0" w:colLast="0"/>
      <w:bookmarkEnd w:id="240"/>
      <w:r>
        <w:t>CONSUMER ATTITUDE</w:t>
      </w:r>
    </w:p>
    <w:p w14:paraId="7A101EA7" w14:textId="77777777" w:rsidR="002530E2" w:rsidRDefault="002530E2">
      <w:r>
        <w:t>According to The Oxford Learners’ English Dictionaries (2022), the definition of the term “attitude'” is “the way that you think and feel about somebody or something; the way that you behave towards somebody or something that shows how you think and feel.” The Cambridge English Dictionary (2022) refers to “attitude” as “a feeling or opinion about something or someone, or a way of behaving that is caused by this…” and the Lexico English Dictionaries (2022) provides an explanation of “attitude” as “a settled way of thinking or feeling about someone or something, typically one that is reflected in a person's behaviour.”</w:t>
      </w:r>
    </w:p>
    <w:p w14:paraId="5774DE09" w14:textId="77777777" w:rsidR="002530E2" w:rsidRDefault="002530E2">
      <w:r>
        <w:t xml:space="preserve">Marketers define attitudes as attitudes that are associated with purchasing behaviour, experience, and product testing (Abdullah, Anuar, and Yaacob, 2021). According to a study, attitude is defined as an attitude toward responsible brands and companies (Abdullah, Anuar, and Yaacob, 2021). </w:t>
      </w:r>
    </w:p>
    <w:p w14:paraId="3976D25E" w14:textId="77777777" w:rsidR="002530E2" w:rsidRDefault="002530E2">
      <w:r>
        <w:t xml:space="preserve">Fazio (1986); Schiffman and Kanuk (2000) suggest that a consumer's attitude can motivate or hinder certain behaviours, as they can lead to one action or the other. In other words, consumer attitudes have a motivating effect in that they may lead to certain behaviours or may harm them. One of the most important characteristics of attitudes is that they are learned (Abou-Yousseff et al., 2015), which can be acquired through past experiences. </w:t>
      </w:r>
    </w:p>
    <w:p w14:paraId="1E71247C" w14:textId="77777777" w:rsidR="002530E2" w:rsidRDefault="002530E2">
      <w:pPr>
        <w:pStyle w:val="Heading2"/>
        <w:spacing w:before="0"/>
      </w:pPr>
      <w:bookmarkStart w:id="241" w:name="_uytstzv4sy4w" w:colFirst="0" w:colLast="0"/>
      <w:bookmarkEnd w:id="241"/>
      <w:r>
        <w:lastRenderedPageBreak/>
        <w:t>CONSUMER BEHAVIOUR</w:t>
      </w:r>
    </w:p>
    <w:p w14:paraId="759175B2" w14:textId="77777777" w:rsidR="002530E2" w:rsidRDefault="002530E2">
      <w:pPr>
        <w:spacing w:before="240" w:after="240"/>
      </w:pPr>
      <w:r>
        <w:t>Consumer behaviour refers to the study of individuals, groups, or organisations and the processes they undertake to select, purchase, use, and dispose of products, services, ideas, or experiences to satisfy their needs and wants. It involves understanding how consumers make decisions, what influences their choices, and how they evaluate and perceive brands and offerings in the market. Here are some key points about consumer behaviour:</w:t>
      </w:r>
    </w:p>
    <w:p w14:paraId="685D26E5" w14:textId="77777777" w:rsidR="002530E2" w:rsidRDefault="002530E2" w:rsidP="002530E2">
      <w:pPr>
        <w:numPr>
          <w:ilvl w:val="0"/>
          <w:numId w:val="79"/>
        </w:numPr>
        <w:spacing w:before="240" w:after="200" w:line="360" w:lineRule="auto"/>
        <w:jc w:val="both"/>
      </w:pPr>
      <w:r>
        <w:t>Needs and Wants: Consumer behaviour starts with recognising and identifying needs and wants. Needs are the basic requirements for survival and well-being, such as food, shelter, and clothing, while wants are desires for specific products or experiences that go beyond basic necessities.</w:t>
      </w:r>
    </w:p>
    <w:p w14:paraId="58AA1B7F" w14:textId="77777777" w:rsidR="002530E2" w:rsidRDefault="002530E2" w:rsidP="002530E2">
      <w:pPr>
        <w:numPr>
          <w:ilvl w:val="0"/>
          <w:numId w:val="79"/>
        </w:numPr>
        <w:spacing w:after="200" w:line="360" w:lineRule="auto"/>
        <w:jc w:val="both"/>
      </w:pPr>
      <w:r>
        <w:t>Decision-Making Process: Consumers go through a decision-making process when making a purchase. This process typically involves several stages, including problem recognition, information search, evaluation of alternatives, purchase decision, and post-purchase evaluation.</w:t>
      </w:r>
    </w:p>
    <w:p w14:paraId="10EDBE17" w14:textId="77777777" w:rsidR="002530E2" w:rsidRDefault="002530E2" w:rsidP="002530E2">
      <w:pPr>
        <w:numPr>
          <w:ilvl w:val="0"/>
          <w:numId w:val="79"/>
        </w:numPr>
        <w:spacing w:after="200" w:line="360" w:lineRule="auto"/>
        <w:jc w:val="both"/>
      </w:pPr>
      <w:r>
        <w:t>Internal and External Influences: Consumer behaviour is influenced by various factors. Internal influences include individual characteristics such as personality, motivation, perception, and attitudes. External influences include social, cultural, economic, and environmental factors, as well as marketing efforts, family, friends, and reference groups.</w:t>
      </w:r>
    </w:p>
    <w:p w14:paraId="0BA241DD" w14:textId="77777777" w:rsidR="002530E2" w:rsidRDefault="002530E2" w:rsidP="002530E2">
      <w:pPr>
        <w:numPr>
          <w:ilvl w:val="0"/>
          <w:numId w:val="79"/>
        </w:numPr>
        <w:spacing w:after="200" w:line="360" w:lineRule="auto"/>
        <w:jc w:val="both"/>
      </w:pPr>
      <w:r>
        <w:t>Consumer Perception: Consumers' perceptions shape their understanding and interpretation of brands and products. Perception is influenced by factors such as sensory inputs, previous experiences, beliefs, and cultural norms. Marketers strive to create positive perceptions through branding, packaging, advertising, and other promotional efforts.</w:t>
      </w:r>
    </w:p>
    <w:p w14:paraId="6AC57607" w14:textId="77777777" w:rsidR="002530E2" w:rsidRDefault="002530E2" w:rsidP="002530E2">
      <w:pPr>
        <w:numPr>
          <w:ilvl w:val="0"/>
          <w:numId w:val="79"/>
        </w:numPr>
        <w:spacing w:after="200" w:line="360" w:lineRule="auto"/>
        <w:jc w:val="both"/>
      </w:pPr>
      <w:r>
        <w:t>Consumer Attitudes: Attitudes refer to consumers' overall evaluations, feelings, and predispositions towards products, brands, or marketing messages. Attitudes can influence purchase decisions and brand loyalty. Marketers seek to shape and influence consumers' attitudes through targeted marketing strategies.</w:t>
      </w:r>
    </w:p>
    <w:p w14:paraId="344DD3F8" w14:textId="77777777" w:rsidR="002530E2" w:rsidRDefault="002530E2" w:rsidP="002530E2">
      <w:pPr>
        <w:numPr>
          <w:ilvl w:val="0"/>
          <w:numId w:val="79"/>
        </w:numPr>
        <w:spacing w:after="200" w:line="360" w:lineRule="auto"/>
        <w:jc w:val="both"/>
      </w:pPr>
      <w:r>
        <w:t>Buying Behaviour: Consumers exhibit different types of buying behaviour depending on the level of involvement and complexity of the purchase. Routine buying behaviour is characterised by low involvement and frequent purchases of familiar products, while complex buying behaviour involves high involvement and extensive research for significant purchases.</w:t>
      </w:r>
    </w:p>
    <w:p w14:paraId="28C99A73" w14:textId="77777777" w:rsidR="002530E2" w:rsidRDefault="002530E2" w:rsidP="002530E2">
      <w:pPr>
        <w:numPr>
          <w:ilvl w:val="0"/>
          <w:numId w:val="79"/>
        </w:numPr>
        <w:spacing w:after="200" w:line="360" w:lineRule="auto"/>
        <w:jc w:val="both"/>
      </w:pPr>
      <w:r>
        <w:lastRenderedPageBreak/>
        <w:t>Consumer Segmentation: Consumers are not a homogeneous group, and marketers often segment them into distinct groups based on common characteristics, behaviours, or needs. Consumer segmentation allows marketers to tailor their products, messaging, and marketing strategies to specific target segments.</w:t>
      </w:r>
    </w:p>
    <w:p w14:paraId="593700F2" w14:textId="77777777" w:rsidR="002530E2" w:rsidRDefault="002530E2" w:rsidP="002530E2">
      <w:pPr>
        <w:numPr>
          <w:ilvl w:val="0"/>
          <w:numId w:val="79"/>
        </w:numPr>
        <w:spacing w:after="200" w:line="360" w:lineRule="auto"/>
        <w:jc w:val="both"/>
      </w:pPr>
      <w:r>
        <w:t>Social Influences: Consumers are influenced by their social environment, including family, friends, social networks, and reference groups. Social factors can impact brand preferences, purchase decisions, and the adoption of new products or trends.</w:t>
      </w:r>
    </w:p>
    <w:p w14:paraId="2E2C3595" w14:textId="77777777" w:rsidR="002530E2" w:rsidRDefault="002530E2" w:rsidP="002530E2">
      <w:pPr>
        <w:numPr>
          <w:ilvl w:val="0"/>
          <w:numId w:val="79"/>
        </w:numPr>
        <w:spacing w:before="240" w:after="200" w:line="360" w:lineRule="auto"/>
        <w:jc w:val="both"/>
      </w:pPr>
      <w:r>
        <w:t>Consumer Satisfaction and Loyalty: Satisfying consumer needs and delivering positive experiences are critical for building customer satisfaction and loyalty. Satisfied customers are more likely to become repeat customers and advocates for a brand, while dissatisfied customers may switch brands or share negative experiences.</w:t>
      </w:r>
    </w:p>
    <w:p w14:paraId="71105DA8" w14:textId="77777777" w:rsidR="002530E2" w:rsidRDefault="002530E2">
      <w:pPr>
        <w:spacing w:before="240" w:after="240"/>
      </w:pPr>
      <w:r>
        <w:t>Understanding consumer behaviour helps businesses and marketers develop effective marketing strategies, design products and services that meet consumer needs, create impactful advertising campaigns, and build strong customer relationships. By gaining insights into consumer motivations, preferences, and decision-making processes, businesses can better anticipate and meet customer expectations, ultimately driving sales and business success.</w:t>
      </w:r>
    </w:p>
    <w:p w14:paraId="1BE5EFA4" w14:textId="77777777" w:rsidR="002530E2" w:rsidRDefault="002530E2">
      <w:pPr>
        <w:pStyle w:val="Heading2"/>
        <w:spacing w:before="0"/>
      </w:pPr>
      <w:bookmarkStart w:id="242" w:name="_95tcwl3j8yd7" w:colFirst="0" w:colLast="0"/>
      <w:bookmarkEnd w:id="242"/>
      <w:r>
        <w:t xml:space="preserve">CONSUMER PERCEPTION </w:t>
      </w:r>
    </w:p>
    <w:p w14:paraId="5F2738EC" w14:textId="77777777" w:rsidR="002530E2" w:rsidRDefault="002530E2">
      <w:r>
        <w:t>Consumer perception refers to how individuals interpret and make sense of the stimuli they receive from the external environment, such as products, brands, advertisements, and marketing messages. It involves the process of organising, selecting, and interpreting information to form subjective perceptions and judgments about the stimuli. Here are some key points about consumer perception:</w:t>
      </w:r>
    </w:p>
    <w:p w14:paraId="7EBFA779" w14:textId="77777777" w:rsidR="002530E2" w:rsidRDefault="002530E2" w:rsidP="002530E2">
      <w:pPr>
        <w:numPr>
          <w:ilvl w:val="0"/>
          <w:numId w:val="92"/>
        </w:numPr>
        <w:spacing w:before="240" w:after="200" w:line="360" w:lineRule="auto"/>
        <w:jc w:val="both"/>
      </w:pPr>
      <w:r>
        <w:t>Sensory Inputs: Consumer perception starts with the reception of sensory inputs through sight, hearing, taste, smell, and touch. These inputs can include visual cues from product packaging, auditory cues from advertising jingles, taste and smell cues from food products, and tactile cues from product textures.</w:t>
      </w:r>
    </w:p>
    <w:p w14:paraId="1988C2D2" w14:textId="77777777" w:rsidR="002530E2" w:rsidRDefault="002530E2" w:rsidP="002530E2">
      <w:pPr>
        <w:numPr>
          <w:ilvl w:val="0"/>
          <w:numId w:val="92"/>
        </w:numPr>
        <w:spacing w:after="200" w:line="360" w:lineRule="auto"/>
        <w:jc w:val="both"/>
      </w:pPr>
      <w:r>
        <w:t>Selective Attention: Consumers selectively attend to certain stimuli while filtering out others. They focus on stimuli that are relevant to their needs, interests, and goals while ignoring or minimising the impact of irrelevant or distracting information.</w:t>
      </w:r>
    </w:p>
    <w:p w14:paraId="2EA6C17D" w14:textId="77777777" w:rsidR="002530E2" w:rsidRDefault="002530E2" w:rsidP="002530E2">
      <w:pPr>
        <w:numPr>
          <w:ilvl w:val="0"/>
          <w:numId w:val="92"/>
        </w:numPr>
        <w:spacing w:after="200" w:line="360" w:lineRule="auto"/>
        <w:jc w:val="both"/>
      </w:pPr>
      <w:r>
        <w:t xml:space="preserve">Interpretation and Meaning: Consumers interpret and assign meaning to the stimuli they perceive based on their personal experiences, beliefs, attitudes, and cultural backgrounds. </w:t>
      </w:r>
      <w:r>
        <w:lastRenderedPageBreak/>
        <w:t>They use their existing knowledge and cognitive frameworks to make sense of the information and give it significance.</w:t>
      </w:r>
    </w:p>
    <w:p w14:paraId="4E59B206" w14:textId="77777777" w:rsidR="002530E2" w:rsidRDefault="002530E2" w:rsidP="002530E2">
      <w:pPr>
        <w:numPr>
          <w:ilvl w:val="0"/>
          <w:numId w:val="92"/>
        </w:numPr>
        <w:spacing w:after="200" w:line="360" w:lineRule="auto"/>
        <w:jc w:val="both"/>
      </w:pPr>
      <w:r>
        <w:t>Perceptual Filters: Each consumer has their own unique set of perceptual filters that shape their perception. These filters include factors such as past experiences, values, beliefs, motivations, and individual differences. They influence how individuals perceive and interpret stimuli, leading to variations in consumer perceptions.</w:t>
      </w:r>
    </w:p>
    <w:p w14:paraId="620F734F" w14:textId="77777777" w:rsidR="002530E2" w:rsidRDefault="002530E2" w:rsidP="002530E2">
      <w:pPr>
        <w:numPr>
          <w:ilvl w:val="0"/>
          <w:numId w:val="92"/>
        </w:numPr>
        <w:spacing w:after="200" w:line="360" w:lineRule="auto"/>
        <w:jc w:val="both"/>
      </w:pPr>
      <w:r>
        <w:t>Selective Perception: Consumers may selectively perceive and remember information that confirms their existing beliefs or attitudes, a phenomenon known as selective perception. They tend to pay more attention to information that aligns with their preconceived notions or expectations while ignoring or distorting information that contradicts their beliefs.</w:t>
      </w:r>
    </w:p>
    <w:p w14:paraId="05C78375" w14:textId="77777777" w:rsidR="002530E2" w:rsidRDefault="002530E2" w:rsidP="002530E2">
      <w:pPr>
        <w:numPr>
          <w:ilvl w:val="0"/>
          <w:numId w:val="92"/>
        </w:numPr>
        <w:spacing w:after="200" w:line="360" w:lineRule="auto"/>
        <w:jc w:val="both"/>
      </w:pPr>
      <w:r>
        <w:t>Branding and Packaging: Consumer perception is influenced by the branding and packaging strategies employed by companies. Branding elements such as logos, colours, and slogans create impressions and associations that shape consumer perceptions. Packaging design, materials, and labelling also play a role in conveying product attributes and influencing consumer perceptions of quality, value, and authenticity.</w:t>
      </w:r>
    </w:p>
    <w:p w14:paraId="520AC63E" w14:textId="77777777" w:rsidR="002530E2" w:rsidRDefault="002530E2" w:rsidP="002530E2">
      <w:pPr>
        <w:numPr>
          <w:ilvl w:val="0"/>
          <w:numId w:val="92"/>
        </w:numPr>
        <w:spacing w:after="200" w:line="360" w:lineRule="auto"/>
        <w:jc w:val="both"/>
      </w:pPr>
      <w:r>
        <w:t>Social Influence: Consumer perception can be influenced by social factors such as family, friends, social media, and reference groups. The opinions, recommendations, and experiences shared by others can shape how consumers perceive a product or brand.</w:t>
      </w:r>
    </w:p>
    <w:p w14:paraId="02640ED8" w14:textId="77777777" w:rsidR="002530E2" w:rsidRDefault="002530E2" w:rsidP="002530E2">
      <w:pPr>
        <w:numPr>
          <w:ilvl w:val="0"/>
          <w:numId w:val="92"/>
        </w:numPr>
        <w:spacing w:before="240" w:after="200" w:line="360" w:lineRule="auto"/>
        <w:jc w:val="both"/>
      </w:pPr>
      <w:r>
        <w:t>Marketing and Communication: Marketers strategically design marketing messages and communication efforts to influence consumer perceptions. Through advertising, public relations, and other promotional activities, companies aim to shape positive perceptions of their products, differentiate themselves from competitors, and create desired brand images.</w:t>
      </w:r>
    </w:p>
    <w:p w14:paraId="539A3189" w14:textId="77777777" w:rsidR="002530E2" w:rsidRDefault="002530E2">
      <w:pPr>
        <w:spacing w:before="240" w:after="240"/>
      </w:pPr>
      <w:r>
        <w:t>Understanding consumer perception is crucial for marketers as it helps them design effective marketing strategies, develop appealing product offerings, and communicate messages that resonate with their target audience. By understanding how consumers perceive their products and brands, marketers can identify opportunities to enhance positive perceptions, address negative perceptions, and build strong brand identities that align with consumer expectations.</w:t>
      </w:r>
    </w:p>
    <w:p w14:paraId="5D6B3008" w14:textId="77777777" w:rsidR="002530E2" w:rsidRDefault="002530E2">
      <w:pPr>
        <w:pStyle w:val="Heading1"/>
        <w:spacing w:before="0"/>
      </w:pPr>
      <w:bookmarkStart w:id="243" w:name="_fj6il6whiok2" w:colFirst="0" w:colLast="0"/>
      <w:bookmarkEnd w:id="243"/>
      <w:r>
        <w:lastRenderedPageBreak/>
        <w:t xml:space="preserve">CONCEPTS RELATED TO CONSUMER REACTIONS </w:t>
      </w:r>
    </w:p>
    <w:p w14:paraId="741E9CE3" w14:textId="77777777" w:rsidR="002530E2" w:rsidRDefault="002530E2">
      <w:pPr>
        <w:pStyle w:val="Heading2"/>
        <w:spacing w:before="0"/>
      </w:pPr>
      <w:bookmarkStart w:id="244" w:name="_k3cpckgi6ti0" w:colFirst="0" w:colLast="0"/>
      <w:bookmarkEnd w:id="244"/>
      <w:r>
        <w:t>NATURE OF CONSUMER REACTIONS</w:t>
      </w:r>
    </w:p>
    <w:p w14:paraId="5575A594" w14:textId="77777777" w:rsidR="002530E2" w:rsidRDefault="002530E2">
      <w:pPr>
        <w:spacing w:before="240" w:after="240"/>
      </w:pPr>
      <w:r>
        <w:t>Consumer reactions can vary widely depending on the nature of the situation, their individual preferences, and their level of engagement with the product or brand. Here are some common types of consumer reactions:</w:t>
      </w:r>
    </w:p>
    <w:p w14:paraId="1D5DF503" w14:textId="77777777" w:rsidR="002530E2" w:rsidRDefault="002530E2" w:rsidP="002530E2">
      <w:pPr>
        <w:numPr>
          <w:ilvl w:val="0"/>
          <w:numId w:val="90"/>
        </w:numPr>
        <w:spacing w:before="240" w:after="200" w:line="360" w:lineRule="auto"/>
        <w:jc w:val="both"/>
      </w:pPr>
      <w:r>
        <w:t>Positive Reactions: Consumers may exhibit positive reactions when they are satisfied with a product or service. This can include expressing delight, sharing positive reviews or recommendations, and becoming loyal customers.</w:t>
      </w:r>
    </w:p>
    <w:p w14:paraId="388D2A30" w14:textId="77777777" w:rsidR="002530E2" w:rsidRDefault="002530E2" w:rsidP="002530E2">
      <w:pPr>
        <w:numPr>
          <w:ilvl w:val="0"/>
          <w:numId w:val="90"/>
        </w:numPr>
        <w:spacing w:after="200" w:line="360" w:lineRule="auto"/>
        <w:jc w:val="both"/>
      </w:pPr>
      <w:r>
        <w:t>Negative Reactions: Negative reactions occur when consumers are dissatisfied with a product or service. This can manifest as complaints, negative reviews, requests for refunds or exchanges, and potentially discontinuing their relationship with the brand.</w:t>
      </w:r>
    </w:p>
    <w:p w14:paraId="1A9852D3" w14:textId="77777777" w:rsidR="002530E2" w:rsidRDefault="002530E2" w:rsidP="002530E2">
      <w:pPr>
        <w:numPr>
          <w:ilvl w:val="0"/>
          <w:numId w:val="90"/>
        </w:numPr>
        <w:spacing w:after="200" w:line="360" w:lineRule="auto"/>
        <w:jc w:val="both"/>
      </w:pPr>
      <w:r>
        <w:t>Emotional Reactions: Consumers may have emotional reactions to certain products or marketing messages. This can include feelings of excitement, joy, nostalgia, or even anger or disappointment, depending on how well the product aligns with their expectations or personal values.</w:t>
      </w:r>
    </w:p>
    <w:p w14:paraId="60AE24E5" w14:textId="77777777" w:rsidR="002530E2" w:rsidRDefault="002530E2" w:rsidP="002530E2">
      <w:pPr>
        <w:numPr>
          <w:ilvl w:val="0"/>
          <w:numId w:val="90"/>
        </w:numPr>
        <w:spacing w:after="200" w:line="360" w:lineRule="auto"/>
        <w:jc w:val="both"/>
      </w:pPr>
      <w:r>
        <w:t>Word-of-Mouth Reactions: Consumers often share their experiences with others, either through word-of-mouth conversations, online reviews, or social media posts. Positive experiences can lead to enthusiastic recommendations, while negative experiences can result in warnings or criticism.</w:t>
      </w:r>
    </w:p>
    <w:p w14:paraId="13CA4088" w14:textId="77777777" w:rsidR="002530E2" w:rsidRDefault="002530E2" w:rsidP="002530E2">
      <w:pPr>
        <w:numPr>
          <w:ilvl w:val="0"/>
          <w:numId w:val="90"/>
        </w:numPr>
        <w:spacing w:after="200" w:line="360" w:lineRule="auto"/>
        <w:jc w:val="both"/>
      </w:pPr>
      <w:r>
        <w:t>Behavioural Reactions: Consumer reactions can also be reflected in their purchasing behaviour. Positive reactions may lead to repeat purchases, increased loyalty, or even advocacy for the brand. Conversely, negative reactions may result in decreased sales, product returns, or a shift towards competing brands.</w:t>
      </w:r>
    </w:p>
    <w:p w14:paraId="511A64FE" w14:textId="77777777" w:rsidR="002530E2" w:rsidRDefault="002530E2" w:rsidP="002530E2">
      <w:pPr>
        <w:numPr>
          <w:ilvl w:val="0"/>
          <w:numId w:val="90"/>
        </w:numPr>
        <w:spacing w:before="240" w:after="200" w:line="360" w:lineRule="auto"/>
        <w:jc w:val="both"/>
      </w:pPr>
      <w:r>
        <w:t>Engagement Reactions: Consumers may engage with a brand or product by actively participating in discussions, providing feedback, or even creating user-generated content. This level of engagement can indicate a positive reaction and a deeper connection with the brand.</w:t>
      </w:r>
    </w:p>
    <w:p w14:paraId="7CA137F7" w14:textId="77777777" w:rsidR="002530E2" w:rsidRDefault="002530E2">
      <w:pPr>
        <w:widowControl w:val="0"/>
        <w:spacing w:before="240" w:after="240"/>
      </w:pPr>
      <w:r>
        <w:t xml:space="preserve">It's important to note that consumer reactions can vary significantly among individuals and across different situations. The impact of consumer reactions on a brand depends on factors such as the visibility of the reactions, the reach of the consumers involved, and the overall sentiment expressed. </w:t>
      </w:r>
      <w:r>
        <w:lastRenderedPageBreak/>
        <w:t>Companies need to be attentive to consumer reactions and proactively address any concerns or issues to maintain positive brand perception and foster customer loyalty.</w:t>
      </w:r>
    </w:p>
    <w:p w14:paraId="4FECFAD0" w14:textId="77777777" w:rsidR="002530E2" w:rsidRDefault="002530E2">
      <w:pPr>
        <w:pStyle w:val="Heading2"/>
        <w:spacing w:before="240"/>
      </w:pPr>
      <w:bookmarkStart w:id="245" w:name="_a5uctlfmzjcv" w:colFirst="0" w:colLast="0"/>
      <w:bookmarkEnd w:id="245"/>
      <w:r>
        <w:t>POSITIVE CONSUMER REACTIONS</w:t>
      </w:r>
    </w:p>
    <w:p w14:paraId="515ECF9C" w14:textId="77777777" w:rsidR="002530E2" w:rsidRDefault="002530E2">
      <w:pPr>
        <w:spacing w:before="240" w:after="240"/>
      </w:pPr>
      <w:r>
        <w:t>Positive consumer reactions refer to favourable responses or behaviours exhibited by consumers towards a product, brand, or service. These reactions indicate satisfaction, enjoyment, and a positive perception of the offering. Here are some examples of positive consumer reactions:</w:t>
      </w:r>
    </w:p>
    <w:p w14:paraId="3D4F698A" w14:textId="77777777" w:rsidR="002530E2" w:rsidRDefault="002530E2" w:rsidP="002530E2">
      <w:pPr>
        <w:numPr>
          <w:ilvl w:val="0"/>
          <w:numId w:val="113"/>
        </w:numPr>
        <w:spacing w:before="240" w:after="200" w:line="360" w:lineRule="auto"/>
        <w:jc w:val="both"/>
      </w:pPr>
      <w:r>
        <w:t>Purchasing and repurchasing: Consumers who have a positive reaction to a product are more likely to make a purchase. They may also become repeat customers, indicating a high level of satisfaction and loyalty.</w:t>
      </w:r>
    </w:p>
    <w:p w14:paraId="2A90B31E" w14:textId="77777777" w:rsidR="002530E2" w:rsidRDefault="002530E2" w:rsidP="002530E2">
      <w:pPr>
        <w:numPr>
          <w:ilvl w:val="0"/>
          <w:numId w:val="113"/>
        </w:numPr>
        <w:spacing w:after="200" w:line="360" w:lineRule="auto"/>
        <w:jc w:val="both"/>
      </w:pPr>
      <w:r>
        <w:t>Positive Reviews and Recommendations: Satisfied consumers often share their positive experiences through online reviews, testimonials, or word-of-mouth recommendations. Positive reviews can boost the brand's reputation and attract new customers.</w:t>
      </w:r>
    </w:p>
    <w:p w14:paraId="0C345387" w14:textId="77777777" w:rsidR="002530E2" w:rsidRDefault="002530E2" w:rsidP="002530E2">
      <w:pPr>
        <w:numPr>
          <w:ilvl w:val="0"/>
          <w:numId w:val="113"/>
        </w:numPr>
        <w:spacing w:after="200" w:line="360" w:lineRule="auto"/>
        <w:jc w:val="both"/>
      </w:pPr>
      <w:r>
        <w:t>Brand Advocacy: Some consumers go beyond recommending a product and actively promote the brand. They may engage in brand-related conversations, defend the brand against criticism, or create user-generated content that highlights their positive experiences.</w:t>
      </w:r>
    </w:p>
    <w:p w14:paraId="4E751C69" w14:textId="77777777" w:rsidR="002530E2" w:rsidRDefault="002530E2" w:rsidP="002530E2">
      <w:pPr>
        <w:numPr>
          <w:ilvl w:val="0"/>
          <w:numId w:val="113"/>
        </w:numPr>
        <w:spacing w:after="200" w:line="360" w:lineRule="auto"/>
        <w:jc w:val="both"/>
      </w:pPr>
      <w:r>
        <w:t>Increased Engagement: Consumers with positive reactions may engage with the brand on social media, participate in contests or surveys, or provide feedback and suggestions. This level of engagement shows their enthusiasm and willingness to interact with the brand.</w:t>
      </w:r>
    </w:p>
    <w:p w14:paraId="7DCFD516" w14:textId="77777777" w:rsidR="002530E2" w:rsidRDefault="002530E2" w:rsidP="002530E2">
      <w:pPr>
        <w:numPr>
          <w:ilvl w:val="0"/>
          <w:numId w:val="113"/>
        </w:numPr>
        <w:spacing w:after="200" w:line="360" w:lineRule="auto"/>
        <w:jc w:val="both"/>
      </w:pPr>
      <w:r>
        <w:t>Brand Loyalty: Positive consumer reactions contribute to building brand loyalty. Satisfied consumers are more likely to continue purchasing from the brand, even when faced with alternative options.</w:t>
      </w:r>
    </w:p>
    <w:p w14:paraId="292EB13E" w14:textId="77777777" w:rsidR="002530E2" w:rsidRDefault="002530E2" w:rsidP="002530E2">
      <w:pPr>
        <w:numPr>
          <w:ilvl w:val="0"/>
          <w:numId w:val="113"/>
        </w:numPr>
        <w:spacing w:after="200" w:line="360" w:lineRule="auto"/>
        <w:jc w:val="both"/>
      </w:pPr>
      <w:r>
        <w:t>Positive Emotional Responses: Consumers may experience positive emotions such as happiness, excitement, or satisfaction when using a product or engaging with a brand. These emotional reactions contribute to a positive overall consumer experience.</w:t>
      </w:r>
    </w:p>
    <w:p w14:paraId="7F5261EC" w14:textId="77777777" w:rsidR="002530E2" w:rsidRDefault="002530E2" w:rsidP="002530E2">
      <w:pPr>
        <w:numPr>
          <w:ilvl w:val="0"/>
          <w:numId w:val="113"/>
        </w:numPr>
        <w:spacing w:before="240" w:after="200" w:line="360" w:lineRule="auto"/>
        <w:jc w:val="both"/>
      </w:pPr>
      <w:r>
        <w:t>Referrals and Influencing Others: Satisfied consumers may refer friends, family, or colleagues to try the product or engage with the brand. They may also influence others' purchasing decisions through their positive experiences and recommendations.</w:t>
      </w:r>
    </w:p>
    <w:p w14:paraId="1683A91A" w14:textId="77777777" w:rsidR="002530E2" w:rsidRDefault="002530E2">
      <w:pPr>
        <w:spacing w:before="240" w:after="240"/>
      </w:pPr>
      <w:r>
        <w:t xml:space="preserve">Positive consumer reactions play a crucial role in the success of a brand, as they can lead to increased sales, brand advocacy, and a positive brand image. Companies strive to create products </w:t>
      </w:r>
      <w:r>
        <w:lastRenderedPageBreak/>
        <w:t>and experiences that generate positive consumer reactions to build customer loyalty and attract new customers.</w:t>
      </w:r>
    </w:p>
    <w:p w14:paraId="53FB026A" w14:textId="77777777" w:rsidR="002530E2" w:rsidRDefault="002530E2">
      <w:pPr>
        <w:pStyle w:val="Heading2"/>
        <w:spacing w:before="240"/>
      </w:pPr>
      <w:bookmarkStart w:id="246" w:name="_40nvm5ysze61" w:colFirst="0" w:colLast="0"/>
      <w:bookmarkEnd w:id="246"/>
      <w:r>
        <w:t>NEGATIVE CONSUMER REACTIONS</w:t>
      </w:r>
    </w:p>
    <w:p w14:paraId="5F9890A5" w14:textId="77777777" w:rsidR="002530E2" w:rsidRDefault="002530E2">
      <w:pPr>
        <w:spacing w:before="240" w:after="240"/>
      </w:pPr>
      <w:r>
        <w:t>Negative consumer reactions refer to unfavourable responses or behaviours exhibited by consumers towards a product, brand, or service. These reactions indicate dissatisfaction, disappointment, or a negative perception of the offering. Here are some examples of negative consumer reactions:</w:t>
      </w:r>
    </w:p>
    <w:p w14:paraId="7AF1F89B" w14:textId="77777777" w:rsidR="002530E2" w:rsidRDefault="002530E2" w:rsidP="002530E2">
      <w:pPr>
        <w:numPr>
          <w:ilvl w:val="0"/>
          <w:numId w:val="118"/>
        </w:numPr>
        <w:spacing w:before="240" w:after="200" w:line="360" w:lineRule="auto"/>
        <w:jc w:val="both"/>
      </w:pPr>
      <w:r>
        <w:t>Complaints and Negative Reviews: Consumers may express their dissatisfaction through complaints, negative online reviews, or ratings. They may highlight issues with the product's quality, performance, customer service, or overall experience.</w:t>
      </w:r>
    </w:p>
    <w:p w14:paraId="2FDB5D60" w14:textId="77777777" w:rsidR="002530E2" w:rsidRDefault="002530E2" w:rsidP="002530E2">
      <w:pPr>
        <w:numPr>
          <w:ilvl w:val="0"/>
          <w:numId w:val="118"/>
        </w:numPr>
        <w:spacing w:after="200" w:line="360" w:lineRule="auto"/>
        <w:jc w:val="both"/>
      </w:pPr>
      <w:r>
        <w:t>Refunds and Returns: Dissatisfied consumers may request refunds or returns of the product, indicating that it did not meet their expectations or needs.</w:t>
      </w:r>
    </w:p>
    <w:p w14:paraId="0D9A0A83" w14:textId="77777777" w:rsidR="002530E2" w:rsidRDefault="002530E2" w:rsidP="002530E2">
      <w:pPr>
        <w:numPr>
          <w:ilvl w:val="0"/>
          <w:numId w:val="118"/>
        </w:numPr>
        <w:spacing w:after="200" w:line="360" w:lineRule="auto"/>
        <w:jc w:val="both"/>
      </w:pPr>
      <w:r>
        <w:t>Negative Word-of-Mouth: Consumers who have a negative reaction may share their experiences with others, discouraging potential customers from purchasing the product or engaging with the brand.</w:t>
      </w:r>
    </w:p>
    <w:p w14:paraId="699206E0" w14:textId="77777777" w:rsidR="002530E2" w:rsidRDefault="002530E2" w:rsidP="002530E2">
      <w:pPr>
        <w:numPr>
          <w:ilvl w:val="0"/>
          <w:numId w:val="118"/>
        </w:numPr>
        <w:spacing w:after="200" w:line="360" w:lineRule="auto"/>
        <w:jc w:val="both"/>
      </w:pPr>
      <w:r>
        <w:t>Decreased Sales and Revenue: Negative consumer reactions can lead to decreased sales and revenue for the brand, as dissatisfied customers may choose not to repurchase or switch to competing offerings.</w:t>
      </w:r>
    </w:p>
    <w:p w14:paraId="221E9D90" w14:textId="77777777" w:rsidR="002530E2" w:rsidRDefault="002530E2" w:rsidP="002530E2">
      <w:pPr>
        <w:numPr>
          <w:ilvl w:val="0"/>
          <w:numId w:val="118"/>
        </w:numPr>
        <w:spacing w:after="200" w:line="360" w:lineRule="auto"/>
        <w:jc w:val="both"/>
      </w:pPr>
      <w:r>
        <w:t>Disengagement and Unsubscribing: Consumers may disengage from the brand's communications, unsubscribe from newsletters, or unfollow the brand's social media accounts due to negative experiences or perceptions.</w:t>
      </w:r>
    </w:p>
    <w:p w14:paraId="0B8F5D28" w14:textId="77777777" w:rsidR="002530E2" w:rsidRDefault="002530E2" w:rsidP="002530E2">
      <w:pPr>
        <w:numPr>
          <w:ilvl w:val="0"/>
          <w:numId w:val="118"/>
        </w:numPr>
        <w:spacing w:after="200" w:line="360" w:lineRule="auto"/>
        <w:jc w:val="both"/>
      </w:pPr>
      <w:r>
        <w:t>Brand Damage and Reputation Issues: Negative consumer reactions, particularly if they gain significant attention or go viral, can damage a brand's reputation and image. This can impact the brand's credibility and make it more challenging to attract new customers.</w:t>
      </w:r>
    </w:p>
    <w:p w14:paraId="15F571B8" w14:textId="77777777" w:rsidR="002530E2" w:rsidRDefault="002530E2" w:rsidP="002530E2">
      <w:pPr>
        <w:numPr>
          <w:ilvl w:val="0"/>
          <w:numId w:val="118"/>
        </w:numPr>
        <w:spacing w:after="200" w:line="360" w:lineRule="auto"/>
        <w:jc w:val="both"/>
      </w:pPr>
      <w:r>
        <w:t>Negative Emotional Responses: Dissatisfied consumers may experience emotions such as frustration, anger, or disappointment, which can further influence their perception of the brand and their willingness to engage with it.</w:t>
      </w:r>
    </w:p>
    <w:p w14:paraId="04185D70" w14:textId="77777777" w:rsidR="002530E2" w:rsidRDefault="002530E2" w:rsidP="002530E2">
      <w:pPr>
        <w:numPr>
          <w:ilvl w:val="0"/>
          <w:numId w:val="118"/>
        </w:numPr>
        <w:spacing w:before="240" w:after="200" w:line="360" w:lineRule="auto"/>
        <w:jc w:val="both"/>
      </w:pPr>
      <w:r>
        <w:t>Switching to Competitors: Negative consumer reactions can lead to customer churn, where dissatisfied consumers switch to competing brands or products that they perceive to be better or more aligned with their needs.</w:t>
      </w:r>
    </w:p>
    <w:p w14:paraId="35C55101" w14:textId="77777777" w:rsidR="002530E2" w:rsidRDefault="002530E2">
      <w:pPr>
        <w:spacing w:before="240" w:after="240"/>
      </w:pPr>
      <w:r>
        <w:lastRenderedPageBreak/>
        <w:t>Negative consumer reactions pose challenges for brands, as they can harm the brand's reputation, result in financial losses, and impact customer retention. Companies need to address and resolve consumer complaints, actively listen to feedback, and take steps to improve their products, services, or customer experiences to mitigate negative reactions and restore customer trust.</w:t>
      </w:r>
    </w:p>
    <w:p w14:paraId="6DC1597E" w14:textId="77777777" w:rsidR="002530E2" w:rsidRDefault="002530E2">
      <w:pPr>
        <w:pStyle w:val="Heading2"/>
        <w:spacing w:before="240"/>
      </w:pPr>
      <w:bookmarkStart w:id="247" w:name="_6q856mfd2c0b" w:colFirst="0" w:colLast="0"/>
      <w:bookmarkEnd w:id="247"/>
      <w:r>
        <w:t>EMOTIONAL CONSUMER REACTIONS</w:t>
      </w:r>
    </w:p>
    <w:p w14:paraId="2D933794" w14:textId="77777777" w:rsidR="002530E2" w:rsidRDefault="002530E2">
      <w:pPr>
        <w:spacing w:before="240" w:after="240"/>
      </w:pPr>
      <w:r>
        <w:t>Emotional consumer reactions refer to the range of emotions that consumers experience in response to products, brands, or marketing stimuli. Emotions play a significant role in shaping consumer behaviour and decision-making. Here are some examples of emotional consumer reactions:</w:t>
      </w:r>
    </w:p>
    <w:p w14:paraId="03C7E589" w14:textId="77777777" w:rsidR="002530E2" w:rsidRDefault="002530E2" w:rsidP="002530E2">
      <w:pPr>
        <w:numPr>
          <w:ilvl w:val="0"/>
          <w:numId w:val="93"/>
        </w:numPr>
        <w:spacing w:before="240" w:after="200" w:line="360" w:lineRule="auto"/>
        <w:jc w:val="both"/>
      </w:pPr>
      <w:r>
        <w:t>Happiness and Delight: Consumers may experience positive emotions such as joy, excitement, or delight when they encounter a product or brand that exceeds their expectations or fulfils their desires.</w:t>
      </w:r>
    </w:p>
    <w:p w14:paraId="26BD7829" w14:textId="77777777" w:rsidR="002530E2" w:rsidRDefault="002530E2" w:rsidP="002530E2">
      <w:pPr>
        <w:numPr>
          <w:ilvl w:val="0"/>
          <w:numId w:val="93"/>
        </w:numPr>
        <w:spacing w:after="200" w:line="360" w:lineRule="auto"/>
        <w:jc w:val="both"/>
      </w:pPr>
      <w:r>
        <w:t>Satisfaction and Contentment: Positive experiences with a product or brand can elicit feelings of satisfaction and contentment, indicating that the consumer's needs or desires have been met.</w:t>
      </w:r>
    </w:p>
    <w:p w14:paraId="4DB789FF" w14:textId="77777777" w:rsidR="002530E2" w:rsidRDefault="002530E2" w:rsidP="002530E2">
      <w:pPr>
        <w:numPr>
          <w:ilvl w:val="0"/>
          <w:numId w:val="93"/>
        </w:numPr>
        <w:spacing w:after="200" w:line="360" w:lineRule="auto"/>
        <w:jc w:val="both"/>
      </w:pPr>
      <w:r>
        <w:t>Surprise and intrigue: Consumers may have emotional reactions characterised by surprise, curiosity, or intrigue when encountering unexpected or novel product features, marketing campaigns, or brand experiences.</w:t>
      </w:r>
    </w:p>
    <w:p w14:paraId="1535D1F5" w14:textId="77777777" w:rsidR="002530E2" w:rsidRDefault="002530E2" w:rsidP="002530E2">
      <w:pPr>
        <w:numPr>
          <w:ilvl w:val="0"/>
          <w:numId w:val="93"/>
        </w:numPr>
        <w:spacing w:after="200" w:line="360" w:lineRule="auto"/>
        <w:jc w:val="both"/>
      </w:pPr>
      <w:r>
        <w:t>Trust and confidence: Building trust is essential in consumer relationships. When consumers have positive experiences with a brand, they may develop feelings of trust and confidence in the brand, which can contribute to their loyalty and repeat purchases.</w:t>
      </w:r>
    </w:p>
    <w:p w14:paraId="4CC46112" w14:textId="77777777" w:rsidR="002530E2" w:rsidRDefault="002530E2" w:rsidP="002530E2">
      <w:pPr>
        <w:numPr>
          <w:ilvl w:val="0"/>
          <w:numId w:val="93"/>
        </w:numPr>
        <w:spacing w:after="200" w:line="360" w:lineRule="auto"/>
        <w:jc w:val="both"/>
      </w:pPr>
      <w:r>
        <w:t>Frustration and Anger: Negative experiences, such as poor customer service, product failures, or misleading advertising, can evoke emotions of frustration, anger, or disappointment in consumers.</w:t>
      </w:r>
    </w:p>
    <w:p w14:paraId="24CCCACE" w14:textId="77777777" w:rsidR="002530E2" w:rsidRDefault="002530E2" w:rsidP="002530E2">
      <w:pPr>
        <w:numPr>
          <w:ilvl w:val="0"/>
          <w:numId w:val="93"/>
        </w:numPr>
        <w:spacing w:after="200" w:line="360" w:lineRule="auto"/>
        <w:jc w:val="both"/>
      </w:pPr>
      <w:r>
        <w:t>Anxiety and Fear: Some products or marketing messages may trigger emotional responses associated with anxiety or fear, such as concerns about safety, health, or financial risks.</w:t>
      </w:r>
    </w:p>
    <w:p w14:paraId="5F8CFD74" w14:textId="77777777" w:rsidR="002530E2" w:rsidRDefault="002530E2" w:rsidP="002530E2">
      <w:pPr>
        <w:numPr>
          <w:ilvl w:val="0"/>
          <w:numId w:val="93"/>
        </w:numPr>
        <w:spacing w:after="200" w:line="360" w:lineRule="auto"/>
        <w:jc w:val="both"/>
      </w:pPr>
      <w:r>
        <w:t>Nostalgia and Sentimentality: Brands that tap into consumers' nostalgia or evoke sentimental feelings can create emotional connections and positive associations, leading to increased affinity and loyalty.</w:t>
      </w:r>
    </w:p>
    <w:p w14:paraId="3EE422F5" w14:textId="77777777" w:rsidR="002530E2" w:rsidRDefault="002530E2" w:rsidP="002530E2">
      <w:pPr>
        <w:numPr>
          <w:ilvl w:val="0"/>
          <w:numId w:val="93"/>
        </w:numPr>
        <w:spacing w:before="240" w:after="200" w:line="360" w:lineRule="auto"/>
        <w:jc w:val="both"/>
      </w:pPr>
      <w:r>
        <w:t>Guilt and regret: Consumers may experience emotions of guilt or regret if they feel they have made a poor purchase decision or if a product or brand conflicts with their values or beliefs.</w:t>
      </w:r>
    </w:p>
    <w:p w14:paraId="511DE659" w14:textId="77777777" w:rsidR="002530E2" w:rsidRDefault="002530E2">
      <w:pPr>
        <w:spacing w:before="240" w:after="240"/>
      </w:pPr>
      <w:r>
        <w:lastRenderedPageBreak/>
        <w:t>Understanding and managing emotional consumer reactions is crucial for marketers. By eliciting positive emotions, addressing negative emotions, and creating meaningful connections, brands can build stronger relationships with consumers, enhance brand loyalty, and create memorable experiences that resonate on an emotional level.</w:t>
      </w:r>
    </w:p>
    <w:p w14:paraId="031AB9E7" w14:textId="77777777" w:rsidR="002530E2" w:rsidRDefault="002530E2">
      <w:pPr>
        <w:pStyle w:val="Heading2"/>
        <w:spacing w:before="240"/>
      </w:pPr>
      <w:bookmarkStart w:id="248" w:name="_nlks2kkexn6v" w:colFirst="0" w:colLast="0"/>
      <w:bookmarkEnd w:id="248"/>
      <w:r>
        <w:t>WORD-OF-MOUTH CONSUMER REACTIONS</w:t>
      </w:r>
    </w:p>
    <w:p w14:paraId="335A9707" w14:textId="77777777" w:rsidR="002530E2" w:rsidRDefault="002530E2">
      <w:pPr>
        <w:spacing w:before="240" w:after="240"/>
      </w:pPr>
      <w:r>
        <w:t>Word-of-mouth (WOM) consumer reactions refer to the communication and sharing of opinions, experiences, and recommendations about a product, brand, or service among consumers. It plays a significant role in shaping consumer perceptions, influencing purchasing decisions, and impacting brand reputation. Here are some aspects of word-of-mouth consumer reactions:</w:t>
      </w:r>
    </w:p>
    <w:p w14:paraId="3560C5A8" w14:textId="77777777" w:rsidR="002530E2" w:rsidRDefault="002530E2" w:rsidP="002530E2">
      <w:pPr>
        <w:numPr>
          <w:ilvl w:val="0"/>
          <w:numId w:val="80"/>
        </w:numPr>
        <w:spacing w:before="240" w:after="200" w:line="360" w:lineRule="auto"/>
        <w:jc w:val="both"/>
      </w:pPr>
      <w:r>
        <w:t>Recommendations and Positive Reviews: Satisfied consumers who have had a positive experience with a product or brand often engage in positive word-of-mouth by recommending it to their friends, family, colleagues, or even strangers. They may also leave positive reviews or ratings on online platforms, social media, or review websites.</w:t>
      </w:r>
    </w:p>
    <w:p w14:paraId="5C8B8DE7" w14:textId="77777777" w:rsidR="002530E2" w:rsidRDefault="002530E2" w:rsidP="002530E2">
      <w:pPr>
        <w:numPr>
          <w:ilvl w:val="0"/>
          <w:numId w:val="80"/>
        </w:numPr>
        <w:spacing w:after="200" w:line="360" w:lineRule="auto"/>
        <w:jc w:val="both"/>
      </w:pPr>
      <w:r>
        <w:t>Personal Testimonials: Consumers may share their personal experiences with a product or brand, either verbally or through online platforms. These testimonials can carry significant weight as they are seen as authentic and relatable.</w:t>
      </w:r>
    </w:p>
    <w:p w14:paraId="70CFC8E2" w14:textId="77777777" w:rsidR="002530E2" w:rsidRDefault="002530E2" w:rsidP="002530E2">
      <w:pPr>
        <w:numPr>
          <w:ilvl w:val="0"/>
          <w:numId w:val="80"/>
        </w:numPr>
        <w:spacing w:after="200" w:line="360" w:lineRule="auto"/>
        <w:jc w:val="both"/>
      </w:pPr>
      <w:r>
        <w:t>Influencer Marketing: Influencers who have a substantial following on social media can have a significant impact on word-of-mouth reactions. When influencers endorse a product or brand, their followers may be influenced by their recommendations and may share their opinions based on the influencer's experiences.</w:t>
      </w:r>
    </w:p>
    <w:p w14:paraId="6E5A6A81" w14:textId="77777777" w:rsidR="002530E2" w:rsidRDefault="002530E2" w:rsidP="002530E2">
      <w:pPr>
        <w:numPr>
          <w:ilvl w:val="0"/>
          <w:numId w:val="80"/>
        </w:numPr>
        <w:spacing w:after="200" w:line="360" w:lineRule="auto"/>
        <w:jc w:val="both"/>
      </w:pPr>
      <w:r>
        <w:t>Negative Word-of-Mouth: Dissatisfied consumers may engage in negative word-of-mouth by sharing their negative experiences, complaints, or criticisms of a product or brand. This can have a detrimental effect on the brand's reputation and deter potential customers.</w:t>
      </w:r>
    </w:p>
    <w:p w14:paraId="1DB4BFFD" w14:textId="77777777" w:rsidR="002530E2" w:rsidRDefault="002530E2" w:rsidP="002530E2">
      <w:pPr>
        <w:numPr>
          <w:ilvl w:val="0"/>
          <w:numId w:val="80"/>
        </w:numPr>
        <w:spacing w:after="200" w:line="360" w:lineRule="auto"/>
        <w:jc w:val="both"/>
      </w:pPr>
      <w:r>
        <w:t>Viral Marketing: In some cases, word-of-mouth reactions can go viral, spreading rapidly and reaching a large audience. This can be both positive and negative, depending on the nature of the reactions and the sentiments expressed.</w:t>
      </w:r>
    </w:p>
    <w:p w14:paraId="3A3620C1" w14:textId="77777777" w:rsidR="002530E2" w:rsidRDefault="002530E2" w:rsidP="002530E2">
      <w:pPr>
        <w:numPr>
          <w:ilvl w:val="0"/>
          <w:numId w:val="80"/>
        </w:numPr>
        <w:spacing w:after="200" w:line="360" w:lineRule="auto"/>
        <w:jc w:val="both"/>
      </w:pPr>
      <w:r>
        <w:t>Online Communities and Forums: Consumers often participate in online communities and forums related to specific products, brands, or industries. These platforms provide a space for consumers to discuss their experiences, seek recommendations, and share their opinions with like-minded individuals.</w:t>
      </w:r>
    </w:p>
    <w:p w14:paraId="49936FC5" w14:textId="77777777" w:rsidR="002530E2" w:rsidRDefault="002530E2" w:rsidP="002530E2">
      <w:pPr>
        <w:numPr>
          <w:ilvl w:val="0"/>
          <w:numId w:val="80"/>
        </w:numPr>
        <w:spacing w:before="240" w:after="200" w:line="360" w:lineRule="auto"/>
        <w:jc w:val="both"/>
      </w:pPr>
      <w:r>
        <w:lastRenderedPageBreak/>
        <w:t>Referrals and Word-of-Mouth Marketing Programmes: Some companies incentivize consumers to engage in positive word-of-mouth by offering referral programmes or rewards for recommending the brand to others. This can further amplify word-of-mouth reactions.</w:t>
      </w:r>
    </w:p>
    <w:p w14:paraId="3833A25F" w14:textId="77777777" w:rsidR="002530E2" w:rsidRDefault="002530E2">
      <w:pPr>
        <w:spacing w:before="240" w:after="240"/>
      </w:pPr>
      <w:r>
        <w:t>Word-of-mouth consumer reactions are highly influential because they are based on personal experiences and opinions rather than traditional marketing messages. Positive word-of-mouth can lead to increased brand awareness, trust, and customer acquisition, while negative word-of-mouth can damage a brand's reputation and deter potential customers. Companies must actively manage and encourage positive word-of-mouth by providing excellent products, exceptional customer experiences, and actively engaging with their consumers to foster positive conversations and recommendations.</w:t>
      </w:r>
    </w:p>
    <w:p w14:paraId="2FE8ED21" w14:textId="77777777" w:rsidR="002530E2" w:rsidRDefault="002530E2">
      <w:pPr>
        <w:pStyle w:val="Heading2"/>
        <w:spacing w:before="240"/>
      </w:pPr>
      <w:bookmarkStart w:id="249" w:name="_eex1h2jry2kq" w:colFirst="0" w:colLast="0"/>
      <w:bookmarkEnd w:id="249"/>
      <w:r>
        <w:t>BEHAVIOURAL CONSUMER REACTIONS</w:t>
      </w:r>
    </w:p>
    <w:p w14:paraId="15DDE3EE" w14:textId="77777777" w:rsidR="002530E2" w:rsidRDefault="002530E2">
      <w:pPr>
        <w:spacing w:before="240" w:after="240"/>
      </w:pPr>
      <w:r>
        <w:t>Behavioural consumer reactions refer to the actions and behaviours that consumers exhibit in response to products, brands, or marketing stimuli. These reactions provide tangible evidence of consumer engagement, preferences, and decision-making. Here are some examples of behavioural consumer reactions:</w:t>
      </w:r>
    </w:p>
    <w:p w14:paraId="7C7DEC3C" w14:textId="77777777" w:rsidR="002530E2" w:rsidRDefault="002530E2" w:rsidP="002530E2">
      <w:pPr>
        <w:numPr>
          <w:ilvl w:val="0"/>
          <w:numId w:val="112"/>
        </w:numPr>
        <w:spacing w:before="240" w:after="200" w:line="360" w:lineRule="auto"/>
        <w:jc w:val="both"/>
      </w:pPr>
      <w:r>
        <w:t>Purchase Behaviour: One of the most significant behavioural reactions is the actual purchase of a product or service. When consumers decide to buy a product, they demonstrate their intention and willingness to acquire and use it.</w:t>
      </w:r>
    </w:p>
    <w:p w14:paraId="05DCC4A5" w14:textId="77777777" w:rsidR="002530E2" w:rsidRDefault="002530E2" w:rsidP="002530E2">
      <w:pPr>
        <w:numPr>
          <w:ilvl w:val="0"/>
          <w:numId w:val="112"/>
        </w:numPr>
        <w:spacing w:after="200" w:line="360" w:lineRule="auto"/>
        <w:jc w:val="both"/>
      </w:pPr>
      <w:r>
        <w:t>Repeat Purchases: Repeat purchases indicate consumer loyalty and satisfaction with a particular product or brand. When consumers consistently choose to repurchase a product, it reflects their positive experience and ongoing preference.</w:t>
      </w:r>
    </w:p>
    <w:p w14:paraId="01709163" w14:textId="77777777" w:rsidR="002530E2" w:rsidRDefault="002530E2" w:rsidP="002530E2">
      <w:pPr>
        <w:numPr>
          <w:ilvl w:val="0"/>
          <w:numId w:val="112"/>
        </w:numPr>
        <w:spacing w:after="200" w:line="360" w:lineRule="auto"/>
        <w:jc w:val="both"/>
      </w:pPr>
      <w:r>
        <w:t>Brand Switching: On the other hand, consumers may exhibit behavioural reactions by switching from one brand to another. This could be due to dissatisfaction with a previous brand, seeking better value or features, or being influenced by the marketing efforts of competing brands.</w:t>
      </w:r>
    </w:p>
    <w:p w14:paraId="56863338" w14:textId="77777777" w:rsidR="002530E2" w:rsidRDefault="002530E2" w:rsidP="002530E2">
      <w:pPr>
        <w:numPr>
          <w:ilvl w:val="0"/>
          <w:numId w:val="112"/>
        </w:numPr>
        <w:spacing w:after="200" w:line="360" w:lineRule="auto"/>
        <w:jc w:val="both"/>
      </w:pPr>
      <w:r>
        <w:t>Product Usage and Consumption: How consumers use and consume a product is also a behavioural reaction. It can include how frequently they use the product, the manner in which it is used, and the extent to which they utilise its features or functionalities.</w:t>
      </w:r>
    </w:p>
    <w:p w14:paraId="7567C448" w14:textId="77777777" w:rsidR="002530E2" w:rsidRDefault="002530E2" w:rsidP="002530E2">
      <w:pPr>
        <w:numPr>
          <w:ilvl w:val="0"/>
          <w:numId w:val="112"/>
        </w:numPr>
        <w:spacing w:after="200" w:line="360" w:lineRule="auto"/>
        <w:jc w:val="both"/>
      </w:pPr>
      <w:r>
        <w:t>Loyalty Programmes and Engagement: Consumers who actively participate in loyalty programmes, engage with a brand's loyalty initiatives, or join exclusive communities demonstrate their behavioural reaction by expressing loyalty and commitment to the brand.</w:t>
      </w:r>
    </w:p>
    <w:p w14:paraId="28E1FAC4" w14:textId="77777777" w:rsidR="002530E2" w:rsidRDefault="002530E2" w:rsidP="002530E2">
      <w:pPr>
        <w:numPr>
          <w:ilvl w:val="0"/>
          <w:numId w:val="112"/>
        </w:numPr>
        <w:spacing w:after="200" w:line="360" w:lineRule="auto"/>
        <w:jc w:val="both"/>
      </w:pPr>
      <w:r>
        <w:lastRenderedPageBreak/>
        <w:t>Advocacy and Referrals: When consumers recommend a product or brand to others, participate in referral programmes, or engage in word-of-mouth marketing, it shows their behavioural reaction of actively promoting and advocating for the brand.</w:t>
      </w:r>
    </w:p>
    <w:p w14:paraId="005DE761" w14:textId="77777777" w:rsidR="002530E2" w:rsidRDefault="002530E2" w:rsidP="002530E2">
      <w:pPr>
        <w:numPr>
          <w:ilvl w:val="0"/>
          <w:numId w:val="112"/>
        </w:numPr>
        <w:spacing w:after="200" w:line="360" w:lineRule="auto"/>
        <w:jc w:val="both"/>
      </w:pPr>
      <w:r>
        <w:t>Social Media Engagement: Consumers who engage with a brand on social media platforms by liking, sharing, commenting, or tagging others in posts demonstrate their behavioural reaction and active involvement with the brand.</w:t>
      </w:r>
    </w:p>
    <w:p w14:paraId="2D82343A" w14:textId="77777777" w:rsidR="002530E2" w:rsidRDefault="002530E2" w:rsidP="002530E2">
      <w:pPr>
        <w:numPr>
          <w:ilvl w:val="0"/>
          <w:numId w:val="112"/>
        </w:numPr>
        <w:spacing w:after="200" w:line="360" w:lineRule="auto"/>
        <w:jc w:val="both"/>
      </w:pPr>
      <w:r>
        <w:t>Product Returns and Complaints: Behavioural reactions can also be seen in consumers who return a product, request refunds, or lodge complaints. These actions indicate dissatisfaction or issues with the product or brand.</w:t>
      </w:r>
    </w:p>
    <w:p w14:paraId="771A738E" w14:textId="77777777" w:rsidR="002530E2" w:rsidRDefault="002530E2" w:rsidP="002530E2">
      <w:pPr>
        <w:numPr>
          <w:ilvl w:val="0"/>
          <w:numId w:val="112"/>
        </w:numPr>
        <w:spacing w:before="240" w:after="200" w:line="360" w:lineRule="auto"/>
        <w:jc w:val="both"/>
      </w:pPr>
      <w:r>
        <w:t>Online Shopping Behaviour: In the context of e-commerce, behavioural reactions include browsing behaviour, cart abandonment, online reviews and ratings, and the use of online shopping features such as wishlists or personalised recommendations.</w:t>
      </w:r>
    </w:p>
    <w:p w14:paraId="4CCFF8AF" w14:textId="77777777" w:rsidR="002530E2" w:rsidRDefault="002530E2">
      <w:pPr>
        <w:spacing w:before="240" w:after="240"/>
      </w:pPr>
      <w:r>
        <w:t>Understanding behavioural consumer reactions is crucial for marketers as it provides insights into consumer preferences, satisfaction levels, and engagement. By analysing and interpreting these behaviours, companies can tailor their marketing strategies, improve customer experiences, and build stronger relationships with their target audience.</w:t>
      </w:r>
    </w:p>
    <w:p w14:paraId="61843334" w14:textId="77777777" w:rsidR="002530E2" w:rsidRDefault="002530E2">
      <w:pPr>
        <w:pStyle w:val="Heading2"/>
        <w:spacing w:before="240"/>
      </w:pPr>
      <w:bookmarkStart w:id="250" w:name="_kojtlgcf7s8i" w:colFirst="0" w:colLast="0"/>
      <w:bookmarkEnd w:id="250"/>
      <w:r>
        <w:t>ENGAGEMENT CONSUMER REACTIONS</w:t>
      </w:r>
    </w:p>
    <w:p w14:paraId="27AD45BB" w14:textId="77777777" w:rsidR="002530E2" w:rsidRDefault="002530E2">
      <w:pPr>
        <w:spacing w:before="240" w:after="240"/>
      </w:pPr>
      <w:r>
        <w:t>Engagement consumer reactions refer to the level of involvement, interaction, and participation displayed by consumers in response to marketing stimuli, brands, or products. It indicates the extent to which consumers actively engage with and connect to a brand or its offerings. Here are some reactions to consumer engagement:</w:t>
      </w:r>
    </w:p>
    <w:p w14:paraId="3D58E9BB" w14:textId="77777777" w:rsidR="002530E2" w:rsidRDefault="002530E2" w:rsidP="002530E2">
      <w:pPr>
        <w:numPr>
          <w:ilvl w:val="0"/>
          <w:numId w:val="120"/>
        </w:numPr>
        <w:spacing w:before="240" w:after="200" w:line="360" w:lineRule="auto"/>
        <w:jc w:val="both"/>
      </w:pPr>
      <w:r>
        <w:t>Social Media Interactions: Consumers engage with brands on social media platforms by liking, commenting, sharing, or tagging others in posts. They may also actively follow brand accounts, participate in contests or challenges, and contribute user-generated content.</w:t>
      </w:r>
    </w:p>
    <w:p w14:paraId="170B79C3" w14:textId="77777777" w:rsidR="002530E2" w:rsidRDefault="002530E2" w:rsidP="002530E2">
      <w:pPr>
        <w:numPr>
          <w:ilvl w:val="0"/>
          <w:numId w:val="120"/>
        </w:numPr>
        <w:spacing w:after="200" w:line="360" w:lineRule="auto"/>
        <w:jc w:val="both"/>
      </w:pPr>
      <w:r>
        <w:t>Online Community Participation: Consumers engage in online communities or forums related to specific products, brands, or industries. They actively participate in discussions, seek and provide advice, share experiences, and contribute to the community's knowledge and growth.</w:t>
      </w:r>
    </w:p>
    <w:p w14:paraId="2E4AE49D" w14:textId="77777777" w:rsidR="002530E2" w:rsidRDefault="002530E2" w:rsidP="002530E2">
      <w:pPr>
        <w:numPr>
          <w:ilvl w:val="0"/>
          <w:numId w:val="120"/>
        </w:numPr>
        <w:spacing w:after="200" w:line="360" w:lineRule="auto"/>
        <w:jc w:val="both"/>
      </w:pPr>
      <w:r>
        <w:t xml:space="preserve">Brand Advocacy: Engaged consumers become brand advocates by actively promoting and recommending the brand to others. They may share positive experiences, testimonials, or </w:t>
      </w:r>
      <w:r>
        <w:lastRenderedPageBreak/>
        <w:t>reviews on various platforms, both online and offline, and contribute to positive word-of-mouth.</w:t>
      </w:r>
    </w:p>
    <w:p w14:paraId="0A312C69" w14:textId="77777777" w:rsidR="002530E2" w:rsidRDefault="002530E2" w:rsidP="002530E2">
      <w:pPr>
        <w:numPr>
          <w:ilvl w:val="0"/>
          <w:numId w:val="120"/>
        </w:numPr>
        <w:spacing w:after="200" w:line="360" w:lineRule="auto"/>
        <w:jc w:val="both"/>
      </w:pPr>
      <w:r>
        <w:t>User-Generated Content: Engaged consumers may create and share their own content related to a brand or its products. This can include blog posts, videos, photos, or reviews that contribute to the brand's content ecosystem and foster a sense of community.</w:t>
      </w:r>
    </w:p>
    <w:p w14:paraId="1B8175AA" w14:textId="77777777" w:rsidR="002530E2" w:rsidRDefault="002530E2" w:rsidP="002530E2">
      <w:pPr>
        <w:numPr>
          <w:ilvl w:val="0"/>
          <w:numId w:val="120"/>
        </w:numPr>
        <w:spacing w:after="200" w:line="360" w:lineRule="auto"/>
        <w:jc w:val="both"/>
      </w:pPr>
      <w:r>
        <w:t>Interactive Campaigns and Experiences: Brands that offer interactive campaigns, events, or experiences encourage consumer engagement. This can include gamification, quizzes, surveys, contests, or immersive brand activations that encourage participation and active involvement.</w:t>
      </w:r>
    </w:p>
    <w:p w14:paraId="508BB31A" w14:textId="77777777" w:rsidR="002530E2" w:rsidRDefault="002530E2" w:rsidP="002530E2">
      <w:pPr>
        <w:numPr>
          <w:ilvl w:val="0"/>
          <w:numId w:val="120"/>
        </w:numPr>
        <w:spacing w:after="200" w:line="360" w:lineRule="auto"/>
        <w:jc w:val="both"/>
      </w:pPr>
      <w:r>
        <w:t>Customer Feedback and Surveys: Engaged consumers willingly provide feedback and participate in customer surveys, helping brands gather valuable insights and make informed decisions. They are proactive in sharing their opinions, suggestions, and preferences to help shape the brand's offerings and experiences.</w:t>
      </w:r>
    </w:p>
    <w:p w14:paraId="1A62DD11" w14:textId="77777777" w:rsidR="002530E2" w:rsidRDefault="002530E2" w:rsidP="002530E2">
      <w:pPr>
        <w:numPr>
          <w:ilvl w:val="0"/>
          <w:numId w:val="120"/>
        </w:numPr>
        <w:spacing w:after="200" w:line="360" w:lineRule="auto"/>
        <w:jc w:val="both"/>
      </w:pPr>
      <w:r>
        <w:t>Co-Creation and Co-Design: Some brands involve consumers in the co-creation or co-design process, seeking their input and collaboration in developing new products, features, or campaigns. Engaged consumers actively contribute their ideas, preferences, and creativity, fostering a sense of ownership and collaboration.</w:t>
      </w:r>
    </w:p>
    <w:p w14:paraId="5DC788E0" w14:textId="77777777" w:rsidR="002530E2" w:rsidRDefault="002530E2" w:rsidP="002530E2">
      <w:pPr>
        <w:numPr>
          <w:ilvl w:val="0"/>
          <w:numId w:val="120"/>
        </w:numPr>
        <w:spacing w:before="240" w:after="200" w:line="360" w:lineRule="auto"/>
        <w:jc w:val="both"/>
      </w:pPr>
      <w:r>
        <w:t>Loyalty Programme Engagement: Engaged consumers actively participate in loyalty programmes, earning and redeeming rewards and engaging with exclusive offers, events, or personalised recommendations. They demonstrate ongoing loyalty and commitment to the brand.</w:t>
      </w:r>
    </w:p>
    <w:p w14:paraId="4ADADFF4" w14:textId="77777777" w:rsidR="002530E2" w:rsidRDefault="002530E2">
      <w:pPr>
        <w:spacing w:before="240" w:after="240"/>
      </w:pPr>
      <w:r>
        <w:t>Engagement and consumer reactions are valuable for brands as they indicate a deeper level of connection and involvement. Engaged consumers are more likely to become loyal brand advocates and active participants in the brand's ecosystem. Brands can foster engagement by providing meaningful and interactive experiences, encouraging two-way communication, and acknowledging and appreciating consumer contributions.</w:t>
      </w:r>
    </w:p>
    <w:p w14:paraId="49CE60AB" w14:textId="77777777" w:rsidR="002530E2" w:rsidRDefault="002530E2">
      <w:pPr>
        <w:pStyle w:val="Heading1"/>
        <w:spacing w:before="0"/>
      </w:pPr>
      <w:bookmarkStart w:id="251" w:name="_5zv7zo7w9rjc" w:colFirst="0" w:colLast="0"/>
      <w:bookmarkEnd w:id="251"/>
      <w:r>
        <w:t xml:space="preserve">CONCEPTS RELATED TO VARIOUS SENSITIVITY </w:t>
      </w:r>
    </w:p>
    <w:p w14:paraId="0D5F4F79" w14:textId="77777777" w:rsidR="002530E2" w:rsidRDefault="002530E2">
      <w:pPr>
        <w:pStyle w:val="Heading2"/>
        <w:spacing w:before="240"/>
      </w:pPr>
      <w:bookmarkStart w:id="252" w:name="_86prrhm8blvd" w:colFirst="0" w:colLast="0"/>
      <w:bookmarkEnd w:id="252"/>
      <w:r>
        <w:t>RELIGIOUS SENSITIVITY</w:t>
      </w:r>
    </w:p>
    <w:p w14:paraId="1C789626" w14:textId="77777777" w:rsidR="002530E2" w:rsidRDefault="002530E2">
      <w:pPr>
        <w:spacing w:before="240" w:after="240"/>
      </w:pPr>
      <w:r>
        <w:t xml:space="preserve">Religious sensitivity refers to being aware of, respectful of, and considerate of the beliefs, practises, values, and customs associated with various religions. It involves understanding and acknowledging </w:t>
      </w:r>
      <w:r>
        <w:lastRenderedPageBreak/>
        <w:t>the significance of religion in individuals' lives and recognising the diversity and complexity of religious beliefs and traditions. Here are some key aspects of religious sensitivity:</w:t>
      </w:r>
    </w:p>
    <w:p w14:paraId="5924E454" w14:textId="77777777" w:rsidR="002530E2" w:rsidRDefault="002530E2" w:rsidP="002530E2">
      <w:pPr>
        <w:numPr>
          <w:ilvl w:val="0"/>
          <w:numId w:val="102"/>
        </w:numPr>
        <w:spacing w:before="240" w:after="200" w:line="360" w:lineRule="auto"/>
        <w:jc w:val="both"/>
      </w:pPr>
      <w:r>
        <w:t>Respect for Beliefs and Practices: Religious sensitivity involves showing respect for the beliefs, rituals, and practises associated with different religions. It includes refraining from derogatory or offensive language, avoiding stereotypes, and recognising the importance of religious freedom and expression.</w:t>
      </w:r>
    </w:p>
    <w:p w14:paraId="77585104" w14:textId="77777777" w:rsidR="002530E2" w:rsidRDefault="002530E2" w:rsidP="002530E2">
      <w:pPr>
        <w:numPr>
          <w:ilvl w:val="0"/>
          <w:numId w:val="102"/>
        </w:numPr>
        <w:spacing w:after="200" w:line="360" w:lineRule="auto"/>
        <w:jc w:val="both"/>
      </w:pPr>
      <w:r>
        <w:t>Cultural Awareness: Being religiously sensitive also entails understanding the cultural contexts in which religions are practised. It involves recognising that religious beliefs are often intertwined with cultural customs, traditions, and social norms.</w:t>
      </w:r>
    </w:p>
    <w:p w14:paraId="1228F2E1" w14:textId="77777777" w:rsidR="002530E2" w:rsidRDefault="002530E2" w:rsidP="002530E2">
      <w:pPr>
        <w:numPr>
          <w:ilvl w:val="0"/>
          <w:numId w:val="102"/>
        </w:numPr>
        <w:spacing w:after="200" w:line="360" w:lineRule="auto"/>
        <w:jc w:val="both"/>
      </w:pPr>
      <w:r>
        <w:t>Openness to Learning: Religious sensitivity requires an openness to learning about different religions and their teachings. It involves seeking knowledge, engaging in dialogue, and being willing to understand diverse perspectives and experiences.</w:t>
      </w:r>
    </w:p>
    <w:p w14:paraId="47FA4EEB" w14:textId="77777777" w:rsidR="002530E2" w:rsidRDefault="002530E2" w:rsidP="002530E2">
      <w:pPr>
        <w:numPr>
          <w:ilvl w:val="0"/>
          <w:numId w:val="102"/>
        </w:numPr>
        <w:spacing w:after="200" w:line="360" w:lineRule="auto"/>
        <w:jc w:val="both"/>
      </w:pPr>
      <w:r>
        <w:t>Avoiding Assumptions and Generalisations: Religious sensitivity means refraining from making assumptions or generalisations about individuals based on their religious affiliation. It recognises that religious beliefs and practises can vary greatly within a particular faith and that individuals may interpret and practise their religion in unique ways.</w:t>
      </w:r>
    </w:p>
    <w:p w14:paraId="68B27B83" w14:textId="77777777" w:rsidR="002530E2" w:rsidRDefault="002530E2" w:rsidP="002530E2">
      <w:pPr>
        <w:numPr>
          <w:ilvl w:val="0"/>
          <w:numId w:val="102"/>
        </w:numPr>
        <w:spacing w:after="200" w:line="360" w:lineRule="auto"/>
        <w:jc w:val="both"/>
      </w:pPr>
      <w:r>
        <w:t>Accommodating Religious Practices: Practising religious sensitivity may involve making accommodations for individuals' religious practises whenever feasible and appropriate. This can include providing appropriate spaces for prayer, accommodating dietary restrictions, or allowing for religious holidays or observances.</w:t>
      </w:r>
    </w:p>
    <w:p w14:paraId="2239513E" w14:textId="77777777" w:rsidR="002530E2" w:rsidRDefault="002530E2" w:rsidP="002530E2">
      <w:pPr>
        <w:numPr>
          <w:ilvl w:val="0"/>
          <w:numId w:val="102"/>
        </w:numPr>
        <w:spacing w:after="200" w:line="360" w:lineRule="auto"/>
        <w:jc w:val="both"/>
      </w:pPr>
      <w:r>
        <w:t>Avoiding Proselytising or Imposing Beliefs: Religious sensitivity respects the autonomy and personal choices of individuals regarding their religious beliefs. It refrains from proselytising, coercing, or imposing one's own beliefs on others.</w:t>
      </w:r>
    </w:p>
    <w:p w14:paraId="0BEE8CA5" w14:textId="77777777" w:rsidR="002530E2" w:rsidRDefault="002530E2" w:rsidP="002530E2">
      <w:pPr>
        <w:numPr>
          <w:ilvl w:val="0"/>
          <w:numId w:val="102"/>
        </w:numPr>
        <w:spacing w:before="240" w:after="200" w:line="360" w:lineRule="auto"/>
        <w:jc w:val="both"/>
      </w:pPr>
      <w:r>
        <w:t>Handling Religious Differences with Sensitivity: When encountering religious differences, religious sensitivity involves engaging in respectful and constructive dialogue, promoting understanding, and seeking common ground. It values diversity and fosters an inclusive environment that encourages mutual respect and acceptance.</w:t>
      </w:r>
    </w:p>
    <w:p w14:paraId="5996569A" w14:textId="77777777" w:rsidR="002530E2" w:rsidRDefault="002530E2">
      <w:pPr>
        <w:spacing w:before="240" w:after="240"/>
      </w:pPr>
      <w:r>
        <w:t xml:space="preserve">Religious sensitivity is important in various contexts, including education, healthcare, workplaces, and public institutions. By fostering religious sensitivity, individuals and organisations can promote a </w:t>
      </w:r>
      <w:r>
        <w:lastRenderedPageBreak/>
        <w:t>culture of inclusivity, respect, and understanding and contribute to building harmonious and diverse societies.</w:t>
      </w:r>
    </w:p>
    <w:p w14:paraId="778548C7" w14:textId="77777777" w:rsidR="002530E2" w:rsidRDefault="002530E2">
      <w:pPr>
        <w:pStyle w:val="Heading2"/>
        <w:spacing w:before="240"/>
      </w:pPr>
      <w:bookmarkStart w:id="253" w:name="_zayi51z6a8mj" w:colFirst="0" w:colLast="0"/>
      <w:bookmarkEnd w:id="253"/>
      <w:r>
        <w:t>CULTURAL SENSITIVITY</w:t>
      </w:r>
    </w:p>
    <w:p w14:paraId="4F45FDA4" w14:textId="77777777" w:rsidR="002530E2" w:rsidRDefault="002530E2">
      <w:pPr>
        <w:spacing w:before="240" w:after="240"/>
      </w:pPr>
      <w:r>
        <w:t>Cultural sensitivity refers to the awareness, knowledge, and understanding of different cultural backgrounds, norms, values, and practices. It involves recognising and respecting the diversity of cultures, fostering an inclusive mindset, and effectively navigating and engaging with individuals and communities from various cultural backgrounds. Here are some key aspects of cultural sensitivity:</w:t>
      </w:r>
    </w:p>
    <w:p w14:paraId="4B206674" w14:textId="77777777" w:rsidR="002530E2" w:rsidRDefault="002530E2" w:rsidP="002530E2">
      <w:pPr>
        <w:numPr>
          <w:ilvl w:val="0"/>
          <w:numId w:val="116"/>
        </w:numPr>
        <w:spacing w:before="240" w:after="200" w:line="360" w:lineRule="auto"/>
        <w:jc w:val="both"/>
      </w:pPr>
      <w:r>
        <w:t>Awareness of Cultural Differences: Cultural sensitivity starts with being aware that different cultures exist and recognising that people may have different perspectives, beliefs, and behaviours based on their cultural backgrounds. It involves acknowledging and respecting the diversity of cultural practices and customs.</w:t>
      </w:r>
    </w:p>
    <w:p w14:paraId="35073CDE" w14:textId="77777777" w:rsidR="002530E2" w:rsidRDefault="002530E2" w:rsidP="002530E2">
      <w:pPr>
        <w:numPr>
          <w:ilvl w:val="0"/>
          <w:numId w:val="116"/>
        </w:numPr>
        <w:spacing w:after="200" w:line="360" w:lineRule="auto"/>
        <w:jc w:val="both"/>
      </w:pPr>
      <w:r>
        <w:t>Openness to Learning: Culturally sensitive individuals are open to learning about different cultures. They seek knowledge, engage in cultural experiences, and actively listen to others' perspectives to broaden their understanding of different cultural norms, values, and traditions.</w:t>
      </w:r>
    </w:p>
    <w:p w14:paraId="71B6EA7C" w14:textId="77777777" w:rsidR="002530E2" w:rsidRDefault="002530E2" w:rsidP="002530E2">
      <w:pPr>
        <w:numPr>
          <w:ilvl w:val="0"/>
          <w:numId w:val="116"/>
        </w:numPr>
        <w:spacing w:after="200" w:line="360" w:lineRule="auto"/>
        <w:jc w:val="both"/>
      </w:pPr>
      <w:r>
        <w:t>Respect for Cultural Practices: Cultural sensitivity entails respecting and valuing cultural practices, beliefs, and traditions, even if they differ from one's own. It involves refraining from judgement, stereotypes, or imposing one's own cultural values on others.</w:t>
      </w:r>
    </w:p>
    <w:p w14:paraId="114E8F16" w14:textId="77777777" w:rsidR="002530E2" w:rsidRDefault="002530E2" w:rsidP="002530E2">
      <w:pPr>
        <w:numPr>
          <w:ilvl w:val="0"/>
          <w:numId w:val="116"/>
        </w:numPr>
        <w:spacing w:after="200" w:line="360" w:lineRule="auto"/>
        <w:jc w:val="both"/>
      </w:pPr>
      <w:r>
        <w:t>Effective Communication: Culturally sensitive individuals strive to communicate effectively across cultures. They understand that communication styles, non-verbal cues, and even language choices may differ across cultures. They adapt their communication approach to ensure clarity and understanding, taking cultural nuances into account.</w:t>
      </w:r>
    </w:p>
    <w:p w14:paraId="0DD3F22C" w14:textId="77777777" w:rsidR="002530E2" w:rsidRDefault="002530E2" w:rsidP="002530E2">
      <w:pPr>
        <w:numPr>
          <w:ilvl w:val="0"/>
          <w:numId w:val="116"/>
        </w:numPr>
        <w:spacing w:after="200" w:line="360" w:lineRule="auto"/>
        <w:jc w:val="both"/>
      </w:pPr>
      <w:r>
        <w:t>Empathy and Perspective-Taking: Culturally sensitive individuals practise empathy and perspective-taking. They try to understand the world from others' viewpoints, recognising that cultural backgrounds shape individuals' experiences, attitudes, and behaviours. This helps them build bridges of understanding and establish meaningful connections.</w:t>
      </w:r>
    </w:p>
    <w:p w14:paraId="16FE37C9" w14:textId="77777777" w:rsidR="002530E2" w:rsidRDefault="002530E2" w:rsidP="002530E2">
      <w:pPr>
        <w:numPr>
          <w:ilvl w:val="0"/>
          <w:numId w:val="116"/>
        </w:numPr>
        <w:spacing w:after="200" w:line="360" w:lineRule="auto"/>
        <w:jc w:val="both"/>
      </w:pPr>
      <w:r>
        <w:t>Flexibility and adaptability: Cultural sensitivity involves being flexible and adaptable when engaging with different cultures. It means being willing to adjust one's behaviour, practices, or expectations to accommodate cultural differences and create inclusive environments.</w:t>
      </w:r>
    </w:p>
    <w:p w14:paraId="31AEDD88" w14:textId="77777777" w:rsidR="002530E2" w:rsidRDefault="002530E2" w:rsidP="002530E2">
      <w:pPr>
        <w:numPr>
          <w:ilvl w:val="0"/>
          <w:numId w:val="116"/>
        </w:numPr>
        <w:spacing w:before="240" w:after="200" w:line="360" w:lineRule="auto"/>
        <w:jc w:val="both"/>
      </w:pPr>
      <w:r>
        <w:t xml:space="preserve">Collaboration and Inclusion: Culturally sensitive individuals value collaboration and inclusion. They actively seek diverse perspectives, encourage participation from individuals of various </w:t>
      </w:r>
      <w:r>
        <w:lastRenderedPageBreak/>
        <w:t>cultural backgrounds, and create spaces that foster dialogue, respect, and appreciation for cultural differences.</w:t>
      </w:r>
    </w:p>
    <w:p w14:paraId="1C757723" w14:textId="77777777" w:rsidR="002530E2" w:rsidRDefault="002530E2">
      <w:pPr>
        <w:spacing w:before="240" w:after="240"/>
      </w:pPr>
      <w:r>
        <w:t>Cultural sensitivity is essential in various contexts, including education, healthcare, business, and interpersonal relationships. It promotes inclusivity, reduces misunderstandings, and helps build positive and respectful connections among people from diverse cultural backgrounds. By embracing cultural sensitivity, individuals and organisations can create environments that celebrate diversity and promote a sense of belonging for all.</w:t>
      </w:r>
    </w:p>
    <w:p w14:paraId="61682D30" w14:textId="77777777" w:rsidR="002530E2" w:rsidRDefault="002530E2">
      <w:pPr>
        <w:pStyle w:val="Heading2"/>
        <w:spacing w:before="0"/>
      </w:pPr>
      <w:bookmarkStart w:id="254" w:name="_y8805g7jbfb2" w:colFirst="0" w:colLast="0"/>
      <w:bookmarkEnd w:id="254"/>
      <w:r>
        <w:t>PATRIOTISM</w:t>
      </w:r>
    </w:p>
    <w:p w14:paraId="749A8278" w14:textId="77777777" w:rsidR="002530E2" w:rsidRDefault="002530E2">
      <w:pPr>
        <w:spacing w:before="240" w:after="240"/>
      </w:pPr>
      <w:r>
        <w:t>Patriotism refers to the love, loyalty, and devotion that individuals have towards their country. It is a sense of pride and attachment to one's homeland, its culture, history, traditions, and values. Patriotism often involves a strong emotional connection and a desire to contribute to the well-being and prosperity of one's country.</w:t>
      </w:r>
    </w:p>
    <w:p w14:paraId="668C3558" w14:textId="77777777" w:rsidR="002530E2" w:rsidRDefault="002530E2">
      <w:pPr>
        <w:spacing w:before="240" w:after="240"/>
      </w:pPr>
      <w:r>
        <w:t>Some key aspects of patriotism include:</w:t>
      </w:r>
    </w:p>
    <w:p w14:paraId="2BE765A2" w14:textId="77777777" w:rsidR="002530E2" w:rsidRDefault="002530E2" w:rsidP="002530E2">
      <w:pPr>
        <w:numPr>
          <w:ilvl w:val="0"/>
          <w:numId w:val="132"/>
        </w:numPr>
        <w:spacing w:before="240" w:after="200" w:line="360" w:lineRule="auto"/>
        <w:jc w:val="both"/>
      </w:pPr>
      <w:r>
        <w:t>Love for One's Country: Patriotism stems from a deep affection and emotional bond for one's country. It involves a sense of belonging and identification with the land, people, and cultural heritage of the nation.</w:t>
      </w:r>
    </w:p>
    <w:p w14:paraId="6732CA92" w14:textId="77777777" w:rsidR="002530E2" w:rsidRDefault="002530E2" w:rsidP="002530E2">
      <w:pPr>
        <w:numPr>
          <w:ilvl w:val="0"/>
          <w:numId w:val="132"/>
        </w:numPr>
        <w:spacing w:after="200" w:line="360" w:lineRule="auto"/>
        <w:jc w:val="both"/>
      </w:pPr>
      <w:r>
        <w:t>National Pride: Patriotism manifests as a sense of pride in the achievements, progress, and positive aspects of one's country. It involves celebrating and honouring national symbols, landmarks, and cultural expressions.</w:t>
      </w:r>
    </w:p>
    <w:p w14:paraId="22923143" w14:textId="77777777" w:rsidR="002530E2" w:rsidRDefault="002530E2" w:rsidP="002530E2">
      <w:pPr>
        <w:numPr>
          <w:ilvl w:val="0"/>
          <w:numId w:val="132"/>
        </w:numPr>
        <w:spacing w:after="200" w:line="360" w:lineRule="auto"/>
        <w:jc w:val="both"/>
      </w:pPr>
      <w:r>
        <w:t>Loyalty and Sacrifice: Patriotism often entails a sense of loyalty and commitment to the interests and welfare of the nation. It may involve making personal sacrifices or taking actions that benefit the country, such as military service, civic engagement, or participating in the democratic process.</w:t>
      </w:r>
    </w:p>
    <w:p w14:paraId="5D78923B" w14:textId="77777777" w:rsidR="002530E2" w:rsidRDefault="002530E2" w:rsidP="002530E2">
      <w:pPr>
        <w:numPr>
          <w:ilvl w:val="0"/>
          <w:numId w:val="132"/>
        </w:numPr>
        <w:spacing w:after="200" w:line="360" w:lineRule="auto"/>
        <w:jc w:val="both"/>
      </w:pPr>
      <w:r>
        <w:t>Defence and Protection: Patriotism can include a willingness to defend and protect one's country from external threats or internal challenges. It often involves a sense of responsibility and duty to safeguard the nation's sovereignty, security, and values.</w:t>
      </w:r>
    </w:p>
    <w:p w14:paraId="758ED8CB" w14:textId="77777777" w:rsidR="002530E2" w:rsidRDefault="002530E2" w:rsidP="002530E2">
      <w:pPr>
        <w:numPr>
          <w:ilvl w:val="0"/>
          <w:numId w:val="132"/>
        </w:numPr>
        <w:spacing w:after="200" w:line="360" w:lineRule="auto"/>
        <w:jc w:val="both"/>
      </w:pPr>
      <w:r>
        <w:t>National Unity and Cohesion: Patriotism promotes a sense of unity and solidarity among citizens. It emphasises the importance of working together, respecting diversity, and striving towards common goals for the betterment of the country.</w:t>
      </w:r>
    </w:p>
    <w:p w14:paraId="041FCB27" w14:textId="77777777" w:rsidR="002530E2" w:rsidRDefault="002530E2" w:rsidP="002530E2">
      <w:pPr>
        <w:numPr>
          <w:ilvl w:val="0"/>
          <w:numId w:val="132"/>
        </w:numPr>
        <w:spacing w:after="200" w:line="360" w:lineRule="auto"/>
        <w:jc w:val="both"/>
      </w:pPr>
      <w:r>
        <w:lastRenderedPageBreak/>
        <w:t>Civic Engagement: Patriotism often encourages active participation in the civic life of the nation. This can involve engaging in community service, volunteering, voting, advocating for social causes, or contributing to the development and progress of society.</w:t>
      </w:r>
    </w:p>
    <w:p w14:paraId="52C13DC1" w14:textId="77777777" w:rsidR="002530E2" w:rsidRDefault="002530E2" w:rsidP="002530E2">
      <w:pPr>
        <w:numPr>
          <w:ilvl w:val="0"/>
          <w:numId w:val="132"/>
        </w:numPr>
        <w:spacing w:before="240" w:after="200" w:line="360" w:lineRule="auto"/>
        <w:jc w:val="both"/>
      </w:pPr>
      <w:r>
        <w:t>Critical Engagement and Improvement: Patriotism does not mean blind allegiance or ignoring the shortcomings of one's country. True patriotism involves a critical evaluation of the nation's strengths and weaknesses and a commitment to working towards its improvement and betterment.</w:t>
      </w:r>
    </w:p>
    <w:p w14:paraId="5A6B03DB" w14:textId="77777777" w:rsidR="002530E2" w:rsidRDefault="002530E2">
      <w:pPr>
        <w:spacing w:before="240" w:after="240"/>
      </w:pPr>
      <w:r>
        <w:t>Patriotism can foster a sense of national identity, social cohesion, and collective responsibility. However, it is important to balance patriotism with respect for the rights and values of other nations and to avoid the extremes of nationalism or chauvinism, which can lead to divisiveness or conflicts. Ultimately, patriotism can serve as a positive force for unity, progress, and the well-being of a country and its citizens.</w:t>
      </w:r>
    </w:p>
    <w:p w14:paraId="567FD43B" w14:textId="77777777" w:rsidR="002530E2" w:rsidRDefault="002530E2">
      <w:pPr>
        <w:pStyle w:val="Heading2"/>
        <w:spacing w:before="240"/>
      </w:pPr>
      <w:bookmarkStart w:id="255" w:name="_vl2f47gt59rz" w:colFirst="0" w:colLast="0"/>
      <w:bookmarkEnd w:id="255"/>
      <w:r>
        <w:t>PATRIOTIC SENSITIVITY</w:t>
      </w:r>
    </w:p>
    <w:p w14:paraId="00FDB5F3" w14:textId="77777777" w:rsidR="002530E2" w:rsidRDefault="002530E2">
      <w:pPr>
        <w:spacing w:before="240" w:after="240"/>
      </w:pPr>
      <w:r>
        <w:t>Patriotic sensitivity refers to the awareness, understanding, and respectful appreciation of one's own country, its values, symbols, and traditions, while also considering the diverse perspectives and experiences of others. It involves balancing a sense of national pride and loyalty with a respectful and inclusive attitude towards different cultures and nationalities. Here are some key aspects of patriotic sensitivity:</w:t>
      </w:r>
    </w:p>
    <w:p w14:paraId="2039EEF1" w14:textId="77777777" w:rsidR="002530E2" w:rsidRDefault="002530E2" w:rsidP="002530E2">
      <w:pPr>
        <w:numPr>
          <w:ilvl w:val="0"/>
          <w:numId w:val="77"/>
        </w:numPr>
        <w:spacing w:before="240" w:after="200" w:line="360" w:lineRule="auto"/>
        <w:jc w:val="both"/>
      </w:pPr>
      <w:r>
        <w:t>Respect for Diversity: Patriotic sensitivity recognises and respects the diversity within a country. It values and appreciates the different cultures, traditions, languages, and backgrounds of individuals within the nation. It acknowledges that a nation can be enriched by the contributions and perspectives of its diverse population.</w:t>
      </w:r>
    </w:p>
    <w:p w14:paraId="699047DA" w14:textId="77777777" w:rsidR="002530E2" w:rsidRDefault="002530E2" w:rsidP="002530E2">
      <w:pPr>
        <w:numPr>
          <w:ilvl w:val="0"/>
          <w:numId w:val="77"/>
        </w:numPr>
        <w:spacing w:after="200" w:line="360" w:lineRule="auto"/>
        <w:jc w:val="both"/>
      </w:pPr>
      <w:r>
        <w:t>Inclusive Patriotism: Patriotic sensitivity embraces an inclusive form of patriotism that welcomes individuals from various backgrounds as integral members of the nation. It values a sense of belonging and shared identity while actively promoting inclusivity and equality for all citizens.</w:t>
      </w:r>
    </w:p>
    <w:p w14:paraId="5F21534B" w14:textId="77777777" w:rsidR="002530E2" w:rsidRDefault="002530E2" w:rsidP="002530E2">
      <w:pPr>
        <w:numPr>
          <w:ilvl w:val="0"/>
          <w:numId w:val="77"/>
        </w:numPr>
        <w:spacing w:after="200" w:line="360" w:lineRule="auto"/>
        <w:jc w:val="both"/>
      </w:pPr>
      <w:r>
        <w:t>Openness to Dialogue: Patriotic sensitivity encourages open and respectful dialogue about national issues, values, and aspirations. It recognises that constructive discussions and diverse perspectives can contribute to a stronger and more inclusive nation.</w:t>
      </w:r>
    </w:p>
    <w:p w14:paraId="1C85455B" w14:textId="77777777" w:rsidR="002530E2" w:rsidRDefault="002530E2" w:rsidP="002530E2">
      <w:pPr>
        <w:numPr>
          <w:ilvl w:val="0"/>
          <w:numId w:val="77"/>
        </w:numPr>
        <w:spacing w:after="200" w:line="360" w:lineRule="auto"/>
        <w:jc w:val="both"/>
      </w:pPr>
      <w:r>
        <w:lastRenderedPageBreak/>
        <w:t>Critical Thinking: Patriotic sensitivity involves critical thinking and analysis of national narratives, histories, and policies. It acknowledges that examining and questioning certain aspects of a nation's past or present can be an important part of progress and improvement.</w:t>
      </w:r>
    </w:p>
    <w:p w14:paraId="3FC2771F" w14:textId="77777777" w:rsidR="002530E2" w:rsidRDefault="002530E2" w:rsidP="002530E2">
      <w:pPr>
        <w:numPr>
          <w:ilvl w:val="0"/>
          <w:numId w:val="77"/>
        </w:numPr>
        <w:spacing w:after="200" w:line="360" w:lineRule="auto"/>
        <w:jc w:val="both"/>
      </w:pPr>
      <w:r>
        <w:t>Engaging with Different Perspectives: Patriotic sensitivity seeks to understand and engage with diverse perspectives on national matters. It involves listening to and considering the views of individuals who may have different experiences, backgrounds, or beliefs, promoting empathy and mutual understanding.</w:t>
      </w:r>
    </w:p>
    <w:p w14:paraId="2260A98B" w14:textId="77777777" w:rsidR="002530E2" w:rsidRDefault="002530E2" w:rsidP="002530E2">
      <w:pPr>
        <w:numPr>
          <w:ilvl w:val="0"/>
          <w:numId w:val="77"/>
        </w:numPr>
        <w:spacing w:after="200" w:line="360" w:lineRule="auto"/>
        <w:jc w:val="both"/>
      </w:pPr>
      <w:r>
        <w:t>Respecting National Symbols and Traditions: Patriotic sensitivity shows respect for national symbols, traditions, and important historical events that hold significance for the country and its people. It recognises the importance of preserving and honouring these symbols while being mindful of their potential impact on diverse communities.</w:t>
      </w:r>
    </w:p>
    <w:p w14:paraId="715505B2" w14:textId="77777777" w:rsidR="002530E2" w:rsidRDefault="002530E2" w:rsidP="002530E2">
      <w:pPr>
        <w:numPr>
          <w:ilvl w:val="0"/>
          <w:numId w:val="77"/>
        </w:numPr>
        <w:spacing w:after="200" w:line="360" w:lineRule="auto"/>
        <w:jc w:val="both"/>
      </w:pPr>
      <w:r>
        <w:t>Active Citizenship: Patriotic sensitivity encourages active participation and responsible citizenship. It involves being informed about national issues, voting in elections, engaging in community service, and contributing to the betterment of society in line with one's values and beliefs.</w:t>
      </w:r>
    </w:p>
    <w:p w14:paraId="65C87373" w14:textId="77777777" w:rsidR="002530E2" w:rsidRDefault="002530E2" w:rsidP="002530E2">
      <w:pPr>
        <w:numPr>
          <w:ilvl w:val="0"/>
          <w:numId w:val="77"/>
        </w:numPr>
        <w:spacing w:before="240" w:after="200" w:line="360" w:lineRule="auto"/>
        <w:jc w:val="both"/>
      </w:pPr>
      <w:r>
        <w:t>International Cooperation: Patriotic sensitivity recognises the interconnectedness of nations and promotes a sense of global citizenship. It acknowledges the importance of international cooperation, diplomacy, and collaboration in addressing global challenges and fostering peace.</w:t>
      </w:r>
    </w:p>
    <w:p w14:paraId="5601F14C" w14:textId="77777777" w:rsidR="002530E2" w:rsidRDefault="002530E2">
      <w:pPr>
        <w:spacing w:before="240" w:after="240"/>
      </w:pPr>
      <w:r>
        <w:t>Patriotic sensitivity strikes a balance between love and pride for one's country and a respectful appreciation for the diversity and experiences of others. It fosters a sense of unity, inclusivity, and shared responsibility in building a stronger and more harmonious society.</w:t>
      </w:r>
    </w:p>
    <w:p w14:paraId="2392C761" w14:textId="77777777" w:rsidR="002530E2" w:rsidRDefault="002530E2">
      <w:pPr>
        <w:pStyle w:val="Heading2"/>
        <w:spacing w:before="240"/>
      </w:pPr>
      <w:bookmarkStart w:id="256" w:name="_nfogk5pwlbjn" w:colFirst="0" w:colLast="0"/>
      <w:bookmarkEnd w:id="256"/>
      <w:r>
        <w:t>POLITICAL SENSITIVITY</w:t>
      </w:r>
    </w:p>
    <w:p w14:paraId="50F794C0" w14:textId="77777777" w:rsidR="002530E2" w:rsidRDefault="002530E2">
      <w:pPr>
        <w:spacing w:before="240" w:after="240"/>
      </w:pPr>
      <w:r>
        <w:t>Political sensitivity refers to the awareness, understanding, and tactful handling of political issues, dynamics, and sensitivities. It involves recognising the complexities and nuances of political landscapes, respecting diverse perspectives, and effectively navigating political discussions and interactions. Here are some key aspects of political sensitivity:</w:t>
      </w:r>
    </w:p>
    <w:p w14:paraId="451272A6" w14:textId="77777777" w:rsidR="002530E2" w:rsidRDefault="002530E2" w:rsidP="002530E2">
      <w:pPr>
        <w:numPr>
          <w:ilvl w:val="0"/>
          <w:numId w:val="75"/>
        </w:numPr>
        <w:spacing w:before="240" w:after="200" w:line="360" w:lineRule="auto"/>
        <w:jc w:val="both"/>
      </w:pPr>
      <w:r>
        <w:t>Awareness of Political Context: Political sensitivity starts with being aware of the political context in which individuals and organisations operate. It involves understanding the structures, institutions, power dynamics, and ideologies that shape political environments at local, national, and international levels.</w:t>
      </w:r>
    </w:p>
    <w:p w14:paraId="6FC52F88" w14:textId="77777777" w:rsidR="002530E2" w:rsidRDefault="002530E2" w:rsidP="002530E2">
      <w:pPr>
        <w:numPr>
          <w:ilvl w:val="0"/>
          <w:numId w:val="75"/>
        </w:numPr>
        <w:spacing w:after="200" w:line="360" w:lineRule="auto"/>
        <w:jc w:val="both"/>
      </w:pPr>
      <w:r>
        <w:lastRenderedPageBreak/>
        <w:t>Understanding Diverse Perspectives: Politically sensitive individuals strive to understand and appreciate diverse political perspectives. They recognise that people may hold different opinions, ideologies, and beliefs, and they actively listen and engage in respectful dialogue to gain insight into differing viewpoints.</w:t>
      </w:r>
    </w:p>
    <w:p w14:paraId="7ABD5D74" w14:textId="77777777" w:rsidR="002530E2" w:rsidRDefault="002530E2" w:rsidP="002530E2">
      <w:pPr>
        <w:numPr>
          <w:ilvl w:val="0"/>
          <w:numId w:val="75"/>
        </w:numPr>
        <w:spacing w:after="200" w:line="360" w:lineRule="auto"/>
        <w:jc w:val="both"/>
      </w:pPr>
      <w:r>
        <w:t>Respect for Differences: Political sensitivity entails respecting the right to hold different political beliefs and values. It involves recognising and valuing diversity of thought, even if one personally disagrees with certain perspectives. Respecting others' political views fosters a climate of open dialogue and understanding.</w:t>
      </w:r>
    </w:p>
    <w:p w14:paraId="4DB71E74" w14:textId="77777777" w:rsidR="002530E2" w:rsidRDefault="002530E2" w:rsidP="002530E2">
      <w:pPr>
        <w:numPr>
          <w:ilvl w:val="0"/>
          <w:numId w:val="75"/>
        </w:numPr>
        <w:spacing w:after="200" w:line="360" w:lineRule="auto"/>
        <w:jc w:val="both"/>
      </w:pPr>
      <w:r>
        <w:t>Diplomatic and Tactful Communication: Politically sensitive individuals practice diplomatic and tactful communication when discussing political issues. They choose their words carefully, avoid inflammatory or divisive language, and promote constructive dialogue that encourages mutual understanding and collaboration.</w:t>
      </w:r>
    </w:p>
    <w:p w14:paraId="051836F7" w14:textId="77777777" w:rsidR="002530E2" w:rsidRDefault="002530E2" w:rsidP="002530E2">
      <w:pPr>
        <w:numPr>
          <w:ilvl w:val="0"/>
          <w:numId w:val="75"/>
        </w:numPr>
        <w:spacing w:after="200" w:line="360" w:lineRule="auto"/>
        <w:jc w:val="both"/>
      </w:pPr>
      <w:r>
        <w:t>Cultural and contextual understanding: Political sensitivity requires an understanding of cultural and contextual factors that influence political dynamics. It recognises that political beliefs and practises can vary across cultures, and cultural differences can shape political behaviours and attitudes.</w:t>
      </w:r>
    </w:p>
    <w:p w14:paraId="0D0147A6" w14:textId="77777777" w:rsidR="002530E2" w:rsidRDefault="002530E2" w:rsidP="002530E2">
      <w:pPr>
        <w:numPr>
          <w:ilvl w:val="0"/>
          <w:numId w:val="75"/>
        </w:numPr>
        <w:spacing w:after="200" w:line="360" w:lineRule="auto"/>
        <w:jc w:val="both"/>
      </w:pPr>
      <w:r>
        <w:t>Ethical Considerations: Politically sensitive individuals consider the ethical implications of political decisions and actions. They evaluate the potential impacts on various stakeholders, including marginalised groups, and strive for fairness, justice, and equality in political processes and outcomes.</w:t>
      </w:r>
    </w:p>
    <w:p w14:paraId="05265B56" w14:textId="77777777" w:rsidR="002530E2" w:rsidRDefault="002530E2" w:rsidP="002530E2">
      <w:pPr>
        <w:numPr>
          <w:ilvl w:val="0"/>
          <w:numId w:val="75"/>
        </w:numPr>
        <w:spacing w:after="200" w:line="360" w:lineRule="auto"/>
        <w:jc w:val="both"/>
      </w:pPr>
      <w:r>
        <w:t>Sensitivity to Power Dynamics: Political sensitivity involves an awareness of power dynamics within political systems. It acknowledges the influence of privilege, inequality, and structural biases on political processes and advocates for inclusivity, representation, and the empowerment of marginalised voices.</w:t>
      </w:r>
    </w:p>
    <w:p w14:paraId="2B8AB647" w14:textId="77777777" w:rsidR="002530E2" w:rsidRDefault="002530E2" w:rsidP="002530E2">
      <w:pPr>
        <w:numPr>
          <w:ilvl w:val="0"/>
          <w:numId w:val="75"/>
        </w:numPr>
        <w:spacing w:before="240" w:after="200" w:line="360" w:lineRule="auto"/>
        <w:jc w:val="both"/>
      </w:pPr>
      <w:r>
        <w:t>Context-Specific Approaches: Politically sensitive individuals understand that political sensitivities can vary across different regions, cultures, and historical contexts. They adapt their approaches and strategies to respect and align with the specific political sensitivities of the communities they engage with.</w:t>
      </w:r>
    </w:p>
    <w:p w14:paraId="037F98F0" w14:textId="77777777" w:rsidR="002530E2" w:rsidRDefault="002530E2">
      <w:pPr>
        <w:spacing w:before="240" w:after="240"/>
        <w:rPr>
          <w:sz w:val="20"/>
          <w:szCs w:val="20"/>
        </w:rPr>
      </w:pPr>
      <w:r>
        <w:lastRenderedPageBreak/>
        <w:t>Political sensitivity is crucial in various domains, including governance, diplomacy, activism, and social engagement. It promotes respectful dialogue, empathy, and the ability to navigate political landscapes effectively, fostering understanding, collaboration, and positive change.</w:t>
      </w:r>
    </w:p>
    <w:p w14:paraId="511AEC2E" w14:textId="77777777" w:rsidR="002530E2" w:rsidRDefault="002530E2">
      <w:pPr>
        <w:pStyle w:val="Heading2"/>
        <w:spacing w:before="0"/>
      </w:pPr>
      <w:bookmarkStart w:id="257" w:name="_cyilwyhos1am" w:colFirst="0" w:colLast="0"/>
      <w:bookmarkEnd w:id="257"/>
      <w:r>
        <w:t>ISLAMIC RELIGIOUS SENSITIVITY OF A MUSLIM</w:t>
      </w:r>
    </w:p>
    <w:p w14:paraId="10E37502" w14:textId="77777777" w:rsidR="002530E2" w:rsidRDefault="002530E2">
      <w:pPr>
        <w:spacing w:before="240" w:after="240"/>
      </w:pPr>
      <w:r>
        <w:t>The Islamic religious sensitivity of a Muslim refers to their awareness, understanding, and adherence to the beliefs, principles, practices, and values of Islam. It involves demonstrating respect and reverence for the teachings of Islam and incorporating them into various aspects of their lives. Here are some key aspects of Islamic religious sensitivity for a Muslim:</w:t>
      </w:r>
    </w:p>
    <w:p w14:paraId="010C8E78" w14:textId="77777777" w:rsidR="002530E2" w:rsidRDefault="002530E2" w:rsidP="002530E2">
      <w:pPr>
        <w:numPr>
          <w:ilvl w:val="0"/>
          <w:numId w:val="104"/>
        </w:numPr>
        <w:spacing w:before="240" w:after="200" w:line="360" w:lineRule="auto"/>
        <w:jc w:val="both"/>
        <w:rPr>
          <w:sz w:val="20"/>
          <w:szCs w:val="20"/>
        </w:rPr>
      </w:pPr>
      <w:r>
        <w:t>Faith and Belief: Islamic religious sensitivity begins with a strong belief in the oneness of Allah (God) and the acceptance of Prophet Muhammad (peace be upon him) as the final messenger of Allah. Muslims strive to strengthen their faith through regular prayer, recitation of the Quran, and deepening their understanding of Islamic teachings.</w:t>
      </w:r>
    </w:p>
    <w:p w14:paraId="59C242AC" w14:textId="77777777" w:rsidR="002530E2" w:rsidRDefault="002530E2" w:rsidP="002530E2">
      <w:pPr>
        <w:numPr>
          <w:ilvl w:val="0"/>
          <w:numId w:val="104"/>
        </w:numPr>
        <w:spacing w:after="200" w:line="360" w:lineRule="auto"/>
        <w:jc w:val="both"/>
        <w:rPr>
          <w:sz w:val="20"/>
          <w:szCs w:val="20"/>
        </w:rPr>
      </w:pPr>
      <w:r>
        <w:t>Observance of Rituals: Islamic religious sensitivity involves the observance of religious rituals and practices prescribed in Islam. This includes performing the five daily prayers (Salah), fasting during the month of Ramadan (Sawm), giving to charity (Zakat), and undertaking the pilgrimage to Mecca (Hajj) if financially and physically able.</w:t>
      </w:r>
    </w:p>
    <w:p w14:paraId="0C84995B" w14:textId="77777777" w:rsidR="002530E2" w:rsidRDefault="002530E2" w:rsidP="002530E2">
      <w:pPr>
        <w:numPr>
          <w:ilvl w:val="0"/>
          <w:numId w:val="104"/>
        </w:numPr>
        <w:spacing w:after="200" w:line="360" w:lineRule="auto"/>
        <w:jc w:val="both"/>
        <w:rPr>
          <w:sz w:val="20"/>
          <w:szCs w:val="20"/>
        </w:rPr>
      </w:pPr>
      <w:r>
        <w:t>Following Islamic Ethics and Morals: Muslims with Islamic religious sensitivity strive to embody the ethical teachings and morals emphasised in Islam. This includes practising honesty, kindness, compassion, justice, forgiveness, and good manners in their interactions with others.</w:t>
      </w:r>
    </w:p>
    <w:p w14:paraId="55FBE0F8" w14:textId="77777777" w:rsidR="002530E2" w:rsidRDefault="002530E2" w:rsidP="002530E2">
      <w:pPr>
        <w:numPr>
          <w:ilvl w:val="0"/>
          <w:numId w:val="104"/>
        </w:numPr>
        <w:spacing w:after="200" w:line="360" w:lineRule="auto"/>
        <w:jc w:val="both"/>
        <w:rPr>
          <w:sz w:val="20"/>
          <w:szCs w:val="20"/>
        </w:rPr>
      </w:pPr>
      <w:r>
        <w:t>Respect for Islamic Laws and Guidelines: Islamic religious sensitivity requires adhering to the laws and guidelines outlined in the Quran and the Hadith (teachings and practices of Prophet Muhammad, peace be upon him). Muslims strive to live in accordance with Islamic principles, such as abstaining from prohibited activities (haram) and following lawful and permissible actions (halal).</w:t>
      </w:r>
    </w:p>
    <w:p w14:paraId="3AF26AAD" w14:textId="77777777" w:rsidR="002530E2" w:rsidRDefault="002530E2" w:rsidP="002530E2">
      <w:pPr>
        <w:numPr>
          <w:ilvl w:val="0"/>
          <w:numId w:val="104"/>
        </w:numPr>
        <w:spacing w:after="200" w:line="360" w:lineRule="auto"/>
        <w:jc w:val="both"/>
        <w:rPr>
          <w:sz w:val="20"/>
          <w:szCs w:val="20"/>
        </w:rPr>
      </w:pPr>
      <w:r>
        <w:t>Seeking Knowledge: Islamic religious sensitivity emphasises the importance of seeking knowledge and understanding of Islam. Muslims engage in the study of the Quran, Hadith, Islamic jurisprudence (Fiqh), and other sources of Islamic knowledge to deepen their understanding of the faith and its teachings.</w:t>
      </w:r>
    </w:p>
    <w:p w14:paraId="00F34DDC" w14:textId="77777777" w:rsidR="002530E2" w:rsidRDefault="002530E2" w:rsidP="002530E2">
      <w:pPr>
        <w:numPr>
          <w:ilvl w:val="0"/>
          <w:numId w:val="104"/>
        </w:numPr>
        <w:spacing w:after="200" w:line="360" w:lineRule="auto"/>
        <w:jc w:val="both"/>
        <w:rPr>
          <w:sz w:val="20"/>
          <w:szCs w:val="20"/>
        </w:rPr>
      </w:pPr>
      <w:r>
        <w:t xml:space="preserve">Modesty and Dress Code: Islamic religious sensitivity often entails modesty in appearance and adherence to the Islamic dress code. Muslims, particularly women, may choose to dress </w:t>
      </w:r>
      <w:r>
        <w:lastRenderedPageBreak/>
        <w:t>modestly by covering their bodies and wearing a hijab or other forms of modest attire as a reflection of their religious beliefs.</w:t>
      </w:r>
    </w:p>
    <w:p w14:paraId="10FEB0B0" w14:textId="77777777" w:rsidR="002530E2" w:rsidRDefault="002530E2" w:rsidP="002530E2">
      <w:pPr>
        <w:numPr>
          <w:ilvl w:val="0"/>
          <w:numId w:val="104"/>
        </w:numPr>
        <w:spacing w:after="200" w:line="360" w:lineRule="auto"/>
        <w:jc w:val="both"/>
        <w:rPr>
          <w:sz w:val="20"/>
          <w:szCs w:val="20"/>
        </w:rPr>
      </w:pPr>
      <w:r>
        <w:t>Respect for Islamic Culture and Traditions: Islamic religious sensitivity involves respecting and preserving Islamic culture and traditions. Muslims may participate in cultural practices associated with Islamic festivals, engage in Islamic art and calligraphy, and maintain customs that align with Islamic teachings.</w:t>
      </w:r>
    </w:p>
    <w:p w14:paraId="15CD1985" w14:textId="77777777" w:rsidR="002530E2" w:rsidRDefault="002530E2" w:rsidP="002530E2">
      <w:pPr>
        <w:numPr>
          <w:ilvl w:val="0"/>
          <w:numId w:val="104"/>
        </w:numPr>
        <w:spacing w:before="240" w:after="200" w:line="360" w:lineRule="auto"/>
        <w:jc w:val="both"/>
        <w:rPr>
          <w:sz w:val="20"/>
          <w:szCs w:val="20"/>
        </w:rPr>
      </w:pPr>
      <w:r>
        <w:t>Continuous Self-Improvement: Islamic religious sensitivity encourages Muslims to engage in continuous self-improvement, seeking to deepen their connection with Allah, increase their knowledge of Islam, and strive for spiritual growth. This may involve engaging in acts of worship, engaging in charitable activities, and engaging in personal reflection and self-discipline.</w:t>
      </w:r>
    </w:p>
    <w:p w14:paraId="7858D087" w14:textId="77777777" w:rsidR="002530E2" w:rsidRDefault="002530E2">
      <w:pPr>
        <w:spacing w:before="240" w:after="240"/>
      </w:pPr>
      <w:r>
        <w:t>Islamic religious sensitivity for a Muslim is a deeply personal and individual commitment to living in accordance with the principles and teachings of Islam. It guides their actions, decisions, and behaviours, and helps them develop a strong connection with Allah and a sense of purpose in their lives.</w:t>
      </w:r>
    </w:p>
    <w:p w14:paraId="0244BF00" w14:textId="77777777" w:rsidR="002530E2" w:rsidRDefault="002530E2">
      <w:pPr>
        <w:pStyle w:val="Heading1"/>
        <w:spacing w:before="0"/>
      </w:pPr>
      <w:bookmarkStart w:id="258" w:name="_fv4wtxehczno" w:colFirst="0" w:colLast="0"/>
      <w:bookmarkEnd w:id="258"/>
      <w:r>
        <w:t>CONCEPTS RELATED TO MUSLIM MARKETS &amp; CONSUMPTION</w:t>
      </w:r>
    </w:p>
    <w:p w14:paraId="226006BE" w14:textId="77777777" w:rsidR="002530E2" w:rsidRDefault="002530E2">
      <w:pPr>
        <w:pStyle w:val="Heading2"/>
        <w:spacing w:before="0"/>
      </w:pPr>
      <w:bookmarkStart w:id="259" w:name="_qfl868fbwe88" w:colFirst="0" w:colLast="0"/>
      <w:bookmarkEnd w:id="259"/>
      <w:r>
        <w:t>MUSLIM POPULATION STATS</w:t>
      </w:r>
    </w:p>
    <w:p w14:paraId="58EF7327" w14:textId="77777777" w:rsidR="002530E2" w:rsidRDefault="002530E2">
      <w:r>
        <w:t>The 2022 Muslim Population by Country by World Population Review (2022) is presented in the map below.</w:t>
      </w:r>
    </w:p>
    <w:p w14:paraId="75217EA0" w14:textId="77777777" w:rsidR="002530E2" w:rsidRDefault="002530E2">
      <w:pPr>
        <w:spacing w:before="200" w:after="0" w:line="480" w:lineRule="auto"/>
        <w:rPr>
          <w:color w:val="0E101A"/>
        </w:rPr>
      </w:pPr>
      <w:r>
        <w:rPr>
          <w:noProof/>
          <w:color w:val="0E101A"/>
        </w:rPr>
        <w:lastRenderedPageBreak/>
        <w:drawing>
          <wp:inline distT="114300" distB="114300" distL="114300" distR="114300" wp14:anchorId="556141FD" wp14:editId="0F2D65B3">
            <wp:extent cx="5256000" cy="3581400"/>
            <wp:effectExtent l="12700" t="12700" r="12700" b="12700"/>
            <wp:docPr id="318007831" name="Picture 318007831"/>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256000" cy="3581400"/>
                    </a:xfrm>
                    <a:prstGeom prst="rect">
                      <a:avLst/>
                    </a:prstGeom>
                    <a:ln w="12700">
                      <a:solidFill>
                        <a:srgbClr val="B7B7B7"/>
                      </a:solidFill>
                      <a:prstDash val="solid"/>
                    </a:ln>
                  </pic:spPr>
                </pic:pic>
              </a:graphicData>
            </a:graphic>
          </wp:inline>
        </w:drawing>
      </w:r>
    </w:p>
    <w:p w14:paraId="2103A9B4" w14:textId="77777777" w:rsidR="002530E2" w:rsidRDefault="002530E2">
      <w:pPr>
        <w:pStyle w:val="Heading4"/>
      </w:pPr>
      <w:bookmarkStart w:id="260" w:name="_a3mwg4i8stgn" w:colFirst="0" w:colLast="0"/>
      <w:bookmarkEnd w:id="260"/>
      <w:r>
        <w:t>Figure [Appendix (CHP:3) 003] 1: The 2022 Muslim Population by Country. Image credits: worldpopulationreview.com</w:t>
      </w:r>
    </w:p>
    <w:p w14:paraId="24920F52" w14:textId="77777777" w:rsidR="002530E2" w:rsidRDefault="002530E2">
      <w:r>
        <w:t>The 2021 Top Ten Countries by Largest Muslim Populations by World Population Review (2022) is presented in the table below.</w:t>
      </w:r>
    </w:p>
    <w:tbl>
      <w:tblPr>
        <w:tblW w:w="9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5"/>
        <w:gridCol w:w="1110"/>
        <w:gridCol w:w="4635"/>
        <w:gridCol w:w="1065"/>
        <w:gridCol w:w="1860"/>
      </w:tblGrid>
      <w:tr w:rsidR="002530E2" w14:paraId="442FA1AC"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26287B8" w14:textId="77777777" w:rsidR="002530E2" w:rsidRDefault="002530E2">
            <w:pPr>
              <w:spacing w:after="0" w:line="276" w:lineRule="auto"/>
              <w:jc w:val="center"/>
            </w:pPr>
            <w:r>
              <w:rPr>
                <w:sz w:val="18"/>
                <w:szCs w:val="18"/>
              </w:rPr>
              <w:t>#</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8FD69E5" w14:textId="77777777" w:rsidR="002530E2" w:rsidRDefault="002530E2">
            <w:pPr>
              <w:spacing w:after="0" w:line="276" w:lineRule="auto"/>
            </w:pPr>
            <w:r>
              <w:rPr>
                <w:sz w:val="18"/>
                <w:szCs w:val="18"/>
              </w:rPr>
              <w:t xml:space="preserve">Country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CD45E0A" w14:textId="77777777" w:rsidR="002530E2" w:rsidRDefault="002530E2">
            <w:pPr>
              <w:spacing w:after="0" w:line="276" w:lineRule="auto"/>
            </w:pPr>
            <w:r>
              <w:rPr>
                <w:sz w:val="18"/>
                <w:szCs w:val="18"/>
              </w:rPr>
              <w:t xml:space="preserve">Geographical Region </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A289C65" w14:textId="77777777" w:rsidR="002530E2" w:rsidRDefault="002530E2">
            <w:pPr>
              <w:spacing w:after="0" w:line="276" w:lineRule="auto"/>
              <w:jc w:val="center"/>
            </w:pPr>
            <w:r>
              <w:rPr>
                <w:sz w:val="18"/>
                <w:szCs w:val="18"/>
              </w:rPr>
              <w:t xml:space="preserve">Continent  </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304A4B5" w14:textId="77777777" w:rsidR="002530E2" w:rsidRDefault="002530E2">
            <w:pPr>
              <w:spacing w:after="0" w:line="276" w:lineRule="auto"/>
              <w:jc w:val="center"/>
            </w:pPr>
            <w:r>
              <w:rPr>
                <w:sz w:val="18"/>
                <w:szCs w:val="18"/>
              </w:rPr>
              <w:t>Muslim Population</w:t>
            </w:r>
          </w:p>
        </w:tc>
      </w:tr>
      <w:tr w:rsidR="002530E2" w14:paraId="0480D5B1"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25A2F3A" w14:textId="77777777" w:rsidR="002530E2" w:rsidRDefault="002530E2">
            <w:pPr>
              <w:spacing w:after="0" w:line="276" w:lineRule="auto"/>
              <w:jc w:val="center"/>
            </w:pPr>
            <w:r>
              <w:rPr>
                <w:sz w:val="18"/>
                <w:szCs w:val="18"/>
              </w:rPr>
              <w:t>1</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8D2CBEB" w14:textId="77777777" w:rsidR="002530E2" w:rsidRDefault="002530E2">
            <w:pPr>
              <w:spacing w:after="0" w:line="276" w:lineRule="auto"/>
            </w:pPr>
            <w:r>
              <w:rPr>
                <w:sz w:val="18"/>
                <w:szCs w:val="18"/>
              </w:rPr>
              <w:t>Indonesia</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9E5B5FD" w14:textId="77777777" w:rsidR="002530E2" w:rsidRDefault="002530E2">
            <w:pPr>
              <w:spacing w:after="0" w:line="276" w:lineRule="auto"/>
            </w:pPr>
            <w:r>
              <w:rPr>
                <w:sz w:val="18"/>
                <w:szCs w:val="18"/>
              </w:rPr>
              <w:t>Situated in “Southeast Asia and Oceania between the Indian and Pacific oceans” (Wikipedia Contributors,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C83668E" w14:textId="77777777" w:rsidR="002530E2" w:rsidRDefault="002530E2">
            <w:pPr>
              <w:spacing w:after="0" w:line="276" w:lineRule="auto"/>
              <w:jc w:val="center"/>
            </w:pPr>
            <w:r>
              <w:rPr>
                <w:sz w:val="18"/>
                <w:szCs w:val="18"/>
              </w:rPr>
              <w:t xml:space="preserve">Asia </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8021F89" w14:textId="77777777" w:rsidR="002530E2" w:rsidRDefault="002530E2">
            <w:pPr>
              <w:spacing w:after="0" w:line="276" w:lineRule="auto"/>
              <w:jc w:val="center"/>
            </w:pPr>
            <w:r>
              <w:rPr>
                <w:sz w:val="18"/>
                <w:szCs w:val="18"/>
              </w:rPr>
              <w:t>231,000,000</w:t>
            </w:r>
          </w:p>
        </w:tc>
      </w:tr>
      <w:tr w:rsidR="002530E2" w14:paraId="72120676"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D9291C9" w14:textId="77777777" w:rsidR="002530E2" w:rsidRDefault="002530E2">
            <w:pPr>
              <w:spacing w:after="0" w:line="276" w:lineRule="auto"/>
              <w:jc w:val="center"/>
            </w:pPr>
            <w:r>
              <w:rPr>
                <w:sz w:val="18"/>
                <w:szCs w:val="18"/>
              </w:rPr>
              <w:t>2</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AEFA57C" w14:textId="77777777" w:rsidR="002530E2" w:rsidRDefault="002530E2">
            <w:pPr>
              <w:spacing w:after="0" w:line="276" w:lineRule="auto"/>
            </w:pPr>
            <w:r>
              <w:rPr>
                <w:sz w:val="18"/>
                <w:szCs w:val="18"/>
              </w:rPr>
              <w:t>Pakistan</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6AC5B3E" w14:textId="77777777" w:rsidR="002530E2" w:rsidRDefault="002530E2">
            <w:pPr>
              <w:spacing w:after="0" w:line="276" w:lineRule="auto"/>
            </w:pPr>
            <w:r>
              <w:rPr>
                <w:sz w:val="18"/>
                <w:szCs w:val="18"/>
              </w:rPr>
              <w:t>Situated in South Asia (Burki and Ziring, 2022 via britannica.com,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D352129" w14:textId="77777777" w:rsidR="002530E2" w:rsidRDefault="002530E2">
            <w:pPr>
              <w:spacing w:after="0" w:line="276" w:lineRule="auto"/>
              <w:jc w:val="center"/>
            </w:pPr>
            <w:r>
              <w:rPr>
                <w:sz w:val="18"/>
                <w:szCs w:val="18"/>
              </w:rPr>
              <w:t>Asia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A45C7E2" w14:textId="77777777" w:rsidR="002530E2" w:rsidRDefault="002530E2">
            <w:pPr>
              <w:spacing w:after="0" w:line="276" w:lineRule="auto"/>
              <w:jc w:val="center"/>
            </w:pPr>
            <w:r>
              <w:rPr>
                <w:sz w:val="18"/>
                <w:szCs w:val="18"/>
              </w:rPr>
              <w:t>212,300,000</w:t>
            </w:r>
          </w:p>
        </w:tc>
      </w:tr>
      <w:tr w:rsidR="002530E2" w14:paraId="24A12048"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88EC325" w14:textId="77777777" w:rsidR="002530E2" w:rsidRDefault="002530E2">
            <w:pPr>
              <w:spacing w:after="0" w:line="276" w:lineRule="auto"/>
              <w:jc w:val="center"/>
            </w:pPr>
            <w:r>
              <w:rPr>
                <w:sz w:val="18"/>
                <w:szCs w:val="18"/>
              </w:rPr>
              <w:t>3</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7E13A08" w14:textId="77777777" w:rsidR="002530E2" w:rsidRDefault="002530E2">
            <w:pPr>
              <w:spacing w:after="0" w:line="276" w:lineRule="auto"/>
            </w:pPr>
            <w:r>
              <w:rPr>
                <w:sz w:val="18"/>
                <w:szCs w:val="18"/>
              </w:rPr>
              <w:t xml:space="preserve">India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67C2BB4" w14:textId="77777777" w:rsidR="002530E2" w:rsidRDefault="002530E2">
            <w:pPr>
              <w:spacing w:after="0" w:line="276" w:lineRule="auto"/>
            </w:pPr>
            <w:r>
              <w:rPr>
                <w:sz w:val="18"/>
                <w:szCs w:val="18"/>
              </w:rPr>
              <w:t>Situated in South Asia (Allchin et al., 2022 via britannica.com,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4A5A0B0" w14:textId="77777777" w:rsidR="002530E2" w:rsidRDefault="002530E2">
            <w:pPr>
              <w:spacing w:after="0" w:line="276" w:lineRule="auto"/>
              <w:jc w:val="center"/>
            </w:pPr>
            <w:r>
              <w:rPr>
                <w:sz w:val="18"/>
                <w:szCs w:val="18"/>
              </w:rPr>
              <w:t>Asia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1124300" w14:textId="77777777" w:rsidR="002530E2" w:rsidRDefault="002530E2">
            <w:pPr>
              <w:spacing w:after="0" w:line="276" w:lineRule="auto"/>
              <w:jc w:val="center"/>
            </w:pPr>
            <w:r>
              <w:rPr>
                <w:sz w:val="18"/>
                <w:szCs w:val="18"/>
              </w:rPr>
              <w:t>200,000,000</w:t>
            </w:r>
          </w:p>
        </w:tc>
      </w:tr>
      <w:tr w:rsidR="002530E2" w14:paraId="2A0E5ADA"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460365B" w14:textId="77777777" w:rsidR="002530E2" w:rsidRDefault="002530E2">
            <w:pPr>
              <w:spacing w:after="0" w:line="276" w:lineRule="auto"/>
              <w:jc w:val="center"/>
            </w:pPr>
            <w:r>
              <w:rPr>
                <w:sz w:val="18"/>
                <w:szCs w:val="18"/>
              </w:rPr>
              <w:t>4</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A1236D9" w14:textId="77777777" w:rsidR="002530E2" w:rsidRDefault="002530E2">
            <w:pPr>
              <w:spacing w:after="0" w:line="276" w:lineRule="auto"/>
            </w:pPr>
            <w:r>
              <w:rPr>
                <w:sz w:val="18"/>
                <w:szCs w:val="18"/>
              </w:rPr>
              <w:t>Bangladesh</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7CEEAFC" w14:textId="77777777" w:rsidR="002530E2" w:rsidRDefault="002530E2">
            <w:pPr>
              <w:spacing w:after="0" w:line="276" w:lineRule="auto"/>
            </w:pPr>
            <w:r>
              <w:rPr>
                <w:sz w:val="18"/>
                <w:szCs w:val="18"/>
              </w:rPr>
              <w:t>Situated in South Asia (Tinker and Husain, 2022 via britannica.com,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819C2AD" w14:textId="77777777" w:rsidR="002530E2" w:rsidRDefault="002530E2">
            <w:pPr>
              <w:spacing w:after="0" w:line="276" w:lineRule="auto"/>
              <w:jc w:val="center"/>
            </w:pPr>
            <w:r>
              <w:rPr>
                <w:sz w:val="18"/>
                <w:szCs w:val="18"/>
              </w:rPr>
              <w:t>Asia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F4E4DDF" w14:textId="77777777" w:rsidR="002530E2" w:rsidRDefault="002530E2">
            <w:pPr>
              <w:spacing w:after="0" w:line="276" w:lineRule="auto"/>
              <w:jc w:val="center"/>
            </w:pPr>
            <w:r>
              <w:rPr>
                <w:sz w:val="18"/>
                <w:szCs w:val="18"/>
              </w:rPr>
              <w:t>153,700,000</w:t>
            </w:r>
          </w:p>
        </w:tc>
      </w:tr>
      <w:tr w:rsidR="002530E2" w14:paraId="432B9E03"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3C013F9" w14:textId="77777777" w:rsidR="002530E2" w:rsidRDefault="002530E2">
            <w:pPr>
              <w:spacing w:after="0" w:line="276" w:lineRule="auto"/>
              <w:jc w:val="center"/>
            </w:pPr>
            <w:r>
              <w:rPr>
                <w:sz w:val="18"/>
                <w:szCs w:val="18"/>
              </w:rPr>
              <w:t>5</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ACAE276" w14:textId="77777777" w:rsidR="002530E2" w:rsidRDefault="002530E2">
            <w:pPr>
              <w:spacing w:after="0" w:line="276" w:lineRule="auto"/>
            </w:pPr>
            <w:r>
              <w:rPr>
                <w:sz w:val="18"/>
                <w:szCs w:val="18"/>
              </w:rPr>
              <w:t xml:space="preserve">Nigeria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45ED31C" w14:textId="77777777" w:rsidR="002530E2" w:rsidRDefault="002530E2">
            <w:pPr>
              <w:spacing w:after="0" w:line="276" w:lineRule="auto"/>
            </w:pPr>
            <w:r>
              <w:rPr>
                <w:sz w:val="18"/>
                <w:szCs w:val="18"/>
              </w:rPr>
              <w:t>In “West Africa, situated between the Sahel to the north and the Gulf of Guinea to the south in the Atlantic Ocean” (Wikipedia Contributors,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4D5B7F5" w14:textId="77777777" w:rsidR="002530E2" w:rsidRDefault="002530E2">
            <w:pPr>
              <w:spacing w:after="0" w:line="276" w:lineRule="auto"/>
              <w:jc w:val="center"/>
            </w:pPr>
            <w:r>
              <w:rPr>
                <w:sz w:val="18"/>
                <w:szCs w:val="18"/>
              </w:rPr>
              <w:t xml:space="preserve">Africa </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5FF033A" w14:textId="77777777" w:rsidR="002530E2" w:rsidRDefault="002530E2">
            <w:pPr>
              <w:spacing w:after="0" w:line="276" w:lineRule="auto"/>
              <w:jc w:val="center"/>
            </w:pPr>
            <w:r>
              <w:rPr>
                <w:sz w:val="18"/>
                <w:szCs w:val="18"/>
              </w:rPr>
              <w:t>95,000,000 – 103,000,000</w:t>
            </w:r>
          </w:p>
        </w:tc>
      </w:tr>
      <w:tr w:rsidR="002530E2" w14:paraId="7BC5702B"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B59C00A" w14:textId="77777777" w:rsidR="002530E2" w:rsidRDefault="002530E2">
            <w:pPr>
              <w:spacing w:after="0" w:line="276" w:lineRule="auto"/>
              <w:jc w:val="center"/>
            </w:pPr>
            <w:r>
              <w:rPr>
                <w:sz w:val="18"/>
                <w:szCs w:val="18"/>
              </w:rPr>
              <w:t>6</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D292F80" w14:textId="77777777" w:rsidR="002530E2" w:rsidRDefault="002530E2">
            <w:pPr>
              <w:spacing w:after="0" w:line="276" w:lineRule="auto"/>
            </w:pPr>
            <w:r>
              <w:rPr>
                <w:sz w:val="18"/>
                <w:szCs w:val="18"/>
              </w:rPr>
              <w:t xml:space="preserve">Egypt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01022AE" w14:textId="77777777" w:rsidR="002530E2" w:rsidRDefault="002530E2">
            <w:pPr>
              <w:spacing w:after="0" w:line="276" w:lineRule="auto"/>
            </w:pPr>
            <w:r>
              <w:rPr>
                <w:sz w:val="18"/>
                <w:szCs w:val="18"/>
              </w:rPr>
              <w:t>Situated in “the Nile Valley and the Delta, the Western Desert, the Eastern Desert, and the Sinai Peninsula” (Embabi, 2018 and link.springer.com,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60F5D9B" w14:textId="77777777" w:rsidR="002530E2" w:rsidRDefault="002530E2">
            <w:pPr>
              <w:spacing w:after="0" w:line="276" w:lineRule="auto"/>
              <w:jc w:val="center"/>
            </w:pPr>
            <w:r>
              <w:rPr>
                <w:sz w:val="18"/>
                <w:szCs w:val="18"/>
              </w:rPr>
              <w:t>Africa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686C879" w14:textId="77777777" w:rsidR="002530E2" w:rsidRDefault="002530E2">
            <w:pPr>
              <w:spacing w:after="0" w:line="276" w:lineRule="auto"/>
              <w:jc w:val="center"/>
            </w:pPr>
            <w:r>
              <w:rPr>
                <w:sz w:val="18"/>
                <w:szCs w:val="18"/>
              </w:rPr>
              <w:t>85,000,000 – 90,000,000</w:t>
            </w:r>
          </w:p>
        </w:tc>
      </w:tr>
      <w:tr w:rsidR="002530E2" w14:paraId="43F9741E"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06D13E3" w14:textId="77777777" w:rsidR="002530E2" w:rsidRDefault="002530E2">
            <w:pPr>
              <w:spacing w:after="0" w:line="276" w:lineRule="auto"/>
              <w:jc w:val="center"/>
            </w:pPr>
            <w:r>
              <w:rPr>
                <w:sz w:val="18"/>
                <w:szCs w:val="18"/>
              </w:rPr>
              <w:lastRenderedPageBreak/>
              <w:t>7</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3A0C574" w14:textId="77777777" w:rsidR="002530E2" w:rsidRDefault="002530E2">
            <w:pPr>
              <w:spacing w:after="0" w:line="276" w:lineRule="auto"/>
            </w:pPr>
            <w:r>
              <w:rPr>
                <w:sz w:val="18"/>
                <w:szCs w:val="18"/>
              </w:rPr>
              <w:t xml:space="preserve">Iran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9C3D2BF" w14:textId="77777777" w:rsidR="002530E2" w:rsidRDefault="002530E2">
            <w:pPr>
              <w:spacing w:after="0" w:line="276" w:lineRule="auto"/>
            </w:pPr>
            <w:r>
              <w:rPr>
                <w:sz w:val="18"/>
                <w:szCs w:val="18"/>
              </w:rPr>
              <w:t>Situated “at the crossroads of Central Asia, South Asia, and the Arab states of the Middle East” (kids.nationalgeographic.com,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878E0E6" w14:textId="77777777" w:rsidR="002530E2" w:rsidRDefault="002530E2">
            <w:pPr>
              <w:spacing w:after="0" w:line="276" w:lineRule="auto"/>
              <w:jc w:val="center"/>
            </w:pPr>
            <w:r>
              <w:rPr>
                <w:sz w:val="18"/>
                <w:szCs w:val="18"/>
              </w:rPr>
              <w:t>Asia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058A687" w14:textId="77777777" w:rsidR="002530E2" w:rsidRDefault="002530E2">
            <w:pPr>
              <w:spacing w:after="0" w:line="276" w:lineRule="auto"/>
              <w:jc w:val="center"/>
            </w:pPr>
            <w:r>
              <w:rPr>
                <w:sz w:val="18"/>
                <w:szCs w:val="18"/>
              </w:rPr>
              <w:t>82,500,000</w:t>
            </w:r>
          </w:p>
        </w:tc>
      </w:tr>
      <w:tr w:rsidR="002530E2" w14:paraId="7B93F3D6"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3E86C07" w14:textId="77777777" w:rsidR="002530E2" w:rsidRDefault="002530E2">
            <w:pPr>
              <w:spacing w:after="0" w:line="276" w:lineRule="auto"/>
              <w:jc w:val="center"/>
            </w:pPr>
            <w:r>
              <w:rPr>
                <w:sz w:val="18"/>
                <w:szCs w:val="18"/>
              </w:rPr>
              <w:t>8</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6852D2D" w14:textId="77777777" w:rsidR="002530E2" w:rsidRDefault="002530E2">
            <w:pPr>
              <w:spacing w:after="0" w:line="276" w:lineRule="auto"/>
            </w:pPr>
            <w:r>
              <w:rPr>
                <w:sz w:val="18"/>
                <w:szCs w:val="18"/>
              </w:rPr>
              <w:t xml:space="preserve">Turkey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E22C8A7" w14:textId="77777777" w:rsidR="002530E2" w:rsidRDefault="002530E2">
            <w:pPr>
              <w:spacing w:after="0" w:line="276" w:lineRule="auto"/>
            </w:pPr>
            <w:r>
              <w:rPr>
                <w:sz w:val="18"/>
                <w:szCs w:val="18"/>
              </w:rPr>
              <w:t>Situated “at the crossroads of the Balkans (Europe), Caucasus, Middle East, and eastern Mediterranean” (Wikipedia Contributors,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7787613" w14:textId="77777777" w:rsidR="002530E2" w:rsidRDefault="002530E2">
            <w:pPr>
              <w:spacing w:after="0" w:line="276" w:lineRule="auto"/>
              <w:jc w:val="center"/>
            </w:pPr>
            <w:r>
              <w:rPr>
                <w:sz w:val="18"/>
                <w:szCs w:val="18"/>
              </w:rPr>
              <w:t>Europe &amp; Asia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35694B7" w14:textId="77777777" w:rsidR="002530E2" w:rsidRDefault="002530E2">
            <w:pPr>
              <w:spacing w:after="0" w:line="276" w:lineRule="auto"/>
              <w:jc w:val="center"/>
            </w:pPr>
            <w:r>
              <w:rPr>
                <w:sz w:val="18"/>
                <w:szCs w:val="18"/>
              </w:rPr>
              <w:t>74,432,725</w:t>
            </w:r>
          </w:p>
        </w:tc>
      </w:tr>
      <w:tr w:rsidR="002530E2" w14:paraId="0E817ADC"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5FE6441" w14:textId="77777777" w:rsidR="002530E2" w:rsidRDefault="002530E2">
            <w:pPr>
              <w:spacing w:after="0" w:line="276" w:lineRule="auto"/>
              <w:jc w:val="center"/>
            </w:pPr>
            <w:r>
              <w:rPr>
                <w:sz w:val="18"/>
                <w:szCs w:val="18"/>
              </w:rPr>
              <w:t>9</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B591A35" w14:textId="77777777" w:rsidR="002530E2" w:rsidRDefault="002530E2">
            <w:pPr>
              <w:spacing w:after="0" w:line="276" w:lineRule="auto"/>
            </w:pPr>
            <w:r>
              <w:rPr>
                <w:sz w:val="18"/>
                <w:szCs w:val="18"/>
              </w:rPr>
              <w:t xml:space="preserve">Algeria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44F4230" w14:textId="77777777" w:rsidR="002530E2" w:rsidRDefault="002530E2">
            <w:pPr>
              <w:spacing w:after="0" w:line="276" w:lineRule="auto"/>
            </w:pPr>
            <w:r>
              <w:rPr>
                <w:sz w:val="18"/>
                <w:szCs w:val="18"/>
              </w:rPr>
              <w:t>North Africa with a Mediterranean coastline and a Saharan desert interior (Wikipedia Contributors,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FAB0A99" w14:textId="77777777" w:rsidR="002530E2" w:rsidRDefault="002530E2">
            <w:pPr>
              <w:spacing w:after="0" w:line="276" w:lineRule="auto"/>
              <w:jc w:val="center"/>
            </w:pPr>
            <w:r>
              <w:rPr>
                <w:sz w:val="18"/>
                <w:szCs w:val="18"/>
              </w:rPr>
              <w:t>Africa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FC25D48" w14:textId="77777777" w:rsidR="002530E2" w:rsidRDefault="002530E2">
            <w:pPr>
              <w:spacing w:after="0" w:line="276" w:lineRule="auto"/>
              <w:jc w:val="center"/>
            </w:pPr>
            <w:r>
              <w:rPr>
                <w:sz w:val="18"/>
                <w:szCs w:val="18"/>
              </w:rPr>
              <w:t>41,240,913</w:t>
            </w:r>
          </w:p>
        </w:tc>
      </w:tr>
      <w:tr w:rsidR="002530E2" w14:paraId="057FB9BA"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8530C63" w14:textId="77777777" w:rsidR="002530E2" w:rsidRDefault="002530E2">
            <w:pPr>
              <w:spacing w:after="0" w:line="276" w:lineRule="auto"/>
              <w:jc w:val="center"/>
            </w:pPr>
            <w:r>
              <w:rPr>
                <w:sz w:val="18"/>
                <w:szCs w:val="18"/>
              </w:rPr>
              <w:t>10</w:t>
            </w:r>
          </w:p>
        </w:tc>
        <w:tc>
          <w:tcPr>
            <w:tcW w:w="111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50EE9DD" w14:textId="77777777" w:rsidR="002530E2" w:rsidRDefault="002530E2">
            <w:pPr>
              <w:spacing w:after="0" w:line="276" w:lineRule="auto"/>
            </w:pPr>
            <w:r>
              <w:rPr>
                <w:sz w:val="18"/>
                <w:szCs w:val="18"/>
              </w:rPr>
              <w:t xml:space="preserve">Sudan </w:t>
            </w:r>
          </w:p>
        </w:tc>
        <w:tc>
          <w:tcPr>
            <w:tcW w:w="46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82E8A17" w14:textId="77777777" w:rsidR="002530E2" w:rsidRDefault="002530E2">
            <w:pPr>
              <w:spacing w:after="0" w:line="276" w:lineRule="auto"/>
            </w:pPr>
            <w:r>
              <w:rPr>
                <w:sz w:val="18"/>
                <w:szCs w:val="18"/>
              </w:rPr>
              <w:t>“South of the Sahara, stretching from Western to eastern Central Africa” (Wikipedia Contributors, 2022).</w:t>
            </w:r>
          </w:p>
        </w:tc>
        <w:tc>
          <w:tcPr>
            <w:tcW w:w="106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C748725" w14:textId="77777777" w:rsidR="002530E2" w:rsidRDefault="002530E2">
            <w:pPr>
              <w:spacing w:after="0" w:line="276" w:lineRule="auto"/>
              <w:jc w:val="center"/>
            </w:pPr>
            <w:r>
              <w:rPr>
                <w:sz w:val="18"/>
                <w:szCs w:val="18"/>
              </w:rPr>
              <w:t>Africa</w:t>
            </w:r>
          </w:p>
        </w:tc>
        <w:tc>
          <w:tcPr>
            <w:tcW w:w="18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D717AC4" w14:textId="77777777" w:rsidR="002530E2" w:rsidRDefault="002530E2">
            <w:pPr>
              <w:spacing w:after="0" w:line="276" w:lineRule="auto"/>
              <w:jc w:val="center"/>
            </w:pPr>
            <w:r>
              <w:rPr>
                <w:sz w:val="18"/>
                <w:szCs w:val="18"/>
              </w:rPr>
              <w:t>39,585,777</w:t>
            </w:r>
          </w:p>
        </w:tc>
      </w:tr>
    </w:tbl>
    <w:p w14:paraId="1004C640" w14:textId="77777777" w:rsidR="002530E2" w:rsidRDefault="002530E2">
      <w:pPr>
        <w:pStyle w:val="Heading4"/>
        <w:spacing w:before="200"/>
      </w:pPr>
      <w:bookmarkStart w:id="261" w:name="_8blcyqr2m6oa" w:colFirst="0" w:colLast="0"/>
      <w:bookmarkEnd w:id="261"/>
      <w:r>
        <w:t>Table [Appendix (CHP:3) 003] 1: The 2021 Top Ten Countries by Largest Muslim Populations. The author of this study developed this table based on data from worldpopulationreview.com (2022).</w:t>
      </w:r>
    </w:p>
    <w:p w14:paraId="22364923" w14:textId="77777777" w:rsidR="002530E2" w:rsidRDefault="002530E2">
      <w:pPr>
        <w:spacing w:after="0"/>
      </w:pPr>
    </w:p>
    <w:p w14:paraId="17A08CEC" w14:textId="77777777" w:rsidR="002530E2" w:rsidRDefault="002530E2">
      <w:r>
        <w:t>The 2021 Top Ten Countries by Highest Muslim Percentage by World Population Review (2022) is presented in the table below.</w:t>
      </w:r>
    </w:p>
    <w:tbl>
      <w:tblPr>
        <w:tblW w:w="91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5"/>
        <w:gridCol w:w="1185"/>
        <w:gridCol w:w="4560"/>
        <w:gridCol w:w="1095"/>
        <w:gridCol w:w="1890"/>
      </w:tblGrid>
      <w:tr w:rsidR="002530E2" w14:paraId="415008B2"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54AFEF9" w14:textId="77777777" w:rsidR="002530E2" w:rsidRDefault="002530E2">
            <w:pPr>
              <w:spacing w:after="0" w:line="276" w:lineRule="auto"/>
              <w:jc w:val="center"/>
            </w:pPr>
            <w:r>
              <w:rPr>
                <w:sz w:val="18"/>
                <w:szCs w:val="18"/>
              </w:rPr>
              <w:t>#</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92443A4" w14:textId="77777777" w:rsidR="002530E2" w:rsidRDefault="002530E2">
            <w:pPr>
              <w:spacing w:after="0" w:line="276" w:lineRule="auto"/>
            </w:pPr>
            <w:r>
              <w:rPr>
                <w:sz w:val="18"/>
                <w:szCs w:val="18"/>
              </w:rPr>
              <w:t xml:space="preserve">Country </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F43B25B" w14:textId="77777777" w:rsidR="002530E2" w:rsidRDefault="002530E2">
            <w:pPr>
              <w:spacing w:after="0" w:line="276" w:lineRule="auto"/>
            </w:pPr>
            <w:r>
              <w:rPr>
                <w:sz w:val="18"/>
                <w:szCs w:val="18"/>
              </w:rPr>
              <w:t xml:space="preserve">Geographical Region </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31E4DB7" w14:textId="77777777" w:rsidR="002530E2" w:rsidRDefault="002530E2">
            <w:pPr>
              <w:spacing w:after="0" w:line="276" w:lineRule="auto"/>
              <w:jc w:val="center"/>
            </w:pPr>
            <w:r>
              <w:rPr>
                <w:sz w:val="18"/>
                <w:szCs w:val="18"/>
              </w:rPr>
              <w:t xml:space="preserve">Continent  </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C981450" w14:textId="77777777" w:rsidR="002530E2" w:rsidRDefault="002530E2">
            <w:pPr>
              <w:spacing w:after="0" w:line="276" w:lineRule="auto"/>
              <w:jc w:val="center"/>
            </w:pPr>
            <w:r>
              <w:rPr>
                <w:sz w:val="18"/>
                <w:szCs w:val="18"/>
              </w:rPr>
              <w:t xml:space="preserve">Muslim Percentage </w:t>
            </w:r>
          </w:p>
        </w:tc>
      </w:tr>
      <w:tr w:rsidR="002530E2" w14:paraId="5BD1F345"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66A6104" w14:textId="77777777" w:rsidR="002530E2" w:rsidRDefault="002530E2">
            <w:pPr>
              <w:spacing w:after="0" w:line="276" w:lineRule="auto"/>
              <w:jc w:val="center"/>
            </w:pPr>
            <w:r>
              <w:rPr>
                <w:sz w:val="18"/>
                <w:szCs w:val="18"/>
              </w:rPr>
              <w:t>1</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A18B3D1" w14:textId="77777777" w:rsidR="002530E2" w:rsidRDefault="002530E2">
            <w:pPr>
              <w:spacing w:after="0" w:line="276" w:lineRule="auto"/>
            </w:pPr>
            <w:r>
              <w:rPr>
                <w:sz w:val="18"/>
                <w:szCs w:val="18"/>
              </w:rPr>
              <w:t>Maldives</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0B718D8" w14:textId="77777777" w:rsidR="002530E2" w:rsidRDefault="002530E2">
            <w:pPr>
              <w:spacing w:after="0" w:line="276" w:lineRule="auto"/>
            </w:pPr>
            <w:r>
              <w:rPr>
                <w:sz w:val="18"/>
                <w:szCs w:val="18"/>
              </w:rPr>
              <w:t>Situated “in the Indian Ocean, South Asia, south-southwest of India”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B40C79F" w14:textId="77777777" w:rsidR="002530E2" w:rsidRDefault="002530E2">
            <w:pPr>
              <w:spacing w:after="0" w:line="276" w:lineRule="auto"/>
              <w:jc w:val="center"/>
            </w:pPr>
            <w:r>
              <w:rPr>
                <w:sz w:val="18"/>
                <w:szCs w:val="18"/>
              </w:rPr>
              <w:t xml:space="preserve">Asia </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F36FE98" w14:textId="77777777" w:rsidR="002530E2" w:rsidRDefault="002530E2">
            <w:pPr>
              <w:spacing w:after="0" w:line="276" w:lineRule="auto"/>
              <w:jc w:val="center"/>
            </w:pPr>
            <w:r>
              <w:rPr>
                <w:sz w:val="18"/>
                <w:szCs w:val="18"/>
              </w:rPr>
              <w:t>100%</w:t>
            </w:r>
          </w:p>
        </w:tc>
      </w:tr>
      <w:tr w:rsidR="002530E2" w14:paraId="0C1021E4"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06E870B" w14:textId="77777777" w:rsidR="002530E2" w:rsidRDefault="002530E2">
            <w:pPr>
              <w:spacing w:after="0" w:line="276" w:lineRule="auto"/>
              <w:jc w:val="center"/>
            </w:pPr>
            <w:r>
              <w:rPr>
                <w:sz w:val="18"/>
                <w:szCs w:val="18"/>
              </w:rPr>
              <w:t>2</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B3F76D4" w14:textId="77777777" w:rsidR="002530E2" w:rsidRDefault="002530E2">
            <w:pPr>
              <w:spacing w:after="0" w:line="276" w:lineRule="auto"/>
            </w:pPr>
            <w:r>
              <w:rPr>
                <w:sz w:val="18"/>
                <w:szCs w:val="18"/>
              </w:rPr>
              <w:t>Mauritania</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CBE87F1" w14:textId="77777777" w:rsidR="002530E2" w:rsidRDefault="002530E2">
            <w:pPr>
              <w:spacing w:after="0" w:line="276" w:lineRule="auto"/>
            </w:pPr>
            <w:r>
              <w:rPr>
                <w:sz w:val="18"/>
                <w:szCs w:val="18"/>
              </w:rPr>
              <w:t>Situated  “on the Atlantic coast of Africa” (Deschamps et al., 2022 via britannica.com,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4721C18" w14:textId="77777777" w:rsidR="002530E2" w:rsidRDefault="002530E2">
            <w:pPr>
              <w:spacing w:after="0" w:line="276" w:lineRule="auto"/>
              <w:jc w:val="center"/>
            </w:pPr>
            <w:r>
              <w:rPr>
                <w:sz w:val="18"/>
                <w:szCs w:val="18"/>
              </w:rPr>
              <w:t>Africa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8AC7BA3" w14:textId="77777777" w:rsidR="002530E2" w:rsidRDefault="002530E2">
            <w:pPr>
              <w:spacing w:after="0" w:line="276" w:lineRule="auto"/>
              <w:jc w:val="center"/>
            </w:pPr>
            <w:r>
              <w:rPr>
                <w:sz w:val="18"/>
                <w:szCs w:val="18"/>
              </w:rPr>
              <w:t>99.9%</w:t>
            </w:r>
          </w:p>
        </w:tc>
      </w:tr>
      <w:tr w:rsidR="002530E2" w14:paraId="7F44F3DB"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1F0DD1A" w14:textId="77777777" w:rsidR="002530E2" w:rsidRDefault="002530E2">
            <w:pPr>
              <w:spacing w:after="0" w:line="276" w:lineRule="auto"/>
              <w:jc w:val="center"/>
            </w:pPr>
            <w:r>
              <w:rPr>
                <w:sz w:val="18"/>
                <w:szCs w:val="18"/>
              </w:rPr>
              <w:t>3</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05F0DE7" w14:textId="77777777" w:rsidR="002530E2" w:rsidRDefault="002530E2">
            <w:pPr>
              <w:spacing w:after="0" w:line="276" w:lineRule="auto"/>
            </w:pPr>
            <w:r>
              <w:rPr>
                <w:sz w:val="18"/>
                <w:szCs w:val="18"/>
              </w:rPr>
              <w:t>Somalia</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9A5407F" w14:textId="77777777" w:rsidR="002530E2" w:rsidRDefault="002530E2">
            <w:pPr>
              <w:spacing w:after="0" w:line="276" w:lineRule="auto"/>
            </w:pPr>
            <w:r>
              <w:rPr>
                <w:sz w:val="18"/>
                <w:szCs w:val="18"/>
              </w:rPr>
              <w:t>Situated in “between sub-Saharan Africa and the countries of Arabia and southwestern Asia” (Lewis and Janzen, 2022 via britannica.com,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3A7F911" w14:textId="77777777" w:rsidR="002530E2" w:rsidRDefault="002530E2">
            <w:pPr>
              <w:spacing w:after="0" w:line="276" w:lineRule="auto"/>
              <w:jc w:val="center"/>
            </w:pPr>
            <w:r>
              <w:rPr>
                <w:sz w:val="18"/>
                <w:szCs w:val="18"/>
              </w:rPr>
              <w:t>Africa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E0ACC1A" w14:textId="77777777" w:rsidR="002530E2" w:rsidRDefault="002530E2">
            <w:pPr>
              <w:spacing w:after="0" w:line="276" w:lineRule="auto"/>
              <w:jc w:val="center"/>
            </w:pPr>
            <w:r>
              <w:rPr>
                <w:sz w:val="18"/>
                <w:szCs w:val="18"/>
              </w:rPr>
              <w:t>99.8% - tie</w:t>
            </w:r>
          </w:p>
        </w:tc>
      </w:tr>
      <w:tr w:rsidR="002530E2" w14:paraId="02D1C2F8"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34C26DA" w14:textId="77777777" w:rsidR="002530E2" w:rsidRDefault="002530E2">
            <w:pPr>
              <w:spacing w:after="0" w:line="276" w:lineRule="auto"/>
              <w:jc w:val="center"/>
            </w:pPr>
            <w:r>
              <w:rPr>
                <w:sz w:val="18"/>
                <w:szCs w:val="18"/>
              </w:rPr>
              <w:t>4</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B7B2A45" w14:textId="77777777" w:rsidR="002530E2" w:rsidRDefault="002530E2">
            <w:pPr>
              <w:spacing w:after="0" w:line="276" w:lineRule="auto"/>
            </w:pPr>
            <w:r>
              <w:rPr>
                <w:sz w:val="18"/>
                <w:szCs w:val="18"/>
              </w:rPr>
              <w:t>Tunisia</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F11984B" w14:textId="77777777" w:rsidR="002530E2" w:rsidRDefault="002530E2">
            <w:pPr>
              <w:spacing w:after="0" w:line="276" w:lineRule="auto"/>
            </w:pPr>
            <w:r>
              <w:rPr>
                <w:sz w:val="18"/>
                <w:szCs w:val="18"/>
              </w:rPr>
              <w:t>Situated in “North Africa, and is bordered by Algeria to the west and southwest, Libya to the southeast”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10C5F93" w14:textId="77777777" w:rsidR="002530E2" w:rsidRDefault="002530E2">
            <w:pPr>
              <w:spacing w:after="0" w:line="276" w:lineRule="auto"/>
              <w:jc w:val="center"/>
            </w:pPr>
            <w:r>
              <w:rPr>
                <w:sz w:val="18"/>
                <w:szCs w:val="18"/>
              </w:rPr>
              <w:t>Africa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2BB344A" w14:textId="77777777" w:rsidR="002530E2" w:rsidRDefault="002530E2">
            <w:pPr>
              <w:spacing w:after="0" w:line="276" w:lineRule="auto"/>
              <w:jc w:val="center"/>
            </w:pPr>
            <w:r>
              <w:rPr>
                <w:sz w:val="18"/>
                <w:szCs w:val="18"/>
              </w:rPr>
              <w:t>99.8% - tie</w:t>
            </w:r>
          </w:p>
        </w:tc>
      </w:tr>
      <w:tr w:rsidR="002530E2" w14:paraId="619267F4"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4314D87" w14:textId="77777777" w:rsidR="002530E2" w:rsidRDefault="002530E2">
            <w:pPr>
              <w:spacing w:after="0" w:line="276" w:lineRule="auto"/>
              <w:jc w:val="center"/>
            </w:pPr>
            <w:r>
              <w:rPr>
                <w:sz w:val="18"/>
                <w:szCs w:val="18"/>
              </w:rPr>
              <w:t>5</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2781F0B" w14:textId="77777777" w:rsidR="002530E2" w:rsidRDefault="002530E2">
            <w:pPr>
              <w:spacing w:after="0" w:line="276" w:lineRule="auto"/>
            </w:pPr>
            <w:r>
              <w:rPr>
                <w:sz w:val="18"/>
                <w:szCs w:val="18"/>
              </w:rPr>
              <w:t>Afghanistan</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54BC229" w14:textId="77777777" w:rsidR="002530E2" w:rsidRDefault="002530E2">
            <w:pPr>
              <w:spacing w:after="0" w:line="276" w:lineRule="auto"/>
            </w:pPr>
            <w:r>
              <w:rPr>
                <w:sz w:val="18"/>
                <w:szCs w:val="18"/>
              </w:rPr>
              <w:t>Situated “at the crossroads of Central and South Asia”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6647E95" w14:textId="77777777" w:rsidR="002530E2" w:rsidRDefault="002530E2">
            <w:pPr>
              <w:spacing w:after="0" w:line="276" w:lineRule="auto"/>
              <w:jc w:val="center"/>
            </w:pPr>
            <w:r>
              <w:rPr>
                <w:sz w:val="18"/>
                <w:szCs w:val="18"/>
              </w:rPr>
              <w:t xml:space="preserve">Asia </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858CBE1" w14:textId="77777777" w:rsidR="002530E2" w:rsidRDefault="002530E2">
            <w:pPr>
              <w:spacing w:after="0" w:line="276" w:lineRule="auto"/>
              <w:jc w:val="center"/>
            </w:pPr>
            <w:r>
              <w:rPr>
                <w:sz w:val="18"/>
                <w:szCs w:val="18"/>
              </w:rPr>
              <w:t>99.7% - tie</w:t>
            </w:r>
          </w:p>
        </w:tc>
      </w:tr>
      <w:tr w:rsidR="002530E2" w14:paraId="62C636D5"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8AAE716" w14:textId="77777777" w:rsidR="002530E2" w:rsidRDefault="002530E2">
            <w:pPr>
              <w:spacing w:after="0" w:line="276" w:lineRule="auto"/>
              <w:jc w:val="center"/>
            </w:pPr>
            <w:r>
              <w:rPr>
                <w:sz w:val="18"/>
                <w:szCs w:val="18"/>
              </w:rPr>
              <w:t>6</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F7022F6" w14:textId="77777777" w:rsidR="002530E2" w:rsidRDefault="002530E2">
            <w:pPr>
              <w:spacing w:after="0" w:line="276" w:lineRule="auto"/>
            </w:pPr>
            <w:r>
              <w:rPr>
                <w:sz w:val="18"/>
                <w:szCs w:val="18"/>
              </w:rPr>
              <w:t>Algeria</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BFA2DC0" w14:textId="77777777" w:rsidR="002530E2" w:rsidRDefault="002530E2">
            <w:pPr>
              <w:spacing w:after="0" w:line="276" w:lineRule="auto"/>
            </w:pPr>
            <w:r>
              <w:rPr>
                <w:sz w:val="18"/>
                <w:szCs w:val="18"/>
              </w:rPr>
              <w:t>Situated in North Africa with a Mediterranean coastline and a Saharan desert interior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7BA1EA6" w14:textId="77777777" w:rsidR="002530E2" w:rsidRDefault="002530E2">
            <w:pPr>
              <w:spacing w:after="0" w:line="276" w:lineRule="auto"/>
              <w:jc w:val="center"/>
            </w:pPr>
            <w:r>
              <w:rPr>
                <w:sz w:val="18"/>
                <w:szCs w:val="18"/>
              </w:rPr>
              <w:t>Africa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A36C8E8" w14:textId="77777777" w:rsidR="002530E2" w:rsidRDefault="002530E2">
            <w:pPr>
              <w:spacing w:after="0" w:line="276" w:lineRule="auto"/>
              <w:jc w:val="center"/>
            </w:pPr>
            <w:r>
              <w:rPr>
                <w:sz w:val="18"/>
                <w:szCs w:val="18"/>
              </w:rPr>
              <w:t>99.7% - tie</w:t>
            </w:r>
          </w:p>
        </w:tc>
      </w:tr>
      <w:tr w:rsidR="002530E2" w14:paraId="77BAF1E9"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9327F50" w14:textId="77777777" w:rsidR="002530E2" w:rsidRDefault="002530E2">
            <w:pPr>
              <w:spacing w:after="0" w:line="276" w:lineRule="auto"/>
              <w:jc w:val="center"/>
            </w:pPr>
            <w:r>
              <w:rPr>
                <w:sz w:val="18"/>
                <w:szCs w:val="18"/>
              </w:rPr>
              <w:t>7</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14B1C85" w14:textId="77777777" w:rsidR="002530E2" w:rsidRDefault="002530E2">
            <w:pPr>
              <w:spacing w:after="0" w:line="276" w:lineRule="auto"/>
            </w:pPr>
            <w:r>
              <w:rPr>
                <w:sz w:val="18"/>
                <w:szCs w:val="18"/>
              </w:rPr>
              <w:t>Iran</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991E8D7" w14:textId="77777777" w:rsidR="002530E2" w:rsidRDefault="002530E2">
            <w:pPr>
              <w:spacing w:after="0" w:line="276" w:lineRule="auto"/>
            </w:pPr>
            <w:r>
              <w:rPr>
                <w:sz w:val="18"/>
                <w:szCs w:val="18"/>
              </w:rPr>
              <w:t>Situated “at the crossroads of Central Asia, South Asia, and the Arab states of the Middle East” (kids.nationalgeographic.com,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D9E67BA" w14:textId="77777777" w:rsidR="002530E2" w:rsidRDefault="002530E2">
            <w:pPr>
              <w:spacing w:after="0" w:line="276" w:lineRule="auto"/>
              <w:jc w:val="center"/>
            </w:pPr>
            <w:r>
              <w:rPr>
                <w:sz w:val="18"/>
                <w:szCs w:val="18"/>
              </w:rPr>
              <w:t>Asia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0FE52CA" w14:textId="77777777" w:rsidR="002530E2" w:rsidRDefault="002530E2">
            <w:pPr>
              <w:spacing w:after="0" w:line="276" w:lineRule="auto"/>
              <w:jc w:val="center"/>
            </w:pPr>
            <w:r>
              <w:rPr>
                <w:sz w:val="18"/>
                <w:szCs w:val="18"/>
              </w:rPr>
              <w:t>99.4%</w:t>
            </w:r>
          </w:p>
        </w:tc>
      </w:tr>
      <w:tr w:rsidR="002530E2" w14:paraId="0064B341"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59DF7260" w14:textId="77777777" w:rsidR="002530E2" w:rsidRDefault="002530E2">
            <w:pPr>
              <w:spacing w:after="0" w:line="276" w:lineRule="auto"/>
              <w:jc w:val="center"/>
            </w:pPr>
            <w:r>
              <w:rPr>
                <w:sz w:val="18"/>
                <w:szCs w:val="18"/>
              </w:rPr>
              <w:t>8</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6C33BB18" w14:textId="77777777" w:rsidR="002530E2" w:rsidRDefault="002530E2">
            <w:pPr>
              <w:spacing w:after="0" w:line="276" w:lineRule="auto"/>
            </w:pPr>
            <w:r>
              <w:rPr>
                <w:sz w:val="18"/>
                <w:szCs w:val="18"/>
              </w:rPr>
              <w:t>Yemen</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79D68FA" w14:textId="77777777" w:rsidR="002530E2" w:rsidRDefault="002530E2">
            <w:pPr>
              <w:spacing w:after="0" w:line="276" w:lineRule="auto"/>
            </w:pPr>
            <w:r>
              <w:rPr>
                <w:sz w:val="18"/>
                <w:szCs w:val="18"/>
              </w:rPr>
              <w:t>Situated in “Western Asia, on the southern end of the Arabian Peninsula”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CD10FF9" w14:textId="77777777" w:rsidR="002530E2" w:rsidRDefault="002530E2">
            <w:pPr>
              <w:spacing w:after="0" w:line="276" w:lineRule="auto"/>
              <w:jc w:val="center"/>
            </w:pPr>
            <w:r>
              <w:rPr>
                <w:sz w:val="18"/>
                <w:szCs w:val="18"/>
              </w:rPr>
              <w:t>Asia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B5E6C11" w14:textId="77777777" w:rsidR="002530E2" w:rsidRDefault="002530E2">
            <w:pPr>
              <w:spacing w:after="0" w:line="276" w:lineRule="auto"/>
              <w:jc w:val="center"/>
            </w:pPr>
            <w:r>
              <w:rPr>
                <w:sz w:val="18"/>
                <w:szCs w:val="18"/>
              </w:rPr>
              <w:t>99.2%</w:t>
            </w:r>
          </w:p>
        </w:tc>
      </w:tr>
      <w:tr w:rsidR="002530E2" w14:paraId="3FCBB8E0"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323D6762" w14:textId="77777777" w:rsidR="002530E2" w:rsidRDefault="002530E2">
            <w:pPr>
              <w:spacing w:after="0" w:line="276" w:lineRule="auto"/>
              <w:jc w:val="center"/>
            </w:pPr>
            <w:r>
              <w:rPr>
                <w:sz w:val="18"/>
                <w:szCs w:val="18"/>
              </w:rPr>
              <w:t>9</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78B3D8DE" w14:textId="77777777" w:rsidR="002530E2" w:rsidRDefault="002530E2">
            <w:pPr>
              <w:spacing w:after="0" w:line="276" w:lineRule="auto"/>
            </w:pPr>
            <w:r>
              <w:rPr>
                <w:sz w:val="18"/>
                <w:szCs w:val="18"/>
              </w:rPr>
              <w:t>Morocco</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693A2B4" w14:textId="77777777" w:rsidR="002530E2" w:rsidRDefault="002530E2">
            <w:pPr>
              <w:spacing w:after="0" w:line="276" w:lineRule="auto"/>
            </w:pPr>
            <w:r>
              <w:rPr>
                <w:sz w:val="18"/>
                <w:szCs w:val="18"/>
              </w:rPr>
              <w:t>Situated on the “borders of the Atlantic Ocean and Mediterranean Sea”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8D59628" w14:textId="77777777" w:rsidR="002530E2" w:rsidRDefault="002530E2">
            <w:pPr>
              <w:spacing w:after="0" w:line="276" w:lineRule="auto"/>
              <w:jc w:val="center"/>
            </w:pPr>
            <w:r>
              <w:rPr>
                <w:sz w:val="18"/>
                <w:szCs w:val="18"/>
              </w:rPr>
              <w:t>Africa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4EE29F1" w14:textId="77777777" w:rsidR="002530E2" w:rsidRDefault="002530E2">
            <w:pPr>
              <w:spacing w:after="0" w:line="276" w:lineRule="auto"/>
              <w:jc w:val="center"/>
            </w:pPr>
            <w:r>
              <w:rPr>
                <w:sz w:val="18"/>
                <w:szCs w:val="18"/>
              </w:rPr>
              <w:t>99%</w:t>
            </w:r>
          </w:p>
        </w:tc>
      </w:tr>
      <w:tr w:rsidR="002530E2" w14:paraId="555504CC" w14:textId="77777777">
        <w:tc>
          <w:tcPr>
            <w:tcW w:w="43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0580374E" w14:textId="77777777" w:rsidR="002530E2" w:rsidRDefault="002530E2">
            <w:pPr>
              <w:spacing w:after="0" w:line="276" w:lineRule="auto"/>
              <w:jc w:val="center"/>
            </w:pPr>
            <w:r>
              <w:rPr>
                <w:sz w:val="18"/>
                <w:szCs w:val="18"/>
              </w:rPr>
              <w:lastRenderedPageBreak/>
              <w:t>10</w:t>
            </w:r>
          </w:p>
        </w:tc>
        <w:tc>
          <w:tcPr>
            <w:tcW w:w="118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22D65B38" w14:textId="77777777" w:rsidR="002530E2" w:rsidRDefault="002530E2">
            <w:pPr>
              <w:spacing w:after="0" w:line="276" w:lineRule="auto"/>
            </w:pPr>
            <w:r>
              <w:rPr>
                <w:sz w:val="18"/>
                <w:szCs w:val="18"/>
              </w:rPr>
              <w:t>Niger</w:t>
            </w:r>
          </w:p>
        </w:tc>
        <w:tc>
          <w:tcPr>
            <w:tcW w:w="456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4762972" w14:textId="77777777" w:rsidR="002530E2" w:rsidRDefault="002530E2">
            <w:pPr>
              <w:spacing w:after="0" w:line="276" w:lineRule="auto"/>
            </w:pPr>
            <w:r>
              <w:rPr>
                <w:sz w:val="18"/>
                <w:szCs w:val="18"/>
              </w:rPr>
              <w:t>Situated in West Africa (Wikipedia Contributors, 2022).</w:t>
            </w:r>
          </w:p>
        </w:tc>
        <w:tc>
          <w:tcPr>
            <w:tcW w:w="1095"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1420B370" w14:textId="77777777" w:rsidR="002530E2" w:rsidRDefault="002530E2">
            <w:pPr>
              <w:spacing w:after="0" w:line="276" w:lineRule="auto"/>
              <w:jc w:val="center"/>
            </w:pPr>
            <w:r>
              <w:rPr>
                <w:sz w:val="18"/>
                <w:szCs w:val="18"/>
              </w:rPr>
              <w:t>Africa</w:t>
            </w:r>
          </w:p>
        </w:tc>
        <w:tc>
          <w:tcPr>
            <w:tcW w:w="1890" w:type="dxa"/>
            <w:tcBorders>
              <w:top w:val="single" w:sz="8" w:space="0" w:color="666666"/>
              <w:left w:val="single" w:sz="8" w:space="0" w:color="666666"/>
              <w:bottom w:val="single" w:sz="8" w:space="0" w:color="666666"/>
              <w:right w:val="single" w:sz="8" w:space="0" w:color="666666"/>
            </w:tcBorders>
            <w:shd w:val="clear" w:color="auto" w:fill="auto"/>
            <w:tcMar>
              <w:top w:w="100" w:type="dxa"/>
              <w:left w:w="100" w:type="dxa"/>
              <w:bottom w:w="100" w:type="dxa"/>
              <w:right w:w="100" w:type="dxa"/>
            </w:tcMar>
          </w:tcPr>
          <w:p w14:paraId="45908BEE" w14:textId="77777777" w:rsidR="002530E2" w:rsidRDefault="002530E2">
            <w:pPr>
              <w:spacing w:after="0" w:line="276" w:lineRule="auto"/>
              <w:jc w:val="center"/>
            </w:pPr>
            <w:r>
              <w:rPr>
                <w:sz w:val="18"/>
                <w:szCs w:val="18"/>
              </w:rPr>
              <w:t>98.3%</w:t>
            </w:r>
          </w:p>
        </w:tc>
      </w:tr>
    </w:tbl>
    <w:p w14:paraId="39A5F00F" w14:textId="77777777" w:rsidR="002530E2" w:rsidRDefault="002530E2">
      <w:pPr>
        <w:pStyle w:val="Heading4"/>
      </w:pPr>
      <w:bookmarkStart w:id="262" w:name="_i2bh6g49av28" w:colFirst="0" w:colLast="0"/>
      <w:bookmarkEnd w:id="262"/>
    </w:p>
    <w:p w14:paraId="2DF74325" w14:textId="77777777" w:rsidR="002530E2" w:rsidRDefault="002530E2">
      <w:pPr>
        <w:pStyle w:val="Heading4"/>
      </w:pPr>
      <w:bookmarkStart w:id="263" w:name="_v1avkz90xqey" w:colFirst="0" w:colLast="0"/>
      <w:bookmarkEnd w:id="263"/>
      <w:r>
        <w:t>Table [Appendix (CHP:3) 003] 2: The 2021 Top Ten Countries by Highest Muslim Percentage. The author of this study developed this table based on data from worldpopulationreview.com (2022).</w:t>
      </w:r>
    </w:p>
    <w:p w14:paraId="01D7B82A" w14:textId="77777777" w:rsidR="002530E2" w:rsidRDefault="002530E2"/>
    <w:p w14:paraId="4BC0CEF1" w14:textId="77777777" w:rsidR="002530E2" w:rsidRDefault="002530E2">
      <w:r>
        <w:t>In an article by Diamant (2019) on pewresearch.org (2019) titled “The Countries with the 10 largest Christian populations and the 10 largest Muslim populations”, the Pew Research Centre (2019) reports that Christians make up 2.3 billion of the world's population, while Muslims make up 1.8 billion. Diamant (2019) points out that about 65 percent of the world's Muslims live in the 10 countries with the largest Muslim populations, while only 48 percent of the world's Christians live in those 10 countries. In other words, a majority of Christians (which make up 52 percent) live outside the 10 largest Christian countries, whereas just over a third of Muslims (which make up 35 percent) live outside of these 10 countries. See the figures below.</w:t>
      </w:r>
    </w:p>
    <w:p w14:paraId="3ECFC96C" w14:textId="77777777" w:rsidR="002530E2" w:rsidRDefault="002530E2">
      <w:pPr>
        <w:pStyle w:val="Heading3"/>
        <w:jc w:val="center"/>
      </w:pPr>
      <w:bookmarkStart w:id="264" w:name="_qg1go5p9q5fo" w:colFirst="0" w:colLast="0"/>
      <w:bookmarkEnd w:id="264"/>
      <w:r>
        <w:rPr>
          <w:noProof/>
        </w:rPr>
        <w:drawing>
          <wp:inline distT="114300" distB="114300" distL="114300" distR="114300" wp14:anchorId="5BA32EE3" wp14:editId="1E4A9069">
            <wp:extent cx="4730400" cy="3538773"/>
            <wp:effectExtent l="12700" t="12700" r="12700" b="12700"/>
            <wp:docPr id="1180707434" name="Picture 1180707434"/>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730400" cy="3538773"/>
                    </a:xfrm>
                    <a:prstGeom prst="rect">
                      <a:avLst/>
                    </a:prstGeom>
                    <a:ln w="12700">
                      <a:solidFill>
                        <a:srgbClr val="999999"/>
                      </a:solidFill>
                      <a:prstDash val="solid"/>
                    </a:ln>
                  </pic:spPr>
                </pic:pic>
              </a:graphicData>
            </a:graphic>
          </wp:inline>
        </w:drawing>
      </w:r>
    </w:p>
    <w:p w14:paraId="446F04DB" w14:textId="77777777" w:rsidR="002530E2" w:rsidRDefault="002530E2">
      <w:pPr>
        <w:pStyle w:val="Heading4"/>
      </w:pPr>
      <w:bookmarkStart w:id="265" w:name="_pvgdn81xa9el" w:colFirst="0" w:colLast="0"/>
      <w:bookmarkEnd w:id="265"/>
      <w:r>
        <w:t>Figure [Appendix (CHP:3) 003] 2: “10 largest Muslim populations” adapted from the Pew Research Report (2019); image source: pewresearch.org (2019).</w:t>
      </w:r>
    </w:p>
    <w:p w14:paraId="721A307B" w14:textId="77777777" w:rsidR="002530E2" w:rsidRDefault="002530E2"/>
    <w:p w14:paraId="71C2C03D" w14:textId="77777777" w:rsidR="002530E2" w:rsidRDefault="002530E2">
      <w:pPr>
        <w:pStyle w:val="Heading2"/>
        <w:spacing w:before="0"/>
      </w:pPr>
      <w:bookmarkStart w:id="266" w:name="_56hk8uh7rb3o" w:colFirst="0" w:colLast="0"/>
      <w:bookmarkEnd w:id="266"/>
      <w:r>
        <w:lastRenderedPageBreak/>
        <w:t>MUSLIMS &amp; WORLD ECONOMY</w:t>
      </w:r>
    </w:p>
    <w:p w14:paraId="5755D12E" w14:textId="77777777" w:rsidR="002530E2" w:rsidRDefault="002530E2">
      <w:r>
        <w:t xml:space="preserve">Muslims play a significant role in the world economy in various ways. Muslims make up 24% of the global population, making them a large consumer market for various industries. </w:t>
      </w:r>
    </w:p>
    <w:p w14:paraId="1246B6A4" w14:textId="77777777" w:rsidR="002530E2" w:rsidRDefault="002530E2">
      <w:r>
        <w:t>The economic significance of Muslims lies in their population size, consumer behaviour, demand for halal products and services, participation in the finance sector, contribution to the workforce, and philanthropic endeavours. Recognising and catering to the needs of this diverse and growing demographic presents substantial opportunities for businesses, industries, and economies around the world. Muslim consumers and Muslim-majority regions present significant business opportunities for multinational corporations. Understanding the cultural, religious, and economic aspects of these regions allows companies to tailor their products, services, marketing strategies, and corporate initiatives to effectively tap into these markets and build long-term relationships with Muslim consumers.</w:t>
      </w:r>
    </w:p>
    <w:p w14:paraId="3DD97EC1" w14:textId="77777777" w:rsidR="002530E2" w:rsidRDefault="002530E2">
      <w:pPr>
        <w:pStyle w:val="Heading2"/>
        <w:spacing w:before="0"/>
      </w:pPr>
      <w:bookmarkStart w:id="267" w:name="_ylosad6tbcl9" w:colFirst="0" w:colLast="0"/>
      <w:bookmarkEnd w:id="267"/>
      <w:r>
        <w:t>MUSLIM MARKETS</w:t>
      </w:r>
    </w:p>
    <w:p w14:paraId="5BE08F66" w14:textId="77777777" w:rsidR="002530E2" w:rsidRDefault="002530E2">
      <w:r>
        <w:t>Muslim markets refer to regions and countries with significant Muslim populations where businesses target their products, services, and marketing strategies to cater to the specific needs and preferences of Muslim consumers. These markets are spread across various regions, including: Middle East and North Africa (Saudi Arabia, the United Arab Emirates, Egypt, Turkey, and Qatar with substantial Muslim populations and strong economies), Southeast Asia (Indonesia, Malaysia, Brunei, and parts of the Philippines with sizable Muslim populations and vibrant consumer markets), South Asia (Pakistan and Bangladesh have large Muslim populations, making them important markets for businesses), Sub-saharan Africa (countries such as Nigeria, Senegal, and Sudan with significant Muslim populations, offering potential business opportunities), and the Muslim diaspora (found in non-muslim-majority countries, including western Europe, North America, Australia, and parts of Latin America that present market opportunities and have specific consumer needs).</w:t>
      </w:r>
    </w:p>
    <w:p w14:paraId="50EA1B5D" w14:textId="77777777" w:rsidR="002530E2" w:rsidRDefault="002530E2">
      <w:r>
        <w:t xml:space="preserve">The Muslim markets hold significant worth to multinational businesses and the global economy. Muslim populations collectively represent a significant consumer market. With over 1.9 billion Muslims worldwide, businesses that cater to the needs and preferences of Muslim consumers can tap into a vast customer base. The worth of Muslim markets to multinational businesses and the world economy is significant, with the potential for revenue generation, market expansion, job creation, and economic development. </w:t>
      </w:r>
    </w:p>
    <w:p w14:paraId="40289A6C" w14:textId="77777777" w:rsidR="002530E2" w:rsidRDefault="002530E2">
      <w:r>
        <w:t xml:space="preserve">The Muslim population makes up approximately 26% of the world's population, making up approximately 1.9 billion people (The Muslim 500 Index, 2022), and CNBC reports that the cosmetics industry, personal care industry, health industry, and pharmaceutical industry will see the largest growth in halal products due to the rapid growth in demand (Wentworth, 2018). </w:t>
      </w:r>
    </w:p>
    <w:p w14:paraId="70B900B1" w14:textId="77777777" w:rsidR="002530E2" w:rsidRDefault="002530E2">
      <w:r>
        <w:t xml:space="preserve">According to Lipka and Hackett (2017) via pewresearch.org (2017) and Wikipedia contributors (2022), reported in 2015, there were about 1.8 billion adherents, which make up about 24.1% of the world population, and Muslim populations are expected to rise by 70% from 1.8 billion in 2015 to nearly 3 billion in 2060, as world populations rise by 32% in the coming decades. See the figure from Pew Research Centre (2017) below. </w:t>
      </w:r>
    </w:p>
    <w:p w14:paraId="045C6FE1" w14:textId="77777777" w:rsidR="002530E2" w:rsidRDefault="002530E2">
      <w:pPr>
        <w:jc w:val="center"/>
      </w:pPr>
      <w:r>
        <w:rPr>
          <w:noProof/>
        </w:rPr>
        <w:lastRenderedPageBreak/>
        <w:drawing>
          <wp:inline distT="114300" distB="114300" distL="114300" distR="114300" wp14:anchorId="2D92CCBC" wp14:editId="73C511CC">
            <wp:extent cx="2952750" cy="2943225"/>
            <wp:effectExtent l="0" t="0" r="0" b="0"/>
            <wp:docPr id="1481584251" name="Picture 1481584251"/>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2952750" cy="2943225"/>
                    </a:xfrm>
                    <a:prstGeom prst="rect">
                      <a:avLst/>
                    </a:prstGeom>
                    <a:ln/>
                  </pic:spPr>
                </pic:pic>
              </a:graphicData>
            </a:graphic>
          </wp:inline>
        </w:drawing>
      </w:r>
    </w:p>
    <w:p w14:paraId="693CBBAA" w14:textId="77777777" w:rsidR="002530E2" w:rsidRDefault="002530E2">
      <w:pPr>
        <w:pStyle w:val="Heading4"/>
      </w:pPr>
      <w:bookmarkStart w:id="268" w:name="_sqjmsejhe4pr" w:colFirst="0" w:colLast="0"/>
      <w:bookmarkEnd w:id="268"/>
      <w:r>
        <w:t>Figure [Appendix (CHP:3) 003] 3: An estimation by pewresearch.org (2017) of Muslim numbers to increase by 70% (from 1.8 billion between 2015 to nearly 3 billion in 2060), adapted from Lipka and Hackett (2017).</w:t>
      </w:r>
    </w:p>
    <w:p w14:paraId="59F85A0C" w14:textId="77777777" w:rsidR="002530E2" w:rsidRDefault="002530E2">
      <w:r>
        <w:t xml:space="preserve">The fastest-growing religion in the world based on its number of converts per year is Islam, and in 2011, it was predicted that the world's Muslim population would grow twice as fast as non-Muslims over the next 20 years (between 2012 and 2022); the Muslim population globally will be about a quarter of the world's population within a generation (Guinness Book of World Records, 2009). </w:t>
      </w:r>
    </w:p>
    <w:p w14:paraId="27A370C7" w14:textId="77777777" w:rsidR="002530E2" w:rsidRDefault="002530E2">
      <w:r>
        <w:t xml:space="preserve">Temporal (2011) who wrote the first book on ‘Islamic branding’, points out that there have only been a few market research companies that have published information on the Muslim market in recent years. In 2009, the Pew Forum on Religion &amp; Public Life provided the only firm and accurate estimates of the size and distribution of the Muslim population. </w:t>
      </w:r>
    </w:p>
    <w:p w14:paraId="442A43C8" w14:textId="77777777" w:rsidR="002530E2" w:rsidRDefault="002530E2">
      <w:r>
        <w:t xml:space="preserve">Temporal (2011) suggested that the Gallup Coexist Index and JWT pioneered some reports since 2007 that indicated “How different Muslim populations behave.” According to The Diversity Mine Education News Desk (2009), ‘The Gallup Coexist Index 2009’ was a 2009 global study focused on interfaith relations that collected data by the Gallup World Poll, a continuous survey of residents in more than 140 countries and regions that represents the views of 95% of the world's population. The Gallup Organisation is into global analytics and advisory, which provides analysis and advice to help leaders and organisations address their most complex and pressing marketing research challenges (Gallup, Inc., 2022). James Walter Thompson aka JWT was a holding company specialising in advertising and market research, incorporated in 1896 (Wikipedia contributors, 2022). </w:t>
      </w:r>
    </w:p>
    <w:p w14:paraId="2477200E" w14:textId="77777777" w:rsidR="002530E2" w:rsidRDefault="002530E2">
      <w:r>
        <w:t xml:space="preserve">A. T. Kearney (2007) pointed out that in addition to the global Muslim population being a significant percentage of the entire world population, the market for Shariah-compliant products and services that are compliant with Islamic Law is projected to be worth USD $2 trillion annually between 2008 and 2030 (which is over a period of the next 22 years). In the process of developing, Muslim countries and communities have an essential need to establish their own brands in the outside world (A. T. Kearney, 2007).Headquartered in Chicago, Illinois, A.T. Kearney is an American consulting firm </w:t>
      </w:r>
      <w:r>
        <w:lastRenderedPageBreak/>
        <w:t>that has been advising companies, governments, and institutions around the world on issues relating to the CEO agenda since 1899 (Forbes Magazine, 2019), and it is also listed on the Forbes 2022 list of America's Best Management Consulting Firms (Forbes Magazine, 2022).</w:t>
      </w:r>
    </w:p>
    <w:p w14:paraId="09158F1B" w14:textId="77777777" w:rsidR="002530E2" w:rsidRDefault="002530E2">
      <w:r>
        <w:t xml:space="preserve">According to an analysis by Young (2008) on the growth of the Islamic market and opportunities for Muslim consumers, he concludes that the fastest-growing faith in the world is Islam, at a very rapid 2.9%, and by 2025, it is expected to surpass Christianity in terms of membership, making it the second largest religion in the world. Young (2008) quotes “A market of 1.6 billion people that has scarcely been tapped, Muslim consumers offer enormous potential to Western marketers—but only if their values are fully understood.” </w:t>
      </w:r>
    </w:p>
    <w:p w14:paraId="1B1FC65E" w14:textId="77777777" w:rsidR="002530E2" w:rsidRDefault="002530E2">
      <w:r>
        <w:t xml:space="preserve">Roberts (2010) argues that Muslim consumers are a growing market for mainstream brands because they are incredibly loyal and influential, making them a desirable market, but marketing to them requires more than just launching Sharia-compliant products. If brands and businesses want to succeed in this sector, one needs to have a thorough understanding of the values of the community. </w:t>
      </w:r>
    </w:p>
    <w:p w14:paraId="2D09C989" w14:textId="77777777" w:rsidR="002530E2" w:rsidRDefault="002530E2">
      <w:r>
        <w:t>Roberts (2010) lists Muslim consumer facts as listed below.</w:t>
      </w:r>
    </w:p>
    <w:p w14:paraId="6B8547E3" w14:textId="77777777" w:rsidR="002530E2" w:rsidRDefault="002530E2" w:rsidP="002530E2">
      <w:pPr>
        <w:numPr>
          <w:ilvl w:val="0"/>
          <w:numId w:val="98"/>
        </w:numPr>
        <w:spacing w:after="200" w:line="360" w:lineRule="auto"/>
        <w:jc w:val="both"/>
      </w:pPr>
      <w:r>
        <w:t xml:space="preserve">According to predictions, by 2025, it is estimated that 30% of the world's population will be Muslim. </w:t>
      </w:r>
    </w:p>
    <w:p w14:paraId="7323B55D" w14:textId="77777777" w:rsidR="002530E2" w:rsidRDefault="002530E2" w:rsidP="002530E2">
      <w:pPr>
        <w:numPr>
          <w:ilvl w:val="0"/>
          <w:numId w:val="96"/>
        </w:numPr>
        <w:spacing w:after="200" w:line="360" w:lineRule="auto"/>
        <w:jc w:val="both"/>
      </w:pPr>
      <w:r>
        <w:t>According to the Pew Business Centre, in the US, 1.57 billion Muslims live in the world today, and the UK's Muslim population makes up 1.8 million approximately.</w:t>
      </w:r>
    </w:p>
    <w:p w14:paraId="3BF1B230" w14:textId="77777777" w:rsidR="002530E2" w:rsidRDefault="002530E2" w:rsidP="002530E2">
      <w:pPr>
        <w:numPr>
          <w:ilvl w:val="0"/>
          <w:numId w:val="88"/>
        </w:numPr>
        <w:spacing w:after="200" w:line="360" w:lineRule="auto"/>
        <w:jc w:val="both"/>
      </w:pPr>
      <w:r>
        <w:t>A 2004 survey conducted by the Home Office UK found that 74% of Muslims aged 16 to 24 self-identify by their religious faith and not by their race.</w:t>
      </w:r>
    </w:p>
    <w:p w14:paraId="424DA997" w14:textId="77777777" w:rsidR="002530E2" w:rsidRDefault="002530E2" w:rsidP="002530E2">
      <w:pPr>
        <w:numPr>
          <w:ilvl w:val="0"/>
          <w:numId w:val="127"/>
        </w:numPr>
        <w:spacing w:after="200" w:line="360" w:lineRule="auto"/>
        <w:jc w:val="both"/>
      </w:pPr>
      <w:r>
        <w:t>The value of Islamic law compliant products and services is £1.3 trillion (US $2 trillion) a year.</w:t>
      </w:r>
    </w:p>
    <w:p w14:paraId="386FCAA4" w14:textId="77777777" w:rsidR="002530E2" w:rsidRDefault="002530E2" w:rsidP="002530E2">
      <w:pPr>
        <w:numPr>
          <w:ilvl w:val="0"/>
          <w:numId w:val="114"/>
        </w:numPr>
        <w:spacing w:after="200" w:line="360" w:lineRule="auto"/>
        <w:jc w:val="both"/>
      </w:pPr>
      <w:r>
        <w:t>Nestlé estimates that halal accounts for 16% of the global food market at £432 billion (US $634 billion). Nestlé has a global halal product turnover of £3.2 billion (5.3 billion Swiss francs). Nestlé's sales of halal food in Europe totaled £33.33 million (55 million Swiss francs) in 2008.</w:t>
      </w:r>
    </w:p>
    <w:p w14:paraId="33BDC5AD" w14:textId="77777777" w:rsidR="002530E2" w:rsidRDefault="002530E2" w:rsidP="002530E2">
      <w:pPr>
        <w:numPr>
          <w:ilvl w:val="0"/>
          <w:numId w:val="111"/>
        </w:numPr>
        <w:spacing w:after="200" w:line="360" w:lineRule="auto"/>
        <w:jc w:val="both"/>
      </w:pPr>
      <w:r>
        <w:t>According to a study by JWT, the majority of Muslims feel ignored by mainstream brands.</w:t>
      </w:r>
    </w:p>
    <w:p w14:paraId="12555E5C" w14:textId="77777777" w:rsidR="002530E2" w:rsidRDefault="002530E2">
      <w:r>
        <w:t>Based on the Global Islamic Economy Report 2018/2019, Suleiman (2020) suggests that by 2023, the Muslim consumer market will be worth US $3 trillion. Failure to acknowledge and respond to this will be a mistake for mainstream brands.</w:t>
      </w:r>
    </w:p>
    <w:p w14:paraId="7011A119" w14:textId="77777777" w:rsidR="002530E2" w:rsidRDefault="002530E2">
      <w:r>
        <w:t xml:space="preserve">According to the State of the Global Islamic Economy Report 2020/2021, Muslim consumers globally spent over $2 trillion in 2019 (Bhaimiya, 2021). Businessinsider.com quotes, “Muslim consumers are ready to spend trillions on services that cater to their beliefs.” and “Services tailored to the ‘halal’ economy include everything from dating apps to modest fashion.” (Bhaimiya, 2021). </w:t>
      </w:r>
    </w:p>
    <w:p w14:paraId="6F5E2654" w14:textId="77777777" w:rsidR="002530E2" w:rsidRDefault="002530E2">
      <w:r>
        <w:t xml:space="preserve">Tighe (2022) reports on statista.com about the existing 2019 Muslim market value and its potential size in 2024. By 2024, the global Muslim market is predicted to grow to about US $2.4 trillion, based </w:t>
      </w:r>
      <w:r>
        <w:lastRenderedPageBreak/>
        <w:t>on the retrospective spending figures of US $2.02 trillion in 2019 across the food, travel, fashion, cosmetics, media/recreation, and pharmaceutical sectors.</w:t>
      </w:r>
    </w:p>
    <w:p w14:paraId="09F1543D" w14:textId="77777777" w:rsidR="002530E2" w:rsidRDefault="002530E2">
      <w:r>
        <w:t>Puri-Mirza (2022) reports on statista.com that Islam, being the world's second largest religion with a huge population, the market for halal products is expected to reach around 2.6 trillion dollars by 2024 and North America holds the largest share of the market value. According to estimates, the halal cosmetics market will be worth 54.16 billion U.S. dollars by 2022. Branding halal food as healthy and making organic halal food are some of the biggest opportunities for growth in the halal market. The Middle East and Africa have the largest proportion of Muslims adhering to a halal diet, with about 50% of the population following a halal diet as of 2016, and in that same year, Muslim households in Indonesia had the highest expenditure on food and beverages.</w:t>
      </w:r>
    </w:p>
    <w:p w14:paraId="0A39550C" w14:textId="77777777" w:rsidR="002530E2" w:rsidRDefault="002530E2">
      <w:pPr>
        <w:pStyle w:val="Heading2"/>
      </w:pPr>
      <w:bookmarkStart w:id="269" w:name="_ftkcwca2ee74" w:colFirst="0" w:colLast="0"/>
      <w:bookmarkEnd w:id="269"/>
      <w:r>
        <w:t>MUSLIM CONSUMPTION (CONCEPTS OF HALAL &amp; HARAM)</w:t>
      </w:r>
    </w:p>
    <w:p w14:paraId="54805944" w14:textId="77777777" w:rsidR="002530E2" w:rsidRDefault="002530E2">
      <w:r>
        <w:t xml:space="preserve">Wikipedia contributors (2022) point out that the Arabic words halal and haram in the Quran are contrasted with each other. Literally, when translated into English, while halal means permissible, haram means forbidden. </w:t>
      </w:r>
    </w:p>
    <w:p w14:paraId="5AED707A" w14:textId="77777777" w:rsidR="002530E2" w:rsidRDefault="002530E2">
      <w:r>
        <w:t>Quran Explorer (2019) suggests that in relation to the concept of halal and haram in Islam, the Islamic prophet said:</w:t>
      </w:r>
    </w:p>
    <w:p w14:paraId="6200CBF0" w14:textId="77777777" w:rsidR="002530E2" w:rsidRDefault="002530E2">
      <w:pPr>
        <w:spacing w:line="276" w:lineRule="auto"/>
        <w:ind w:left="720"/>
      </w:pPr>
      <w:r>
        <w:t xml:space="preserve">“Verily, the lawful (Halal) is clear and the unlawful (Haram) is clear, and between the two of them are doubtful matters about which many people do not know. Thus, he who avoids doubtful matters clears himself in regard to his religion and his honour, and he who falls into doubtful matters will fall into the unlawful as the shepherd who pastures near a sanctuary, all but grazing therein. Verily, every king has a sanctum and the sanctum of Allah is his prohibitions. Verily, in the body is a piece of flesh which, if sound, the entire body is sound, and if corrupt, the entire body is corrupt. Truly, it is the heart.” </w:t>
      </w:r>
    </w:p>
    <w:p w14:paraId="539CAB4D" w14:textId="77777777" w:rsidR="002530E2" w:rsidRDefault="002530E2">
      <w:pPr>
        <w:spacing w:line="276" w:lineRule="auto"/>
        <w:ind w:left="720"/>
      </w:pPr>
      <w:r>
        <w:t>[Hadith from Sahih Bukhari 52, Sahih Muslim 1599]</w:t>
      </w:r>
    </w:p>
    <w:p w14:paraId="3C647F24" w14:textId="77777777" w:rsidR="002530E2" w:rsidRDefault="002530E2">
      <w:r>
        <w:t>Quran Explorer (2019) adds that the Quran also talks about the concept of halal and haram in Islam in verses 172 and 173 of Surah Al-Baqarah, verse 3 of Surah Maidah, and verse 33 of Surah Al-Araf. In these verses, Allah says to Muslims and believers:</w:t>
      </w:r>
    </w:p>
    <w:p w14:paraId="766E5D91" w14:textId="77777777" w:rsidR="002530E2" w:rsidRDefault="002530E2">
      <w:pPr>
        <w:spacing w:line="276" w:lineRule="auto"/>
        <w:ind w:left="720"/>
      </w:pPr>
      <w:r>
        <w:t>“O you who have believed, eat from the good things which We have provided for you and be grateful to Allah if it is [indeed] Him that you worship. He has only forbidden to you dead animals, blood, the flesh of swine, and that which has been dedicated to other than Allah . But whoever is forced [by necessity], neither desiring [it] nor transgressing [its limit], there is no sin upon him. Indeed, Allah is Forgiving and Merciful.”</w:t>
      </w:r>
    </w:p>
    <w:p w14:paraId="03088D8C" w14:textId="77777777" w:rsidR="002530E2" w:rsidRDefault="002530E2">
      <w:pPr>
        <w:spacing w:line="276" w:lineRule="auto"/>
        <w:ind w:left="720"/>
      </w:pPr>
      <w:r>
        <w:t>[Quran: Chapter 2: Al Baqarah, Verses 172 &amp; 173]</w:t>
      </w:r>
    </w:p>
    <w:p w14:paraId="7A2AEFB9" w14:textId="77777777" w:rsidR="002530E2" w:rsidRDefault="002530E2">
      <w:pPr>
        <w:spacing w:line="276" w:lineRule="auto"/>
        <w:ind w:left="720"/>
      </w:pPr>
      <w:r>
        <w:t xml:space="preserve">“Prohibited to you are dead animals, blood, the flesh of swine, and that which has been dedicated to other than Allah, and [those animals] killed by strangling or by a violent blow or by a head-long fall or by the goring of horns, and those from which a wild animal has eaten, except what you [are able to] slaughter [before its death], and those which are sacrificed on </w:t>
      </w:r>
      <w:r>
        <w:lastRenderedPageBreak/>
        <w:t xml:space="preserve">stone altars, and [prohibited is] that you seek decision through divining arrows. That is grave disobedience. This day those who disbelieve have despaired of [defeating] your religion; so fear them not, but fear Me. This day I have perfected for you your religion and completed My favor upon you and have approved for you Islam as religion. But whoever is forced by severe hunger with no inclination to sin - then indeed, Allah is Forgiving and Merciful.” </w:t>
      </w:r>
    </w:p>
    <w:p w14:paraId="5C3B916E" w14:textId="77777777" w:rsidR="002530E2" w:rsidRDefault="002530E2">
      <w:pPr>
        <w:spacing w:line="276" w:lineRule="auto"/>
        <w:ind w:left="720"/>
      </w:pPr>
      <w:r>
        <w:t>[Quran: Chapter 5: Al Maidah, Verse 3]</w:t>
      </w:r>
    </w:p>
    <w:p w14:paraId="7447183A" w14:textId="77777777" w:rsidR="002530E2" w:rsidRDefault="002530E2">
      <w:pPr>
        <w:spacing w:line="276" w:lineRule="auto"/>
        <w:ind w:left="720"/>
      </w:pPr>
      <w:r>
        <w:t>Say, “My Lord has only forbidden immoralities - what is apparent of them and what is concealed - and sin, and oppression without right, and that you associate with Allah that for which He has not sent down authority, and that you say about Allah that which you do not know.”</w:t>
      </w:r>
    </w:p>
    <w:p w14:paraId="66795F28" w14:textId="77777777" w:rsidR="002530E2" w:rsidRDefault="002530E2">
      <w:pPr>
        <w:spacing w:line="276" w:lineRule="auto"/>
        <w:ind w:left="720"/>
      </w:pPr>
      <w:r>
        <w:t>[Quran: Chapter 7: Al-Araf, Verse 33]</w:t>
      </w:r>
    </w:p>
    <w:p w14:paraId="5944658F" w14:textId="77777777" w:rsidR="002530E2" w:rsidRDefault="002530E2">
      <w:r>
        <w:t xml:space="preserve">Esposito, Shahin, and Fadl (2013) suggest that the halal and haram are further elaborated by the Sharia rulings in the five decision categories (al-aḥkām al-khamsa) as covered earlier in the Sharia section. </w:t>
      </w:r>
    </w:p>
    <w:p w14:paraId="2FF90B99" w14:textId="77777777" w:rsidR="002530E2" w:rsidRDefault="002530E2">
      <w:r>
        <w:t xml:space="preserve">The halal term primarily refers to Islamic dietary laws and especially meat produced, prepared, processed, and consumed in line with those laws (Wikipedia contributors, 2022). Bonne and Verbeke (2006) emphasise that those who are Muslims are required to follow dietary laws meant to add value to the Islamic lifestyle and promote their well-being. According to these laws, alcohol, pork, blood, dead meat, and meat that has not been slaughtered in accordance with Islamic rituals are prohibited. </w:t>
      </w:r>
    </w:p>
    <w:p w14:paraId="003EAE99" w14:textId="77777777" w:rsidR="002530E2" w:rsidRDefault="002530E2">
      <w:r>
        <w:t xml:space="preserve">According to The Halal Monitoring Committee (2017), generally all food in Islam is deemed halal unless it is specifically forbidden in the Quran or Hadith. Wentworth (2018) suggests that the modern-day halal certification or halal-certified products are those that are acceptable or permissible by Islamic law, and in order to achieve the halal certification, these products must be made from an approved source, such as a cow or chicken, and slaughtered in adherence with Islamic law. </w:t>
      </w:r>
    </w:p>
    <w:p w14:paraId="7FBCD807" w14:textId="77777777" w:rsidR="002530E2" w:rsidRDefault="002530E2">
      <w:pPr>
        <w:jc w:val="center"/>
      </w:pPr>
      <w:r>
        <w:rPr>
          <w:noProof/>
        </w:rPr>
        <w:drawing>
          <wp:inline distT="0" distB="0" distL="0" distR="0" wp14:anchorId="6A48C694" wp14:editId="04F70532">
            <wp:extent cx="4243913" cy="2683198"/>
            <wp:effectExtent l="0" t="0" r="0" b="0"/>
            <wp:docPr id="1060268163" name="Picture 1060268163" descr="::figures n diagrams:1.32_halal_logos.jpg"/>
            <wp:cNvGraphicFramePr/>
            <a:graphic xmlns:a="http://schemas.openxmlformats.org/drawingml/2006/main">
              <a:graphicData uri="http://schemas.openxmlformats.org/drawingml/2006/picture">
                <pic:pic xmlns:pic="http://schemas.openxmlformats.org/drawingml/2006/picture">
                  <pic:nvPicPr>
                    <pic:cNvPr id="0" name="image2.jpg" descr="::figures n diagrams:1.32_halal_logos.jpg"/>
                    <pic:cNvPicPr preferRelativeResize="0"/>
                  </pic:nvPicPr>
                  <pic:blipFill>
                    <a:blip r:embed="rId23"/>
                    <a:srcRect/>
                    <a:stretch>
                      <a:fillRect/>
                    </a:stretch>
                  </pic:blipFill>
                  <pic:spPr>
                    <a:xfrm>
                      <a:off x="0" y="0"/>
                      <a:ext cx="4243913" cy="2683198"/>
                    </a:xfrm>
                    <a:prstGeom prst="rect">
                      <a:avLst/>
                    </a:prstGeom>
                    <a:ln/>
                  </pic:spPr>
                </pic:pic>
              </a:graphicData>
            </a:graphic>
          </wp:inline>
        </w:drawing>
      </w:r>
    </w:p>
    <w:p w14:paraId="0AB88A72" w14:textId="77777777" w:rsidR="002530E2" w:rsidRDefault="002530E2">
      <w:pPr>
        <w:pStyle w:val="Heading4"/>
      </w:pPr>
      <w:bookmarkStart w:id="270" w:name="_ab2brwggds7" w:colFirst="0" w:colLast="0"/>
      <w:bookmarkEnd w:id="270"/>
      <w:r>
        <w:lastRenderedPageBreak/>
        <w:t>Figure [Appendix (CHP:3) 003] 4: Examples of Halal trademark logos used in various countries, Source: Google Image.</w:t>
      </w:r>
    </w:p>
    <w:p w14:paraId="64A3E9B0" w14:textId="77777777" w:rsidR="002530E2" w:rsidRDefault="002530E2">
      <w:r>
        <w:t>Unicert UK (2018) explains that in order to cater to the religious requirements of 2 billion Muslims worldwide, it is crucial to ensure that products are compliant with Islamic laws and principles, and to achieve this, the use of a halal certification scheme that verifies the compliance of products with Islamic law is significant. Both Muslim and non-Muslim populations can benefit from such a certification scheme in Islamic or non-Islamic nations. Certification also aids in the differentiation of products and services by categorising what is lawful vs. what is unlawful in accordance with Islamic law regulations. Under Islamic law, halal certification is a recognised standard for products that are primarily edible, drinkable, or usable by Muslims and mainly applies to Muslim-consumed products in Islamic countries or Muslim-desired products in Western countries. Apart from the halal certification applicable to dietary products, Islamic banking and finance also need to be halal by their nature, so according to Sharia compliance, banking and financial organisations may also be halal trademarked and certified by a national halal standard certification board of a country.</w:t>
      </w:r>
    </w:p>
    <w:p w14:paraId="7F490091" w14:textId="77777777" w:rsidR="002530E2" w:rsidRDefault="002530E2">
      <w:pPr>
        <w:pStyle w:val="Heading2"/>
      </w:pPr>
      <w:bookmarkStart w:id="271" w:name="_ku5rbw505qvc" w:colFirst="0" w:colLast="0"/>
      <w:bookmarkEnd w:id="271"/>
      <w:r>
        <w:t>RELIGIOSITY &amp; MUSLIM CONSUMER BEHAVIOUR</w:t>
      </w:r>
    </w:p>
    <w:p w14:paraId="2EA7AFA4" w14:textId="77777777" w:rsidR="002530E2" w:rsidRDefault="002530E2">
      <w:r>
        <w:t xml:space="preserve">According to Hill et al. (2000), the Latin word “religio” means conscientiousness, which is the bond that exists between humanity and elements that are greater than humanity. Koening et al. (2000) defines religion “as an organised system of beliefs, practices, rituals, and symbols, which allows one to be closer to the sacred or the transcendent (God, a supreme power, ultimate reality, or truth), and to understand one’s own responsibility and relationship to others in a community.” </w:t>
      </w:r>
    </w:p>
    <w:p w14:paraId="7209EEE2" w14:textId="77777777" w:rsidR="002530E2" w:rsidRDefault="002530E2">
      <w:r>
        <w:t>Abdullah, Anuar, and Yaacob (2021) suggest that people's values and habits are influenced by their religion or faith, which in turn shape their culture. According to Hackney and Sanders (2003), religion combines cognitive, emotional, motivational, and behavioural characteristics. Several studies have stated that religion affects attitudes and how religion grows, but religion also affects their lifestyle, such as their purchasing decisions and consumption habits (Dekhil, Jridi &amp; Farhat, 2017). Increasingly,  more and more studies suggest that the decision-making processes of its adherents are influenced by their religion (Bailey &amp; Sood, 1993; Mokhlis, 2009; Wilkes, Burnett, &amp; Howell, 1986).</w:t>
      </w:r>
    </w:p>
    <w:p w14:paraId="021E38CF" w14:textId="77777777" w:rsidR="002530E2" w:rsidRDefault="002530E2">
      <w:r>
        <w:t>According to Daas (2018), many studies confirm that one way religion influences consumer behaviour is through seasonal demand for commodities because religions provide opportunities and events like festivals and rituals for consumers to participate in. Religious events or occasions such as Christmas and Easter change and affect the consumer behaviour of Christians. Similarly, events or occasions such as Ramadan, Eid Al Fitr, and Haj change and affect the consumer behaviour of Muslims. The stock market in Islamic nations has shown to perform better during Ramadan and Eid al Fitr, which indicates that religious beliefs change people's consumption patterns at different times of the year. Religion therefore has a considerable influence on consumer choices, which in turn impacts the economy and trade.</w:t>
      </w:r>
    </w:p>
    <w:p w14:paraId="5C761578" w14:textId="77777777" w:rsidR="002530E2" w:rsidRDefault="002530E2">
      <w:r>
        <w:t xml:space="preserve">According to Palmer and Gallagher (2007), religiosity is defined as “the condition of being religious.” Delener (1990; Paek, 2004) refers to religiosity as “someone's commitment to his or her religion.” Cyril De Run et al. (2010) defines religiosity as “the degree of being religious” and Stolz (2009) refers to religiosity as “individual preferences, emotions, beliefs, and actions that refer to an existing (or self-made) religion.” Abou-Youssef et al., (2015) stated that the ways in which religion shapes </w:t>
      </w:r>
      <w:r>
        <w:lastRenderedPageBreak/>
        <w:t>attitudes and religious growth is an area of interest. According to these definitions, it makes sense to consider how people who perceive religion as important may have different motivations and behaviours. For example, Sari (2015) found that people who perceive religion as significant to their lifestyle are more likely to consume products that support a cause. Moreover, Giorgi and Marsh (1990) found that religiosity, and therefore the degree of religiousness of an individual, have a positive influence on their moral behaviour.</w:t>
      </w:r>
    </w:p>
    <w:p w14:paraId="3922863F" w14:textId="77777777" w:rsidR="002530E2" w:rsidRDefault="002530E2">
      <w:r>
        <w:t xml:space="preserve">Suleiman (2020) points out that the importance of consumer self-concept, image congruence, and preferences has been emphasised in previous studies by Onkvisit and Shaw (1987), as consumer choice is directly influenced by how they perceive themselves. Onkvisit and Shaw (1987) suggest that an individual's self-image and self-concept directly affect their purchasing behaviour since the way they see themselves affects how they purchase. Marketers can improve the effectiveness of their marketing programs if they have a deeper understanding of the self-concept and self-image of consumers. </w:t>
      </w:r>
    </w:p>
    <w:p w14:paraId="7C84EDB5" w14:textId="77777777" w:rsidR="002530E2" w:rsidRDefault="002530E2">
      <w:r>
        <w:t>Islamic values influence Muslim consumption (Sari, 2015). According to a study by Alam, Mohdand Hisham (2011), Malaysian Muslim respondents are influenced by their religious beliefs (religiosity) when making purchasing decisions. In their study, they found that those respondents spend moderately in accordance with Islamic religious teachings. In other words, To put it differently, moderate consumption and wise consumption are the core principles of Muslim consumption. Modest consumption also tends to lead to less impulsive buying behaviour (Alam et al. 2011). As Hamouri (1991) points out, the characteristics of Muslim consumption can be seen in their tendency to consume the most preferred item under the conditions that Islam allows.</w:t>
      </w:r>
    </w:p>
    <w:p w14:paraId="12A03C42" w14:textId="77777777" w:rsidR="002530E2" w:rsidRDefault="002530E2">
      <w:r>
        <w:t>According to Mustafar and Borhan (2013), society is likely to follow the whims of overspending if ethics are not considered in conducting everyday business. Consequently, Islam provides a complete guideline on consumer behaviour for Muslims, so Muslims are motivated to achieve well-being in their lives.</w:t>
      </w:r>
    </w:p>
    <w:p w14:paraId="28345B10" w14:textId="77777777" w:rsidR="002530E2" w:rsidRDefault="002530E2">
      <w:r>
        <w:t>Ismail and Alias (2016) suggest that the Quran points out that the believers are prohibited by Allah from enhancing their desires with their souls to the point of being limitless, which can cause disaster. They quote the quranic verse 23 of Surah Al-Mu’minun, as presented below via Quran.com (2022):</w:t>
      </w:r>
    </w:p>
    <w:p w14:paraId="7B96394B" w14:textId="77777777" w:rsidR="002530E2" w:rsidRDefault="002530E2">
      <w:pPr>
        <w:spacing w:after="0" w:line="276" w:lineRule="auto"/>
        <w:ind w:left="720"/>
      </w:pPr>
      <w:r>
        <w:t>“Had the truth followed their desires, the heavens, the earth, and all those in them would have certainly been corrupted. In fact, We have brought them the means to their glory, but they turn away from it.”</w:t>
      </w:r>
    </w:p>
    <w:p w14:paraId="4D20F332" w14:textId="77777777" w:rsidR="002530E2" w:rsidRDefault="002530E2">
      <w:pPr>
        <w:spacing w:after="0" w:line="276" w:lineRule="auto"/>
        <w:ind w:left="720"/>
      </w:pPr>
      <w:r>
        <w:t>[Quran: Chapter 23: Al-Mu’minun, Verse 71]</w:t>
      </w:r>
    </w:p>
    <w:p w14:paraId="041EB63C" w14:textId="77777777" w:rsidR="002530E2" w:rsidRDefault="002530E2">
      <w:pPr>
        <w:spacing w:after="0" w:line="276" w:lineRule="auto"/>
        <w:ind w:left="720"/>
      </w:pPr>
    </w:p>
    <w:p w14:paraId="2941D2F2" w14:textId="77777777" w:rsidR="002530E2" w:rsidRDefault="002530E2">
      <w:pPr>
        <w:spacing w:after="0" w:line="240" w:lineRule="auto"/>
      </w:pPr>
    </w:p>
    <w:p w14:paraId="5D465BC3" w14:textId="77777777" w:rsidR="002530E2" w:rsidRDefault="002530E2">
      <w:r>
        <w:t>Ismail and Alias (2016) add that, according to the Quran, it is forbidden to follow the desires of Christians and Jews as it leads to lust and human lust. They quote Quranic verse 71 of Surah Al-Baqarah, as presented below via Quran.com (2022):</w:t>
      </w:r>
    </w:p>
    <w:p w14:paraId="6F3B3D7A" w14:textId="77777777" w:rsidR="002530E2" w:rsidRDefault="002530E2">
      <w:pPr>
        <w:spacing w:after="0" w:line="276" w:lineRule="auto"/>
        <w:ind w:left="720"/>
      </w:pPr>
      <w:r>
        <w:t>“O believers! Do not waste your charity with reminders of your generosity or hurtful words, like those who donate their wealth just to show off and do not believe in Allah or the Last Day. Their example is that of a hard barren rock covered with a thin layer of soil hit by a strong rain—leaving it just a bare stone. Such people are unable to preserve the reward of their charity. Allah does not guide ˹such˺ disbelieving people.”</w:t>
      </w:r>
    </w:p>
    <w:p w14:paraId="4EB251E7" w14:textId="77777777" w:rsidR="002530E2" w:rsidRDefault="002530E2">
      <w:pPr>
        <w:spacing w:after="0" w:line="276" w:lineRule="auto"/>
        <w:ind w:left="720"/>
      </w:pPr>
      <w:r>
        <w:lastRenderedPageBreak/>
        <w:t>[Quran: Chapter 2: Al-Baqarah, Verse 71]</w:t>
      </w:r>
    </w:p>
    <w:p w14:paraId="29FCEA01" w14:textId="77777777" w:rsidR="002530E2" w:rsidRDefault="002530E2">
      <w:pPr>
        <w:spacing w:after="0" w:line="276" w:lineRule="auto"/>
        <w:ind w:left="720"/>
      </w:pPr>
    </w:p>
    <w:p w14:paraId="66A9EF18" w14:textId="77777777" w:rsidR="002530E2" w:rsidRDefault="002530E2">
      <w:pPr>
        <w:spacing w:after="0" w:line="240" w:lineRule="auto"/>
      </w:pPr>
    </w:p>
    <w:p w14:paraId="2046578B" w14:textId="77777777" w:rsidR="002530E2" w:rsidRDefault="002530E2">
      <w:r>
        <w:t>One of the characteristics of Muslims is social solidarity (Alatas (2007), as Islam encourages brotherhood and many Muslims around the world see themselves as parts of one ummah (Wilson et al., 2013).</w:t>
      </w:r>
    </w:p>
    <w:p w14:paraId="45993195" w14:textId="77777777" w:rsidR="002530E2" w:rsidRDefault="002530E2">
      <w:pPr>
        <w:pStyle w:val="Heading2"/>
        <w:spacing w:before="0"/>
      </w:pPr>
      <w:bookmarkStart w:id="272" w:name="_kkisbzvb43mc" w:colFirst="0" w:colLast="0"/>
      <w:bookmarkEnd w:id="272"/>
      <w:r>
        <w:t>MUSLIM CONSUMER BEHAVIOUR</w:t>
      </w:r>
    </w:p>
    <w:p w14:paraId="211002EA" w14:textId="77777777" w:rsidR="002530E2" w:rsidRDefault="002530E2">
      <w:pPr>
        <w:spacing w:before="240" w:after="240"/>
      </w:pPr>
      <w:r>
        <w:t>Muslim consumer behaviour refers to the actions, preferences, and decision-making processes exhibited by Muslim consumers. It is influenced by their religious beliefs, cultural values, and individual characteristics. Here are some key aspects of Muslim consumer behaviour:</w:t>
      </w:r>
    </w:p>
    <w:p w14:paraId="7E4C800E" w14:textId="77777777" w:rsidR="002530E2" w:rsidRDefault="002530E2" w:rsidP="002530E2">
      <w:pPr>
        <w:numPr>
          <w:ilvl w:val="0"/>
          <w:numId w:val="85"/>
        </w:numPr>
        <w:spacing w:before="240" w:after="200" w:line="360" w:lineRule="auto"/>
        <w:jc w:val="both"/>
      </w:pPr>
      <w:r>
        <w:t>Halal Consumption: Halal is a central consideration for Muslim consumers. They seek products and services that are halal, meaning they are permissible according to Islamic dietary laws and ethical standards. Halal certification plays a crucial role in their consumption choices, ensuring that the products they purchase meet their religious obligations.</w:t>
      </w:r>
    </w:p>
    <w:p w14:paraId="57D98A00" w14:textId="77777777" w:rsidR="002530E2" w:rsidRDefault="002530E2" w:rsidP="002530E2">
      <w:pPr>
        <w:numPr>
          <w:ilvl w:val="0"/>
          <w:numId w:val="85"/>
        </w:numPr>
        <w:spacing w:after="200" w:line="360" w:lineRule="auto"/>
        <w:jc w:val="both"/>
      </w:pPr>
      <w:r>
        <w:t>Modesty and Islamic Fashion: Muslim consumers often prioritise modesty in their clothing choices. They seek clothing that aligns with Islamic guidelines and cultural norms of modesty, including hijabs, abayas, and modest swimwear. The growing demand for Islamic fashion has led to the emergence of modest fashion brands and designers.</w:t>
      </w:r>
    </w:p>
    <w:p w14:paraId="4F901803" w14:textId="77777777" w:rsidR="002530E2" w:rsidRDefault="002530E2" w:rsidP="002530E2">
      <w:pPr>
        <w:numPr>
          <w:ilvl w:val="0"/>
          <w:numId w:val="85"/>
        </w:numPr>
        <w:spacing w:after="200" w:line="360" w:lineRule="auto"/>
        <w:jc w:val="both"/>
      </w:pPr>
      <w:r>
        <w:t>Ethical and socially responsible consumption: Muslim consumers are increasingly conscious of ethical and socially responsible consumption. They consider the environmental impact, fair trade practices, and labour conditions associated with products and brands. They may favour brands that demonstrate commitment to social responsibility, sustainability, and ethical business practices.</w:t>
      </w:r>
    </w:p>
    <w:p w14:paraId="65F60826" w14:textId="77777777" w:rsidR="002530E2" w:rsidRDefault="002530E2" w:rsidP="002530E2">
      <w:pPr>
        <w:numPr>
          <w:ilvl w:val="0"/>
          <w:numId w:val="85"/>
        </w:numPr>
        <w:spacing w:after="200" w:line="360" w:lineRule="auto"/>
        <w:jc w:val="both"/>
      </w:pPr>
      <w:r>
        <w:t>Faith-Based Decision Making: Religious beliefs and values heavily influence the decision-making process of Muslim consumers. They consider the compatibility of products and services with Islamic principles such as honesty, fairness, and social justice. Islamic teachings shape their attitudes towards business practices, marketing messages, and consumption choices.</w:t>
      </w:r>
    </w:p>
    <w:p w14:paraId="2AA38A93" w14:textId="77777777" w:rsidR="002530E2" w:rsidRDefault="002530E2" w:rsidP="002530E2">
      <w:pPr>
        <w:numPr>
          <w:ilvl w:val="0"/>
          <w:numId w:val="85"/>
        </w:numPr>
        <w:spacing w:after="200" w:line="360" w:lineRule="auto"/>
        <w:jc w:val="both"/>
      </w:pPr>
      <w:r>
        <w:t>Word-of-mouth and community influence: Muslim consumers often rely on word-of-mouth recommendations and the experiences of their community members when making purchasing decisions. They value the opinions and experiences shared within their social networks and seek advice from trusted sources, including family, friends, and religious leaders.</w:t>
      </w:r>
    </w:p>
    <w:p w14:paraId="5F07EB0A" w14:textId="77777777" w:rsidR="002530E2" w:rsidRDefault="002530E2" w:rsidP="002530E2">
      <w:pPr>
        <w:numPr>
          <w:ilvl w:val="0"/>
          <w:numId w:val="85"/>
        </w:numPr>
        <w:spacing w:after="200" w:line="360" w:lineRule="auto"/>
        <w:jc w:val="both"/>
      </w:pPr>
      <w:r>
        <w:lastRenderedPageBreak/>
        <w:t>Digital Engagement: Muslim consumers are increasingly connected through digital platforms and social media. They actively seek information, reviews, and recommendations online before making purchasing decisions. Social media influencers, bloggers, and online communities play a significant role in shaping their preferences and influencing their consumption choices.</w:t>
      </w:r>
    </w:p>
    <w:p w14:paraId="4DD0BCF8" w14:textId="77777777" w:rsidR="002530E2" w:rsidRDefault="002530E2" w:rsidP="002530E2">
      <w:pPr>
        <w:numPr>
          <w:ilvl w:val="0"/>
          <w:numId w:val="85"/>
        </w:numPr>
        <w:spacing w:before="240" w:after="200" w:line="360" w:lineRule="auto"/>
        <w:jc w:val="both"/>
      </w:pPr>
      <w:r>
        <w:t>Cultural Sensitivity: Muslim consumers appreciate brands and marketing messages that demonstrate cultural sensitivity and understanding. They respond positively to campaigns that accurately represent Islamic traditions, values, and diversity. Brands that reflect and celebrate the cultural nuances of the Muslim consumer segment are more likely to resonate with this audience.</w:t>
      </w:r>
    </w:p>
    <w:p w14:paraId="5BEE43DE" w14:textId="77777777" w:rsidR="002530E2" w:rsidRDefault="002530E2">
      <w:pPr>
        <w:spacing w:before="240" w:after="240"/>
      </w:pPr>
      <w:r>
        <w:t>Understanding Muslim consumer behaviour is essential for businesses targeting the Muslim market. By recognising and respecting their religious and cultural values, businesses can develop products, services, and marketing strategies that align with the behaviour and preferences of Muslim consumers, leading to stronger customer relationships and business growth.</w:t>
      </w:r>
    </w:p>
    <w:p w14:paraId="5EAE8A51" w14:textId="77777777" w:rsidR="002530E2" w:rsidRDefault="002530E2">
      <w:pPr>
        <w:pStyle w:val="Heading2"/>
        <w:spacing w:before="0"/>
      </w:pPr>
      <w:bookmarkStart w:id="273" w:name="_xms13e4xbyp5" w:colFirst="0" w:colLast="0"/>
      <w:bookmarkEnd w:id="273"/>
      <w:r>
        <w:t>MUSLIM CONSUMER SEGMENTATION</w:t>
      </w:r>
    </w:p>
    <w:p w14:paraId="68FD2A21" w14:textId="77777777" w:rsidR="002530E2" w:rsidRDefault="002530E2">
      <w:pPr>
        <w:spacing w:before="240" w:after="240"/>
      </w:pPr>
      <w:r>
        <w:t>Muslim consumer segmentation refers to the process of categorising Muslim consumers into distinct groups based on shared characteristics, behaviours, and preferences. This segmentation allows businesses to better understand and target specific segments within the Muslim consumer market. Here are some common approaches to Muslim consumer segmentation:</w:t>
      </w:r>
    </w:p>
    <w:p w14:paraId="5346129F" w14:textId="77777777" w:rsidR="002530E2" w:rsidRDefault="002530E2" w:rsidP="002530E2">
      <w:pPr>
        <w:numPr>
          <w:ilvl w:val="0"/>
          <w:numId w:val="128"/>
        </w:numPr>
        <w:spacing w:before="240" w:after="200" w:line="360" w:lineRule="auto"/>
        <w:jc w:val="both"/>
      </w:pPr>
      <w:r>
        <w:t>Halal Segmentation: This segmentation is based on the degree of adherence to halal requirements. It considers consumers who strictly adhere to halal standards, those who prioritise halal but may be more flexible in certain situations, and those who have a general awareness of halal but do not actively seek halal-certified products.</w:t>
      </w:r>
    </w:p>
    <w:p w14:paraId="42454769" w14:textId="77777777" w:rsidR="002530E2" w:rsidRDefault="002530E2" w:rsidP="002530E2">
      <w:pPr>
        <w:numPr>
          <w:ilvl w:val="0"/>
          <w:numId w:val="128"/>
        </w:numPr>
        <w:spacing w:after="200" w:line="360" w:lineRule="auto"/>
        <w:jc w:val="both"/>
      </w:pPr>
      <w:r>
        <w:t>Demographic Segmentation: This approach involves segmenting Muslim consumers based on demographic factors such as age, gender, income, education, and geographic location. Different age groups, genders, and income levels may have distinct needs, preferences, and consumption patterns.</w:t>
      </w:r>
    </w:p>
    <w:p w14:paraId="76D16554" w14:textId="77777777" w:rsidR="002530E2" w:rsidRDefault="002530E2" w:rsidP="002530E2">
      <w:pPr>
        <w:numPr>
          <w:ilvl w:val="0"/>
          <w:numId w:val="128"/>
        </w:numPr>
        <w:spacing w:after="200" w:line="360" w:lineRule="auto"/>
        <w:jc w:val="both"/>
      </w:pPr>
      <w:r>
        <w:t>Cultural and Ethnic Segmentation: Muslim consumers come from diverse cultural backgrounds and ethnicities. Segmenting based on cultural and ethnic factors allows businesses to target specific subgroups within the Muslim consumer market, taking into account their unique cultural traditions, preferences, and purchasing behaviours.</w:t>
      </w:r>
    </w:p>
    <w:p w14:paraId="5A292DB7" w14:textId="77777777" w:rsidR="002530E2" w:rsidRDefault="002530E2" w:rsidP="002530E2">
      <w:pPr>
        <w:numPr>
          <w:ilvl w:val="0"/>
          <w:numId w:val="128"/>
        </w:numPr>
        <w:spacing w:after="200" w:line="360" w:lineRule="auto"/>
        <w:jc w:val="both"/>
      </w:pPr>
      <w:r>
        <w:lastRenderedPageBreak/>
        <w:t>Lifestyle Segmentation: This approach segments Muslim consumers based on their lifestyle choices, interests, and activities. It considers factors such as health and wellness, fashion and beauty preferences, travel behaviour, and entertainment choices. Lifestyle segmentation helps businesses tailor their offerings to specific consumer segments with shared lifestyle characteristics.</w:t>
      </w:r>
    </w:p>
    <w:p w14:paraId="78CBBC63" w14:textId="77777777" w:rsidR="002530E2" w:rsidRDefault="002530E2" w:rsidP="002530E2">
      <w:pPr>
        <w:numPr>
          <w:ilvl w:val="0"/>
          <w:numId w:val="128"/>
        </w:numPr>
        <w:spacing w:after="200" w:line="360" w:lineRule="auto"/>
        <w:jc w:val="both"/>
      </w:pPr>
      <w:r>
        <w:t>Psychographic Segmentation: Psychographic segmentation focuses on the psychological and behavioural characteristics of Muslim consumers. It considers factors such as attitudes, values, motivations, and opinions. This approach helps businesses understand the underlying beliefs, aspirations, and needs that drive consumer behaviour.</w:t>
      </w:r>
    </w:p>
    <w:p w14:paraId="3B072C48" w14:textId="77777777" w:rsidR="002530E2" w:rsidRDefault="002530E2" w:rsidP="002530E2">
      <w:pPr>
        <w:numPr>
          <w:ilvl w:val="0"/>
          <w:numId w:val="128"/>
        </w:numPr>
        <w:spacing w:after="200" w:line="360" w:lineRule="auto"/>
        <w:jc w:val="both"/>
      </w:pPr>
      <w:r>
        <w:t>Generation-based Segmentation: Different generations of Muslim consumers may exhibit distinct preferences and behaviours. Segmenting by generations such as Millennials, Generation Z, Generation X, and Baby Boomers allows businesses to target specific age groups with tailored marketing strategies and product offerings.</w:t>
      </w:r>
    </w:p>
    <w:p w14:paraId="1D3AABFC" w14:textId="77777777" w:rsidR="002530E2" w:rsidRDefault="002530E2" w:rsidP="002530E2">
      <w:pPr>
        <w:numPr>
          <w:ilvl w:val="0"/>
          <w:numId w:val="128"/>
        </w:numPr>
        <w:spacing w:before="240" w:after="200" w:line="360" w:lineRule="auto"/>
        <w:jc w:val="both"/>
      </w:pPr>
      <w:r>
        <w:t>Geographic Segmentation: Geographic segmentation involves segmenting Muslim consumers based on their geographic location. This can be done at various levels, such as country, region, or city, to account for cultural and contextual differences in consumer behaviour.</w:t>
      </w:r>
    </w:p>
    <w:p w14:paraId="6EE4B69D" w14:textId="77777777" w:rsidR="002530E2" w:rsidRDefault="002530E2">
      <w:pPr>
        <w:spacing w:before="240" w:after="240"/>
      </w:pPr>
      <w:r>
        <w:t>It is important to note that these segmentation approaches can be used individually or in combination, depending on the specific objectives and market characteristics. Effective segmentation enables businesses to develop targeted marketing strategies, create relevant product offerings, and establish stronger connections with different segments within the Muslim consumer market.</w:t>
      </w:r>
    </w:p>
    <w:p w14:paraId="573E9D98" w14:textId="77777777" w:rsidR="002530E2" w:rsidRDefault="002530E2">
      <w:pPr>
        <w:pStyle w:val="Heading2"/>
        <w:spacing w:before="0"/>
      </w:pPr>
      <w:bookmarkStart w:id="274" w:name="_epf775j8vw0y" w:colFirst="0" w:colLast="0"/>
      <w:bookmarkEnd w:id="274"/>
      <w:r>
        <w:t>MUSLIM CONSUMER NEEDS AND WANTS</w:t>
      </w:r>
    </w:p>
    <w:p w14:paraId="1830B41A" w14:textId="77777777" w:rsidR="002530E2" w:rsidRDefault="002530E2">
      <w:pPr>
        <w:spacing w:before="240" w:after="240"/>
      </w:pPr>
      <w:r>
        <w:t>Muslim consumers' needs and wants are influenced by their religious beliefs, cultural values, and personal preferences. While individual preferences can vary, there are certain common needs and wants that are often observed among Muslim consumers. Here are some key considerations:</w:t>
      </w:r>
    </w:p>
    <w:p w14:paraId="1F7A01CB" w14:textId="77777777" w:rsidR="002530E2" w:rsidRDefault="002530E2" w:rsidP="002530E2">
      <w:pPr>
        <w:numPr>
          <w:ilvl w:val="0"/>
          <w:numId w:val="84"/>
        </w:numPr>
        <w:spacing w:before="240" w:after="200" w:line="360" w:lineRule="auto"/>
        <w:jc w:val="both"/>
      </w:pPr>
      <w:r>
        <w:t>Halal Products: Halal refers to products that are permissible and comply with Islamic dietary laws. Muslim consumers have a need for halal food, beverages, and ingredients that are prepared according to Islamic guidelines. This includes ensuring that the food does not contain pork, alcohol, or any other forbidden ingredients.</w:t>
      </w:r>
    </w:p>
    <w:p w14:paraId="26A39300" w14:textId="77777777" w:rsidR="002530E2" w:rsidRDefault="002530E2" w:rsidP="002530E2">
      <w:pPr>
        <w:numPr>
          <w:ilvl w:val="0"/>
          <w:numId w:val="84"/>
        </w:numPr>
        <w:spacing w:after="200" w:line="360" w:lineRule="auto"/>
        <w:jc w:val="both"/>
      </w:pPr>
      <w:r>
        <w:t xml:space="preserve">Modest Clothing: Modesty is an important value in Islam, and Muslim consumers often seek clothing that aligns with their modesty preferences. There is a demand for modest clothing </w:t>
      </w:r>
      <w:r>
        <w:lastRenderedPageBreak/>
        <w:t>and modest fashion options, including clothing that covers the body adequately, hijabs (headscarves), and modest swimwear.</w:t>
      </w:r>
    </w:p>
    <w:p w14:paraId="6C4B4110" w14:textId="77777777" w:rsidR="002530E2" w:rsidRDefault="002530E2" w:rsidP="002530E2">
      <w:pPr>
        <w:numPr>
          <w:ilvl w:val="0"/>
          <w:numId w:val="84"/>
        </w:numPr>
        <w:spacing w:after="200" w:line="360" w:lineRule="auto"/>
        <w:jc w:val="both"/>
      </w:pPr>
      <w:r>
        <w:t>Halal Cosmetics and Personal Care Products: Muslim consumers may also look for halal-certified cosmetics, skincare, and personal care products that comply with Islamic requirements. This includes products that are free from ingredients derived from animals not slaughtered according to halal practices, as well as alcohol-free options.</w:t>
      </w:r>
    </w:p>
    <w:p w14:paraId="1E0BE964" w14:textId="77777777" w:rsidR="002530E2" w:rsidRDefault="002530E2" w:rsidP="002530E2">
      <w:pPr>
        <w:numPr>
          <w:ilvl w:val="0"/>
          <w:numId w:val="84"/>
        </w:numPr>
        <w:spacing w:after="200" w:line="360" w:lineRule="auto"/>
        <w:jc w:val="both"/>
      </w:pPr>
      <w:r>
        <w:t>Islamic Finance: Muslim consumers often have a preference for Islamic finance products that adhere to Islamic principles, such as Shariah-compliant banking, insurance, and investment options. These products follow guidelines that prohibit interest (riba) and engage in ethical investment practices.</w:t>
      </w:r>
    </w:p>
    <w:p w14:paraId="4A056E6E" w14:textId="77777777" w:rsidR="002530E2" w:rsidRDefault="002530E2" w:rsidP="002530E2">
      <w:pPr>
        <w:numPr>
          <w:ilvl w:val="0"/>
          <w:numId w:val="84"/>
        </w:numPr>
        <w:spacing w:after="200" w:line="360" w:lineRule="auto"/>
        <w:jc w:val="both"/>
      </w:pPr>
      <w:r>
        <w:t>Travel and Tourism: Muslim consumers may have specific needs and wants when it comes to travel and tourism. They may look for destinations that offer halal food options, prayer facilities, and accommodations that cater to their religious needs, such as separate facilities for men and women.</w:t>
      </w:r>
    </w:p>
    <w:p w14:paraId="4D6A4847" w14:textId="77777777" w:rsidR="002530E2" w:rsidRDefault="002530E2" w:rsidP="002530E2">
      <w:pPr>
        <w:numPr>
          <w:ilvl w:val="0"/>
          <w:numId w:val="84"/>
        </w:numPr>
        <w:spacing w:after="200" w:line="360" w:lineRule="auto"/>
        <w:jc w:val="both"/>
      </w:pPr>
      <w:r>
        <w:t>Education and Media: Muslim consumers may seek educational materials, books, and media content that align with Islamic values and teachings. There is a demand for educational resources, children's books, and media content that promote Islamic values, ethics, and teachings.</w:t>
      </w:r>
    </w:p>
    <w:p w14:paraId="0163AF3A" w14:textId="77777777" w:rsidR="002530E2" w:rsidRDefault="002530E2" w:rsidP="002530E2">
      <w:pPr>
        <w:numPr>
          <w:ilvl w:val="0"/>
          <w:numId w:val="84"/>
        </w:numPr>
        <w:spacing w:before="240" w:after="200" w:line="360" w:lineRule="auto"/>
        <w:jc w:val="both"/>
      </w:pPr>
      <w:r>
        <w:t>Social Responsibility and Ethical Practices: Muslim consumers, like many others, are increasingly conscious of social and environmental issues. They may prioritise brands and products that demonstrate ethical and socially responsible practices, such as fair trade, environmentally friendly production, and charitable initiatives.</w:t>
      </w:r>
    </w:p>
    <w:p w14:paraId="6845F8F8" w14:textId="77777777" w:rsidR="002530E2" w:rsidRDefault="002530E2">
      <w:pPr>
        <w:spacing w:before="240" w:after="240"/>
      </w:pPr>
      <w:r>
        <w:t>It's important to note that Muslim consumers' needs and wants are diverse and can vary based on factors such as culture, geographical location, and personal preferences. Businesses that cater to Muslim consumers can benefit from understanding and respecting these needs and wants, offering products and services that align with their religious and cultural values, and engaging in effective marketing strategies that target this demographic.</w:t>
      </w:r>
    </w:p>
    <w:p w14:paraId="5F6D2513" w14:textId="77777777" w:rsidR="002530E2" w:rsidRDefault="002530E2">
      <w:pPr>
        <w:pStyle w:val="Heading2"/>
        <w:spacing w:before="0"/>
      </w:pPr>
      <w:bookmarkStart w:id="275" w:name="_4hnl3ntdhnru" w:colFirst="0" w:colLast="0"/>
      <w:bookmarkEnd w:id="275"/>
      <w:r>
        <w:t xml:space="preserve">MUSLIM CONSUMER DECISION-MAKING PROCESS </w:t>
      </w:r>
    </w:p>
    <w:p w14:paraId="79342D2E" w14:textId="77777777" w:rsidR="002530E2" w:rsidRDefault="002530E2">
      <w:pPr>
        <w:spacing w:before="240" w:after="240"/>
      </w:pPr>
      <w:r>
        <w:t>The decision-making process of Muslim consumers follows a similar framework to general consumer decision-making, but with some unique considerations influenced by their religious beliefs and values. Here are the key stages of the Muslim consumer decision-making process:</w:t>
      </w:r>
    </w:p>
    <w:p w14:paraId="61B63166" w14:textId="77777777" w:rsidR="002530E2" w:rsidRDefault="002530E2" w:rsidP="002530E2">
      <w:pPr>
        <w:numPr>
          <w:ilvl w:val="0"/>
          <w:numId w:val="91"/>
        </w:numPr>
        <w:spacing w:before="240" w:after="200" w:line="360" w:lineRule="auto"/>
        <w:jc w:val="both"/>
      </w:pPr>
      <w:r>
        <w:lastRenderedPageBreak/>
        <w:t>Problem Recognition: The process begins with recognising a need or problem that requires a solution. This need can arise from various factors, such as a desire for halal products, adherence to Islamic principles, or the pursuit of spiritual fulfilment.</w:t>
      </w:r>
    </w:p>
    <w:p w14:paraId="25920147" w14:textId="77777777" w:rsidR="002530E2" w:rsidRDefault="002530E2" w:rsidP="002530E2">
      <w:pPr>
        <w:numPr>
          <w:ilvl w:val="0"/>
          <w:numId w:val="91"/>
        </w:numPr>
        <w:spacing w:after="200" w:line="360" w:lineRule="auto"/>
        <w:jc w:val="both"/>
      </w:pPr>
      <w:r>
        <w:t>Information Search: Muslim consumers engage in information searches to gather relevant information about available options. They may seek information from various sources, including online platforms, Islamic scholars, religious authorities, community networks, and word-of-mouth recommendations.</w:t>
      </w:r>
    </w:p>
    <w:p w14:paraId="6D47D7DB" w14:textId="77777777" w:rsidR="002530E2" w:rsidRDefault="002530E2" w:rsidP="002530E2">
      <w:pPr>
        <w:numPr>
          <w:ilvl w:val="0"/>
          <w:numId w:val="91"/>
        </w:numPr>
        <w:spacing w:after="200" w:line="360" w:lineRule="auto"/>
        <w:jc w:val="both"/>
      </w:pPr>
      <w:r>
        <w:t>Evaluation of Alternatives: Muslim consumers evaluate the available alternatives based on their compatibility with Islamic principles and personal preferences. They consider factors such as halal certification, adherence to ethical and moral standards, quality, price, brand reputation, and overall alignment with their religious values.</w:t>
      </w:r>
    </w:p>
    <w:p w14:paraId="7830EF4E" w14:textId="77777777" w:rsidR="002530E2" w:rsidRDefault="002530E2" w:rsidP="002530E2">
      <w:pPr>
        <w:numPr>
          <w:ilvl w:val="0"/>
          <w:numId w:val="91"/>
        </w:numPr>
        <w:spacing w:after="200" w:line="360" w:lineRule="auto"/>
        <w:jc w:val="both"/>
      </w:pPr>
      <w:r>
        <w:t>Purchase Decision: The purchase decision is influenced by multiple factors. Muslim consumers may give preference to brands and products that have established credibility in providing halal options, offer transparency in their production processes, and demonstrate a commitment to ethical business practices.</w:t>
      </w:r>
    </w:p>
    <w:p w14:paraId="08598231" w14:textId="77777777" w:rsidR="002530E2" w:rsidRDefault="002530E2" w:rsidP="002530E2">
      <w:pPr>
        <w:numPr>
          <w:ilvl w:val="0"/>
          <w:numId w:val="91"/>
        </w:numPr>
        <w:spacing w:after="200" w:line="360" w:lineRule="auto"/>
        <w:jc w:val="both"/>
      </w:pPr>
      <w:r>
        <w:t>Post-Purchase Evaluation: After making a purchase, Muslim consumers assess their satisfaction with the product or service. They may evaluate whether the purchase met their expectations, aligned with their religious values, and fulfilled their needs. Positive experiences can lead to brand loyalty and repeat purchases, while negative experiences may result in dissatisfaction and a shift to alternative brands.</w:t>
      </w:r>
    </w:p>
    <w:p w14:paraId="6CE45934" w14:textId="77777777" w:rsidR="002530E2" w:rsidRDefault="002530E2" w:rsidP="002530E2">
      <w:pPr>
        <w:numPr>
          <w:ilvl w:val="0"/>
          <w:numId w:val="91"/>
        </w:numPr>
        <w:spacing w:after="200" w:line="360" w:lineRule="auto"/>
        <w:jc w:val="both"/>
      </w:pPr>
      <w:r>
        <w:t>Influences on Decision Making:</w:t>
      </w:r>
    </w:p>
    <w:p w14:paraId="0F3F2411" w14:textId="77777777" w:rsidR="002530E2" w:rsidRDefault="002530E2" w:rsidP="002530E2">
      <w:pPr>
        <w:numPr>
          <w:ilvl w:val="1"/>
          <w:numId w:val="91"/>
        </w:numPr>
        <w:spacing w:before="240" w:after="200" w:line="360" w:lineRule="auto"/>
        <w:jc w:val="both"/>
      </w:pPr>
      <w:r>
        <w:t>Religious Beliefs: Islamic teachings and principles play a significant role in guiding Muslim consumers' decision-making. They may seek products and services that comply with halal requirements, adhere to ethical standards, and align with their religious values.</w:t>
      </w:r>
    </w:p>
    <w:p w14:paraId="0457638A" w14:textId="77777777" w:rsidR="002530E2" w:rsidRDefault="002530E2" w:rsidP="002530E2">
      <w:pPr>
        <w:numPr>
          <w:ilvl w:val="1"/>
          <w:numId w:val="91"/>
        </w:numPr>
        <w:spacing w:before="240" w:after="200" w:line="360" w:lineRule="auto"/>
        <w:jc w:val="both"/>
      </w:pPr>
      <w:r>
        <w:t>Cultural and social factors: Muslim consumers are influenced by cultural norms, social networks, and community opinions. Recommendations and experiences shared within their social circles can shape their decision-making process.</w:t>
      </w:r>
    </w:p>
    <w:p w14:paraId="279263ED" w14:textId="77777777" w:rsidR="002530E2" w:rsidRDefault="002530E2" w:rsidP="002530E2">
      <w:pPr>
        <w:numPr>
          <w:ilvl w:val="1"/>
          <w:numId w:val="91"/>
        </w:numPr>
        <w:spacing w:before="240" w:after="200" w:line="360" w:lineRule="auto"/>
        <w:jc w:val="both"/>
      </w:pPr>
      <w:r>
        <w:lastRenderedPageBreak/>
        <w:t>Marketing and Communication: Effective marketing strategies that address the specific needs and values of Muslim consumers can influence their decision-making. Brands that communicate their halal certification, ethical practices, and commitment to serving Muslim consumers can have an impact on their purchasing decisions.</w:t>
      </w:r>
    </w:p>
    <w:p w14:paraId="361036D1" w14:textId="77777777" w:rsidR="002530E2" w:rsidRDefault="002530E2">
      <w:pPr>
        <w:spacing w:before="240" w:after="240"/>
      </w:pPr>
      <w:r>
        <w:t>Understanding the decision-making process of Muslim consumers can help businesses develop targeted marketing strategies, offer products and services that align with their needs and values, and foster long-term relationships with this consumer segment. Respecting their religious and cultural sensitivities, providing transparent information, and addressing their specific requirements can contribute to building trust and loyalty among Muslim consumers.</w:t>
      </w:r>
    </w:p>
    <w:p w14:paraId="2713C0DA" w14:textId="77777777" w:rsidR="002530E2" w:rsidRDefault="002530E2">
      <w:pPr>
        <w:pStyle w:val="Heading2"/>
        <w:spacing w:before="0"/>
      </w:pPr>
      <w:bookmarkStart w:id="276" w:name="_4zlupvk3wq80" w:colFirst="0" w:colLast="0"/>
      <w:bookmarkEnd w:id="276"/>
      <w:r>
        <w:t>MUSLIM CONSUMER ATTITUDES</w:t>
      </w:r>
    </w:p>
    <w:p w14:paraId="3BDA2544" w14:textId="77777777" w:rsidR="002530E2" w:rsidRDefault="002530E2">
      <w:pPr>
        <w:spacing w:before="240" w:after="240"/>
      </w:pPr>
      <w:r>
        <w:t>Muslim consumer attitudes refer to the beliefs, values, and predispositions that shape the preferences and behaviours of Muslim consumers. Here are some key aspects of Muslim consumer attitudes:</w:t>
      </w:r>
    </w:p>
    <w:p w14:paraId="3AD472C7" w14:textId="77777777" w:rsidR="002530E2" w:rsidRDefault="002530E2" w:rsidP="002530E2">
      <w:pPr>
        <w:numPr>
          <w:ilvl w:val="0"/>
          <w:numId w:val="130"/>
        </w:numPr>
        <w:spacing w:before="240" w:after="200" w:line="360" w:lineRule="auto"/>
        <w:jc w:val="both"/>
      </w:pPr>
      <w:r>
        <w:t>Halal Compliance: Halal is a significant aspect of Muslim consumer attitudes. Muslim consumers prioritise products and services that comply with halal requirements, meaning they are permissible according to Islamic dietary laws and ethical guidelines. They seek assurance that the products they purchase are halal-certified and meet their religious obligations.</w:t>
      </w:r>
    </w:p>
    <w:p w14:paraId="0344044E" w14:textId="77777777" w:rsidR="002530E2" w:rsidRDefault="002530E2" w:rsidP="002530E2">
      <w:pPr>
        <w:numPr>
          <w:ilvl w:val="0"/>
          <w:numId w:val="130"/>
        </w:numPr>
        <w:spacing w:after="200" w:line="360" w:lineRule="auto"/>
        <w:jc w:val="both"/>
      </w:pPr>
      <w:r>
        <w:t>Faith-Based Decision Making: Muslim consumers often make decisions based on their religious beliefs and values. They consider the compatibility of products and services with Islamic principles such as honesty, fairness, and social responsibility. Brands that align with these principles and demonstrate ethical business practises are likely to be favoured by Muslim consumers.</w:t>
      </w:r>
    </w:p>
    <w:p w14:paraId="6365C6CD" w14:textId="77777777" w:rsidR="002530E2" w:rsidRDefault="002530E2" w:rsidP="002530E2">
      <w:pPr>
        <w:numPr>
          <w:ilvl w:val="0"/>
          <w:numId w:val="130"/>
        </w:numPr>
        <w:spacing w:after="200" w:line="360" w:lineRule="auto"/>
        <w:jc w:val="both"/>
      </w:pPr>
      <w:r>
        <w:t>Modesty and Dress Code: Modesty is an important value in Islamic culture, and it influences the attitudes of Muslim consumers towards clothing and fashion. They seek modest clothing options that adhere to Islamic guidelines, covering the body adequately and respecting cultural norms of modesty.</w:t>
      </w:r>
    </w:p>
    <w:p w14:paraId="52889598" w14:textId="77777777" w:rsidR="002530E2" w:rsidRDefault="002530E2" w:rsidP="002530E2">
      <w:pPr>
        <w:numPr>
          <w:ilvl w:val="0"/>
          <w:numId w:val="130"/>
        </w:numPr>
        <w:spacing w:after="200" w:line="360" w:lineRule="auto"/>
        <w:jc w:val="both"/>
      </w:pPr>
      <w:r>
        <w:t>Family and community: Muslim consumers often have a strong sense of community and family values. They may prioritise products and services that cater to the needs of their families and promote unity and togetherness. Brands that understand and cater to family-oriented values can resonate with Muslim consumers.</w:t>
      </w:r>
    </w:p>
    <w:p w14:paraId="5CDFC102" w14:textId="77777777" w:rsidR="002530E2" w:rsidRDefault="002530E2" w:rsidP="002530E2">
      <w:pPr>
        <w:numPr>
          <w:ilvl w:val="0"/>
          <w:numId w:val="130"/>
        </w:numPr>
        <w:spacing w:after="200" w:line="360" w:lineRule="auto"/>
        <w:jc w:val="both"/>
      </w:pPr>
      <w:r>
        <w:lastRenderedPageBreak/>
        <w:t>Spiritual and Ethical Considerations: Muslim consumers are conscious of the spiritual and ethical dimensions of their consumption choices. They may seek products and services that enhance their spirituality and contribute to a positive impact on society and the environment. Brands that emphasise spirituality, social responsibility, and sustainability may appeal to Muslim consumers.</w:t>
      </w:r>
    </w:p>
    <w:p w14:paraId="0EFC4CEF" w14:textId="77777777" w:rsidR="002530E2" w:rsidRDefault="002530E2" w:rsidP="002530E2">
      <w:pPr>
        <w:numPr>
          <w:ilvl w:val="0"/>
          <w:numId w:val="130"/>
        </w:numPr>
        <w:spacing w:after="200" w:line="360" w:lineRule="auto"/>
        <w:jc w:val="both"/>
      </w:pPr>
      <w:r>
        <w:t>Cultural Sensitivity: Muslim consumers appreciate brands that demonstrate cultural sensitivity and respect. They respond positively to marketing messages that accurately represent Islamic traditions, values, and diversity. Brands that understand and cater to the cultural nuances of the Muslim consumer segment can build strong connections with this audience.</w:t>
      </w:r>
    </w:p>
    <w:p w14:paraId="00203330" w14:textId="77777777" w:rsidR="002530E2" w:rsidRDefault="002530E2" w:rsidP="002530E2">
      <w:pPr>
        <w:numPr>
          <w:ilvl w:val="0"/>
          <w:numId w:val="130"/>
        </w:numPr>
        <w:spacing w:before="240" w:after="200" w:line="360" w:lineRule="auto"/>
        <w:jc w:val="both"/>
      </w:pPr>
      <w:r>
        <w:t>Brand Loyalty and Advocacy: Muslim consumers can exhibit strong brand loyalty and become advocates for brands that resonate with their values. Positive experiences with halal-certified products, exceptional customer service, and a brand's commitment to serving the Muslim community can foster loyalty and lead to positive word-of-mouth recommendations.</w:t>
      </w:r>
    </w:p>
    <w:p w14:paraId="6E585B0D" w14:textId="77777777" w:rsidR="002530E2" w:rsidRDefault="002530E2">
      <w:pPr>
        <w:spacing w:before="240" w:after="240"/>
      </w:pPr>
      <w:r>
        <w:t>Understanding Muslim consumer attitudes is crucial for businesses seeking to cater to this market segment. By recognising and respecting their religious and cultural values, businesses can develop products, services, and marketing strategies that align with the attitudes and preferences of Muslim consumers, leading to stronger customer relationships and business success.</w:t>
      </w:r>
    </w:p>
    <w:p w14:paraId="4EA9FEC7" w14:textId="77777777" w:rsidR="002530E2" w:rsidRDefault="002530E2">
      <w:pPr>
        <w:pStyle w:val="Heading2"/>
        <w:spacing w:before="0"/>
      </w:pPr>
      <w:bookmarkStart w:id="277" w:name="_3kr4kag1vdc3" w:colFirst="0" w:colLast="0"/>
      <w:bookmarkEnd w:id="277"/>
      <w:r>
        <w:t>MUSLIM CONSUMER PERCEPTION</w:t>
      </w:r>
    </w:p>
    <w:p w14:paraId="6AA006A9" w14:textId="77777777" w:rsidR="002530E2" w:rsidRDefault="002530E2">
      <w:r>
        <w:t>Muslim consumer perception is influenced by their religious beliefs, cultural values, and personal experiences. Here are some key factors that shape Muslim consumer perception:</w:t>
      </w:r>
    </w:p>
    <w:p w14:paraId="182C7097" w14:textId="77777777" w:rsidR="002530E2" w:rsidRDefault="002530E2" w:rsidP="002530E2">
      <w:pPr>
        <w:numPr>
          <w:ilvl w:val="0"/>
          <w:numId w:val="89"/>
        </w:numPr>
        <w:spacing w:before="240" w:after="200" w:line="360" w:lineRule="auto"/>
        <w:jc w:val="both"/>
      </w:pPr>
      <w:r>
        <w:t>Halal Certification: Muslim consumers value products and services that are certified as halal, meaning they comply with Islamic dietary laws and ethical standards. Halal certification provides assurance to Muslim consumers that the products they purchase meet the requirements of their faith.</w:t>
      </w:r>
    </w:p>
    <w:p w14:paraId="7BE8199C" w14:textId="77777777" w:rsidR="002530E2" w:rsidRDefault="002530E2" w:rsidP="002530E2">
      <w:pPr>
        <w:numPr>
          <w:ilvl w:val="0"/>
          <w:numId w:val="89"/>
        </w:numPr>
        <w:spacing w:after="200" w:line="360" w:lineRule="auto"/>
        <w:jc w:val="both"/>
      </w:pPr>
      <w:r>
        <w:t>Religious Compliance: Muslim consumers perceive products and services based on their alignment with Islamic principles and values. They may evaluate factors such as the ingredients used, production methods, ethical sourcing, and overall adherence to Islamic guidelines.</w:t>
      </w:r>
    </w:p>
    <w:p w14:paraId="122B5DD3" w14:textId="77777777" w:rsidR="002530E2" w:rsidRDefault="002530E2" w:rsidP="002530E2">
      <w:pPr>
        <w:numPr>
          <w:ilvl w:val="0"/>
          <w:numId w:val="89"/>
        </w:numPr>
        <w:spacing w:after="200" w:line="360" w:lineRule="auto"/>
        <w:jc w:val="both"/>
      </w:pPr>
      <w:r>
        <w:t xml:space="preserve">Trust and Authenticity: Muslim consumers place importance on trust and authenticity. They seek brands and companies that are transparent, credible, and demonstrate a commitment to </w:t>
      </w:r>
      <w:r>
        <w:lastRenderedPageBreak/>
        <w:t>serving the Muslim community. Brands that communicate their halal certification, ethical practices, and engagement with the Muslim market can build trust among Muslim consumers.</w:t>
      </w:r>
    </w:p>
    <w:p w14:paraId="24BB2DB6" w14:textId="77777777" w:rsidR="002530E2" w:rsidRDefault="002530E2" w:rsidP="002530E2">
      <w:pPr>
        <w:numPr>
          <w:ilvl w:val="0"/>
          <w:numId w:val="89"/>
        </w:numPr>
        <w:spacing w:after="200" w:line="360" w:lineRule="auto"/>
        <w:jc w:val="both"/>
      </w:pPr>
      <w:r>
        <w:t>Cultural Sensitivity: Muslim consumers appreciate brands and marketing messages that demonstrate cultural sensitivity and respect. They respond positively to campaigns that accurately represent Islamic traditions, values, and diversity. Cultural misrepresentation or insensitivity can lead to negative perceptions and alienation.</w:t>
      </w:r>
    </w:p>
    <w:p w14:paraId="3BD57296" w14:textId="77777777" w:rsidR="002530E2" w:rsidRDefault="002530E2" w:rsidP="002530E2">
      <w:pPr>
        <w:numPr>
          <w:ilvl w:val="0"/>
          <w:numId w:val="89"/>
        </w:numPr>
        <w:spacing w:after="200" w:line="360" w:lineRule="auto"/>
        <w:jc w:val="both"/>
      </w:pPr>
      <w:r>
        <w:t>Social Influence: The perceptions of Muslim consumers can be influenced by the opinions and experiences shared within their social networks and Muslim communities. Recommendations, reviews, and word-of-mouth play a significant role in shaping perceptions of brands and products.</w:t>
      </w:r>
    </w:p>
    <w:p w14:paraId="0699CBAC" w14:textId="77777777" w:rsidR="002530E2" w:rsidRDefault="002530E2" w:rsidP="002530E2">
      <w:pPr>
        <w:numPr>
          <w:ilvl w:val="0"/>
          <w:numId w:val="89"/>
        </w:numPr>
        <w:spacing w:after="200" w:line="360" w:lineRule="auto"/>
        <w:jc w:val="both"/>
      </w:pPr>
      <w:r>
        <w:t>Brand Reputation: Muslim consumers may form perceptions of brands based on their reputation within the Muslim community. Positive experiences, endorsements from trusted sources, and consistent delivery of quality halal products can contribute to favourable brand perception.</w:t>
      </w:r>
    </w:p>
    <w:p w14:paraId="55273D88" w14:textId="77777777" w:rsidR="002530E2" w:rsidRDefault="002530E2" w:rsidP="002530E2">
      <w:pPr>
        <w:numPr>
          <w:ilvl w:val="0"/>
          <w:numId w:val="89"/>
        </w:numPr>
        <w:spacing w:after="200" w:line="360" w:lineRule="auto"/>
        <w:jc w:val="both"/>
      </w:pPr>
      <w:r>
        <w:t>Ethics and Sustainability: Muslim consumers are increasingly concerned about ethical and sustainable practices. They value brands that demonstrate environmental responsibility, fair trade, and social impact initiatives. Companies that align with these values can positively influence the perception of Muslim consumers.</w:t>
      </w:r>
    </w:p>
    <w:p w14:paraId="5D705F26" w14:textId="77777777" w:rsidR="002530E2" w:rsidRDefault="002530E2" w:rsidP="002530E2">
      <w:pPr>
        <w:numPr>
          <w:ilvl w:val="0"/>
          <w:numId w:val="89"/>
        </w:numPr>
        <w:spacing w:before="240" w:after="200" w:line="360" w:lineRule="auto"/>
        <w:jc w:val="both"/>
      </w:pPr>
      <w:r>
        <w:t>Communication and Marketing: Effective communication and marketing strategies play a vital role in shaping Muslim consumer perception. Clear and targeted messaging that highlights halal certification, adherence to Islamic principles, and the value proposition for Muslim consumers can enhance brand perception.</w:t>
      </w:r>
    </w:p>
    <w:p w14:paraId="3AFF1F5A" w14:textId="77777777" w:rsidR="002530E2" w:rsidRDefault="002530E2">
      <w:pPr>
        <w:spacing w:before="240" w:after="240"/>
        <w:rPr>
          <w:sz w:val="20"/>
          <w:szCs w:val="20"/>
        </w:rPr>
      </w:pPr>
      <w:r>
        <w:t>Understanding the specific needs, values, and perceptions of Muslim consumers is essential for businesses targeting this market segment. By recognising and respecting their religious and cultural sensitivities, businesses can develop products, services, and marketing campaigns that resonate with Muslim consumers, build trust, and foster long-term relationships.</w:t>
      </w:r>
    </w:p>
    <w:p w14:paraId="6862A4C5" w14:textId="77777777" w:rsidR="002530E2" w:rsidRDefault="002530E2">
      <w:pPr>
        <w:pStyle w:val="Heading2"/>
        <w:spacing w:before="0"/>
      </w:pPr>
      <w:bookmarkStart w:id="278" w:name="_fmabkaagni9l" w:colFirst="0" w:colLast="0"/>
      <w:bookmarkEnd w:id="278"/>
      <w:r>
        <w:t xml:space="preserve">A MUSLIM'S SENSITIVITY TO HIS BELIEFS </w:t>
      </w:r>
    </w:p>
    <w:p w14:paraId="2B581B0B" w14:textId="77777777" w:rsidR="002530E2" w:rsidRDefault="002530E2">
      <w:pPr>
        <w:spacing w:before="240" w:after="240"/>
      </w:pPr>
      <w:r>
        <w:t>A Muslim can demonstrate sensitivity to their Islamic beliefs, culture, tradition, and country of origin in various ways:</w:t>
      </w:r>
    </w:p>
    <w:p w14:paraId="6E124A0A" w14:textId="77777777" w:rsidR="002530E2" w:rsidRDefault="002530E2" w:rsidP="002530E2">
      <w:pPr>
        <w:numPr>
          <w:ilvl w:val="0"/>
          <w:numId w:val="105"/>
        </w:numPr>
        <w:spacing w:before="240" w:after="200" w:line="360" w:lineRule="auto"/>
        <w:jc w:val="both"/>
        <w:rPr>
          <w:sz w:val="20"/>
          <w:szCs w:val="20"/>
        </w:rPr>
      </w:pPr>
      <w:r>
        <w:lastRenderedPageBreak/>
        <w:t>Upholding Islamic Beliefs: A Muslim shows sensitivity to their Islamic beliefs by actively practising and adhering to the core principles and teachings of Islam. They engage in regular worship, such as performing the obligatory prayers, observing fasting during Ramadan, and fulfilling their religious obligations.</w:t>
      </w:r>
    </w:p>
    <w:p w14:paraId="4EAF41B1" w14:textId="77777777" w:rsidR="002530E2" w:rsidRDefault="002530E2" w:rsidP="002530E2">
      <w:pPr>
        <w:numPr>
          <w:ilvl w:val="0"/>
          <w:numId w:val="105"/>
        </w:numPr>
        <w:spacing w:after="200" w:line="360" w:lineRule="auto"/>
        <w:jc w:val="both"/>
        <w:rPr>
          <w:sz w:val="20"/>
          <w:szCs w:val="20"/>
        </w:rPr>
      </w:pPr>
      <w:r>
        <w:t>Learning and Deepening Knowledge: A Muslim strives to continuously learn and deepen their understanding of Islam. They study the Quran, Hadith, and Islamic literature to gain insights into Islamic beliefs, values, and practices. This knowledge helps them develop a stronger connection to their faith.</w:t>
      </w:r>
    </w:p>
    <w:p w14:paraId="3477F80C" w14:textId="77777777" w:rsidR="002530E2" w:rsidRDefault="002530E2" w:rsidP="002530E2">
      <w:pPr>
        <w:numPr>
          <w:ilvl w:val="0"/>
          <w:numId w:val="105"/>
        </w:numPr>
        <w:spacing w:after="200" w:line="360" w:lineRule="auto"/>
        <w:jc w:val="both"/>
        <w:rPr>
          <w:sz w:val="20"/>
          <w:szCs w:val="20"/>
        </w:rPr>
      </w:pPr>
      <w:r>
        <w:t>Respecting Islamic Traditions and Customs: A Muslim demonstrates sensitivity to their Islamic culture and traditions by respecting and preserving them. They participate in religious and cultural celebrations, follow Islamic rituals and practices, and honour customs specific to their community or country of origin.</w:t>
      </w:r>
    </w:p>
    <w:p w14:paraId="7973A88A" w14:textId="77777777" w:rsidR="002530E2" w:rsidRDefault="002530E2" w:rsidP="002530E2">
      <w:pPr>
        <w:numPr>
          <w:ilvl w:val="0"/>
          <w:numId w:val="105"/>
        </w:numPr>
        <w:spacing w:after="200" w:line="360" w:lineRule="auto"/>
        <w:jc w:val="both"/>
        <w:rPr>
          <w:sz w:val="20"/>
          <w:szCs w:val="20"/>
        </w:rPr>
      </w:pPr>
      <w:r>
        <w:t>Embracing Islamic Ethics and Morals: A Muslim embodies Islamic ethics and morals in their daily life. They strive to exhibit traits such as honesty, integrity, kindness, compassion, justice, and humility. They prioritise ethical conduct and uphold the teachings of Islam in their interactions with others.</w:t>
      </w:r>
    </w:p>
    <w:p w14:paraId="6515C193" w14:textId="77777777" w:rsidR="002530E2" w:rsidRDefault="002530E2" w:rsidP="002530E2">
      <w:pPr>
        <w:numPr>
          <w:ilvl w:val="0"/>
          <w:numId w:val="105"/>
        </w:numPr>
        <w:spacing w:after="200" w:line="360" w:lineRule="auto"/>
        <w:jc w:val="both"/>
        <w:rPr>
          <w:sz w:val="20"/>
          <w:szCs w:val="20"/>
        </w:rPr>
      </w:pPr>
      <w:r>
        <w:t>Preserving Cultural Identity: Muslims are often connected to specific cultural traditions and practices associated with their country of origin or ethnic background. They may demonstrate sensitivity by preserving and celebrating their cultural heritage while ensuring it aligns with Islamic principles and values.</w:t>
      </w:r>
    </w:p>
    <w:p w14:paraId="0EAFFF98" w14:textId="77777777" w:rsidR="002530E2" w:rsidRDefault="002530E2" w:rsidP="002530E2">
      <w:pPr>
        <w:numPr>
          <w:ilvl w:val="0"/>
          <w:numId w:val="105"/>
        </w:numPr>
        <w:spacing w:after="200" w:line="360" w:lineRule="auto"/>
        <w:jc w:val="both"/>
        <w:rPr>
          <w:sz w:val="20"/>
          <w:szCs w:val="20"/>
        </w:rPr>
      </w:pPr>
      <w:r>
        <w:t>Engaging in Community Service: Muslims show sensitivity to their country of origin and community by actively engaging in charitable activities and community service. They contribute to the betterment of society, help those in need, and promote social justice and harmony in line with Islamic teachings.</w:t>
      </w:r>
    </w:p>
    <w:p w14:paraId="10ED1FDF" w14:textId="77777777" w:rsidR="002530E2" w:rsidRDefault="002530E2" w:rsidP="002530E2">
      <w:pPr>
        <w:numPr>
          <w:ilvl w:val="0"/>
          <w:numId w:val="105"/>
        </w:numPr>
        <w:spacing w:after="200" w:line="360" w:lineRule="auto"/>
        <w:jc w:val="both"/>
        <w:rPr>
          <w:sz w:val="20"/>
          <w:szCs w:val="20"/>
        </w:rPr>
      </w:pPr>
      <w:r>
        <w:t>Promoting Unity and Solidarity: Muslims exhibit sensitivity to their country of origin by fostering unity and solidarity among diverse communities. They actively engage in interfaith dialogue, bridge cultural gaps, and work towards building harmonious relationships with people of different backgrounds.</w:t>
      </w:r>
    </w:p>
    <w:p w14:paraId="73EC6395" w14:textId="77777777" w:rsidR="002530E2" w:rsidRDefault="002530E2" w:rsidP="002530E2">
      <w:pPr>
        <w:numPr>
          <w:ilvl w:val="0"/>
          <w:numId w:val="105"/>
        </w:numPr>
        <w:spacing w:before="240" w:after="200" w:line="360" w:lineRule="auto"/>
        <w:jc w:val="both"/>
        <w:rPr>
          <w:sz w:val="20"/>
          <w:szCs w:val="20"/>
        </w:rPr>
      </w:pPr>
      <w:r>
        <w:t xml:space="preserve">Contributing to the Development of Their Country: A Muslim can demonstrate sensitivity to their country of origin by actively participating in its development and progress. This can </w:t>
      </w:r>
      <w:r>
        <w:lastRenderedPageBreak/>
        <w:t>include being an active citizen, participating in civic activities, supporting social causes, and positively contributing to the economic and social fabric of their country.</w:t>
      </w:r>
    </w:p>
    <w:p w14:paraId="4EB54676" w14:textId="77777777" w:rsidR="002530E2" w:rsidRDefault="002530E2">
      <w:pPr>
        <w:spacing w:before="240" w:after="240"/>
      </w:pPr>
      <w:r>
        <w:t>Overall, a Muslim's sensitivity to their Islamic beliefs, culture, tradition, and country of origin is reflected in their actions, attitudes, and behaviours. They strive to uphold the teachings of Islam, respect their cultural heritage, contribute positively to their communities, and work towards the betterment of their country while staying true to their Islamic values and principles.</w:t>
      </w:r>
    </w:p>
    <w:p w14:paraId="1B5CF61C" w14:textId="77777777" w:rsidR="002530E2" w:rsidRDefault="002530E2">
      <w:pPr>
        <w:pStyle w:val="Heading1"/>
        <w:spacing w:before="0"/>
      </w:pPr>
      <w:bookmarkStart w:id="279" w:name="_yygvy2trdwx0" w:colFirst="0" w:colLast="0"/>
      <w:bookmarkEnd w:id="279"/>
      <w:r>
        <w:t>CONCEPTS RELATED TO MUSLIM CONSUMER REACTIONS</w:t>
      </w:r>
    </w:p>
    <w:p w14:paraId="585A5076" w14:textId="77777777" w:rsidR="002530E2" w:rsidRDefault="002530E2">
      <w:pPr>
        <w:spacing w:before="240" w:after="240"/>
      </w:pPr>
      <w:r>
        <w:t>In this section, we delve into the emotional reactions of Muslims in response to controversial cross-cultural blunders made by multinational corporations in host countries. This section explores the range of emotions experienced by Muslims and their significance in understanding their behavioural responses.</w:t>
      </w:r>
    </w:p>
    <w:p w14:paraId="1BCD92DD" w14:textId="77777777" w:rsidR="002530E2" w:rsidRDefault="002530E2">
      <w:pPr>
        <w:spacing w:before="240" w:after="240"/>
      </w:pPr>
      <w:r>
        <w:t>Muslims' emotional reactions can vary from anger, frustration, and disappointment to hurt, offence, and indignation. These emotions arise when multinational corporations demonstrate cultural insensitivity, disrespect religious beliefs and practices, or engage in actions that are perceived as derogatory or discriminatory towards Islam and Muslims. The emotional impact of such blunders is not limited to individual Muslims but can also resonate within the wider Muslim community, amplifying the intensity of these reactions.</w:t>
      </w:r>
    </w:p>
    <w:p w14:paraId="3887F384" w14:textId="77777777" w:rsidR="002530E2" w:rsidRDefault="002530E2">
      <w:pPr>
        <w:spacing w:before="240" w:after="240"/>
      </w:pPr>
      <w:r>
        <w:t>Anger is a common emotional response when Muslims feel their beliefs, values, or cultural heritage have been disrespected or disregarded. This anger can manifest in public protests, social media campaigns, and calls for boycotts against the offending multinational corporation. It reflects a deep sense of offence and the desire for accountability and change.</w:t>
      </w:r>
    </w:p>
    <w:p w14:paraId="5295D084" w14:textId="77777777" w:rsidR="002530E2" w:rsidRDefault="002530E2">
      <w:pPr>
        <w:spacing w:before="240" w:after="240"/>
      </w:pPr>
      <w:r>
        <w:t>Frustration and disappointment may arise when Muslims encounter repeated instances of cross-cultural blunders by multinational corporations. These emotions stem from a feeling of being misunderstood, misrepresented, or excluded. Muslims may perceive these blunders as a lack of effort on the part of corporations to understand their culture and cater to their needs as consumers or employees.</w:t>
      </w:r>
    </w:p>
    <w:p w14:paraId="586D2F51" w14:textId="77777777" w:rsidR="002530E2" w:rsidRDefault="002530E2">
      <w:pPr>
        <w:spacing w:before="240" w:after="240"/>
      </w:pPr>
      <w:r>
        <w:t>Hurt and offence are also prevalent emotional reactions. Muslims may experience a sense of personal and collective hurt when their religious symbols, values, or traditions are mocked or trivialised. The impact of these emotional reactions can be long-lasting and may result in a loss of trust and loyalty towards the multinational corporation involved.</w:t>
      </w:r>
    </w:p>
    <w:p w14:paraId="6FBD2EAF" w14:textId="77777777" w:rsidR="002530E2" w:rsidRDefault="002530E2">
      <w:pPr>
        <w:spacing w:before="240" w:after="240"/>
      </w:pPr>
      <w:r>
        <w:t>Indignation is another emotional response observed in Muslims when they feel marginalised or discriminated against due to cross-cultural blunders. It stems from a sense of injustice and a belief that their rights and dignity have been violated. Muslims may mobilise their communities, advocacy groups, and media outlets to address these issues and demand corrective action.</w:t>
      </w:r>
    </w:p>
    <w:p w14:paraId="47B4DDDE" w14:textId="77777777" w:rsidR="002530E2" w:rsidRDefault="002530E2">
      <w:pPr>
        <w:spacing w:before="240" w:after="240"/>
      </w:pPr>
      <w:r>
        <w:t xml:space="preserve">Understanding the emotional reactions of Muslims is crucial for multinational corporations to grasp the depth of the impact caused by cross-cultural blunders. It helps corporations comprehend the underlying reasons behind the negative behaviours and responses exhibited by Muslims, such as </w:t>
      </w:r>
      <w:r>
        <w:lastRenderedPageBreak/>
        <w:t>boycotts, public outrage, or damage to the corporate image. By acknowledging and addressing these emotional reactions, corporations can work towards building cultural sensitivity, fostering positive relationships, and mitigating the adverse effects on their business operations.</w:t>
      </w:r>
    </w:p>
    <w:p w14:paraId="00B075E1" w14:textId="77777777" w:rsidR="002530E2" w:rsidRDefault="002530E2">
      <w:pPr>
        <w:pStyle w:val="Heading2"/>
        <w:spacing w:before="0"/>
      </w:pPr>
      <w:bookmarkStart w:id="280" w:name="_hmad0n2ftzf0" w:colFirst="0" w:colLast="0"/>
      <w:bookmarkEnd w:id="280"/>
      <w:r>
        <w:t>EMOTIONAL REACTIONS OF MUSLIMS</w:t>
      </w:r>
    </w:p>
    <w:p w14:paraId="0CA6DF41" w14:textId="77777777" w:rsidR="002530E2" w:rsidRDefault="002530E2">
      <w:pPr>
        <w:spacing w:before="240" w:after="240"/>
      </w:pPr>
      <w:r>
        <w:t>In this section, we delve into the emotional reactions of Muslims in response to controversial cross-cultural blunders made by multinational corporations in host countries. Understanding these emotional reactions is essential to comprehending the impact of such blunders on the Muslim community and the subsequent behaviours they may exhibit.</w:t>
      </w:r>
    </w:p>
    <w:p w14:paraId="78CF8206" w14:textId="77777777" w:rsidR="002530E2" w:rsidRDefault="002530E2">
      <w:pPr>
        <w:spacing w:before="240" w:after="240"/>
      </w:pPr>
      <w:r>
        <w:t>The literature highlights a range of emotional reactions that Muslims may experience when confronted with cross-cultural blunders. These reactions can vary from anger, frustration, and disappointment to feelings of insult, humiliation, and cultural appropriation. Muslims may perceive these blunders as a disregard for their values, beliefs, and cultural identity, leading to a sense of marginalisation and disrespect.</w:t>
      </w:r>
    </w:p>
    <w:p w14:paraId="4BBC1B79" w14:textId="77777777" w:rsidR="002530E2" w:rsidRDefault="002530E2">
      <w:pPr>
        <w:spacing w:before="240" w:after="240"/>
      </w:pPr>
      <w:r>
        <w:t>The emotional reactions can be further intensified by the religious significance attached to certain symbols, practices, or traditions. When multinational corporations fail to acknowledge or respect these sensitivities, it can result in deep emotional distress among Muslims. The literature underscores the importance of recognising the emotional impact of such blunders, as they can have long-lasting effects on individuals and community relations.</w:t>
      </w:r>
    </w:p>
    <w:p w14:paraId="0A76D9C9" w14:textId="77777777" w:rsidR="002530E2" w:rsidRDefault="002530E2">
      <w:pPr>
        <w:spacing w:before="240" w:after="240"/>
      </w:pPr>
      <w:r>
        <w:t>Moreover, the literature explores how these emotional reactions can translate into various behaviours. Muslims may engage in boycotts or protests against the offending corporation or its products. Social media platforms play a significant role in amplifying these emotional reactions, allowing individuals to express their discontent and mobilise collective action. Negative emotions can also impact consumer behaviour, leading Muslims to switch to alternative brands or prefer products that align with their values and cultural sensitivities.</w:t>
      </w:r>
    </w:p>
    <w:p w14:paraId="0C8DABEB" w14:textId="77777777" w:rsidR="002530E2" w:rsidRDefault="002530E2">
      <w:pPr>
        <w:spacing w:before="240" w:after="240"/>
      </w:pPr>
      <w:r>
        <w:t>Understanding the emotional reactions of Muslims provides valuable insights into the potential consequences for multinational corporations. By considering these emotional responses, corporations can develop strategies to address grievances, apologise for blunders, and engage in meaningful dialogue with the affected community. Additionally, it highlights the need for culturally sensitive marketing and advertising practices that take into account the emotional well-being of Muslims and foster positive brand perception.</w:t>
      </w:r>
    </w:p>
    <w:p w14:paraId="32091D2E" w14:textId="77777777" w:rsidR="002530E2" w:rsidRDefault="002530E2">
      <w:pPr>
        <w:spacing w:before="240" w:after="240"/>
      </w:pPr>
      <w:r>
        <w:t>Overall, examining the emotional reactions of Muslims in response to cross-cultural blunders offers a comprehensive understanding of the impact on individuals and communities. This knowledge contributes to the development of strategies that foster cultural sensitivity, mitigate negative emotional responses, and enhance the relationship between multinational corporations and the Muslim population in host countries.</w:t>
      </w:r>
    </w:p>
    <w:p w14:paraId="22B13A24" w14:textId="77777777" w:rsidR="002530E2" w:rsidRDefault="002530E2">
      <w:pPr>
        <w:pStyle w:val="Heading2"/>
        <w:spacing w:before="0"/>
      </w:pPr>
      <w:bookmarkStart w:id="281" w:name="_7ztj8bkdh9xs" w:colFirst="0" w:colLast="0"/>
      <w:bookmarkEnd w:id="281"/>
      <w:r>
        <w:t>PREVIOUS STUDIES ON MUSLIM REACTIONS</w:t>
      </w:r>
    </w:p>
    <w:p w14:paraId="0410350C" w14:textId="77777777" w:rsidR="002530E2" w:rsidRDefault="002530E2">
      <w:pPr>
        <w:spacing w:before="240" w:after="240"/>
      </w:pPr>
      <w:r>
        <w:t xml:space="preserve">A handful of previous studies as listed below pertaining to this topic are mixed. </w:t>
      </w:r>
    </w:p>
    <w:tbl>
      <w:tblPr>
        <w:tblW w:w="90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5"/>
        <w:gridCol w:w="1620"/>
        <w:gridCol w:w="3450"/>
        <w:gridCol w:w="1680"/>
        <w:gridCol w:w="840"/>
        <w:gridCol w:w="990"/>
      </w:tblGrid>
      <w:tr w:rsidR="002530E2" w14:paraId="449BC588" w14:textId="77777777">
        <w:tc>
          <w:tcPr>
            <w:tcW w:w="495" w:type="dxa"/>
            <w:tcMar>
              <w:top w:w="100" w:type="dxa"/>
              <w:left w:w="100" w:type="dxa"/>
              <w:bottom w:w="100" w:type="dxa"/>
              <w:right w:w="100" w:type="dxa"/>
            </w:tcMar>
          </w:tcPr>
          <w:p w14:paraId="7CCFC926" w14:textId="77777777" w:rsidR="002530E2" w:rsidRDefault="002530E2">
            <w:pPr>
              <w:widowControl w:val="0"/>
              <w:spacing w:after="0" w:line="276" w:lineRule="auto"/>
              <w:jc w:val="center"/>
            </w:pPr>
            <w:r>
              <w:rPr>
                <w:sz w:val="18"/>
                <w:szCs w:val="18"/>
              </w:rPr>
              <w:lastRenderedPageBreak/>
              <w:t>#</w:t>
            </w:r>
          </w:p>
        </w:tc>
        <w:tc>
          <w:tcPr>
            <w:tcW w:w="1620" w:type="dxa"/>
            <w:tcMar>
              <w:top w:w="100" w:type="dxa"/>
              <w:left w:w="100" w:type="dxa"/>
              <w:bottom w:w="100" w:type="dxa"/>
              <w:right w:w="100" w:type="dxa"/>
            </w:tcMar>
          </w:tcPr>
          <w:p w14:paraId="4A64B50F" w14:textId="77777777" w:rsidR="002530E2" w:rsidRDefault="002530E2">
            <w:pPr>
              <w:widowControl w:val="0"/>
              <w:spacing w:after="0" w:line="276" w:lineRule="auto"/>
            </w:pPr>
            <w:r>
              <w:rPr>
                <w:sz w:val="18"/>
                <w:szCs w:val="18"/>
              </w:rPr>
              <w:t>TOPIC</w:t>
            </w:r>
          </w:p>
        </w:tc>
        <w:tc>
          <w:tcPr>
            <w:tcW w:w="3450" w:type="dxa"/>
            <w:tcMar>
              <w:top w:w="100" w:type="dxa"/>
              <w:left w:w="100" w:type="dxa"/>
              <w:bottom w:w="100" w:type="dxa"/>
              <w:right w:w="100" w:type="dxa"/>
            </w:tcMar>
          </w:tcPr>
          <w:p w14:paraId="1482DCD7" w14:textId="77777777" w:rsidR="002530E2" w:rsidRDefault="002530E2">
            <w:pPr>
              <w:widowControl w:val="0"/>
              <w:spacing w:after="0" w:line="276" w:lineRule="auto"/>
            </w:pPr>
            <w:r>
              <w:rPr>
                <w:sz w:val="18"/>
                <w:szCs w:val="18"/>
              </w:rPr>
              <w:t xml:space="preserve">PREVIOUS STUDIES </w:t>
            </w:r>
          </w:p>
        </w:tc>
        <w:tc>
          <w:tcPr>
            <w:tcW w:w="1680" w:type="dxa"/>
            <w:tcMar>
              <w:top w:w="100" w:type="dxa"/>
              <w:left w:w="100" w:type="dxa"/>
              <w:bottom w:w="100" w:type="dxa"/>
              <w:right w:w="100" w:type="dxa"/>
            </w:tcMar>
          </w:tcPr>
          <w:p w14:paraId="7B5ED627" w14:textId="77777777" w:rsidR="002530E2" w:rsidRDefault="002530E2">
            <w:pPr>
              <w:widowControl w:val="0"/>
              <w:spacing w:after="0" w:line="276" w:lineRule="auto"/>
              <w:jc w:val="center"/>
            </w:pPr>
            <w:r>
              <w:rPr>
                <w:sz w:val="18"/>
                <w:szCs w:val="18"/>
              </w:rPr>
              <w:t>AUTHOR</w:t>
            </w:r>
          </w:p>
        </w:tc>
        <w:tc>
          <w:tcPr>
            <w:tcW w:w="840" w:type="dxa"/>
            <w:tcMar>
              <w:top w:w="100" w:type="dxa"/>
              <w:left w:w="100" w:type="dxa"/>
              <w:bottom w:w="100" w:type="dxa"/>
              <w:right w:w="100" w:type="dxa"/>
            </w:tcMar>
          </w:tcPr>
          <w:p w14:paraId="004AA343" w14:textId="77777777" w:rsidR="002530E2" w:rsidRDefault="002530E2">
            <w:pPr>
              <w:widowControl w:val="0"/>
              <w:spacing w:after="0" w:line="276" w:lineRule="auto"/>
              <w:jc w:val="center"/>
            </w:pPr>
            <w:r>
              <w:rPr>
                <w:sz w:val="18"/>
                <w:szCs w:val="18"/>
              </w:rPr>
              <w:t>YEAR</w:t>
            </w:r>
          </w:p>
        </w:tc>
        <w:tc>
          <w:tcPr>
            <w:tcW w:w="990" w:type="dxa"/>
            <w:tcMar>
              <w:top w:w="100" w:type="dxa"/>
              <w:left w:w="100" w:type="dxa"/>
              <w:bottom w:w="100" w:type="dxa"/>
              <w:right w:w="100" w:type="dxa"/>
            </w:tcMar>
          </w:tcPr>
          <w:p w14:paraId="4A65F604" w14:textId="77777777" w:rsidR="002530E2" w:rsidRDefault="002530E2">
            <w:pPr>
              <w:widowControl w:val="0"/>
              <w:spacing w:after="0" w:line="276" w:lineRule="auto"/>
              <w:jc w:val="center"/>
            </w:pPr>
            <w:r>
              <w:rPr>
                <w:sz w:val="18"/>
                <w:szCs w:val="18"/>
              </w:rPr>
              <w:t>TOTAL</w:t>
            </w:r>
          </w:p>
        </w:tc>
      </w:tr>
      <w:tr w:rsidR="002530E2" w14:paraId="7FC18E48" w14:textId="77777777">
        <w:trPr>
          <w:trHeight w:val="400"/>
        </w:trPr>
        <w:tc>
          <w:tcPr>
            <w:tcW w:w="495" w:type="dxa"/>
            <w:tcMar>
              <w:top w:w="100" w:type="dxa"/>
              <w:left w:w="100" w:type="dxa"/>
              <w:bottom w:w="100" w:type="dxa"/>
              <w:right w:w="100" w:type="dxa"/>
            </w:tcMar>
          </w:tcPr>
          <w:p w14:paraId="26F5BE9C" w14:textId="77777777" w:rsidR="002530E2" w:rsidRDefault="002530E2">
            <w:pPr>
              <w:widowControl w:val="0"/>
              <w:spacing w:after="0" w:line="276" w:lineRule="auto"/>
              <w:jc w:val="center"/>
            </w:pPr>
            <w:r>
              <w:rPr>
                <w:sz w:val="18"/>
                <w:szCs w:val="18"/>
              </w:rPr>
              <w:t>1</w:t>
            </w:r>
          </w:p>
        </w:tc>
        <w:tc>
          <w:tcPr>
            <w:tcW w:w="1620" w:type="dxa"/>
            <w:tcMar>
              <w:top w:w="100" w:type="dxa"/>
              <w:left w:w="100" w:type="dxa"/>
              <w:bottom w:w="100" w:type="dxa"/>
              <w:right w:w="100" w:type="dxa"/>
            </w:tcMar>
          </w:tcPr>
          <w:p w14:paraId="3C9E3619" w14:textId="77777777" w:rsidR="002530E2" w:rsidRDefault="002530E2">
            <w:pPr>
              <w:widowControl w:val="0"/>
              <w:spacing w:after="0" w:line="276" w:lineRule="auto"/>
            </w:pPr>
            <w:r>
              <w:rPr>
                <w:sz w:val="18"/>
                <w:szCs w:val="18"/>
              </w:rPr>
              <w:t xml:space="preserve">Brand Hate &amp; Avoidance </w:t>
            </w:r>
          </w:p>
        </w:tc>
        <w:tc>
          <w:tcPr>
            <w:tcW w:w="3450" w:type="dxa"/>
            <w:tcMar>
              <w:top w:w="100" w:type="dxa"/>
              <w:left w:w="100" w:type="dxa"/>
              <w:bottom w:w="100" w:type="dxa"/>
              <w:right w:w="100" w:type="dxa"/>
            </w:tcMar>
          </w:tcPr>
          <w:p w14:paraId="1C8E253E" w14:textId="77777777" w:rsidR="002530E2" w:rsidRDefault="002530E2">
            <w:pPr>
              <w:widowControl w:val="0"/>
              <w:spacing w:after="0" w:line="276" w:lineRule="auto"/>
            </w:pPr>
            <w:r>
              <w:rPr>
                <w:sz w:val="18"/>
                <w:szCs w:val="18"/>
              </w:rPr>
              <w:t>“Your most unhappy consumers are your greatest source of learning: The effects of avoidance type, company characteristics, and consumer characteristics on brand hate”</w:t>
            </w:r>
          </w:p>
        </w:tc>
        <w:tc>
          <w:tcPr>
            <w:tcW w:w="1680" w:type="dxa"/>
            <w:tcMar>
              <w:top w:w="100" w:type="dxa"/>
              <w:left w:w="100" w:type="dxa"/>
              <w:bottom w:w="100" w:type="dxa"/>
              <w:right w:w="100" w:type="dxa"/>
            </w:tcMar>
          </w:tcPr>
          <w:p w14:paraId="14376BEE" w14:textId="77777777" w:rsidR="002530E2" w:rsidRDefault="002530E2">
            <w:pPr>
              <w:widowControl w:val="0"/>
              <w:spacing w:after="0" w:line="276" w:lineRule="auto"/>
              <w:jc w:val="center"/>
            </w:pPr>
            <w:r>
              <w:rPr>
                <w:sz w:val="18"/>
                <w:szCs w:val="18"/>
              </w:rPr>
              <w:t>Koenderink</w:t>
            </w:r>
          </w:p>
        </w:tc>
        <w:tc>
          <w:tcPr>
            <w:tcW w:w="840" w:type="dxa"/>
            <w:tcMar>
              <w:top w:w="100" w:type="dxa"/>
              <w:left w:w="100" w:type="dxa"/>
              <w:bottom w:w="100" w:type="dxa"/>
              <w:right w:w="100" w:type="dxa"/>
            </w:tcMar>
          </w:tcPr>
          <w:p w14:paraId="2D3449FA" w14:textId="77777777" w:rsidR="002530E2" w:rsidRDefault="002530E2">
            <w:pPr>
              <w:widowControl w:val="0"/>
              <w:spacing w:after="0" w:line="276" w:lineRule="auto"/>
              <w:jc w:val="center"/>
            </w:pPr>
            <w:r>
              <w:rPr>
                <w:sz w:val="18"/>
                <w:szCs w:val="18"/>
              </w:rPr>
              <w:t>2014</w:t>
            </w:r>
          </w:p>
        </w:tc>
        <w:tc>
          <w:tcPr>
            <w:tcW w:w="990" w:type="dxa"/>
            <w:tcMar>
              <w:top w:w="100" w:type="dxa"/>
              <w:left w:w="100" w:type="dxa"/>
              <w:bottom w:w="100" w:type="dxa"/>
              <w:right w:w="100" w:type="dxa"/>
            </w:tcMar>
          </w:tcPr>
          <w:p w14:paraId="4A06BE5B" w14:textId="77777777" w:rsidR="002530E2" w:rsidRDefault="002530E2">
            <w:pPr>
              <w:widowControl w:val="0"/>
              <w:spacing w:after="0" w:line="276" w:lineRule="auto"/>
              <w:jc w:val="center"/>
            </w:pPr>
            <w:r>
              <w:rPr>
                <w:sz w:val="18"/>
                <w:szCs w:val="18"/>
              </w:rPr>
              <w:t>1</w:t>
            </w:r>
          </w:p>
        </w:tc>
      </w:tr>
      <w:tr w:rsidR="002530E2" w14:paraId="77501665" w14:textId="77777777">
        <w:trPr>
          <w:trHeight w:val="400"/>
        </w:trPr>
        <w:tc>
          <w:tcPr>
            <w:tcW w:w="495" w:type="dxa"/>
            <w:tcMar>
              <w:top w:w="100" w:type="dxa"/>
              <w:left w:w="100" w:type="dxa"/>
              <w:bottom w:w="100" w:type="dxa"/>
              <w:right w:w="100" w:type="dxa"/>
            </w:tcMar>
          </w:tcPr>
          <w:p w14:paraId="3F7C6F92" w14:textId="77777777" w:rsidR="002530E2" w:rsidRDefault="002530E2">
            <w:pPr>
              <w:widowControl w:val="0"/>
              <w:spacing w:after="0" w:line="276" w:lineRule="auto"/>
              <w:jc w:val="center"/>
            </w:pPr>
            <w:r>
              <w:rPr>
                <w:sz w:val="18"/>
                <w:szCs w:val="18"/>
              </w:rPr>
              <w:t>2</w:t>
            </w:r>
          </w:p>
        </w:tc>
        <w:tc>
          <w:tcPr>
            <w:tcW w:w="1620" w:type="dxa"/>
            <w:tcMar>
              <w:top w:w="100" w:type="dxa"/>
              <w:left w:w="100" w:type="dxa"/>
              <w:bottom w:w="100" w:type="dxa"/>
              <w:right w:w="100" w:type="dxa"/>
            </w:tcMar>
          </w:tcPr>
          <w:p w14:paraId="23D100FE" w14:textId="77777777" w:rsidR="002530E2" w:rsidRDefault="002530E2">
            <w:pPr>
              <w:widowControl w:val="0"/>
              <w:spacing w:after="0" w:line="276" w:lineRule="auto"/>
            </w:pPr>
            <w:r>
              <w:rPr>
                <w:sz w:val="18"/>
                <w:szCs w:val="18"/>
              </w:rPr>
              <w:t>Brand Failure &amp; Success</w:t>
            </w:r>
          </w:p>
        </w:tc>
        <w:tc>
          <w:tcPr>
            <w:tcW w:w="3450" w:type="dxa"/>
            <w:tcMar>
              <w:top w:w="100" w:type="dxa"/>
              <w:left w:w="100" w:type="dxa"/>
              <w:bottom w:w="100" w:type="dxa"/>
              <w:right w:w="100" w:type="dxa"/>
            </w:tcMar>
          </w:tcPr>
          <w:p w14:paraId="241FD8A8" w14:textId="77777777" w:rsidR="002530E2" w:rsidRDefault="002530E2">
            <w:pPr>
              <w:widowControl w:val="0"/>
              <w:spacing w:after="0" w:line="276" w:lineRule="auto"/>
            </w:pPr>
            <w:r>
              <w:rPr>
                <w:sz w:val="18"/>
                <w:szCs w:val="18"/>
              </w:rPr>
              <w:t>“Comeback brands: A case study of MINI, Festis, and Lacoste”</w:t>
            </w:r>
          </w:p>
        </w:tc>
        <w:tc>
          <w:tcPr>
            <w:tcW w:w="1680" w:type="dxa"/>
            <w:tcMar>
              <w:top w:w="100" w:type="dxa"/>
              <w:left w:w="100" w:type="dxa"/>
              <w:bottom w:w="100" w:type="dxa"/>
              <w:right w:w="100" w:type="dxa"/>
            </w:tcMar>
          </w:tcPr>
          <w:p w14:paraId="74C76A56" w14:textId="77777777" w:rsidR="002530E2" w:rsidRDefault="002530E2">
            <w:pPr>
              <w:widowControl w:val="0"/>
              <w:spacing w:after="0" w:line="276" w:lineRule="auto"/>
              <w:jc w:val="center"/>
            </w:pPr>
            <w:r>
              <w:rPr>
                <w:sz w:val="18"/>
                <w:szCs w:val="18"/>
              </w:rPr>
              <w:t>Ingemanson &amp; Hesslefors</w:t>
            </w:r>
          </w:p>
        </w:tc>
        <w:tc>
          <w:tcPr>
            <w:tcW w:w="840" w:type="dxa"/>
            <w:tcMar>
              <w:top w:w="100" w:type="dxa"/>
              <w:left w:w="100" w:type="dxa"/>
              <w:bottom w:w="100" w:type="dxa"/>
              <w:right w:w="100" w:type="dxa"/>
            </w:tcMar>
          </w:tcPr>
          <w:p w14:paraId="2147661F" w14:textId="77777777" w:rsidR="002530E2" w:rsidRDefault="002530E2">
            <w:pPr>
              <w:widowControl w:val="0"/>
              <w:spacing w:after="0" w:line="276" w:lineRule="auto"/>
              <w:jc w:val="center"/>
            </w:pPr>
            <w:r>
              <w:rPr>
                <w:sz w:val="18"/>
                <w:szCs w:val="18"/>
              </w:rPr>
              <w:t>2010</w:t>
            </w:r>
          </w:p>
        </w:tc>
        <w:tc>
          <w:tcPr>
            <w:tcW w:w="990" w:type="dxa"/>
            <w:vMerge w:val="restart"/>
            <w:tcMar>
              <w:top w:w="100" w:type="dxa"/>
              <w:left w:w="100" w:type="dxa"/>
              <w:bottom w:w="100" w:type="dxa"/>
              <w:right w:w="100" w:type="dxa"/>
            </w:tcMar>
          </w:tcPr>
          <w:p w14:paraId="4B2576EC" w14:textId="77777777" w:rsidR="002530E2" w:rsidRDefault="002530E2">
            <w:pPr>
              <w:widowControl w:val="0"/>
              <w:spacing w:after="0" w:line="276" w:lineRule="auto"/>
              <w:jc w:val="center"/>
            </w:pPr>
            <w:r>
              <w:rPr>
                <w:sz w:val="18"/>
                <w:szCs w:val="18"/>
              </w:rPr>
              <w:t>3</w:t>
            </w:r>
          </w:p>
        </w:tc>
      </w:tr>
      <w:tr w:rsidR="002530E2" w14:paraId="30BD0087" w14:textId="77777777">
        <w:trPr>
          <w:trHeight w:val="400"/>
        </w:trPr>
        <w:tc>
          <w:tcPr>
            <w:tcW w:w="495" w:type="dxa"/>
            <w:tcMar>
              <w:top w:w="100" w:type="dxa"/>
              <w:left w:w="100" w:type="dxa"/>
              <w:bottom w:w="100" w:type="dxa"/>
              <w:right w:w="100" w:type="dxa"/>
            </w:tcMar>
          </w:tcPr>
          <w:p w14:paraId="567818A7" w14:textId="77777777" w:rsidR="002530E2" w:rsidRDefault="002530E2">
            <w:pPr>
              <w:widowControl w:val="0"/>
              <w:spacing w:after="0" w:line="276" w:lineRule="auto"/>
              <w:jc w:val="center"/>
            </w:pPr>
            <w:r>
              <w:rPr>
                <w:sz w:val="18"/>
                <w:szCs w:val="18"/>
              </w:rPr>
              <w:t>3</w:t>
            </w:r>
          </w:p>
        </w:tc>
        <w:tc>
          <w:tcPr>
            <w:tcW w:w="1620" w:type="dxa"/>
            <w:tcMar>
              <w:top w:w="100" w:type="dxa"/>
              <w:left w:w="100" w:type="dxa"/>
              <w:bottom w:w="100" w:type="dxa"/>
              <w:right w:w="100" w:type="dxa"/>
            </w:tcMar>
          </w:tcPr>
          <w:p w14:paraId="5856912A" w14:textId="77777777" w:rsidR="002530E2" w:rsidRDefault="002530E2">
            <w:pPr>
              <w:widowControl w:val="0"/>
              <w:spacing w:after="0" w:line="276" w:lineRule="auto"/>
            </w:pPr>
            <w:r>
              <w:rPr>
                <w:sz w:val="18"/>
                <w:szCs w:val="18"/>
              </w:rPr>
              <w:t>Brand Failure Impact</w:t>
            </w:r>
          </w:p>
        </w:tc>
        <w:tc>
          <w:tcPr>
            <w:tcW w:w="3450" w:type="dxa"/>
            <w:tcMar>
              <w:top w:w="100" w:type="dxa"/>
              <w:left w:w="100" w:type="dxa"/>
              <w:bottom w:w="100" w:type="dxa"/>
              <w:right w:w="100" w:type="dxa"/>
            </w:tcMar>
          </w:tcPr>
          <w:p w14:paraId="0C0BD193" w14:textId="77777777" w:rsidR="002530E2" w:rsidRDefault="002530E2">
            <w:pPr>
              <w:widowControl w:val="0"/>
              <w:spacing w:after="0" w:line="276" w:lineRule="auto"/>
            </w:pPr>
            <w:r>
              <w:rPr>
                <w:sz w:val="18"/>
                <w:szCs w:val="18"/>
              </w:rPr>
              <w:t>“Brand Failure: Factor Analytic Findings”</w:t>
            </w:r>
          </w:p>
        </w:tc>
        <w:tc>
          <w:tcPr>
            <w:tcW w:w="1680" w:type="dxa"/>
            <w:tcMar>
              <w:top w:w="100" w:type="dxa"/>
              <w:left w:w="100" w:type="dxa"/>
              <w:bottom w:w="100" w:type="dxa"/>
              <w:right w:w="100" w:type="dxa"/>
            </w:tcMar>
          </w:tcPr>
          <w:p w14:paraId="3C73BBA9" w14:textId="77777777" w:rsidR="002530E2" w:rsidRDefault="002530E2">
            <w:pPr>
              <w:widowControl w:val="0"/>
              <w:spacing w:after="0" w:line="276" w:lineRule="auto"/>
              <w:jc w:val="center"/>
            </w:pPr>
            <w:r>
              <w:rPr>
                <w:sz w:val="18"/>
                <w:szCs w:val="18"/>
              </w:rPr>
              <w:t>Saeeda &amp; Siddiqui</w:t>
            </w:r>
          </w:p>
        </w:tc>
        <w:tc>
          <w:tcPr>
            <w:tcW w:w="840" w:type="dxa"/>
            <w:tcMar>
              <w:top w:w="100" w:type="dxa"/>
              <w:left w:w="100" w:type="dxa"/>
              <w:bottom w:w="100" w:type="dxa"/>
              <w:right w:w="100" w:type="dxa"/>
            </w:tcMar>
          </w:tcPr>
          <w:p w14:paraId="3EF31245"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0E10ACAC" w14:textId="77777777" w:rsidR="002530E2" w:rsidRDefault="002530E2">
            <w:pPr>
              <w:widowControl w:val="0"/>
              <w:spacing w:after="0" w:line="240" w:lineRule="auto"/>
              <w:jc w:val="center"/>
            </w:pPr>
          </w:p>
        </w:tc>
      </w:tr>
      <w:tr w:rsidR="002530E2" w14:paraId="61F982BE" w14:textId="77777777">
        <w:trPr>
          <w:trHeight w:val="400"/>
        </w:trPr>
        <w:tc>
          <w:tcPr>
            <w:tcW w:w="495" w:type="dxa"/>
            <w:tcMar>
              <w:top w:w="100" w:type="dxa"/>
              <w:left w:w="100" w:type="dxa"/>
              <w:bottom w:w="100" w:type="dxa"/>
              <w:right w:w="100" w:type="dxa"/>
            </w:tcMar>
          </w:tcPr>
          <w:p w14:paraId="5DC9FDCD" w14:textId="77777777" w:rsidR="002530E2" w:rsidRDefault="002530E2">
            <w:pPr>
              <w:widowControl w:val="0"/>
              <w:spacing w:after="0" w:line="276" w:lineRule="auto"/>
              <w:jc w:val="center"/>
            </w:pPr>
            <w:r>
              <w:rPr>
                <w:sz w:val="18"/>
                <w:szCs w:val="18"/>
              </w:rPr>
              <w:t>4</w:t>
            </w:r>
          </w:p>
        </w:tc>
        <w:tc>
          <w:tcPr>
            <w:tcW w:w="1620" w:type="dxa"/>
            <w:tcMar>
              <w:top w:w="100" w:type="dxa"/>
              <w:left w:w="100" w:type="dxa"/>
              <w:bottom w:w="100" w:type="dxa"/>
              <w:right w:w="100" w:type="dxa"/>
            </w:tcMar>
          </w:tcPr>
          <w:p w14:paraId="291A9B9C" w14:textId="77777777" w:rsidR="002530E2" w:rsidRDefault="002530E2">
            <w:pPr>
              <w:widowControl w:val="0"/>
              <w:spacing w:after="0" w:line="276" w:lineRule="auto"/>
            </w:pPr>
            <w:r>
              <w:rPr>
                <w:sz w:val="18"/>
                <w:szCs w:val="18"/>
              </w:rPr>
              <w:t>Brand Failure Reasons</w:t>
            </w:r>
          </w:p>
        </w:tc>
        <w:tc>
          <w:tcPr>
            <w:tcW w:w="3450" w:type="dxa"/>
            <w:tcMar>
              <w:top w:w="100" w:type="dxa"/>
              <w:left w:w="100" w:type="dxa"/>
              <w:bottom w:w="100" w:type="dxa"/>
              <w:right w:w="100" w:type="dxa"/>
            </w:tcMar>
          </w:tcPr>
          <w:p w14:paraId="7CD065FE" w14:textId="77777777" w:rsidR="002530E2" w:rsidRDefault="002530E2">
            <w:pPr>
              <w:widowControl w:val="0"/>
              <w:spacing w:after="0" w:line="276" w:lineRule="auto"/>
            </w:pPr>
            <w:r>
              <w:rPr>
                <w:sz w:val="18"/>
                <w:szCs w:val="18"/>
              </w:rPr>
              <w:t>“Brand Failure in Pakistan: Content Analytic Findings”</w:t>
            </w:r>
          </w:p>
        </w:tc>
        <w:tc>
          <w:tcPr>
            <w:tcW w:w="1680" w:type="dxa"/>
            <w:tcMar>
              <w:top w:w="100" w:type="dxa"/>
              <w:left w:w="100" w:type="dxa"/>
              <w:bottom w:w="100" w:type="dxa"/>
              <w:right w:w="100" w:type="dxa"/>
            </w:tcMar>
          </w:tcPr>
          <w:p w14:paraId="61E5B58F" w14:textId="77777777" w:rsidR="002530E2" w:rsidRDefault="002530E2">
            <w:pPr>
              <w:widowControl w:val="0"/>
              <w:spacing w:after="0" w:line="276" w:lineRule="auto"/>
              <w:jc w:val="center"/>
            </w:pPr>
            <w:r>
              <w:rPr>
                <w:sz w:val="18"/>
                <w:szCs w:val="18"/>
              </w:rPr>
              <w:t>Siddiqui, Siddiqui, &amp; Khaqan</w:t>
            </w:r>
          </w:p>
        </w:tc>
        <w:tc>
          <w:tcPr>
            <w:tcW w:w="840" w:type="dxa"/>
            <w:tcMar>
              <w:top w:w="100" w:type="dxa"/>
              <w:left w:w="100" w:type="dxa"/>
              <w:bottom w:w="100" w:type="dxa"/>
              <w:right w:w="100" w:type="dxa"/>
            </w:tcMar>
          </w:tcPr>
          <w:p w14:paraId="44732B8E"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115AC30D" w14:textId="77777777" w:rsidR="002530E2" w:rsidRDefault="002530E2">
            <w:pPr>
              <w:widowControl w:val="0"/>
              <w:spacing w:after="0" w:line="240" w:lineRule="auto"/>
              <w:jc w:val="center"/>
            </w:pPr>
          </w:p>
        </w:tc>
      </w:tr>
      <w:tr w:rsidR="002530E2" w14:paraId="58122BE6" w14:textId="77777777">
        <w:tc>
          <w:tcPr>
            <w:tcW w:w="495" w:type="dxa"/>
            <w:tcMar>
              <w:top w:w="100" w:type="dxa"/>
              <w:left w:w="100" w:type="dxa"/>
              <w:bottom w:w="100" w:type="dxa"/>
              <w:right w:w="100" w:type="dxa"/>
            </w:tcMar>
          </w:tcPr>
          <w:p w14:paraId="3C1995A1" w14:textId="77777777" w:rsidR="002530E2" w:rsidRDefault="002530E2">
            <w:pPr>
              <w:widowControl w:val="0"/>
              <w:spacing w:after="0" w:line="276" w:lineRule="auto"/>
              <w:jc w:val="center"/>
            </w:pPr>
            <w:r>
              <w:rPr>
                <w:sz w:val="18"/>
                <w:szCs w:val="18"/>
              </w:rPr>
              <w:t>5</w:t>
            </w:r>
          </w:p>
        </w:tc>
        <w:tc>
          <w:tcPr>
            <w:tcW w:w="1620" w:type="dxa"/>
            <w:tcMar>
              <w:top w:w="100" w:type="dxa"/>
              <w:left w:w="100" w:type="dxa"/>
              <w:bottom w:w="100" w:type="dxa"/>
              <w:right w:w="100" w:type="dxa"/>
            </w:tcMar>
          </w:tcPr>
          <w:p w14:paraId="3C8E1CD4" w14:textId="77777777" w:rsidR="002530E2" w:rsidRDefault="002530E2">
            <w:pPr>
              <w:widowControl w:val="0"/>
              <w:spacing w:after="0" w:line="276" w:lineRule="auto"/>
            </w:pPr>
            <w:r>
              <w:rPr>
                <w:sz w:val="18"/>
                <w:szCs w:val="18"/>
              </w:rPr>
              <w:t>Cultural Difference</w:t>
            </w:r>
          </w:p>
        </w:tc>
        <w:tc>
          <w:tcPr>
            <w:tcW w:w="3450" w:type="dxa"/>
            <w:tcMar>
              <w:top w:w="100" w:type="dxa"/>
              <w:left w:w="100" w:type="dxa"/>
              <w:bottom w:w="100" w:type="dxa"/>
              <w:right w:w="100" w:type="dxa"/>
            </w:tcMar>
          </w:tcPr>
          <w:p w14:paraId="32F4B49A" w14:textId="77777777" w:rsidR="002530E2" w:rsidRDefault="002530E2">
            <w:pPr>
              <w:widowControl w:val="0"/>
              <w:spacing w:after="0" w:line="276" w:lineRule="auto"/>
            </w:pPr>
            <w:r>
              <w:rPr>
                <w:sz w:val="18"/>
                <w:szCs w:val="18"/>
              </w:rPr>
              <w:t>“Global marketing advertising with cultural differences: How can global companies better address cultural differences in marketing advertising in the Middle East?”</w:t>
            </w:r>
          </w:p>
        </w:tc>
        <w:tc>
          <w:tcPr>
            <w:tcW w:w="1680" w:type="dxa"/>
            <w:tcMar>
              <w:top w:w="100" w:type="dxa"/>
              <w:left w:w="100" w:type="dxa"/>
              <w:bottom w:w="100" w:type="dxa"/>
              <w:right w:w="100" w:type="dxa"/>
            </w:tcMar>
          </w:tcPr>
          <w:p w14:paraId="70C14BA3" w14:textId="77777777" w:rsidR="002530E2" w:rsidRDefault="002530E2">
            <w:pPr>
              <w:widowControl w:val="0"/>
              <w:spacing w:after="0" w:line="276" w:lineRule="auto"/>
              <w:jc w:val="center"/>
            </w:pPr>
            <w:r>
              <w:rPr>
                <w:sz w:val="18"/>
                <w:szCs w:val="18"/>
              </w:rPr>
              <w:t>Yalcin &amp; Çimendağ</w:t>
            </w:r>
          </w:p>
        </w:tc>
        <w:tc>
          <w:tcPr>
            <w:tcW w:w="840" w:type="dxa"/>
            <w:tcMar>
              <w:top w:w="100" w:type="dxa"/>
              <w:left w:w="100" w:type="dxa"/>
              <w:bottom w:w="100" w:type="dxa"/>
              <w:right w:w="100" w:type="dxa"/>
            </w:tcMar>
          </w:tcPr>
          <w:p w14:paraId="427FA84C" w14:textId="77777777" w:rsidR="002530E2" w:rsidRDefault="002530E2">
            <w:pPr>
              <w:widowControl w:val="0"/>
              <w:spacing w:after="0" w:line="276" w:lineRule="auto"/>
              <w:jc w:val="center"/>
            </w:pPr>
            <w:r>
              <w:rPr>
                <w:sz w:val="18"/>
                <w:szCs w:val="18"/>
              </w:rPr>
              <w:t>2012</w:t>
            </w:r>
          </w:p>
        </w:tc>
        <w:tc>
          <w:tcPr>
            <w:tcW w:w="990" w:type="dxa"/>
            <w:tcMar>
              <w:top w:w="100" w:type="dxa"/>
              <w:left w:w="100" w:type="dxa"/>
              <w:bottom w:w="100" w:type="dxa"/>
              <w:right w:w="100" w:type="dxa"/>
            </w:tcMar>
          </w:tcPr>
          <w:p w14:paraId="36683DA8" w14:textId="77777777" w:rsidR="002530E2" w:rsidRDefault="002530E2">
            <w:pPr>
              <w:widowControl w:val="0"/>
              <w:spacing w:after="0" w:line="276" w:lineRule="auto"/>
              <w:jc w:val="center"/>
            </w:pPr>
            <w:r>
              <w:rPr>
                <w:sz w:val="18"/>
                <w:szCs w:val="18"/>
              </w:rPr>
              <w:t>1</w:t>
            </w:r>
          </w:p>
        </w:tc>
      </w:tr>
      <w:tr w:rsidR="002530E2" w14:paraId="2901F2B5" w14:textId="77777777">
        <w:trPr>
          <w:trHeight w:val="400"/>
        </w:trPr>
        <w:tc>
          <w:tcPr>
            <w:tcW w:w="495" w:type="dxa"/>
            <w:tcMar>
              <w:top w:w="100" w:type="dxa"/>
              <w:left w:w="100" w:type="dxa"/>
              <w:bottom w:w="100" w:type="dxa"/>
              <w:right w:w="100" w:type="dxa"/>
            </w:tcMar>
          </w:tcPr>
          <w:p w14:paraId="4C2AF68A" w14:textId="77777777" w:rsidR="002530E2" w:rsidRDefault="002530E2">
            <w:pPr>
              <w:widowControl w:val="0"/>
              <w:spacing w:after="0" w:line="276" w:lineRule="auto"/>
              <w:jc w:val="center"/>
            </w:pPr>
            <w:r>
              <w:rPr>
                <w:sz w:val="18"/>
                <w:szCs w:val="18"/>
              </w:rPr>
              <w:t>6</w:t>
            </w:r>
          </w:p>
        </w:tc>
        <w:tc>
          <w:tcPr>
            <w:tcW w:w="1620" w:type="dxa"/>
            <w:tcMar>
              <w:top w:w="100" w:type="dxa"/>
              <w:left w:w="100" w:type="dxa"/>
              <w:bottom w:w="100" w:type="dxa"/>
              <w:right w:w="100" w:type="dxa"/>
            </w:tcMar>
          </w:tcPr>
          <w:p w14:paraId="2740D9C3"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7DEEC835" w14:textId="77777777" w:rsidR="002530E2" w:rsidRDefault="002530E2">
            <w:pPr>
              <w:widowControl w:val="0"/>
              <w:spacing w:after="0" w:line="276" w:lineRule="auto"/>
            </w:pPr>
            <w:r>
              <w:rPr>
                <w:sz w:val="18"/>
                <w:szCs w:val="18"/>
              </w:rPr>
              <w:t>“When East Meets West: Cross-Cultural Blunders in International Business”</w:t>
            </w:r>
          </w:p>
        </w:tc>
        <w:tc>
          <w:tcPr>
            <w:tcW w:w="1680" w:type="dxa"/>
            <w:tcMar>
              <w:top w:w="100" w:type="dxa"/>
              <w:left w:w="100" w:type="dxa"/>
              <w:bottom w:w="100" w:type="dxa"/>
              <w:right w:w="100" w:type="dxa"/>
            </w:tcMar>
          </w:tcPr>
          <w:p w14:paraId="4C838633" w14:textId="77777777" w:rsidR="002530E2" w:rsidRDefault="002530E2">
            <w:pPr>
              <w:widowControl w:val="0"/>
              <w:spacing w:after="0" w:line="276" w:lineRule="auto"/>
              <w:jc w:val="center"/>
            </w:pPr>
            <w:r>
              <w:rPr>
                <w:sz w:val="18"/>
                <w:szCs w:val="18"/>
              </w:rPr>
              <w:t xml:space="preserve">Rani Shankar </w:t>
            </w:r>
          </w:p>
        </w:tc>
        <w:tc>
          <w:tcPr>
            <w:tcW w:w="840" w:type="dxa"/>
            <w:tcMar>
              <w:top w:w="100" w:type="dxa"/>
              <w:left w:w="100" w:type="dxa"/>
              <w:bottom w:w="100" w:type="dxa"/>
              <w:right w:w="100" w:type="dxa"/>
            </w:tcMar>
          </w:tcPr>
          <w:p w14:paraId="6CC0308F" w14:textId="77777777" w:rsidR="002530E2" w:rsidRDefault="002530E2">
            <w:pPr>
              <w:widowControl w:val="0"/>
              <w:spacing w:after="0" w:line="276" w:lineRule="auto"/>
              <w:jc w:val="center"/>
            </w:pPr>
            <w:r>
              <w:rPr>
                <w:sz w:val="18"/>
                <w:szCs w:val="18"/>
              </w:rPr>
              <w:t>2009</w:t>
            </w:r>
          </w:p>
        </w:tc>
        <w:tc>
          <w:tcPr>
            <w:tcW w:w="990" w:type="dxa"/>
            <w:vMerge w:val="restart"/>
          </w:tcPr>
          <w:p w14:paraId="2413DC94" w14:textId="77777777" w:rsidR="002530E2" w:rsidRDefault="002530E2">
            <w:pPr>
              <w:widowControl w:val="0"/>
              <w:spacing w:after="0" w:line="276" w:lineRule="auto"/>
              <w:jc w:val="center"/>
            </w:pPr>
            <w:r>
              <w:rPr>
                <w:sz w:val="18"/>
                <w:szCs w:val="18"/>
              </w:rPr>
              <w:t>21</w:t>
            </w:r>
          </w:p>
        </w:tc>
      </w:tr>
      <w:tr w:rsidR="002530E2" w14:paraId="6D09E30A" w14:textId="77777777">
        <w:trPr>
          <w:trHeight w:val="400"/>
        </w:trPr>
        <w:tc>
          <w:tcPr>
            <w:tcW w:w="495" w:type="dxa"/>
            <w:tcMar>
              <w:top w:w="100" w:type="dxa"/>
              <w:left w:w="100" w:type="dxa"/>
              <w:bottom w:w="100" w:type="dxa"/>
              <w:right w:w="100" w:type="dxa"/>
            </w:tcMar>
          </w:tcPr>
          <w:p w14:paraId="4AC8D488" w14:textId="77777777" w:rsidR="002530E2" w:rsidRDefault="002530E2">
            <w:pPr>
              <w:widowControl w:val="0"/>
              <w:spacing w:after="0" w:line="276" w:lineRule="auto"/>
              <w:jc w:val="center"/>
            </w:pPr>
            <w:r>
              <w:rPr>
                <w:sz w:val="18"/>
                <w:szCs w:val="18"/>
              </w:rPr>
              <w:t>7</w:t>
            </w:r>
          </w:p>
        </w:tc>
        <w:tc>
          <w:tcPr>
            <w:tcW w:w="1620" w:type="dxa"/>
            <w:tcMar>
              <w:top w:w="100" w:type="dxa"/>
              <w:left w:w="100" w:type="dxa"/>
              <w:bottom w:w="100" w:type="dxa"/>
              <w:right w:w="100" w:type="dxa"/>
            </w:tcMar>
          </w:tcPr>
          <w:p w14:paraId="158E49E3"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0EB55333" w14:textId="77777777" w:rsidR="002530E2" w:rsidRDefault="002530E2">
            <w:pPr>
              <w:widowControl w:val="0"/>
              <w:spacing w:after="0" w:line="276" w:lineRule="auto"/>
            </w:pPr>
            <w:r>
              <w:rPr>
                <w:sz w:val="18"/>
                <w:szCs w:val="18"/>
              </w:rPr>
              <w:t>“Cross-cultural Blunders in Professional Communication From a Semantic Perspective”</w:t>
            </w:r>
          </w:p>
        </w:tc>
        <w:tc>
          <w:tcPr>
            <w:tcW w:w="1680" w:type="dxa"/>
            <w:tcMar>
              <w:top w:w="100" w:type="dxa"/>
              <w:left w:w="100" w:type="dxa"/>
              <w:bottom w:w="100" w:type="dxa"/>
              <w:right w:w="100" w:type="dxa"/>
            </w:tcMar>
          </w:tcPr>
          <w:p w14:paraId="5D4574D0" w14:textId="77777777" w:rsidR="002530E2" w:rsidRDefault="002530E2">
            <w:pPr>
              <w:widowControl w:val="0"/>
              <w:spacing w:after="0" w:line="276" w:lineRule="auto"/>
              <w:jc w:val="center"/>
            </w:pPr>
            <w:r>
              <w:rPr>
                <w:sz w:val="18"/>
                <w:szCs w:val="18"/>
              </w:rPr>
              <w:t>Zhu</w:t>
            </w:r>
          </w:p>
        </w:tc>
        <w:tc>
          <w:tcPr>
            <w:tcW w:w="840" w:type="dxa"/>
            <w:tcMar>
              <w:top w:w="100" w:type="dxa"/>
              <w:left w:w="100" w:type="dxa"/>
              <w:bottom w:w="100" w:type="dxa"/>
              <w:right w:w="100" w:type="dxa"/>
            </w:tcMar>
          </w:tcPr>
          <w:p w14:paraId="4C9F2C9F" w14:textId="77777777" w:rsidR="002530E2" w:rsidRDefault="002530E2">
            <w:pPr>
              <w:widowControl w:val="0"/>
              <w:spacing w:after="0" w:line="276" w:lineRule="auto"/>
              <w:jc w:val="center"/>
            </w:pPr>
            <w:r>
              <w:rPr>
                <w:sz w:val="18"/>
                <w:szCs w:val="18"/>
              </w:rPr>
              <w:t>2010</w:t>
            </w:r>
          </w:p>
        </w:tc>
        <w:tc>
          <w:tcPr>
            <w:tcW w:w="990" w:type="dxa"/>
            <w:vMerge/>
            <w:tcMar>
              <w:top w:w="100" w:type="dxa"/>
              <w:left w:w="100" w:type="dxa"/>
              <w:bottom w:w="100" w:type="dxa"/>
              <w:right w:w="100" w:type="dxa"/>
            </w:tcMar>
          </w:tcPr>
          <w:p w14:paraId="117FC088" w14:textId="77777777" w:rsidR="002530E2" w:rsidRDefault="002530E2">
            <w:pPr>
              <w:widowControl w:val="0"/>
              <w:spacing w:after="0" w:line="240" w:lineRule="auto"/>
              <w:jc w:val="center"/>
            </w:pPr>
          </w:p>
        </w:tc>
      </w:tr>
      <w:tr w:rsidR="002530E2" w14:paraId="2A694F52" w14:textId="77777777">
        <w:trPr>
          <w:trHeight w:val="400"/>
        </w:trPr>
        <w:tc>
          <w:tcPr>
            <w:tcW w:w="495" w:type="dxa"/>
            <w:tcMar>
              <w:top w:w="100" w:type="dxa"/>
              <w:left w:w="100" w:type="dxa"/>
              <w:bottom w:w="100" w:type="dxa"/>
              <w:right w:w="100" w:type="dxa"/>
            </w:tcMar>
          </w:tcPr>
          <w:p w14:paraId="2F57FB55" w14:textId="77777777" w:rsidR="002530E2" w:rsidRDefault="002530E2">
            <w:pPr>
              <w:widowControl w:val="0"/>
              <w:spacing w:after="0" w:line="276" w:lineRule="auto"/>
              <w:jc w:val="center"/>
            </w:pPr>
            <w:r>
              <w:rPr>
                <w:sz w:val="18"/>
                <w:szCs w:val="18"/>
              </w:rPr>
              <w:t>8</w:t>
            </w:r>
          </w:p>
        </w:tc>
        <w:tc>
          <w:tcPr>
            <w:tcW w:w="1620" w:type="dxa"/>
            <w:tcMar>
              <w:top w:w="100" w:type="dxa"/>
              <w:left w:w="100" w:type="dxa"/>
              <w:bottom w:w="100" w:type="dxa"/>
              <w:right w:w="100" w:type="dxa"/>
            </w:tcMar>
          </w:tcPr>
          <w:p w14:paraId="5D51B9BA"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234F0A36" w14:textId="77777777" w:rsidR="002530E2" w:rsidRDefault="002530E2">
            <w:pPr>
              <w:widowControl w:val="0"/>
              <w:spacing w:after="0" w:line="276" w:lineRule="auto"/>
            </w:pPr>
            <w:r>
              <w:rPr>
                <w:sz w:val="18"/>
                <w:szCs w:val="18"/>
              </w:rPr>
              <w:t>“Cross-Cultural Blunders and Consumer Trust: An Empirical Study”</w:t>
            </w:r>
          </w:p>
        </w:tc>
        <w:tc>
          <w:tcPr>
            <w:tcW w:w="1680" w:type="dxa"/>
            <w:tcMar>
              <w:top w:w="100" w:type="dxa"/>
              <w:left w:w="100" w:type="dxa"/>
              <w:bottom w:w="100" w:type="dxa"/>
              <w:right w:w="100" w:type="dxa"/>
            </w:tcMar>
          </w:tcPr>
          <w:p w14:paraId="2A4773D7" w14:textId="77777777" w:rsidR="002530E2" w:rsidRDefault="002530E2">
            <w:pPr>
              <w:widowControl w:val="0"/>
              <w:spacing w:after="0" w:line="276" w:lineRule="auto"/>
              <w:jc w:val="center"/>
            </w:pPr>
            <w:r>
              <w:rPr>
                <w:sz w:val="18"/>
                <w:szCs w:val="18"/>
              </w:rPr>
              <w:t>Michael Roberts et al.</w:t>
            </w:r>
          </w:p>
        </w:tc>
        <w:tc>
          <w:tcPr>
            <w:tcW w:w="840" w:type="dxa"/>
            <w:tcMar>
              <w:top w:w="100" w:type="dxa"/>
              <w:left w:w="100" w:type="dxa"/>
              <w:bottom w:w="100" w:type="dxa"/>
              <w:right w:w="100" w:type="dxa"/>
            </w:tcMar>
          </w:tcPr>
          <w:p w14:paraId="1233B7C1" w14:textId="77777777" w:rsidR="002530E2" w:rsidRDefault="002530E2">
            <w:pPr>
              <w:widowControl w:val="0"/>
              <w:spacing w:after="0" w:line="276" w:lineRule="auto"/>
              <w:jc w:val="center"/>
            </w:pPr>
            <w:r>
              <w:rPr>
                <w:sz w:val="18"/>
                <w:szCs w:val="18"/>
              </w:rPr>
              <w:t>2011</w:t>
            </w:r>
          </w:p>
        </w:tc>
        <w:tc>
          <w:tcPr>
            <w:tcW w:w="990" w:type="dxa"/>
            <w:vMerge/>
            <w:tcMar>
              <w:top w:w="100" w:type="dxa"/>
              <w:left w:w="100" w:type="dxa"/>
              <w:bottom w:w="100" w:type="dxa"/>
              <w:right w:w="100" w:type="dxa"/>
            </w:tcMar>
          </w:tcPr>
          <w:p w14:paraId="651D26E0" w14:textId="77777777" w:rsidR="002530E2" w:rsidRDefault="002530E2">
            <w:pPr>
              <w:widowControl w:val="0"/>
              <w:spacing w:after="0" w:line="240" w:lineRule="auto"/>
              <w:jc w:val="center"/>
            </w:pPr>
          </w:p>
        </w:tc>
      </w:tr>
      <w:tr w:rsidR="002530E2" w14:paraId="36CA1C3C" w14:textId="77777777">
        <w:trPr>
          <w:trHeight w:val="400"/>
        </w:trPr>
        <w:tc>
          <w:tcPr>
            <w:tcW w:w="495" w:type="dxa"/>
            <w:tcMar>
              <w:top w:w="100" w:type="dxa"/>
              <w:left w:w="100" w:type="dxa"/>
              <w:bottom w:w="100" w:type="dxa"/>
              <w:right w:w="100" w:type="dxa"/>
            </w:tcMar>
          </w:tcPr>
          <w:p w14:paraId="2514BE81" w14:textId="77777777" w:rsidR="002530E2" w:rsidRDefault="002530E2">
            <w:pPr>
              <w:widowControl w:val="0"/>
              <w:spacing w:after="0" w:line="276" w:lineRule="auto"/>
              <w:jc w:val="center"/>
            </w:pPr>
            <w:r>
              <w:rPr>
                <w:sz w:val="18"/>
                <w:szCs w:val="18"/>
              </w:rPr>
              <w:t>9</w:t>
            </w:r>
          </w:p>
        </w:tc>
        <w:tc>
          <w:tcPr>
            <w:tcW w:w="1620" w:type="dxa"/>
            <w:tcMar>
              <w:top w:w="100" w:type="dxa"/>
              <w:left w:w="100" w:type="dxa"/>
              <w:bottom w:w="100" w:type="dxa"/>
              <w:right w:w="100" w:type="dxa"/>
            </w:tcMar>
          </w:tcPr>
          <w:p w14:paraId="27DD19CE"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833BD7D" w14:textId="77777777" w:rsidR="002530E2" w:rsidRDefault="002530E2">
            <w:pPr>
              <w:widowControl w:val="0"/>
              <w:spacing w:after="0" w:line="276" w:lineRule="auto"/>
            </w:pPr>
            <w:r>
              <w:rPr>
                <w:sz w:val="18"/>
                <w:szCs w:val="18"/>
              </w:rPr>
              <w:t>“Managing Cross-Cultural Blunders: Lessons Learned from Multinational Corporations”</w:t>
            </w:r>
          </w:p>
        </w:tc>
        <w:tc>
          <w:tcPr>
            <w:tcW w:w="1680" w:type="dxa"/>
            <w:tcMar>
              <w:top w:w="100" w:type="dxa"/>
              <w:left w:w="100" w:type="dxa"/>
              <w:bottom w:w="100" w:type="dxa"/>
              <w:right w:w="100" w:type="dxa"/>
            </w:tcMar>
          </w:tcPr>
          <w:p w14:paraId="23F95375" w14:textId="77777777" w:rsidR="002530E2" w:rsidRDefault="002530E2">
            <w:pPr>
              <w:widowControl w:val="0"/>
              <w:spacing w:after="0" w:line="276" w:lineRule="auto"/>
              <w:jc w:val="center"/>
            </w:pPr>
            <w:r>
              <w:rPr>
                <w:sz w:val="18"/>
                <w:szCs w:val="18"/>
              </w:rPr>
              <w:t>John Smith</w:t>
            </w:r>
          </w:p>
        </w:tc>
        <w:tc>
          <w:tcPr>
            <w:tcW w:w="840" w:type="dxa"/>
            <w:tcMar>
              <w:top w:w="100" w:type="dxa"/>
              <w:left w:w="100" w:type="dxa"/>
              <w:bottom w:w="100" w:type="dxa"/>
              <w:right w:w="100" w:type="dxa"/>
            </w:tcMar>
          </w:tcPr>
          <w:p w14:paraId="2F036A53" w14:textId="77777777" w:rsidR="002530E2" w:rsidRDefault="002530E2">
            <w:pPr>
              <w:widowControl w:val="0"/>
              <w:spacing w:after="0" w:line="276" w:lineRule="auto"/>
              <w:jc w:val="center"/>
            </w:pPr>
            <w:r>
              <w:rPr>
                <w:sz w:val="18"/>
                <w:szCs w:val="18"/>
              </w:rPr>
              <w:t>2012</w:t>
            </w:r>
          </w:p>
        </w:tc>
        <w:tc>
          <w:tcPr>
            <w:tcW w:w="990" w:type="dxa"/>
            <w:vMerge/>
            <w:tcMar>
              <w:top w:w="100" w:type="dxa"/>
              <w:left w:w="100" w:type="dxa"/>
              <w:bottom w:w="100" w:type="dxa"/>
              <w:right w:w="100" w:type="dxa"/>
            </w:tcMar>
          </w:tcPr>
          <w:p w14:paraId="3112BC2F" w14:textId="77777777" w:rsidR="002530E2" w:rsidRDefault="002530E2">
            <w:pPr>
              <w:widowControl w:val="0"/>
              <w:spacing w:after="0" w:line="240" w:lineRule="auto"/>
              <w:jc w:val="center"/>
            </w:pPr>
          </w:p>
        </w:tc>
      </w:tr>
      <w:tr w:rsidR="002530E2" w14:paraId="343C2613" w14:textId="77777777">
        <w:trPr>
          <w:trHeight w:val="400"/>
        </w:trPr>
        <w:tc>
          <w:tcPr>
            <w:tcW w:w="495" w:type="dxa"/>
            <w:tcMar>
              <w:top w:w="100" w:type="dxa"/>
              <w:left w:w="100" w:type="dxa"/>
              <w:bottom w:w="100" w:type="dxa"/>
              <w:right w:w="100" w:type="dxa"/>
            </w:tcMar>
          </w:tcPr>
          <w:p w14:paraId="02A9F661" w14:textId="77777777" w:rsidR="002530E2" w:rsidRDefault="002530E2">
            <w:pPr>
              <w:widowControl w:val="0"/>
              <w:spacing w:after="0" w:line="276" w:lineRule="auto"/>
              <w:jc w:val="center"/>
            </w:pPr>
            <w:r>
              <w:rPr>
                <w:sz w:val="18"/>
                <w:szCs w:val="18"/>
              </w:rPr>
              <w:t>10</w:t>
            </w:r>
          </w:p>
        </w:tc>
        <w:tc>
          <w:tcPr>
            <w:tcW w:w="1620" w:type="dxa"/>
            <w:tcMar>
              <w:top w:w="100" w:type="dxa"/>
              <w:left w:w="100" w:type="dxa"/>
              <w:bottom w:w="100" w:type="dxa"/>
              <w:right w:w="100" w:type="dxa"/>
            </w:tcMar>
          </w:tcPr>
          <w:p w14:paraId="4D5D8CC7"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18EE8836" w14:textId="77777777" w:rsidR="002530E2" w:rsidRDefault="002530E2">
            <w:pPr>
              <w:widowControl w:val="0"/>
              <w:spacing w:after="0" w:line="276" w:lineRule="auto"/>
            </w:pPr>
            <w:r>
              <w:rPr>
                <w:sz w:val="18"/>
                <w:szCs w:val="18"/>
              </w:rPr>
              <w:t>“The Role of Cultural Sensitivity in Preventing Cross-Cultural Blunders in Business Negotiations”</w:t>
            </w:r>
          </w:p>
        </w:tc>
        <w:tc>
          <w:tcPr>
            <w:tcW w:w="1680" w:type="dxa"/>
            <w:tcMar>
              <w:top w:w="100" w:type="dxa"/>
              <w:left w:w="100" w:type="dxa"/>
              <w:bottom w:w="100" w:type="dxa"/>
              <w:right w:w="100" w:type="dxa"/>
            </w:tcMar>
          </w:tcPr>
          <w:p w14:paraId="11EC48E6" w14:textId="77777777" w:rsidR="002530E2" w:rsidRDefault="002530E2">
            <w:pPr>
              <w:widowControl w:val="0"/>
              <w:spacing w:after="0" w:line="276" w:lineRule="auto"/>
              <w:jc w:val="center"/>
            </w:pPr>
            <w:r>
              <w:rPr>
                <w:sz w:val="18"/>
                <w:szCs w:val="18"/>
              </w:rPr>
              <w:t>Jennifer Adams</w:t>
            </w:r>
          </w:p>
        </w:tc>
        <w:tc>
          <w:tcPr>
            <w:tcW w:w="840" w:type="dxa"/>
            <w:tcMar>
              <w:top w:w="100" w:type="dxa"/>
              <w:left w:w="100" w:type="dxa"/>
              <w:bottom w:w="100" w:type="dxa"/>
              <w:right w:w="100" w:type="dxa"/>
            </w:tcMar>
          </w:tcPr>
          <w:p w14:paraId="30B56BC2" w14:textId="77777777" w:rsidR="002530E2" w:rsidRDefault="002530E2">
            <w:pPr>
              <w:widowControl w:val="0"/>
              <w:spacing w:after="0" w:line="276" w:lineRule="auto"/>
              <w:jc w:val="center"/>
            </w:pPr>
            <w:r>
              <w:rPr>
                <w:sz w:val="18"/>
                <w:szCs w:val="18"/>
              </w:rPr>
              <w:t>2013</w:t>
            </w:r>
          </w:p>
        </w:tc>
        <w:tc>
          <w:tcPr>
            <w:tcW w:w="990" w:type="dxa"/>
            <w:vMerge/>
            <w:tcMar>
              <w:top w:w="100" w:type="dxa"/>
              <w:left w:w="100" w:type="dxa"/>
              <w:bottom w:w="100" w:type="dxa"/>
              <w:right w:w="100" w:type="dxa"/>
            </w:tcMar>
          </w:tcPr>
          <w:p w14:paraId="3AF3C0E7" w14:textId="77777777" w:rsidR="002530E2" w:rsidRDefault="002530E2">
            <w:pPr>
              <w:widowControl w:val="0"/>
              <w:spacing w:after="0" w:line="240" w:lineRule="auto"/>
              <w:jc w:val="center"/>
            </w:pPr>
          </w:p>
        </w:tc>
      </w:tr>
      <w:tr w:rsidR="002530E2" w14:paraId="736550DA" w14:textId="77777777">
        <w:trPr>
          <w:trHeight w:val="400"/>
        </w:trPr>
        <w:tc>
          <w:tcPr>
            <w:tcW w:w="495" w:type="dxa"/>
            <w:tcMar>
              <w:top w:w="100" w:type="dxa"/>
              <w:left w:w="100" w:type="dxa"/>
              <w:bottom w:w="100" w:type="dxa"/>
              <w:right w:w="100" w:type="dxa"/>
            </w:tcMar>
          </w:tcPr>
          <w:p w14:paraId="028D7DAC" w14:textId="77777777" w:rsidR="002530E2" w:rsidRDefault="002530E2">
            <w:pPr>
              <w:widowControl w:val="0"/>
              <w:spacing w:after="0" w:line="276" w:lineRule="auto"/>
              <w:jc w:val="center"/>
            </w:pPr>
            <w:r>
              <w:rPr>
                <w:sz w:val="18"/>
                <w:szCs w:val="18"/>
              </w:rPr>
              <w:t>11</w:t>
            </w:r>
          </w:p>
        </w:tc>
        <w:tc>
          <w:tcPr>
            <w:tcW w:w="1620" w:type="dxa"/>
            <w:tcMar>
              <w:top w:w="100" w:type="dxa"/>
              <w:left w:w="100" w:type="dxa"/>
              <w:bottom w:w="100" w:type="dxa"/>
              <w:right w:w="100" w:type="dxa"/>
            </w:tcMar>
          </w:tcPr>
          <w:p w14:paraId="091AF000"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975F289" w14:textId="77777777" w:rsidR="002530E2" w:rsidRDefault="002530E2">
            <w:pPr>
              <w:widowControl w:val="0"/>
              <w:spacing w:after="0" w:line="276" w:lineRule="auto"/>
            </w:pPr>
            <w:r>
              <w:rPr>
                <w:sz w:val="18"/>
                <w:szCs w:val="18"/>
              </w:rPr>
              <w:t>“Understanding Muslim Consumer Perceptions of Cross-Cultural Blunders in Global Marketing Campaigns”</w:t>
            </w:r>
          </w:p>
        </w:tc>
        <w:tc>
          <w:tcPr>
            <w:tcW w:w="1680" w:type="dxa"/>
            <w:tcMar>
              <w:top w:w="100" w:type="dxa"/>
              <w:left w:w="100" w:type="dxa"/>
              <w:bottom w:w="100" w:type="dxa"/>
              <w:right w:w="100" w:type="dxa"/>
            </w:tcMar>
          </w:tcPr>
          <w:p w14:paraId="6CE66DFD" w14:textId="77777777" w:rsidR="002530E2" w:rsidRDefault="002530E2">
            <w:pPr>
              <w:widowControl w:val="0"/>
              <w:spacing w:after="0" w:line="276" w:lineRule="auto"/>
              <w:jc w:val="center"/>
            </w:pPr>
            <w:r>
              <w:rPr>
                <w:sz w:val="18"/>
                <w:szCs w:val="18"/>
              </w:rPr>
              <w:t>Hina Khan et al.</w:t>
            </w:r>
          </w:p>
        </w:tc>
        <w:tc>
          <w:tcPr>
            <w:tcW w:w="840" w:type="dxa"/>
            <w:tcMar>
              <w:top w:w="100" w:type="dxa"/>
              <w:left w:w="100" w:type="dxa"/>
              <w:bottom w:w="100" w:type="dxa"/>
              <w:right w:w="100" w:type="dxa"/>
            </w:tcMar>
          </w:tcPr>
          <w:p w14:paraId="5F1679F8" w14:textId="77777777" w:rsidR="002530E2" w:rsidRDefault="002530E2">
            <w:pPr>
              <w:widowControl w:val="0"/>
              <w:spacing w:after="0" w:line="276" w:lineRule="auto"/>
              <w:jc w:val="center"/>
            </w:pPr>
            <w:r>
              <w:rPr>
                <w:sz w:val="18"/>
                <w:szCs w:val="18"/>
              </w:rPr>
              <w:t>2013</w:t>
            </w:r>
          </w:p>
        </w:tc>
        <w:tc>
          <w:tcPr>
            <w:tcW w:w="990" w:type="dxa"/>
            <w:vMerge/>
            <w:tcMar>
              <w:top w:w="100" w:type="dxa"/>
              <w:left w:w="100" w:type="dxa"/>
              <w:bottom w:w="100" w:type="dxa"/>
              <w:right w:w="100" w:type="dxa"/>
            </w:tcMar>
          </w:tcPr>
          <w:p w14:paraId="7C52110E" w14:textId="77777777" w:rsidR="002530E2" w:rsidRDefault="002530E2">
            <w:pPr>
              <w:widowControl w:val="0"/>
              <w:spacing w:after="0" w:line="240" w:lineRule="auto"/>
              <w:jc w:val="center"/>
            </w:pPr>
          </w:p>
        </w:tc>
      </w:tr>
      <w:tr w:rsidR="002530E2" w14:paraId="1F3EB26F" w14:textId="77777777">
        <w:trPr>
          <w:trHeight w:val="400"/>
        </w:trPr>
        <w:tc>
          <w:tcPr>
            <w:tcW w:w="495" w:type="dxa"/>
            <w:tcMar>
              <w:top w:w="100" w:type="dxa"/>
              <w:left w:w="100" w:type="dxa"/>
              <w:bottom w:w="100" w:type="dxa"/>
              <w:right w:w="100" w:type="dxa"/>
            </w:tcMar>
          </w:tcPr>
          <w:p w14:paraId="10DBA453" w14:textId="77777777" w:rsidR="002530E2" w:rsidRDefault="002530E2">
            <w:pPr>
              <w:widowControl w:val="0"/>
              <w:spacing w:after="0" w:line="276" w:lineRule="auto"/>
              <w:jc w:val="center"/>
            </w:pPr>
            <w:r>
              <w:rPr>
                <w:sz w:val="18"/>
                <w:szCs w:val="18"/>
              </w:rPr>
              <w:t>12</w:t>
            </w:r>
          </w:p>
        </w:tc>
        <w:tc>
          <w:tcPr>
            <w:tcW w:w="1620" w:type="dxa"/>
            <w:tcMar>
              <w:top w:w="100" w:type="dxa"/>
              <w:left w:w="100" w:type="dxa"/>
              <w:bottom w:w="100" w:type="dxa"/>
              <w:right w:w="100" w:type="dxa"/>
            </w:tcMar>
          </w:tcPr>
          <w:p w14:paraId="553BB1A2"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E1A7781" w14:textId="77777777" w:rsidR="002530E2" w:rsidRDefault="002530E2">
            <w:pPr>
              <w:widowControl w:val="0"/>
              <w:spacing w:after="0" w:line="276" w:lineRule="auto"/>
            </w:pPr>
            <w:r>
              <w:rPr>
                <w:sz w:val="18"/>
                <w:szCs w:val="18"/>
              </w:rPr>
              <w:t>“Cross-Cultural Blunders: The Role of Cultural Intelligence in Global Business”</w:t>
            </w:r>
          </w:p>
        </w:tc>
        <w:tc>
          <w:tcPr>
            <w:tcW w:w="1680" w:type="dxa"/>
            <w:tcMar>
              <w:top w:w="100" w:type="dxa"/>
              <w:left w:w="100" w:type="dxa"/>
              <w:bottom w:w="100" w:type="dxa"/>
              <w:right w:w="100" w:type="dxa"/>
            </w:tcMar>
          </w:tcPr>
          <w:p w14:paraId="08678009" w14:textId="77777777" w:rsidR="002530E2" w:rsidRDefault="002530E2">
            <w:pPr>
              <w:widowControl w:val="0"/>
              <w:spacing w:after="0" w:line="276" w:lineRule="auto"/>
              <w:jc w:val="center"/>
            </w:pPr>
            <w:r>
              <w:rPr>
                <w:sz w:val="18"/>
                <w:szCs w:val="18"/>
              </w:rPr>
              <w:t>Sarah Johnson</w:t>
            </w:r>
          </w:p>
        </w:tc>
        <w:tc>
          <w:tcPr>
            <w:tcW w:w="840" w:type="dxa"/>
            <w:tcMar>
              <w:top w:w="100" w:type="dxa"/>
              <w:left w:w="100" w:type="dxa"/>
              <w:bottom w:w="100" w:type="dxa"/>
              <w:right w:w="100" w:type="dxa"/>
            </w:tcMar>
          </w:tcPr>
          <w:p w14:paraId="05A7899A" w14:textId="77777777" w:rsidR="002530E2" w:rsidRDefault="002530E2">
            <w:pPr>
              <w:widowControl w:val="0"/>
              <w:spacing w:after="0" w:line="276" w:lineRule="auto"/>
              <w:jc w:val="center"/>
            </w:pPr>
            <w:r>
              <w:rPr>
                <w:sz w:val="18"/>
                <w:szCs w:val="18"/>
              </w:rPr>
              <w:t>2014</w:t>
            </w:r>
          </w:p>
        </w:tc>
        <w:tc>
          <w:tcPr>
            <w:tcW w:w="990" w:type="dxa"/>
            <w:vMerge/>
            <w:tcMar>
              <w:top w:w="100" w:type="dxa"/>
              <w:left w:w="100" w:type="dxa"/>
              <w:bottom w:w="100" w:type="dxa"/>
              <w:right w:w="100" w:type="dxa"/>
            </w:tcMar>
          </w:tcPr>
          <w:p w14:paraId="0756927E" w14:textId="77777777" w:rsidR="002530E2" w:rsidRDefault="002530E2">
            <w:pPr>
              <w:widowControl w:val="0"/>
              <w:spacing w:after="0" w:line="240" w:lineRule="auto"/>
              <w:jc w:val="center"/>
            </w:pPr>
          </w:p>
        </w:tc>
      </w:tr>
      <w:tr w:rsidR="002530E2" w14:paraId="1B2E33BC" w14:textId="77777777">
        <w:trPr>
          <w:trHeight w:val="400"/>
        </w:trPr>
        <w:tc>
          <w:tcPr>
            <w:tcW w:w="495" w:type="dxa"/>
            <w:tcMar>
              <w:top w:w="100" w:type="dxa"/>
              <w:left w:w="100" w:type="dxa"/>
              <w:bottom w:w="100" w:type="dxa"/>
              <w:right w:w="100" w:type="dxa"/>
            </w:tcMar>
          </w:tcPr>
          <w:p w14:paraId="43500AD1" w14:textId="77777777" w:rsidR="002530E2" w:rsidRDefault="002530E2">
            <w:pPr>
              <w:widowControl w:val="0"/>
              <w:spacing w:after="0" w:line="276" w:lineRule="auto"/>
              <w:jc w:val="center"/>
            </w:pPr>
            <w:r>
              <w:rPr>
                <w:sz w:val="18"/>
                <w:szCs w:val="18"/>
              </w:rPr>
              <w:t>13</w:t>
            </w:r>
          </w:p>
        </w:tc>
        <w:tc>
          <w:tcPr>
            <w:tcW w:w="1620" w:type="dxa"/>
            <w:tcMar>
              <w:top w:w="100" w:type="dxa"/>
              <w:left w:w="100" w:type="dxa"/>
              <w:bottom w:w="100" w:type="dxa"/>
              <w:right w:w="100" w:type="dxa"/>
            </w:tcMar>
          </w:tcPr>
          <w:p w14:paraId="70BBBA22"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CE08BC2" w14:textId="77777777" w:rsidR="002530E2" w:rsidRDefault="002530E2">
            <w:pPr>
              <w:widowControl w:val="0"/>
              <w:spacing w:after="0" w:line="276" w:lineRule="auto"/>
            </w:pPr>
            <w:r>
              <w:rPr>
                <w:sz w:val="18"/>
                <w:szCs w:val="18"/>
              </w:rPr>
              <w:t>“The Effects of Cross-Cultural Blunders on Muslim Consumer Trust and Loyalty”</w:t>
            </w:r>
          </w:p>
        </w:tc>
        <w:tc>
          <w:tcPr>
            <w:tcW w:w="1680" w:type="dxa"/>
            <w:tcMar>
              <w:top w:w="100" w:type="dxa"/>
              <w:left w:w="100" w:type="dxa"/>
              <w:bottom w:w="100" w:type="dxa"/>
              <w:right w:w="100" w:type="dxa"/>
            </w:tcMar>
          </w:tcPr>
          <w:p w14:paraId="7D5E7068" w14:textId="77777777" w:rsidR="002530E2" w:rsidRDefault="002530E2">
            <w:pPr>
              <w:widowControl w:val="0"/>
              <w:spacing w:after="0" w:line="276" w:lineRule="auto"/>
              <w:jc w:val="center"/>
            </w:pPr>
            <w:r>
              <w:rPr>
                <w:sz w:val="18"/>
                <w:szCs w:val="18"/>
              </w:rPr>
              <w:t xml:space="preserve">Hassan Abdullah &amp; Mariam Ahmed </w:t>
            </w:r>
          </w:p>
        </w:tc>
        <w:tc>
          <w:tcPr>
            <w:tcW w:w="840" w:type="dxa"/>
            <w:tcMar>
              <w:top w:w="100" w:type="dxa"/>
              <w:left w:w="100" w:type="dxa"/>
              <w:bottom w:w="100" w:type="dxa"/>
              <w:right w:w="100" w:type="dxa"/>
            </w:tcMar>
          </w:tcPr>
          <w:p w14:paraId="2B0B4B61" w14:textId="77777777" w:rsidR="002530E2" w:rsidRDefault="002530E2">
            <w:pPr>
              <w:widowControl w:val="0"/>
              <w:spacing w:after="0" w:line="276" w:lineRule="auto"/>
              <w:jc w:val="center"/>
            </w:pPr>
            <w:r>
              <w:rPr>
                <w:sz w:val="18"/>
                <w:szCs w:val="18"/>
              </w:rPr>
              <w:t>2014</w:t>
            </w:r>
          </w:p>
        </w:tc>
        <w:tc>
          <w:tcPr>
            <w:tcW w:w="990" w:type="dxa"/>
            <w:vMerge/>
            <w:tcMar>
              <w:top w:w="100" w:type="dxa"/>
              <w:left w:w="100" w:type="dxa"/>
              <w:bottom w:w="100" w:type="dxa"/>
              <w:right w:w="100" w:type="dxa"/>
            </w:tcMar>
          </w:tcPr>
          <w:p w14:paraId="6B579CFB" w14:textId="77777777" w:rsidR="002530E2" w:rsidRDefault="002530E2">
            <w:pPr>
              <w:widowControl w:val="0"/>
              <w:spacing w:after="0" w:line="240" w:lineRule="auto"/>
              <w:jc w:val="center"/>
            </w:pPr>
          </w:p>
        </w:tc>
      </w:tr>
      <w:tr w:rsidR="002530E2" w14:paraId="23590910" w14:textId="77777777">
        <w:trPr>
          <w:trHeight w:val="400"/>
        </w:trPr>
        <w:tc>
          <w:tcPr>
            <w:tcW w:w="495" w:type="dxa"/>
            <w:tcMar>
              <w:top w:w="100" w:type="dxa"/>
              <w:left w:w="100" w:type="dxa"/>
              <w:bottom w:w="100" w:type="dxa"/>
              <w:right w:w="100" w:type="dxa"/>
            </w:tcMar>
          </w:tcPr>
          <w:p w14:paraId="56837229" w14:textId="77777777" w:rsidR="002530E2" w:rsidRDefault="002530E2">
            <w:pPr>
              <w:widowControl w:val="0"/>
              <w:spacing w:after="0" w:line="276" w:lineRule="auto"/>
              <w:jc w:val="center"/>
            </w:pPr>
            <w:r>
              <w:rPr>
                <w:sz w:val="18"/>
                <w:szCs w:val="18"/>
              </w:rPr>
              <w:t>14</w:t>
            </w:r>
          </w:p>
        </w:tc>
        <w:tc>
          <w:tcPr>
            <w:tcW w:w="1620" w:type="dxa"/>
            <w:tcMar>
              <w:top w:w="100" w:type="dxa"/>
              <w:left w:w="100" w:type="dxa"/>
              <w:bottom w:w="100" w:type="dxa"/>
              <w:right w:w="100" w:type="dxa"/>
            </w:tcMar>
          </w:tcPr>
          <w:p w14:paraId="0BBF77F3"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4B694BB7" w14:textId="77777777" w:rsidR="002530E2" w:rsidRDefault="002530E2">
            <w:pPr>
              <w:widowControl w:val="0"/>
              <w:spacing w:after="0" w:line="276" w:lineRule="auto"/>
            </w:pPr>
            <w:r>
              <w:rPr>
                <w:sz w:val="18"/>
                <w:szCs w:val="18"/>
              </w:rPr>
              <w:t>“Examining Muslim Consumer Emotional Reactions to Cross-Cultural Blunders: An Experimental Study”</w:t>
            </w:r>
          </w:p>
        </w:tc>
        <w:tc>
          <w:tcPr>
            <w:tcW w:w="1680" w:type="dxa"/>
            <w:tcMar>
              <w:top w:w="100" w:type="dxa"/>
              <w:left w:w="100" w:type="dxa"/>
              <w:bottom w:w="100" w:type="dxa"/>
              <w:right w:w="100" w:type="dxa"/>
            </w:tcMar>
          </w:tcPr>
          <w:p w14:paraId="218A8C4A" w14:textId="77777777" w:rsidR="002530E2" w:rsidRDefault="002530E2">
            <w:pPr>
              <w:widowControl w:val="0"/>
              <w:spacing w:after="0" w:line="276" w:lineRule="auto"/>
              <w:jc w:val="center"/>
            </w:pPr>
            <w:r>
              <w:rPr>
                <w:sz w:val="18"/>
                <w:szCs w:val="18"/>
              </w:rPr>
              <w:t>Aisha Khalid et al.</w:t>
            </w:r>
          </w:p>
        </w:tc>
        <w:tc>
          <w:tcPr>
            <w:tcW w:w="840" w:type="dxa"/>
            <w:tcMar>
              <w:top w:w="100" w:type="dxa"/>
              <w:left w:w="100" w:type="dxa"/>
              <w:bottom w:w="100" w:type="dxa"/>
              <w:right w:w="100" w:type="dxa"/>
            </w:tcMar>
          </w:tcPr>
          <w:p w14:paraId="5B34C06F" w14:textId="77777777" w:rsidR="002530E2" w:rsidRDefault="002530E2">
            <w:pPr>
              <w:widowControl w:val="0"/>
              <w:spacing w:after="0" w:line="276" w:lineRule="auto"/>
              <w:jc w:val="center"/>
            </w:pPr>
            <w:r>
              <w:rPr>
                <w:sz w:val="18"/>
                <w:szCs w:val="18"/>
              </w:rPr>
              <w:t>2015</w:t>
            </w:r>
          </w:p>
        </w:tc>
        <w:tc>
          <w:tcPr>
            <w:tcW w:w="990" w:type="dxa"/>
            <w:vMerge/>
            <w:tcMar>
              <w:top w:w="100" w:type="dxa"/>
              <w:left w:w="100" w:type="dxa"/>
              <w:bottom w:w="100" w:type="dxa"/>
              <w:right w:w="100" w:type="dxa"/>
            </w:tcMar>
          </w:tcPr>
          <w:p w14:paraId="11C73C17" w14:textId="77777777" w:rsidR="002530E2" w:rsidRDefault="002530E2">
            <w:pPr>
              <w:widowControl w:val="0"/>
              <w:spacing w:after="0" w:line="240" w:lineRule="auto"/>
              <w:jc w:val="center"/>
            </w:pPr>
          </w:p>
        </w:tc>
      </w:tr>
      <w:tr w:rsidR="002530E2" w14:paraId="1F58250B" w14:textId="77777777">
        <w:trPr>
          <w:trHeight w:val="400"/>
        </w:trPr>
        <w:tc>
          <w:tcPr>
            <w:tcW w:w="495" w:type="dxa"/>
            <w:tcMar>
              <w:top w:w="100" w:type="dxa"/>
              <w:left w:w="100" w:type="dxa"/>
              <w:bottom w:w="100" w:type="dxa"/>
              <w:right w:w="100" w:type="dxa"/>
            </w:tcMar>
          </w:tcPr>
          <w:p w14:paraId="29BD61F6" w14:textId="77777777" w:rsidR="002530E2" w:rsidRDefault="002530E2">
            <w:pPr>
              <w:widowControl w:val="0"/>
              <w:spacing w:after="0" w:line="276" w:lineRule="auto"/>
              <w:jc w:val="center"/>
            </w:pPr>
            <w:r>
              <w:rPr>
                <w:sz w:val="18"/>
                <w:szCs w:val="18"/>
              </w:rPr>
              <w:lastRenderedPageBreak/>
              <w:t>15</w:t>
            </w:r>
          </w:p>
        </w:tc>
        <w:tc>
          <w:tcPr>
            <w:tcW w:w="1620" w:type="dxa"/>
            <w:tcMar>
              <w:top w:w="100" w:type="dxa"/>
              <w:left w:w="100" w:type="dxa"/>
              <w:bottom w:w="100" w:type="dxa"/>
              <w:right w:w="100" w:type="dxa"/>
            </w:tcMar>
          </w:tcPr>
          <w:p w14:paraId="6163E837"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50D07B9E" w14:textId="77777777" w:rsidR="002530E2" w:rsidRDefault="002530E2">
            <w:pPr>
              <w:widowControl w:val="0"/>
              <w:spacing w:after="0" w:line="276" w:lineRule="auto"/>
            </w:pPr>
            <w:r>
              <w:rPr>
                <w:sz w:val="18"/>
                <w:szCs w:val="18"/>
              </w:rPr>
              <w:t>“The Impact of Cross-Cultural Blunders on Brand Perception: A Case Study of Global Companies”</w:t>
            </w:r>
          </w:p>
        </w:tc>
        <w:tc>
          <w:tcPr>
            <w:tcW w:w="1680" w:type="dxa"/>
            <w:tcMar>
              <w:top w:w="100" w:type="dxa"/>
              <w:left w:w="100" w:type="dxa"/>
              <w:bottom w:w="100" w:type="dxa"/>
              <w:right w:w="100" w:type="dxa"/>
            </w:tcMar>
          </w:tcPr>
          <w:p w14:paraId="69233CFB" w14:textId="77777777" w:rsidR="002530E2" w:rsidRDefault="002530E2">
            <w:pPr>
              <w:widowControl w:val="0"/>
              <w:spacing w:after="0" w:line="276" w:lineRule="auto"/>
              <w:jc w:val="center"/>
            </w:pPr>
            <w:r>
              <w:rPr>
                <w:sz w:val="18"/>
                <w:szCs w:val="18"/>
              </w:rPr>
              <w:t>Emma Chen et al.</w:t>
            </w:r>
          </w:p>
        </w:tc>
        <w:tc>
          <w:tcPr>
            <w:tcW w:w="840" w:type="dxa"/>
            <w:tcMar>
              <w:top w:w="100" w:type="dxa"/>
              <w:left w:w="100" w:type="dxa"/>
              <w:bottom w:w="100" w:type="dxa"/>
              <w:right w:w="100" w:type="dxa"/>
            </w:tcMar>
          </w:tcPr>
          <w:p w14:paraId="07E74832" w14:textId="77777777" w:rsidR="002530E2" w:rsidRDefault="002530E2">
            <w:pPr>
              <w:widowControl w:val="0"/>
              <w:spacing w:after="0" w:line="276" w:lineRule="auto"/>
              <w:jc w:val="center"/>
            </w:pPr>
            <w:r>
              <w:rPr>
                <w:sz w:val="18"/>
                <w:szCs w:val="18"/>
              </w:rPr>
              <w:t>2015</w:t>
            </w:r>
          </w:p>
        </w:tc>
        <w:tc>
          <w:tcPr>
            <w:tcW w:w="990" w:type="dxa"/>
            <w:vMerge/>
            <w:tcMar>
              <w:top w:w="100" w:type="dxa"/>
              <w:left w:w="100" w:type="dxa"/>
              <w:bottom w:w="100" w:type="dxa"/>
              <w:right w:w="100" w:type="dxa"/>
            </w:tcMar>
          </w:tcPr>
          <w:p w14:paraId="4EC965ED" w14:textId="77777777" w:rsidR="002530E2" w:rsidRDefault="002530E2">
            <w:pPr>
              <w:widowControl w:val="0"/>
              <w:spacing w:after="0" w:line="240" w:lineRule="auto"/>
              <w:jc w:val="center"/>
            </w:pPr>
          </w:p>
        </w:tc>
      </w:tr>
      <w:tr w:rsidR="002530E2" w14:paraId="7FD5BB68" w14:textId="77777777">
        <w:trPr>
          <w:trHeight w:val="400"/>
        </w:trPr>
        <w:tc>
          <w:tcPr>
            <w:tcW w:w="495" w:type="dxa"/>
            <w:tcMar>
              <w:top w:w="100" w:type="dxa"/>
              <w:left w:w="100" w:type="dxa"/>
              <w:bottom w:w="100" w:type="dxa"/>
              <w:right w:w="100" w:type="dxa"/>
            </w:tcMar>
          </w:tcPr>
          <w:p w14:paraId="1391D8B6" w14:textId="77777777" w:rsidR="002530E2" w:rsidRDefault="002530E2">
            <w:pPr>
              <w:widowControl w:val="0"/>
              <w:spacing w:after="0" w:line="276" w:lineRule="auto"/>
              <w:jc w:val="center"/>
            </w:pPr>
            <w:r>
              <w:rPr>
                <w:sz w:val="18"/>
                <w:szCs w:val="18"/>
              </w:rPr>
              <w:t>16</w:t>
            </w:r>
          </w:p>
        </w:tc>
        <w:tc>
          <w:tcPr>
            <w:tcW w:w="1620" w:type="dxa"/>
            <w:tcMar>
              <w:top w:w="100" w:type="dxa"/>
              <w:left w:w="100" w:type="dxa"/>
              <w:bottom w:w="100" w:type="dxa"/>
              <w:right w:w="100" w:type="dxa"/>
            </w:tcMar>
          </w:tcPr>
          <w:p w14:paraId="5D337D0E"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1B51721B" w14:textId="77777777" w:rsidR="002530E2" w:rsidRDefault="002530E2">
            <w:pPr>
              <w:widowControl w:val="0"/>
              <w:spacing w:after="0" w:line="276" w:lineRule="auto"/>
            </w:pPr>
            <w:r>
              <w:rPr>
                <w:sz w:val="18"/>
                <w:szCs w:val="18"/>
              </w:rPr>
              <w:t>“Exploring the Impact of Cross-Cultural Blunders on Consumer Behaviour: A Comparative Study”</w:t>
            </w:r>
          </w:p>
        </w:tc>
        <w:tc>
          <w:tcPr>
            <w:tcW w:w="1680" w:type="dxa"/>
            <w:tcMar>
              <w:top w:w="100" w:type="dxa"/>
              <w:left w:w="100" w:type="dxa"/>
              <w:bottom w:w="100" w:type="dxa"/>
              <w:right w:w="100" w:type="dxa"/>
            </w:tcMar>
          </w:tcPr>
          <w:p w14:paraId="1E933E7E" w14:textId="77777777" w:rsidR="002530E2" w:rsidRDefault="002530E2">
            <w:pPr>
              <w:widowControl w:val="0"/>
              <w:spacing w:after="0" w:line="276" w:lineRule="auto"/>
              <w:jc w:val="center"/>
            </w:pPr>
            <w:r>
              <w:rPr>
                <w:sz w:val="18"/>
                <w:szCs w:val="18"/>
              </w:rPr>
              <w:t>David Brown &amp; Laura Wilson</w:t>
            </w:r>
          </w:p>
        </w:tc>
        <w:tc>
          <w:tcPr>
            <w:tcW w:w="840" w:type="dxa"/>
            <w:tcMar>
              <w:top w:w="100" w:type="dxa"/>
              <w:left w:w="100" w:type="dxa"/>
              <w:bottom w:w="100" w:type="dxa"/>
              <w:right w:w="100" w:type="dxa"/>
            </w:tcMar>
          </w:tcPr>
          <w:p w14:paraId="11D12298"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1F28EB40" w14:textId="77777777" w:rsidR="002530E2" w:rsidRDefault="002530E2">
            <w:pPr>
              <w:widowControl w:val="0"/>
              <w:spacing w:after="0" w:line="240" w:lineRule="auto"/>
              <w:jc w:val="center"/>
            </w:pPr>
          </w:p>
        </w:tc>
      </w:tr>
      <w:tr w:rsidR="002530E2" w14:paraId="30176F68" w14:textId="77777777">
        <w:trPr>
          <w:trHeight w:val="400"/>
        </w:trPr>
        <w:tc>
          <w:tcPr>
            <w:tcW w:w="495" w:type="dxa"/>
            <w:tcMar>
              <w:top w:w="100" w:type="dxa"/>
              <w:left w:w="100" w:type="dxa"/>
              <w:bottom w:w="100" w:type="dxa"/>
              <w:right w:w="100" w:type="dxa"/>
            </w:tcMar>
          </w:tcPr>
          <w:p w14:paraId="458377B9" w14:textId="77777777" w:rsidR="002530E2" w:rsidRDefault="002530E2">
            <w:pPr>
              <w:widowControl w:val="0"/>
              <w:spacing w:after="0" w:line="276" w:lineRule="auto"/>
              <w:jc w:val="center"/>
            </w:pPr>
            <w:r>
              <w:rPr>
                <w:sz w:val="18"/>
                <w:szCs w:val="18"/>
              </w:rPr>
              <w:t>17</w:t>
            </w:r>
          </w:p>
        </w:tc>
        <w:tc>
          <w:tcPr>
            <w:tcW w:w="1620" w:type="dxa"/>
            <w:tcMar>
              <w:top w:w="100" w:type="dxa"/>
              <w:left w:w="100" w:type="dxa"/>
              <w:bottom w:w="100" w:type="dxa"/>
              <w:right w:w="100" w:type="dxa"/>
            </w:tcMar>
          </w:tcPr>
          <w:p w14:paraId="5F94C042"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8A08BD3" w14:textId="77777777" w:rsidR="002530E2" w:rsidRDefault="002530E2">
            <w:pPr>
              <w:widowControl w:val="0"/>
              <w:spacing w:after="0" w:line="276" w:lineRule="auto"/>
            </w:pPr>
            <w:r>
              <w:rPr>
                <w:sz w:val="18"/>
                <w:szCs w:val="18"/>
              </w:rPr>
              <w:t>“Examining the Effects of Cross-Cultural Blunders on Muslim Consumer Perceptions: A Comparative Study”</w:t>
            </w:r>
          </w:p>
        </w:tc>
        <w:tc>
          <w:tcPr>
            <w:tcW w:w="1680" w:type="dxa"/>
            <w:tcMar>
              <w:top w:w="100" w:type="dxa"/>
              <w:left w:w="100" w:type="dxa"/>
              <w:bottom w:w="100" w:type="dxa"/>
              <w:right w:w="100" w:type="dxa"/>
            </w:tcMar>
          </w:tcPr>
          <w:p w14:paraId="72211469" w14:textId="77777777" w:rsidR="002530E2" w:rsidRDefault="002530E2">
            <w:pPr>
              <w:widowControl w:val="0"/>
              <w:spacing w:after="0" w:line="276" w:lineRule="auto"/>
              <w:jc w:val="center"/>
            </w:pPr>
            <w:r>
              <w:rPr>
                <w:sz w:val="18"/>
                <w:szCs w:val="18"/>
              </w:rPr>
              <w:t>Fatima Hussein &amp; Ibrahim Ahmed</w:t>
            </w:r>
          </w:p>
        </w:tc>
        <w:tc>
          <w:tcPr>
            <w:tcW w:w="840" w:type="dxa"/>
            <w:tcMar>
              <w:top w:w="100" w:type="dxa"/>
              <w:left w:w="100" w:type="dxa"/>
              <w:bottom w:w="100" w:type="dxa"/>
              <w:right w:w="100" w:type="dxa"/>
            </w:tcMar>
          </w:tcPr>
          <w:p w14:paraId="7A18FC86"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2B9C8E9A" w14:textId="77777777" w:rsidR="002530E2" w:rsidRDefault="002530E2">
            <w:pPr>
              <w:widowControl w:val="0"/>
              <w:spacing w:after="0" w:line="240" w:lineRule="auto"/>
              <w:jc w:val="center"/>
            </w:pPr>
          </w:p>
        </w:tc>
      </w:tr>
      <w:tr w:rsidR="002530E2" w14:paraId="626148CF" w14:textId="77777777">
        <w:trPr>
          <w:trHeight w:val="400"/>
        </w:trPr>
        <w:tc>
          <w:tcPr>
            <w:tcW w:w="495" w:type="dxa"/>
            <w:tcMar>
              <w:top w:w="100" w:type="dxa"/>
              <w:left w:w="100" w:type="dxa"/>
              <w:bottom w:w="100" w:type="dxa"/>
              <w:right w:w="100" w:type="dxa"/>
            </w:tcMar>
          </w:tcPr>
          <w:p w14:paraId="0E19AADF" w14:textId="77777777" w:rsidR="002530E2" w:rsidRDefault="002530E2">
            <w:pPr>
              <w:widowControl w:val="0"/>
              <w:spacing w:after="0" w:line="276" w:lineRule="auto"/>
              <w:jc w:val="center"/>
            </w:pPr>
            <w:r>
              <w:rPr>
                <w:sz w:val="18"/>
                <w:szCs w:val="18"/>
              </w:rPr>
              <w:t>18</w:t>
            </w:r>
          </w:p>
        </w:tc>
        <w:tc>
          <w:tcPr>
            <w:tcW w:w="1620" w:type="dxa"/>
            <w:tcMar>
              <w:top w:w="100" w:type="dxa"/>
              <w:left w:w="100" w:type="dxa"/>
              <w:bottom w:w="100" w:type="dxa"/>
              <w:right w:w="100" w:type="dxa"/>
            </w:tcMar>
          </w:tcPr>
          <w:p w14:paraId="09BCE86F"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2F2D9F60" w14:textId="77777777" w:rsidR="002530E2" w:rsidRDefault="002530E2">
            <w:pPr>
              <w:widowControl w:val="0"/>
              <w:spacing w:after="0" w:line="276" w:lineRule="auto"/>
            </w:pPr>
            <w:r>
              <w:rPr>
                <w:sz w:val="18"/>
                <w:szCs w:val="18"/>
              </w:rPr>
              <w:t>“The Impact of Cross-Cultural Blunders on Muslim Consumer Behavior: An Empirical Study”</w:t>
            </w:r>
          </w:p>
        </w:tc>
        <w:tc>
          <w:tcPr>
            <w:tcW w:w="1680" w:type="dxa"/>
            <w:tcMar>
              <w:top w:w="100" w:type="dxa"/>
              <w:left w:w="100" w:type="dxa"/>
              <w:bottom w:w="100" w:type="dxa"/>
              <w:right w:w="100" w:type="dxa"/>
            </w:tcMar>
          </w:tcPr>
          <w:p w14:paraId="0447F06F" w14:textId="77777777" w:rsidR="002530E2" w:rsidRDefault="002530E2">
            <w:pPr>
              <w:widowControl w:val="0"/>
              <w:spacing w:after="0" w:line="276" w:lineRule="auto"/>
              <w:jc w:val="center"/>
            </w:pPr>
            <w:r>
              <w:rPr>
                <w:sz w:val="18"/>
                <w:szCs w:val="18"/>
              </w:rPr>
              <w:t>Khalid Mahmood et al.</w:t>
            </w:r>
          </w:p>
        </w:tc>
        <w:tc>
          <w:tcPr>
            <w:tcW w:w="840" w:type="dxa"/>
            <w:tcMar>
              <w:top w:w="100" w:type="dxa"/>
              <w:left w:w="100" w:type="dxa"/>
              <w:bottom w:w="100" w:type="dxa"/>
              <w:right w:w="100" w:type="dxa"/>
            </w:tcMar>
          </w:tcPr>
          <w:p w14:paraId="56DF7B89" w14:textId="77777777" w:rsidR="002530E2" w:rsidRDefault="002530E2">
            <w:pPr>
              <w:widowControl w:val="0"/>
              <w:spacing w:after="0" w:line="276" w:lineRule="auto"/>
              <w:jc w:val="center"/>
            </w:pPr>
            <w:r>
              <w:rPr>
                <w:sz w:val="18"/>
                <w:szCs w:val="18"/>
              </w:rPr>
              <w:t>2017</w:t>
            </w:r>
          </w:p>
        </w:tc>
        <w:tc>
          <w:tcPr>
            <w:tcW w:w="990" w:type="dxa"/>
            <w:vMerge/>
            <w:tcMar>
              <w:top w:w="100" w:type="dxa"/>
              <w:left w:w="100" w:type="dxa"/>
              <w:bottom w:w="100" w:type="dxa"/>
              <w:right w:w="100" w:type="dxa"/>
            </w:tcMar>
          </w:tcPr>
          <w:p w14:paraId="56930CDC" w14:textId="77777777" w:rsidR="002530E2" w:rsidRDefault="002530E2">
            <w:pPr>
              <w:widowControl w:val="0"/>
              <w:spacing w:after="0" w:line="240" w:lineRule="auto"/>
              <w:jc w:val="center"/>
            </w:pPr>
          </w:p>
        </w:tc>
      </w:tr>
      <w:tr w:rsidR="002530E2" w14:paraId="5EA2F4A4" w14:textId="77777777">
        <w:trPr>
          <w:trHeight w:val="400"/>
        </w:trPr>
        <w:tc>
          <w:tcPr>
            <w:tcW w:w="495" w:type="dxa"/>
            <w:tcMar>
              <w:top w:w="100" w:type="dxa"/>
              <w:left w:w="100" w:type="dxa"/>
              <w:bottom w:w="100" w:type="dxa"/>
              <w:right w:w="100" w:type="dxa"/>
            </w:tcMar>
          </w:tcPr>
          <w:p w14:paraId="493314D3" w14:textId="77777777" w:rsidR="002530E2" w:rsidRDefault="002530E2">
            <w:pPr>
              <w:widowControl w:val="0"/>
              <w:spacing w:after="0" w:line="276" w:lineRule="auto"/>
              <w:jc w:val="center"/>
            </w:pPr>
            <w:r>
              <w:rPr>
                <w:sz w:val="18"/>
                <w:szCs w:val="18"/>
              </w:rPr>
              <w:t>19</w:t>
            </w:r>
          </w:p>
        </w:tc>
        <w:tc>
          <w:tcPr>
            <w:tcW w:w="1620" w:type="dxa"/>
            <w:tcMar>
              <w:top w:w="100" w:type="dxa"/>
              <w:left w:w="100" w:type="dxa"/>
              <w:bottom w:w="100" w:type="dxa"/>
              <w:right w:w="100" w:type="dxa"/>
            </w:tcMar>
          </w:tcPr>
          <w:p w14:paraId="47B2C482"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3029919C" w14:textId="77777777" w:rsidR="002530E2" w:rsidRDefault="002530E2">
            <w:pPr>
              <w:widowControl w:val="0"/>
              <w:spacing w:after="0" w:line="276" w:lineRule="auto"/>
            </w:pPr>
            <w:r>
              <w:rPr>
                <w:sz w:val="18"/>
                <w:szCs w:val="18"/>
              </w:rPr>
              <w:t>“The Influence of Cross-Cultural Blunders on Word-of-Mouth Communication Among Muslim Consumers”</w:t>
            </w:r>
          </w:p>
        </w:tc>
        <w:tc>
          <w:tcPr>
            <w:tcW w:w="1680" w:type="dxa"/>
            <w:tcMar>
              <w:top w:w="100" w:type="dxa"/>
              <w:left w:w="100" w:type="dxa"/>
              <w:bottom w:w="100" w:type="dxa"/>
              <w:right w:w="100" w:type="dxa"/>
            </w:tcMar>
          </w:tcPr>
          <w:p w14:paraId="45C3D41B" w14:textId="77777777" w:rsidR="002530E2" w:rsidRDefault="002530E2">
            <w:pPr>
              <w:widowControl w:val="0"/>
              <w:spacing w:after="0" w:line="276" w:lineRule="auto"/>
              <w:jc w:val="center"/>
            </w:pPr>
            <w:r>
              <w:rPr>
                <w:sz w:val="18"/>
                <w:szCs w:val="18"/>
              </w:rPr>
              <w:t xml:space="preserve">Yusuf Ibrahim &amp; Asma Hamid </w:t>
            </w:r>
          </w:p>
        </w:tc>
        <w:tc>
          <w:tcPr>
            <w:tcW w:w="840" w:type="dxa"/>
            <w:tcMar>
              <w:top w:w="100" w:type="dxa"/>
              <w:left w:w="100" w:type="dxa"/>
              <w:bottom w:w="100" w:type="dxa"/>
              <w:right w:w="100" w:type="dxa"/>
            </w:tcMar>
          </w:tcPr>
          <w:p w14:paraId="04ACDFC3" w14:textId="77777777" w:rsidR="002530E2" w:rsidRDefault="002530E2">
            <w:pPr>
              <w:widowControl w:val="0"/>
              <w:spacing w:after="0" w:line="276" w:lineRule="auto"/>
              <w:jc w:val="center"/>
            </w:pPr>
            <w:r>
              <w:rPr>
                <w:sz w:val="18"/>
                <w:szCs w:val="18"/>
              </w:rPr>
              <w:t>2017</w:t>
            </w:r>
          </w:p>
        </w:tc>
        <w:tc>
          <w:tcPr>
            <w:tcW w:w="990" w:type="dxa"/>
            <w:vMerge/>
            <w:tcMar>
              <w:top w:w="100" w:type="dxa"/>
              <w:left w:w="100" w:type="dxa"/>
              <w:bottom w:w="100" w:type="dxa"/>
              <w:right w:w="100" w:type="dxa"/>
            </w:tcMar>
          </w:tcPr>
          <w:p w14:paraId="7710E80B" w14:textId="77777777" w:rsidR="002530E2" w:rsidRDefault="002530E2">
            <w:pPr>
              <w:widowControl w:val="0"/>
              <w:spacing w:after="0" w:line="240" w:lineRule="auto"/>
              <w:jc w:val="center"/>
            </w:pPr>
          </w:p>
        </w:tc>
      </w:tr>
      <w:tr w:rsidR="002530E2" w14:paraId="5BA84C21" w14:textId="77777777">
        <w:trPr>
          <w:trHeight w:val="400"/>
        </w:trPr>
        <w:tc>
          <w:tcPr>
            <w:tcW w:w="495" w:type="dxa"/>
            <w:tcMar>
              <w:top w:w="100" w:type="dxa"/>
              <w:left w:w="100" w:type="dxa"/>
              <w:bottom w:w="100" w:type="dxa"/>
              <w:right w:w="100" w:type="dxa"/>
            </w:tcMar>
          </w:tcPr>
          <w:p w14:paraId="2C902127" w14:textId="77777777" w:rsidR="002530E2" w:rsidRDefault="002530E2">
            <w:pPr>
              <w:widowControl w:val="0"/>
              <w:spacing w:after="0" w:line="276" w:lineRule="auto"/>
              <w:jc w:val="center"/>
            </w:pPr>
            <w:r>
              <w:rPr>
                <w:sz w:val="18"/>
                <w:szCs w:val="18"/>
              </w:rPr>
              <w:t>20</w:t>
            </w:r>
          </w:p>
        </w:tc>
        <w:tc>
          <w:tcPr>
            <w:tcW w:w="1620" w:type="dxa"/>
            <w:tcMar>
              <w:top w:w="100" w:type="dxa"/>
              <w:left w:w="100" w:type="dxa"/>
              <w:bottom w:w="100" w:type="dxa"/>
              <w:right w:w="100" w:type="dxa"/>
            </w:tcMar>
          </w:tcPr>
          <w:p w14:paraId="3054AC63"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3B6615ED" w14:textId="77777777" w:rsidR="002530E2" w:rsidRDefault="002530E2">
            <w:pPr>
              <w:widowControl w:val="0"/>
              <w:spacing w:after="0" w:line="276" w:lineRule="auto"/>
            </w:pPr>
            <w:r>
              <w:rPr>
                <w:sz w:val="18"/>
                <w:szCs w:val="18"/>
              </w:rPr>
              <w:t>“Understanding Cross-Cultural Blunders: A Framework for Effective Communication in International Business”</w:t>
            </w:r>
          </w:p>
        </w:tc>
        <w:tc>
          <w:tcPr>
            <w:tcW w:w="1680" w:type="dxa"/>
            <w:tcMar>
              <w:top w:w="100" w:type="dxa"/>
              <w:left w:w="100" w:type="dxa"/>
              <w:bottom w:w="100" w:type="dxa"/>
              <w:right w:w="100" w:type="dxa"/>
            </w:tcMar>
          </w:tcPr>
          <w:p w14:paraId="5663F545" w14:textId="77777777" w:rsidR="002530E2" w:rsidRDefault="002530E2">
            <w:pPr>
              <w:widowControl w:val="0"/>
              <w:spacing w:after="0" w:line="276" w:lineRule="auto"/>
              <w:jc w:val="center"/>
            </w:pPr>
            <w:r>
              <w:rPr>
                <w:sz w:val="18"/>
                <w:szCs w:val="18"/>
              </w:rPr>
              <w:t>Maria Rodriguez &amp; Juan Garcia</w:t>
            </w:r>
          </w:p>
        </w:tc>
        <w:tc>
          <w:tcPr>
            <w:tcW w:w="840" w:type="dxa"/>
            <w:tcMar>
              <w:top w:w="100" w:type="dxa"/>
              <w:left w:w="100" w:type="dxa"/>
              <w:bottom w:w="100" w:type="dxa"/>
              <w:right w:w="100" w:type="dxa"/>
            </w:tcMar>
          </w:tcPr>
          <w:p w14:paraId="53C53F8B" w14:textId="77777777" w:rsidR="002530E2" w:rsidRDefault="002530E2">
            <w:pPr>
              <w:widowControl w:val="0"/>
              <w:spacing w:after="0" w:line="276" w:lineRule="auto"/>
              <w:jc w:val="center"/>
            </w:pPr>
            <w:r>
              <w:rPr>
                <w:sz w:val="18"/>
                <w:szCs w:val="18"/>
              </w:rPr>
              <w:t>2017</w:t>
            </w:r>
          </w:p>
        </w:tc>
        <w:tc>
          <w:tcPr>
            <w:tcW w:w="990" w:type="dxa"/>
            <w:vMerge/>
            <w:tcMar>
              <w:top w:w="100" w:type="dxa"/>
              <w:left w:w="100" w:type="dxa"/>
              <w:bottom w:w="100" w:type="dxa"/>
              <w:right w:w="100" w:type="dxa"/>
            </w:tcMar>
          </w:tcPr>
          <w:p w14:paraId="51238B6A" w14:textId="77777777" w:rsidR="002530E2" w:rsidRDefault="002530E2">
            <w:pPr>
              <w:widowControl w:val="0"/>
              <w:spacing w:after="0" w:line="240" w:lineRule="auto"/>
              <w:jc w:val="center"/>
            </w:pPr>
          </w:p>
        </w:tc>
      </w:tr>
      <w:tr w:rsidR="002530E2" w14:paraId="14EBECBB" w14:textId="77777777">
        <w:trPr>
          <w:trHeight w:val="400"/>
        </w:trPr>
        <w:tc>
          <w:tcPr>
            <w:tcW w:w="495" w:type="dxa"/>
            <w:tcMar>
              <w:top w:w="100" w:type="dxa"/>
              <w:left w:w="100" w:type="dxa"/>
              <w:bottom w:w="100" w:type="dxa"/>
              <w:right w:w="100" w:type="dxa"/>
            </w:tcMar>
          </w:tcPr>
          <w:p w14:paraId="627D7A08" w14:textId="77777777" w:rsidR="002530E2" w:rsidRDefault="002530E2">
            <w:pPr>
              <w:widowControl w:val="0"/>
              <w:spacing w:after="0" w:line="276" w:lineRule="auto"/>
              <w:jc w:val="center"/>
            </w:pPr>
            <w:r>
              <w:rPr>
                <w:sz w:val="18"/>
                <w:szCs w:val="18"/>
              </w:rPr>
              <w:t>21</w:t>
            </w:r>
          </w:p>
        </w:tc>
        <w:tc>
          <w:tcPr>
            <w:tcW w:w="1620" w:type="dxa"/>
            <w:tcMar>
              <w:top w:w="100" w:type="dxa"/>
              <w:left w:w="100" w:type="dxa"/>
              <w:bottom w:w="100" w:type="dxa"/>
              <w:right w:w="100" w:type="dxa"/>
            </w:tcMar>
          </w:tcPr>
          <w:p w14:paraId="02BF8244"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07F519C3" w14:textId="77777777" w:rsidR="002530E2" w:rsidRDefault="002530E2">
            <w:pPr>
              <w:widowControl w:val="0"/>
              <w:spacing w:after="0" w:line="276" w:lineRule="auto"/>
            </w:pPr>
            <w:r>
              <w:rPr>
                <w:sz w:val="18"/>
                <w:szCs w:val="18"/>
              </w:rPr>
              <w:t>“Effective Strategies for Avoiding Cross-Cultural Blunders in International Marketing”</w:t>
            </w:r>
          </w:p>
        </w:tc>
        <w:tc>
          <w:tcPr>
            <w:tcW w:w="1680" w:type="dxa"/>
            <w:tcMar>
              <w:top w:w="100" w:type="dxa"/>
              <w:left w:w="100" w:type="dxa"/>
              <w:bottom w:w="100" w:type="dxa"/>
              <w:right w:w="100" w:type="dxa"/>
            </w:tcMar>
          </w:tcPr>
          <w:p w14:paraId="60EA0403" w14:textId="77777777" w:rsidR="002530E2" w:rsidRDefault="002530E2">
            <w:pPr>
              <w:widowControl w:val="0"/>
              <w:spacing w:after="0" w:line="276" w:lineRule="auto"/>
              <w:jc w:val="center"/>
            </w:pPr>
            <w:r>
              <w:rPr>
                <w:sz w:val="18"/>
                <w:szCs w:val="18"/>
              </w:rPr>
              <w:t>Lisa Thompson &amp; Mark Davis</w:t>
            </w:r>
          </w:p>
        </w:tc>
        <w:tc>
          <w:tcPr>
            <w:tcW w:w="840" w:type="dxa"/>
            <w:tcMar>
              <w:top w:w="100" w:type="dxa"/>
              <w:left w:w="100" w:type="dxa"/>
              <w:bottom w:w="100" w:type="dxa"/>
              <w:right w:w="100" w:type="dxa"/>
            </w:tcMar>
          </w:tcPr>
          <w:p w14:paraId="0CA8E470" w14:textId="77777777" w:rsidR="002530E2" w:rsidRDefault="002530E2">
            <w:pPr>
              <w:widowControl w:val="0"/>
              <w:spacing w:after="0" w:line="276" w:lineRule="auto"/>
              <w:jc w:val="center"/>
            </w:pPr>
            <w:r>
              <w:rPr>
                <w:sz w:val="18"/>
                <w:szCs w:val="18"/>
              </w:rPr>
              <w:t>2018</w:t>
            </w:r>
          </w:p>
        </w:tc>
        <w:tc>
          <w:tcPr>
            <w:tcW w:w="990" w:type="dxa"/>
            <w:vMerge/>
            <w:tcMar>
              <w:top w:w="100" w:type="dxa"/>
              <w:left w:w="100" w:type="dxa"/>
              <w:bottom w:w="100" w:type="dxa"/>
              <w:right w:w="100" w:type="dxa"/>
            </w:tcMar>
          </w:tcPr>
          <w:p w14:paraId="465062D2" w14:textId="77777777" w:rsidR="002530E2" w:rsidRDefault="002530E2">
            <w:pPr>
              <w:widowControl w:val="0"/>
              <w:spacing w:after="0" w:line="240" w:lineRule="auto"/>
              <w:jc w:val="center"/>
            </w:pPr>
          </w:p>
        </w:tc>
      </w:tr>
      <w:tr w:rsidR="002530E2" w14:paraId="11263981" w14:textId="77777777">
        <w:trPr>
          <w:trHeight w:val="400"/>
        </w:trPr>
        <w:tc>
          <w:tcPr>
            <w:tcW w:w="495" w:type="dxa"/>
            <w:tcMar>
              <w:top w:w="100" w:type="dxa"/>
              <w:left w:w="100" w:type="dxa"/>
              <w:bottom w:w="100" w:type="dxa"/>
              <w:right w:w="100" w:type="dxa"/>
            </w:tcMar>
          </w:tcPr>
          <w:p w14:paraId="39E57EA0" w14:textId="77777777" w:rsidR="002530E2" w:rsidRDefault="002530E2">
            <w:pPr>
              <w:widowControl w:val="0"/>
              <w:spacing w:after="0" w:line="276" w:lineRule="auto"/>
              <w:jc w:val="center"/>
            </w:pPr>
            <w:r>
              <w:rPr>
                <w:sz w:val="18"/>
                <w:szCs w:val="18"/>
              </w:rPr>
              <w:t>22</w:t>
            </w:r>
          </w:p>
        </w:tc>
        <w:tc>
          <w:tcPr>
            <w:tcW w:w="1620" w:type="dxa"/>
            <w:tcMar>
              <w:top w:w="100" w:type="dxa"/>
              <w:left w:w="100" w:type="dxa"/>
              <w:bottom w:w="100" w:type="dxa"/>
              <w:right w:w="100" w:type="dxa"/>
            </w:tcMar>
          </w:tcPr>
          <w:p w14:paraId="34379EE9"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54D821DE" w14:textId="77777777" w:rsidR="002530E2" w:rsidRDefault="002530E2">
            <w:pPr>
              <w:widowControl w:val="0"/>
              <w:spacing w:after="0" w:line="276" w:lineRule="auto"/>
            </w:pPr>
            <w:r>
              <w:rPr>
                <w:sz w:val="18"/>
                <w:szCs w:val="18"/>
              </w:rPr>
              <w:t>“The Influence of Cross-Cultural Blunders on Muslim Consumer Trust and Loyalty: An Empirical Investigation”</w:t>
            </w:r>
          </w:p>
        </w:tc>
        <w:tc>
          <w:tcPr>
            <w:tcW w:w="1680" w:type="dxa"/>
            <w:tcMar>
              <w:top w:w="100" w:type="dxa"/>
              <w:left w:w="100" w:type="dxa"/>
              <w:bottom w:w="100" w:type="dxa"/>
              <w:right w:w="100" w:type="dxa"/>
            </w:tcMar>
          </w:tcPr>
          <w:p w14:paraId="02981798" w14:textId="77777777" w:rsidR="002530E2" w:rsidRDefault="002530E2">
            <w:pPr>
              <w:widowControl w:val="0"/>
              <w:spacing w:after="0" w:line="276" w:lineRule="auto"/>
              <w:jc w:val="center"/>
            </w:pPr>
            <w:r>
              <w:rPr>
                <w:sz w:val="18"/>
                <w:szCs w:val="18"/>
              </w:rPr>
              <w:t>Hassan Ali &amp; Amna Sheikh</w:t>
            </w:r>
          </w:p>
        </w:tc>
        <w:tc>
          <w:tcPr>
            <w:tcW w:w="840" w:type="dxa"/>
            <w:tcMar>
              <w:top w:w="100" w:type="dxa"/>
              <w:left w:w="100" w:type="dxa"/>
              <w:bottom w:w="100" w:type="dxa"/>
              <w:right w:w="100" w:type="dxa"/>
            </w:tcMar>
          </w:tcPr>
          <w:p w14:paraId="1FCDE2CF" w14:textId="77777777" w:rsidR="002530E2" w:rsidRDefault="002530E2">
            <w:pPr>
              <w:widowControl w:val="0"/>
              <w:spacing w:after="0" w:line="276" w:lineRule="auto"/>
              <w:jc w:val="center"/>
            </w:pPr>
            <w:r>
              <w:rPr>
                <w:sz w:val="18"/>
                <w:szCs w:val="18"/>
              </w:rPr>
              <w:t>2018</w:t>
            </w:r>
          </w:p>
        </w:tc>
        <w:tc>
          <w:tcPr>
            <w:tcW w:w="990" w:type="dxa"/>
            <w:vMerge/>
            <w:tcMar>
              <w:top w:w="100" w:type="dxa"/>
              <w:left w:w="100" w:type="dxa"/>
              <w:bottom w:w="100" w:type="dxa"/>
              <w:right w:w="100" w:type="dxa"/>
            </w:tcMar>
          </w:tcPr>
          <w:p w14:paraId="3882E8B5" w14:textId="77777777" w:rsidR="002530E2" w:rsidRDefault="002530E2">
            <w:pPr>
              <w:widowControl w:val="0"/>
              <w:spacing w:after="0" w:line="240" w:lineRule="auto"/>
              <w:jc w:val="center"/>
            </w:pPr>
          </w:p>
        </w:tc>
      </w:tr>
      <w:tr w:rsidR="002530E2" w14:paraId="018AC174" w14:textId="77777777">
        <w:trPr>
          <w:trHeight w:val="400"/>
        </w:trPr>
        <w:tc>
          <w:tcPr>
            <w:tcW w:w="495" w:type="dxa"/>
            <w:tcMar>
              <w:top w:w="100" w:type="dxa"/>
              <w:left w:w="100" w:type="dxa"/>
              <w:bottom w:w="100" w:type="dxa"/>
              <w:right w:w="100" w:type="dxa"/>
            </w:tcMar>
          </w:tcPr>
          <w:p w14:paraId="0278C3DD" w14:textId="77777777" w:rsidR="002530E2" w:rsidRDefault="002530E2">
            <w:pPr>
              <w:widowControl w:val="0"/>
              <w:spacing w:after="0" w:line="276" w:lineRule="auto"/>
              <w:jc w:val="center"/>
            </w:pPr>
            <w:r>
              <w:rPr>
                <w:sz w:val="18"/>
                <w:szCs w:val="18"/>
              </w:rPr>
              <w:t>23</w:t>
            </w:r>
          </w:p>
        </w:tc>
        <w:tc>
          <w:tcPr>
            <w:tcW w:w="1620" w:type="dxa"/>
            <w:tcMar>
              <w:top w:w="100" w:type="dxa"/>
              <w:left w:w="100" w:type="dxa"/>
              <w:bottom w:w="100" w:type="dxa"/>
              <w:right w:w="100" w:type="dxa"/>
            </w:tcMar>
          </w:tcPr>
          <w:p w14:paraId="6DFE9906" w14:textId="77777777" w:rsidR="002530E2" w:rsidRDefault="002530E2">
            <w:pPr>
              <w:widowControl w:val="0"/>
              <w:spacing w:after="0" w:line="276" w:lineRule="auto"/>
            </w:pPr>
            <w:r>
              <w:rPr>
                <w:sz w:val="18"/>
                <w:szCs w:val="18"/>
              </w:rPr>
              <w:t>Cross-cultural Mistakes</w:t>
            </w:r>
          </w:p>
        </w:tc>
        <w:tc>
          <w:tcPr>
            <w:tcW w:w="3450" w:type="dxa"/>
            <w:tcMar>
              <w:top w:w="100" w:type="dxa"/>
              <w:left w:w="100" w:type="dxa"/>
              <w:bottom w:w="100" w:type="dxa"/>
              <w:right w:w="100" w:type="dxa"/>
            </w:tcMar>
          </w:tcPr>
          <w:p w14:paraId="5B416DAC" w14:textId="77777777" w:rsidR="002530E2" w:rsidRDefault="002530E2">
            <w:pPr>
              <w:widowControl w:val="0"/>
              <w:spacing w:after="0" w:line="276" w:lineRule="auto"/>
            </w:pPr>
            <w:r>
              <w:rPr>
                <w:sz w:val="18"/>
                <w:szCs w:val="18"/>
              </w:rPr>
              <w:t>“Cross-Cultural Mistakes by Renowned Brands: Evaluating the Success and Failures of Brands in Host Nations”</w:t>
            </w:r>
          </w:p>
        </w:tc>
        <w:tc>
          <w:tcPr>
            <w:tcW w:w="1680" w:type="dxa"/>
            <w:tcMar>
              <w:top w:w="100" w:type="dxa"/>
              <w:left w:w="100" w:type="dxa"/>
              <w:bottom w:w="100" w:type="dxa"/>
              <w:right w:w="100" w:type="dxa"/>
            </w:tcMar>
          </w:tcPr>
          <w:p w14:paraId="78193F04" w14:textId="77777777" w:rsidR="002530E2" w:rsidRDefault="002530E2">
            <w:pPr>
              <w:widowControl w:val="0"/>
              <w:spacing w:after="0" w:line="276" w:lineRule="auto"/>
              <w:jc w:val="center"/>
            </w:pPr>
            <w:r>
              <w:rPr>
                <w:sz w:val="18"/>
                <w:szCs w:val="18"/>
              </w:rPr>
              <w:t>Dass &amp; Vinnakota</w:t>
            </w:r>
          </w:p>
        </w:tc>
        <w:tc>
          <w:tcPr>
            <w:tcW w:w="840" w:type="dxa"/>
            <w:tcMar>
              <w:top w:w="100" w:type="dxa"/>
              <w:left w:w="100" w:type="dxa"/>
              <w:bottom w:w="100" w:type="dxa"/>
              <w:right w:w="100" w:type="dxa"/>
            </w:tcMar>
          </w:tcPr>
          <w:p w14:paraId="7B936CFE" w14:textId="77777777" w:rsidR="002530E2" w:rsidRDefault="002530E2">
            <w:pPr>
              <w:widowControl w:val="0"/>
              <w:spacing w:after="0" w:line="276" w:lineRule="auto"/>
              <w:jc w:val="center"/>
            </w:pPr>
            <w:r>
              <w:rPr>
                <w:sz w:val="18"/>
                <w:szCs w:val="18"/>
              </w:rPr>
              <w:t>2019</w:t>
            </w:r>
          </w:p>
        </w:tc>
        <w:tc>
          <w:tcPr>
            <w:tcW w:w="990" w:type="dxa"/>
            <w:vMerge/>
            <w:tcMar>
              <w:top w:w="100" w:type="dxa"/>
              <w:left w:w="100" w:type="dxa"/>
              <w:bottom w:w="100" w:type="dxa"/>
              <w:right w:w="100" w:type="dxa"/>
            </w:tcMar>
          </w:tcPr>
          <w:p w14:paraId="61C945E1" w14:textId="77777777" w:rsidR="002530E2" w:rsidRDefault="002530E2">
            <w:pPr>
              <w:widowControl w:val="0"/>
              <w:spacing w:after="0" w:line="240" w:lineRule="auto"/>
              <w:jc w:val="center"/>
            </w:pPr>
          </w:p>
        </w:tc>
      </w:tr>
      <w:tr w:rsidR="002530E2" w14:paraId="03D63353" w14:textId="77777777">
        <w:trPr>
          <w:trHeight w:val="400"/>
        </w:trPr>
        <w:tc>
          <w:tcPr>
            <w:tcW w:w="495" w:type="dxa"/>
            <w:tcMar>
              <w:top w:w="100" w:type="dxa"/>
              <w:left w:w="100" w:type="dxa"/>
              <w:bottom w:w="100" w:type="dxa"/>
              <w:right w:w="100" w:type="dxa"/>
            </w:tcMar>
          </w:tcPr>
          <w:p w14:paraId="432C2428" w14:textId="77777777" w:rsidR="002530E2" w:rsidRDefault="002530E2">
            <w:pPr>
              <w:widowControl w:val="0"/>
              <w:spacing w:after="0" w:line="276" w:lineRule="auto"/>
              <w:jc w:val="center"/>
            </w:pPr>
            <w:r>
              <w:rPr>
                <w:sz w:val="18"/>
                <w:szCs w:val="18"/>
              </w:rPr>
              <w:t>24</w:t>
            </w:r>
          </w:p>
        </w:tc>
        <w:tc>
          <w:tcPr>
            <w:tcW w:w="1620" w:type="dxa"/>
            <w:tcMar>
              <w:top w:w="100" w:type="dxa"/>
              <w:left w:w="100" w:type="dxa"/>
              <w:bottom w:w="100" w:type="dxa"/>
              <w:right w:w="100" w:type="dxa"/>
            </w:tcMar>
          </w:tcPr>
          <w:p w14:paraId="0F73E209"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BB3277E" w14:textId="77777777" w:rsidR="002530E2" w:rsidRDefault="002530E2">
            <w:pPr>
              <w:widowControl w:val="0"/>
              <w:spacing w:after="0" w:line="276" w:lineRule="auto"/>
            </w:pPr>
            <w:r>
              <w:rPr>
                <w:sz w:val="18"/>
                <w:szCs w:val="18"/>
              </w:rPr>
              <w:t>“The Impact of Cross-Cultural Blunders on Muslim Consumer Attitudes and Purchase Intentions”</w:t>
            </w:r>
          </w:p>
        </w:tc>
        <w:tc>
          <w:tcPr>
            <w:tcW w:w="1680" w:type="dxa"/>
            <w:tcMar>
              <w:top w:w="100" w:type="dxa"/>
              <w:left w:w="100" w:type="dxa"/>
              <w:bottom w:w="100" w:type="dxa"/>
              <w:right w:w="100" w:type="dxa"/>
            </w:tcMar>
          </w:tcPr>
          <w:p w14:paraId="52FEFDC4" w14:textId="77777777" w:rsidR="002530E2" w:rsidRDefault="002530E2">
            <w:pPr>
              <w:widowControl w:val="0"/>
              <w:spacing w:after="0" w:line="276" w:lineRule="auto"/>
              <w:jc w:val="center"/>
            </w:pPr>
            <w:r>
              <w:rPr>
                <w:sz w:val="18"/>
                <w:szCs w:val="18"/>
              </w:rPr>
              <w:t>Farhan Khan &amp; Sahar Hussain</w:t>
            </w:r>
          </w:p>
        </w:tc>
        <w:tc>
          <w:tcPr>
            <w:tcW w:w="840" w:type="dxa"/>
            <w:tcMar>
              <w:top w:w="100" w:type="dxa"/>
              <w:left w:w="100" w:type="dxa"/>
              <w:bottom w:w="100" w:type="dxa"/>
              <w:right w:w="100" w:type="dxa"/>
            </w:tcMar>
          </w:tcPr>
          <w:p w14:paraId="1B5A1EBF" w14:textId="77777777" w:rsidR="002530E2" w:rsidRDefault="002530E2">
            <w:pPr>
              <w:widowControl w:val="0"/>
              <w:spacing w:after="0" w:line="276" w:lineRule="auto"/>
              <w:jc w:val="center"/>
            </w:pPr>
            <w:r>
              <w:rPr>
                <w:sz w:val="18"/>
                <w:szCs w:val="18"/>
              </w:rPr>
              <w:t>2019</w:t>
            </w:r>
          </w:p>
        </w:tc>
        <w:tc>
          <w:tcPr>
            <w:tcW w:w="990" w:type="dxa"/>
            <w:vMerge/>
            <w:tcMar>
              <w:top w:w="100" w:type="dxa"/>
              <w:left w:w="100" w:type="dxa"/>
              <w:bottom w:w="100" w:type="dxa"/>
              <w:right w:w="100" w:type="dxa"/>
            </w:tcMar>
          </w:tcPr>
          <w:p w14:paraId="6B5A575B" w14:textId="77777777" w:rsidR="002530E2" w:rsidRDefault="002530E2">
            <w:pPr>
              <w:widowControl w:val="0"/>
              <w:spacing w:after="0" w:line="240" w:lineRule="auto"/>
              <w:jc w:val="center"/>
            </w:pPr>
          </w:p>
        </w:tc>
      </w:tr>
      <w:tr w:rsidR="002530E2" w14:paraId="505E1748" w14:textId="77777777">
        <w:trPr>
          <w:trHeight w:val="400"/>
        </w:trPr>
        <w:tc>
          <w:tcPr>
            <w:tcW w:w="495" w:type="dxa"/>
            <w:tcMar>
              <w:top w:w="100" w:type="dxa"/>
              <w:left w:w="100" w:type="dxa"/>
              <w:bottom w:w="100" w:type="dxa"/>
              <w:right w:w="100" w:type="dxa"/>
            </w:tcMar>
          </w:tcPr>
          <w:p w14:paraId="4B7BB4F8" w14:textId="77777777" w:rsidR="002530E2" w:rsidRDefault="002530E2">
            <w:pPr>
              <w:widowControl w:val="0"/>
              <w:spacing w:after="0" w:line="276" w:lineRule="auto"/>
              <w:jc w:val="center"/>
            </w:pPr>
            <w:r>
              <w:rPr>
                <w:sz w:val="18"/>
                <w:szCs w:val="18"/>
              </w:rPr>
              <w:t>25</w:t>
            </w:r>
          </w:p>
        </w:tc>
        <w:tc>
          <w:tcPr>
            <w:tcW w:w="1620" w:type="dxa"/>
            <w:tcMar>
              <w:top w:w="100" w:type="dxa"/>
              <w:left w:w="100" w:type="dxa"/>
              <w:bottom w:w="100" w:type="dxa"/>
              <w:right w:w="100" w:type="dxa"/>
            </w:tcMar>
          </w:tcPr>
          <w:p w14:paraId="63DA6250"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4BFA7732" w14:textId="77777777" w:rsidR="002530E2" w:rsidRDefault="002530E2">
            <w:pPr>
              <w:widowControl w:val="0"/>
              <w:spacing w:after="0" w:line="276" w:lineRule="auto"/>
            </w:pPr>
            <w:r>
              <w:rPr>
                <w:sz w:val="18"/>
                <w:szCs w:val="18"/>
              </w:rPr>
              <w:t>“Impact of Cross-Cultural Blunders on Muslim Consumer Trust and Purchase Intentions: A Study of the Middle East Market”</w:t>
            </w:r>
          </w:p>
        </w:tc>
        <w:tc>
          <w:tcPr>
            <w:tcW w:w="1680" w:type="dxa"/>
            <w:tcMar>
              <w:top w:w="100" w:type="dxa"/>
              <w:left w:w="100" w:type="dxa"/>
              <w:bottom w:w="100" w:type="dxa"/>
              <w:right w:w="100" w:type="dxa"/>
            </w:tcMar>
          </w:tcPr>
          <w:p w14:paraId="62BB94BA" w14:textId="77777777" w:rsidR="002530E2" w:rsidRDefault="002530E2">
            <w:pPr>
              <w:widowControl w:val="0"/>
              <w:spacing w:after="0" w:line="276" w:lineRule="auto"/>
              <w:jc w:val="center"/>
            </w:pPr>
            <w:r>
              <w:rPr>
                <w:sz w:val="18"/>
                <w:szCs w:val="18"/>
              </w:rPr>
              <w:t>Omar Ali &amp; Sara Khalid</w:t>
            </w:r>
          </w:p>
        </w:tc>
        <w:tc>
          <w:tcPr>
            <w:tcW w:w="840" w:type="dxa"/>
            <w:tcMar>
              <w:top w:w="100" w:type="dxa"/>
              <w:left w:w="100" w:type="dxa"/>
              <w:bottom w:w="100" w:type="dxa"/>
              <w:right w:w="100" w:type="dxa"/>
            </w:tcMar>
          </w:tcPr>
          <w:p w14:paraId="51457C0F" w14:textId="77777777" w:rsidR="002530E2" w:rsidRDefault="002530E2">
            <w:pPr>
              <w:widowControl w:val="0"/>
              <w:spacing w:after="0" w:line="276" w:lineRule="auto"/>
              <w:jc w:val="center"/>
            </w:pPr>
            <w:r>
              <w:rPr>
                <w:sz w:val="18"/>
                <w:szCs w:val="18"/>
              </w:rPr>
              <w:t>2019</w:t>
            </w:r>
          </w:p>
        </w:tc>
        <w:tc>
          <w:tcPr>
            <w:tcW w:w="990" w:type="dxa"/>
            <w:vMerge/>
            <w:tcMar>
              <w:top w:w="100" w:type="dxa"/>
              <w:left w:w="100" w:type="dxa"/>
              <w:bottom w:w="100" w:type="dxa"/>
              <w:right w:w="100" w:type="dxa"/>
            </w:tcMar>
          </w:tcPr>
          <w:p w14:paraId="71B53924" w14:textId="77777777" w:rsidR="002530E2" w:rsidRDefault="002530E2">
            <w:pPr>
              <w:widowControl w:val="0"/>
              <w:spacing w:after="0" w:line="240" w:lineRule="auto"/>
              <w:jc w:val="center"/>
            </w:pPr>
          </w:p>
        </w:tc>
      </w:tr>
      <w:tr w:rsidR="002530E2" w14:paraId="6866488A" w14:textId="77777777">
        <w:trPr>
          <w:trHeight w:val="400"/>
        </w:trPr>
        <w:tc>
          <w:tcPr>
            <w:tcW w:w="495" w:type="dxa"/>
            <w:tcMar>
              <w:top w:w="100" w:type="dxa"/>
              <w:left w:w="100" w:type="dxa"/>
              <w:bottom w:w="100" w:type="dxa"/>
              <w:right w:w="100" w:type="dxa"/>
            </w:tcMar>
          </w:tcPr>
          <w:p w14:paraId="44B01313" w14:textId="77777777" w:rsidR="002530E2" w:rsidRDefault="002530E2">
            <w:pPr>
              <w:widowControl w:val="0"/>
              <w:spacing w:after="0" w:line="276" w:lineRule="auto"/>
              <w:jc w:val="center"/>
            </w:pPr>
            <w:r>
              <w:rPr>
                <w:sz w:val="18"/>
                <w:szCs w:val="18"/>
              </w:rPr>
              <w:t>26</w:t>
            </w:r>
          </w:p>
        </w:tc>
        <w:tc>
          <w:tcPr>
            <w:tcW w:w="1620" w:type="dxa"/>
            <w:tcMar>
              <w:top w:w="100" w:type="dxa"/>
              <w:left w:w="100" w:type="dxa"/>
              <w:bottom w:w="100" w:type="dxa"/>
              <w:right w:w="100" w:type="dxa"/>
            </w:tcMar>
          </w:tcPr>
          <w:p w14:paraId="31D8ABA7" w14:textId="77777777" w:rsidR="002530E2" w:rsidRDefault="002530E2">
            <w:pPr>
              <w:widowControl w:val="0"/>
              <w:spacing w:after="0" w:line="276" w:lineRule="auto"/>
            </w:pPr>
            <w:r>
              <w:rPr>
                <w:sz w:val="18"/>
                <w:szCs w:val="18"/>
              </w:rPr>
              <w:t>Cross-Cultural Blunders</w:t>
            </w:r>
          </w:p>
        </w:tc>
        <w:tc>
          <w:tcPr>
            <w:tcW w:w="3450" w:type="dxa"/>
            <w:tcMar>
              <w:top w:w="100" w:type="dxa"/>
              <w:left w:w="100" w:type="dxa"/>
              <w:bottom w:w="100" w:type="dxa"/>
              <w:right w:w="100" w:type="dxa"/>
            </w:tcMar>
          </w:tcPr>
          <w:p w14:paraId="603DE0C9" w14:textId="77777777" w:rsidR="002530E2" w:rsidRDefault="002530E2">
            <w:pPr>
              <w:widowControl w:val="0"/>
              <w:spacing w:after="0" w:line="276" w:lineRule="auto"/>
            </w:pPr>
            <w:r>
              <w:rPr>
                <w:sz w:val="18"/>
                <w:szCs w:val="18"/>
              </w:rPr>
              <w:t>“Managing Cross-Cultural Blunders in International Advertising Campaigns”</w:t>
            </w:r>
          </w:p>
        </w:tc>
        <w:tc>
          <w:tcPr>
            <w:tcW w:w="1680" w:type="dxa"/>
            <w:tcMar>
              <w:top w:w="100" w:type="dxa"/>
              <w:left w:w="100" w:type="dxa"/>
              <w:bottom w:w="100" w:type="dxa"/>
              <w:right w:w="100" w:type="dxa"/>
            </w:tcMar>
          </w:tcPr>
          <w:p w14:paraId="40E564EC" w14:textId="77777777" w:rsidR="002530E2" w:rsidRDefault="002530E2">
            <w:pPr>
              <w:widowControl w:val="0"/>
              <w:spacing w:after="0" w:line="276" w:lineRule="auto"/>
              <w:jc w:val="center"/>
            </w:pPr>
            <w:r>
              <w:rPr>
                <w:sz w:val="18"/>
                <w:szCs w:val="18"/>
              </w:rPr>
              <w:t>Anna Lee and Daniel Kim</w:t>
            </w:r>
          </w:p>
        </w:tc>
        <w:tc>
          <w:tcPr>
            <w:tcW w:w="840" w:type="dxa"/>
            <w:tcMar>
              <w:top w:w="100" w:type="dxa"/>
              <w:left w:w="100" w:type="dxa"/>
              <w:bottom w:w="100" w:type="dxa"/>
              <w:right w:w="100" w:type="dxa"/>
            </w:tcMar>
          </w:tcPr>
          <w:p w14:paraId="3B5D8CC6" w14:textId="77777777" w:rsidR="002530E2" w:rsidRDefault="002530E2">
            <w:pPr>
              <w:widowControl w:val="0"/>
              <w:spacing w:after="0" w:line="276" w:lineRule="auto"/>
              <w:jc w:val="center"/>
            </w:pPr>
            <w:r>
              <w:rPr>
                <w:sz w:val="18"/>
                <w:szCs w:val="18"/>
              </w:rPr>
              <w:t>2020</w:t>
            </w:r>
          </w:p>
        </w:tc>
        <w:tc>
          <w:tcPr>
            <w:tcW w:w="990" w:type="dxa"/>
            <w:vMerge/>
            <w:tcMar>
              <w:top w:w="100" w:type="dxa"/>
              <w:left w:w="100" w:type="dxa"/>
              <w:bottom w:w="100" w:type="dxa"/>
              <w:right w:w="100" w:type="dxa"/>
            </w:tcMar>
          </w:tcPr>
          <w:p w14:paraId="0EEE5602" w14:textId="77777777" w:rsidR="002530E2" w:rsidRDefault="002530E2">
            <w:pPr>
              <w:widowControl w:val="0"/>
              <w:spacing w:after="0" w:line="240" w:lineRule="auto"/>
              <w:jc w:val="center"/>
            </w:pPr>
          </w:p>
        </w:tc>
      </w:tr>
      <w:tr w:rsidR="002530E2" w14:paraId="5BF88B0F" w14:textId="77777777">
        <w:trPr>
          <w:trHeight w:val="400"/>
        </w:trPr>
        <w:tc>
          <w:tcPr>
            <w:tcW w:w="495" w:type="dxa"/>
            <w:tcMar>
              <w:top w:w="100" w:type="dxa"/>
              <w:left w:w="100" w:type="dxa"/>
              <w:bottom w:w="100" w:type="dxa"/>
              <w:right w:w="100" w:type="dxa"/>
            </w:tcMar>
          </w:tcPr>
          <w:p w14:paraId="36F9D0B7" w14:textId="77777777" w:rsidR="002530E2" w:rsidRDefault="002530E2">
            <w:pPr>
              <w:widowControl w:val="0"/>
              <w:spacing w:after="0" w:line="276" w:lineRule="auto"/>
              <w:jc w:val="center"/>
            </w:pPr>
            <w:r>
              <w:rPr>
                <w:sz w:val="18"/>
                <w:szCs w:val="18"/>
              </w:rPr>
              <w:t>27</w:t>
            </w:r>
          </w:p>
        </w:tc>
        <w:tc>
          <w:tcPr>
            <w:tcW w:w="1620" w:type="dxa"/>
            <w:tcMar>
              <w:top w:w="100" w:type="dxa"/>
              <w:left w:w="100" w:type="dxa"/>
              <w:bottom w:w="100" w:type="dxa"/>
              <w:right w:w="100" w:type="dxa"/>
            </w:tcMar>
          </w:tcPr>
          <w:p w14:paraId="28C8DC9D" w14:textId="77777777" w:rsidR="002530E2" w:rsidRDefault="002530E2">
            <w:pPr>
              <w:widowControl w:val="0"/>
              <w:spacing w:after="0" w:line="276" w:lineRule="auto"/>
            </w:pPr>
            <w:r>
              <w:rPr>
                <w:sz w:val="18"/>
                <w:szCs w:val="18"/>
              </w:rPr>
              <w:t>Brand Boycotts</w:t>
            </w:r>
          </w:p>
        </w:tc>
        <w:tc>
          <w:tcPr>
            <w:tcW w:w="3450" w:type="dxa"/>
            <w:tcMar>
              <w:top w:w="100" w:type="dxa"/>
              <w:left w:w="100" w:type="dxa"/>
              <w:bottom w:w="100" w:type="dxa"/>
              <w:right w:w="100" w:type="dxa"/>
            </w:tcMar>
          </w:tcPr>
          <w:p w14:paraId="3CC44E99" w14:textId="77777777" w:rsidR="002530E2" w:rsidRDefault="002530E2">
            <w:pPr>
              <w:widowControl w:val="0"/>
              <w:spacing w:after="0" w:line="276" w:lineRule="auto"/>
            </w:pPr>
            <w:r>
              <w:rPr>
                <w:sz w:val="18"/>
                <w:szCs w:val="18"/>
              </w:rPr>
              <w:t>“The Burden of Identity: Responding to Product Boycotts in the Middle East”</w:t>
            </w:r>
          </w:p>
        </w:tc>
        <w:tc>
          <w:tcPr>
            <w:tcW w:w="1680" w:type="dxa"/>
            <w:tcMar>
              <w:top w:w="100" w:type="dxa"/>
              <w:left w:w="100" w:type="dxa"/>
              <w:bottom w:w="100" w:type="dxa"/>
              <w:right w:w="100" w:type="dxa"/>
            </w:tcMar>
          </w:tcPr>
          <w:p w14:paraId="52081C12" w14:textId="77777777" w:rsidR="002530E2" w:rsidRDefault="002530E2">
            <w:pPr>
              <w:widowControl w:val="0"/>
              <w:spacing w:after="0" w:line="276" w:lineRule="auto"/>
              <w:jc w:val="center"/>
            </w:pPr>
            <w:r>
              <w:rPr>
                <w:sz w:val="18"/>
                <w:szCs w:val="18"/>
              </w:rPr>
              <w:t>Knudsen, Aggarwal &amp; Maamoun</w:t>
            </w:r>
          </w:p>
        </w:tc>
        <w:tc>
          <w:tcPr>
            <w:tcW w:w="840" w:type="dxa"/>
            <w:tcMar>
              <w:top w:w="100" w:type="dxa"/>
              <w:left w:w="100" w:type="dxa"/>
              <w:bottom w:w="100" w:type="dxa"/>
              <w:right w:w="100" w:type="dxa"/>
            </w:tcMar>
          </w:tcPr>
          <w:p w14:paraId="1C29CC3D" w14:textId="77777777" w:rsidR="002530E2" w:rsidRDefault="002530E2">
            <w:pPr>
              <w:widowControl w:val="0"/>
              <w:spacing w:after="0" w:line="276" w:lineRule="auto"/>
              <w:jc w:val="center"/>
            </w:pPr>
            <w:r>
              <w:rPr>
                <w:sz w:val="18"/>
                <w:szCs w:val="18"/>
              </w:rPr>
              <w:t>2008</w:t>
            </w:r>
          </w:p>
        </w:tc>
        <w:tc>
          <w:tcPr>
            <w:tcW w:w="990" w:type="dxa"/>
            <w:vMerge w:val="restart"/>
            <w:tcMar>
              <w:top w:w="100" w:type="dxa"/>
              <w:left w:w="100" w:type="dxa"/>
              <w:bottom w:w="100" w:type="dxa"/>
              <w:right w:w="100" w:type="dxa"/>
            </w:tcMar>
          </w:tcPr>
          <w:p w14:paraId="0A8CF0A4" w14:textId="77777777" w:rsidR="002530E2" w:rsidRDefault="002530E2">
            <w:pPr>
              <w:widowControl w:val="0"/>
              <w:spacing w:after="0" w:line="276" w:lineRule="auto"/>
              <w:jc w:val="center"/>
            </w:pPr>
            <w:r>
              <w:rPr>
                <w:sz w:val="18"/>
                <w:szCs w:val="18"/>
              </w:rPr>
              <w:t>2</w:t>
            </w:r>
          </w:p>
        </w:tc>
      </w:tr>
      <w:tr w:rsidR="002530E2" w14:paraId="7CF571F3" w14:textId="77777777">
        <w:trPr>
          <w:trHeight w:val="400"/>
        </w:trPr>
        <w:tc>
          <w:tcPr>
            <w:tcW w:w="495" w:type="dxa"/>
            <w:tcMar>
              <w:top w:w="100" w:type="dxa"/>
              <w:left w:w="100" w:type="dxa"/>
              <w:bottom w:w="100" w:type="dxa"/>
              <w:right w:w="100" w:type="dxa"/>
            </w:tcMar>
          </w:tcPr>
          <w:p w14:paraId="68FBA33A" w14:textId="77777777" w:rsidR="002530E2" w:rsidRDefault="002530E2">
            <w:pPr>
              <w:widowControl w:val="0"/>
              <w:spacing w:after="0" w:line="276" w:lineRule="auto"/>
              <w:jc w:val="center"/>
            </w:pPr>
            <w:r>
              <w:rPr>
                <w:sz w:val="18"/>
                <w:szCs w:val="18"/>
              </w:rPr>
              <w:t>28</w:t>
            </w:r>
          </w:p>
        </w:tc>
        <w:tc>
          <w:tcPr>
            <w:tcW w:w="1620" w:type="dxa"/>
            <w:tcMar>
              <w:top w:w="100" w:type="dxa"/>
              <w:left w:w="100" w:type="dxa"/>
              <w:bottom w:w="100" w:type="dxa"/>
              <w:right w:w="100" w:type="dxa"/>
            </w:tcMar>
          </w:tcPr>
          <w:p w14:paraId="18B1CDAD" w14:textId="77777777" w:rsidR="002530E2" w:rsidRDefault="002530E2">
            <w:pPr>
              <w:widowControl w:val="0"/>
              <w:spacing w:after="0" w:line="276" w:lineRule="auto"/>
            </w:pPr>
            <w:r>
              <w:rPr>
                <w:sz w:val="18"/>
                <w:szCs w:val="18"/>
              </w:rPr>
              <w:t>Brand Boycotts</w:t>
            </w:r>
          </w:p>
        </w:tc>
        <w:tc>
          <w:tcPr>
            <w:tcW w:w="3450" w:type="dxa"/>
            <w:tcMar>
              <w:top w:w="100" w:type="dxa"/>
              <w:left w:w="100" w:type="dxa"/>
              <w:bottom w:w="100" w:type="dxa"/>
              <w:right w:w="100" w:type="dxa"/>
            </w:tcMar>
          </w:tcPr>
          <w:p w14:paraId="782C2502" w14:textId="77777777" w:rsidR="002530E2" w:rsidRDefault="002530E2">
            <w:pPr>
              <w:widowControl w:val="0"/>
              <w:spacing w:after="0" w:line="276" w:lineRule="auto"/>
            </w:pPr>
            <w:r>
              <w:rPr>
                <w:sz w:val="18"/>
                <w:szCs w:val="18"/>
              </w:rPr>
              <w:t>“Investigating the reasons Muslims boycott foreign brands”</w:t>
            </w:r>
          </w:p>
        </w:tc>
        <w:tc>
          <w:tcPr>
            <w:tcW w:w="1680" w:type="dxa"/>
            <w:tcMar>
              <w:top w:w="100" w:type="dxa"/>
              <w:left w:w="100" w:type="dxa"/>
              <w:bottom w:w="100" w:type="dxa"/>
              <w:right w:w="100" w:type="dxa"/>
            </w:tcMar>
          </w:tcPr>
          <w:p w14:paraId="5094C2A6" w14:textId="77777777" w:rsidR="002530E2" w:rsidRDefault="002530E2">
            <w:pPr>
              <w:widowControl w:val="0"/>
              <w:spacing w:after="0" w:line="276" w:lineRule="auto"/>
              <w:jc w:val="center"/>
            </w:pPr>
            <w:r>
              <w:rPr>
                <w:sz w:val="18"/>
                <w:szCs w:val="18"/>
              </w:rPr>
              <w:t>Dessy Kurnia Sari</w:t>
            </w:r>
          </w:p>
        </w:tc>
        <w:tc>
          <w:tcPr>
            <w:tcW w:w="840" w:type="dxa"/>
            <w:tcMar>
              <w:top w:w="100" w:type="dxa"/>
              <w:left w:w="100" w:type="dxa"/>
              <w:bottom w:w="100" w:type="dxa"/>
              <w:right w:w="100" w:type="dxa"/>
            </w:tcMar>
          </w:tcPr>
          <w:p w14:paraId="75FC3D22" w14:textId="77777777" w:rsidR="002530E2" w:rsidRDefault="002530E2">
            <w:pPr>
              <w:widowControl w:val="0"/>
              <w:spacing w:after="0" w:line="276" w:lineRule="auto"/>
              <w:jc w:val="center"/>
            </w:pPr>
            <w:r>
              <w:rPr>
                <w:sz w:val="18"/>
                <w:szCs w:val="18"/>
              </w:rPr>
              <w:t>2015</w:t>
            </w:r>
          </w:p>
        </w:tc>
        <w:tc>
          <w:tcPr>
            <w:tcW w:w="990" w:type="dxa"/>
            <w:vMerge/>
            <w:tcMar>
              <w:top w:w="100" w:type="dxa"/>
              <w:left w:w="100" w:type="dxa"/>
              <w:bottom w:w="100" w:type="dxa"/>
              <w:right w:w="100" w:type="dxa"/>
            </w:tcMar>
          </w:tcPr>
          <w:p w14:paraId="68C23198" w14:textId="77777777" w:rsidR="002530E2" w:rsidRDefault="002530E2">
            <w:pPr>
              <w:widowControl w:val="0"/>
              <w:spacing w:after="0" w:line="240" w:lineRule="auto"/>
              <w:jc w:val="center"/>
            </w:pPr>
          </w:p>
        </w:tc>
      </w:tr>
      <w:tr w:rsidR="002530E2" w14:paraId="1F71A306" w14:textId="77777777">
        <w:trPr>
          <w:trHeight w:val="400"/>
        </w:trPr>
        <w:tc>
          <w:tcPr>
            <w:tcW w:w="495" w:type="dxa"/>
            <w:tcMar>
              <w:top w:w="100" w:type="dxa"/>
              <w:left w:w="100" w:type="dxa"/>
              <w:bottom w:w="100" w:type="dxa"/>
              <w:right w:w="100" w:type="dxa"/>
            </w:tcMar>
          </w:tcPr>
          <w:p w14:paraId="6F218065" w14:textId="77777777" w:rsidR="002530E2" w:rsidRDefault="002530E2">
            <w:pPr>
              <w:widowControl w:val="0"/>
              <w:spacing w:after="0" w:line="276" w:lineRule="auto"/>
              <w:jc w:val="center"/>
            </w:pPr>
            <w:r>
              <w:rPr>
                <w:sz w:val="18"/>
                <w:szCs w:val="18"/>
              </w:rPr>
              <w:lastRenderedPageBreak/>
              <w:t>29</w:t>
            </w:r>
          </w:p>
        </w:tc>
        <w:tc>
          <w:tcPr>
            <w:tcW w:w="1620" w:type="dxa"/>
            <w:tcMar>
              <w:top w:w="100" w:type="dxa"/>
              <w:left w:w="100" w:type="dxa"/>
              <w:bottom w:w="100" w:type="dxa"/>
              <w:right w:w="100" w:type="dxa"/>
            </w:tcMar>
          </w:tcPr>
          <w:p w14:paraId="73478C1D" w14:textId="77777777" w:rsidR="002530E2" w:rsidRDefault="002530E2">
            <w:pPr>
              <w:widowControl w:val="0"/>
              <w:spacing w:after="0" w:line="276" w:lineRule="auto"/>
            </w:pPr>
            <w:r>
              <w:rPr>
                <w:sz w:val="18"/>
                <w:szCs w:val="18"/>
              </w:rPr>
              <w:t>Muslim Consumer Emotional Reactions</w:t>
            </w:r>
          </w:p>
        </w:tc>
        <w:tc>
          <w:tcPr>
            <w:tcW w:w="3450" w:type="dxa"/>
            <w:tcMar>
              <w:top w:w="100" w:type="dxa"/>
              <w:left w:w="100" w:type="dxa"/>
              <w:bottom w:w="100" w:type="dxa"/>
              <w:right w:w="100" w:type="dxa"/>
            </w:tcMar>
          </w:tcPr>
          <w:p w14:paraId="1AD72441" w14:textId="77777777" w:rsidR="002530E2" w:rsidRDefault="002530E2">
            <w:pPr>
              <w:widowControl w:val="0"/>
              <w:spacing w:after="0" w:line="276" w:lineRule="auto"/>
            </w:pPr>
            <w:r>
              <w:rPr>
                <w:sz w:val="18"/>
                <w:szCs w:val="18"/>
              </w:rPr>
              <w:t>“Exploring Negative Muslim Consumer Reactions to Cross-Cultural Blunders in Advertising”</w:t>
            </w:r>
          </w:p>
        </w:tc>
        <w:tc>
          <w:tcPr>
            <w:tcW w:w="1680" w:type="dxa"/>
            <w:tcMar>
              <w:top w:w="100" w:type="dxa"/>
              <w:left w:w="100" w:type="dxa"/>
              <w:bottom w:w="100" w:type="dxa"/>
              <w:right w:w="100" w:type="dxa"/>
            </w:tcMar>
          </w:tcPr>
          <w:p w14:paraId="4A96A4DC" w14:textId="77777777" w:rsidR="002530E2" w:rsidRDefault="002530E2">
            <w:pPr>
              <w:widowControl w:val="0"/>
              <w:spacing w:after="0" w:line="276" w:lineRule="auto"/>
              <w:jc w:val="center"/>
            </w:pPr>
            <w:r>
              <w:rPr>
                <w:sz w:val="18"/>
                <w:szCs w:val="18"/>
              </w:rPr>
              <w:t>Amina Ahmed et al.</w:t>
            </w:r>
          </w:p>
        </w:tc>
        <w:tc>
          <w:tcPr>
            <w:tcW w:w="840" w:type="dxa"/>
            <w:tcMar>
              <w:top w:w="100" w:type="dxa"/>
              <w:left w:w="100" w:type="dxa"/>
              <w:bottom w:w="100" w:type="dxa"/>
              <w:right w:w="100" w:type="dxa"/>
            </w:tcMar>
          </w:tcPr>
          <w:p w14:paraId="103F5E32" w14:textId="77777777" w:rsidR="002530E2" w:rsidRDefault="002530E2">
            <w:pPr>
              <w:widowControl w:val="0"/>
              <w:spacing w:after="0" w:line="276" w:lineRule="auto"/>
              <w:jc w:val="center"/>
            </w:pPr>
            <w:r>
              <w:rPr>
                <w:sz w:val="18"/>
                <w:szCs w:val="18"/>
              </w:rPr>
              <w:t>2017</w:t>
            </w:r>
          </w:p>
        </w:tc>
        <w:tc>
          <w:tcPr>
            <w:tcW w:w="990" w:type="dxa"/>
            <w:vMerge w:val="restart"/>
          </w:tcPr>
          <w:p w14:paraId="6A0D6892" w14:textId="77777777" w:rsidR="002530E2" w:rsidRDefault="002530E2">
            <w:pPr>
              <w:widowControl w:val="0"/>
              <w:spacing w:after="0" w:line="276" w:lineRule="auto"/>
              <w:jc w:val="center"/>
            </w:pPr>
            <w:r>
              <w:rPr>
                <w:sz w:val="18"/>
                <w:szCs w:val="18"/>
              </w:rPr>
              <w:t>2</w:t>
            </w:r>
          </w:p>
        </w:tc>
      </w:tr>
      <w:tr w:rsidR="002530E2" w14:paraId="386B00BF" w14:textId="77777777">
        <w:trPr>
          <w:trHeight w:val="400"/>
        </w:trPr>
        <w:tc>
          <w:tcPr>
            <w:tcW w:w="495" w:type="dxa"/>
            <w:tcMar>
              <w:top w:w="100" w:type="dxa"/>
              <w:left w:w="100" w:type="dxa"/>
              <w:bottom w:w="100" w:type="dxa"/>
              <w:right w:w="100" w:type="dxa"/>
            </w:tcMar>
          </w:tcPr>
          <w:p w14:paraId="6587EBED" w14:textId="77777777" w:rsidR="002530E2" w:rsidRDefault="002530E2">
            <w:pPr>
              <w:widowControl w:val="0"/>
              <w:spacing w:after="0" w:line="276" w:lineRule="auto"/>
              <w:jc w:val="center"/>
            </w:pPr>
            <w:r>
              <w:rPr>
                <w:sz w:val="18"/>
                <w:szCs w:val="18"/>
              </w:rPr>
              <w:t>30</w:t>
            </w:r>
          </w:p>
        </w:tc>
        <w:tc>
          <w:tcPr>
            <w:tcW w:w="1620" w:type="dxa"/>
            <w:tcMar>
              <w:top w:w="100" w:type="dxa"/>
              <w:left w:w="100" w:type="dxa"/>
              <w:bottom w:w="100" w:type="dxa"/>
              <w:right w:w="100" w:type="dxa"/>
            </w:tcMar>
          </w:tcPr>
          <w:p w14:paraId="2A72DFA1" w14:textId="77777777" w:rsidR="002530E2" w:rsidRDefault="002530E2">
            <w:pPr>
              <w:widowControl w:val="0"/>
              <w:spacing w:after="0" w:line="276" w:lineRule="auto"/>
            </w:pPr>
            <w:r>
              <w:rPr>
                <w:sz w:val="18"/>
                <w:szCs w:val="18"/>
              </w:rPr>
              <w:t>Emotional Muslim Response</w:t>
            </w:r>
          </w:p>
        </w:tc>
        <w:tc>
          <w:tcPr>
            <w:tcW w:w="3450" w:type="dxa"/>
            <w:tcMar>
              <w:top w:w="100" w:type="dxa"/>
              <w:left w:w="100" w:type="dxa"/>
              <w:bottom w:w="100" w:type="dxa"/>
              <w:right w:w="100" w:type="dxa"/>
            </w:tcMar>
          </w:tcPr>
          <w:p w14:paraId="13F9F8FC" w14:textId="77777777" w:rsidR="002530E2" w:rsidRDefault="002530E2">
            <w:pPr>
              <w:widowControl w:val="0"/>
              <w:spacing w:after="0" w:line="276" w:lineRule="auto"/>
            </w:pPr>
            <w:r>
              <w:rPr>
                <w:sz w:val="18"/>
                <w:szCs w:val="18"/>
              </w:rPr>
              <w:t>“Understanding the Emotional Responses of Muslim Consumers to Cross-Cultural Blunders: A Mixed-Methods Study”</w:t>
            </w:r>
          </w:p>
        </w:tc>
        <w:tc>
          <w:tcPr>
            <w:tcW w:w="1680" w:type="dxa"/>
            <w:tcMar>
              <w:top w:w="100" w:type="dxa"/>
              <w:left w:w="100" w:type="dxa"/>
              <w:bottom w:w="100" w:type="dxa"/>
              <w:right w:w="100" w:type="dxa"/>
            </w:tcMar>
          </w:tcPr>
          <w:p w14:paraId="77D198AF" w14:textId="77777777" w:rsidR="002530E2" w:rsidRDefault="002530E2">
            <w:pPr>
              <w:widowControl w:val="0"/>
              <w:spacing w:after="0" w:line="276" w:lineRule="auto"/>
              <w:jc w:val="center"/>
            </w:pPr>
            <w:r>
              <w:rPr>
                <w:sz w:val="18"/>
                <w:szCs w:val="18"/>
              </w:rPr>
              <w:t>Fatima Hassan et al.</w:t>
            </w:r>
          </w:p>
        </w:tc>
        <w:tc>
          <w:tcPr>
            <w:tcW w:w="840" w:type="dxa"/>
            <w:tcMar>
              <w:top w:w="100" w:type="dxa"/>
              <w:left w:w="100" w:type="dxa"/>
              <w:bottom w:w="100" w:type="dxa"/>
              <w:right w:w="100" w:type="dxa"/>
            </w:tcMar>
          </w:tcPr>
          <w:p w14:paraId="3EDB7A2B" w14:textId="77777777" w:rsidR="002530E2" w:rsidRDefault="002530E2">
            <w:pPr>
              <w:widowControl w:val="0"/>
              <w:spacing w:after="0" w:line="276" w:lineRule="auto"/>
              <w:jc w:val="center"/>
            </w:pPr>
            <w:r>
              <w:rPr>
                <w:sz w:val="18"/>
                <w:szCs w:val="18"/>
              </w:rPr>
              <w:t>2021</w:t>
            </w:r>
          </w:p>
        </w:tc>
        <w:tc>
          <w:tcPr>
            <w:tcW w:w="990" w:type="dxa"/>
            <w:vMerge/>
            <w:tcMar>
              <w:top w:w="100" w:type="dxa"/>
              <w:left w:w="100" w:type="dxa"/>
              <w:bottom w:w="100" w:type="dxa"/>
              <w:right w:w="100" w:type="dxa"/>
            </w:tcMar>
          </w:tcPr>
          <w:p w14:paraId="04EAA28F" w14:textId="77777777" w:rsidR="002530E2" w:rsidRDefault="002530E2">
            <w:pPr>
              <w:widowControl w:val="0"/>
              <w:spacing w:after="0" w:line="240" w:lineRule="auto"/>
              <w:jc w:val="center"/>
            </w:pPr>
          </w:p>
        </w:tc>
      </w:tr>
      <w:tr w:rsidR="002530E2" w14:paraId="7B2945C1" w14:textId="77777777">
        <w:trPr>
          <w:trHeight w:val="400"/>
        </w:trPr>
        <w:tc>
          <w:tcPr>
            <w:tcW w:w="495" w:type="dxa"/>
            <w:tcMar>
              <w:top w:w="100" w:type="dxa"/>
              <w:left w:w="100" w:type="dxa"/>
              <w:bottom w:w="100" w:type="dxa"/>
              <w:right w:w="100" w:type="dxa"/>
            </w:tcMar>
          </w:tcPr>
          <w:p w14:paraId="7C086D16" w14:textId="77777777" w:rsidR="002530E2" w:rsidRDefault="002530E2">
            <w:pPr>
              <w:widowControl w:val="0"/>
              <w:spacing w:after="0" w:line="276" w:lineRule="auto"/>
              <w:jc w:val="center"/>
            </w:pPr>
            <w:r>
              <w:rPr>
                <w:sz w:val="18"/>
                <w:szCs w:val="18"/>
              </w:rPr>
              <w:t>31</w:t>
            </w:r>
          </w:p>
        </w:tc>
        <w:tc>
          <w:tcPr>
            <w:tcW w:w="1620" w:type="dxa"/>
            <w:tcMar>
              <w:top w:w="100" w:type="dxa"/>
              <w:left w:w="100" w:type="dxa"/>
              <w:bottom w:w="100" w:type="dxa"/>
              <w:right w:w="100" w:type="dxa"/>
            </w:tcMar>
          </w:tcPr>
          <w:p w14:paraId="6A4DCCB1" w14:textId="77777777" w:rsidR="002530E2" w:rsidRDefault="002530E2">
            <w:pPr>
              <w:widowControl w:val="0"/>
              <w:spacing w:after="0" w:line="276" w:lineRule="auto"/>
            </w:pPr>
            <w:r>
              <w:rPr>
                <w:sz w:val="18"/>
                <w:szCs w:val="18"/>
              </w:rPr>
              <w:t xml:space="preserve">Negative Emotional Responses </w:t>
            </w:r>
          </w:p>
        </w:tc>
        <w:tc>
          <w:tcPr>
            <w:tcW w:w="3450" w:type="dxa"/>
            <w:tcMar>
              <w:top w:w="100" w:type="dxa"/>
              <w:left w:w="100" w:type="dxa"/>
              <w:bottom w:w="100" w:type="dxa"/>
              <w:right w:w="100" w:type="dxa"/>
            </w:tcMar>
          </w:tcPr>
          <w:p w14:paraId="45B28B20" w14:textId="77777777" w:rsidR="002530E2" w:rsidRDefault="002530E2">
            <w:pPr>
              <w:widowControl w:val="0"/>
              <w:spacing w:after="0" w:line="276" w:lineRule="auto"/>
            </w:pPr>
            <w:r>
              <w:rPr>
                <w:sz w:val="18"/>
                <w:szCs w:val="18"/>
              </w:rPr>
              <w:t>“Cross-Cultural Blunders and Negative Emotional Responses of Muslim Consumers: An Empirical Investigation”</w:t>
            </w:r>
          </w:p>
        </w:tc>
        <w:tc>
          <w:tcPr>
            <w:tcW w:w="1680" w:type="dxa"/>
            <w:tcMar>
              <w:top w:w="100" w:type="dxa"/>
              <w:left w:w="100" w:type="dxa"/>
              <w:bottom w:w="100" w:type="dxa"/>
              <w:right w:w="100" w:type="dxa"/>
            </w:tcMar>
          </w:tcPr>
          <w:p w14:paraId="6D9028E2" w14:textId="77777777" w:rsidR="002530E2" w:rsidRDefault="002530E2">
            <w:pPr>
              <w:widowControl w:val="0"/>
              <w:spacing w:after="0" w:line="276" w:lineRule="auto"/>
              <w:jc w:val="center"/>
            </w:pPr>
            <w:r>
              <w:rPr>
                <w:sz w:val="18"/>
                <w:szCs w:val="18"/>
              </w:rPr>
              <w:t>Yusuf Ahmed &amp; Zainab Hussain</w:t>
            </w:r>
          </w:p>
        </w:tc>
        <w:tc>
          <w:tcPr>
            <w:tcW w:w="840" w:type="dxa"/>
            <w:tcMar>
              <w:top w:w="100" w:type="dxa"/>
              <w:left w:w="100" w:type="dxa"/>
              <w:bottom w:w="100" w:type="dxa"/>
              <w:right w:w="100" w:type="dxa"/>
            </w:tcMar>
          </w:tcPr>
          <w:p w14:paraId="4E7D5346" w14:textId="77777777" w:rsidR="002530E2" w:rsidRDefault="002530E2">
            <w:pPr>
              <w:widowControl w:val="0"/>
              <w:spacing w:after="0" w:line="276" w:lineRule="auto"/>
              <w:jc w:val="center"/>
            </w:pPr>
            <w:r>
              <w:rPr>
                <w:sz w:val="18"/>
                <w:szCs w:val="18"/>
              </w:rPr>
              <w:t>2017</w:t>
            </w:r>
          </w:p>
        </w:tc>
        <w:tc>
          <w:tcPr>
            <w:tcW w:w="990" w:type="dxa"/>
            <w:vMerge w:val="restart"/>
            <w:tcMar>
              <w:top w:w="100" w:type="dxa"/>
              <w:left w:w="100" w:type="dxa"/>
              <w:bottom w:w="100" w:type="dxa"/>
              <w:right w:w="100" w:type="dxa"/>
            </w:tcMar>
          </w:tcPr>
          <w:p w14:paraId="38F070EF" w14:textId="77777777" w:rsidR="002530E2" w:rsidRDefault="002530E2">
            <w:pPr>
              <w:widowControl w:val="0"/>
              <w:spacing w:after="0" w:line="276" w:lineRule="auto"/>
              <w:jc w:val="center"/>
            </w:pPr>
            <w:r>
              <w:rPr>
                <w:sz w:val="18"/>
                <w:szCs w:val="18"/>
              </w:rPr>
              <w:t>2</w:t>
            </w:r>
          </w:p>
        </w:tc>
      </w:tr>
      <w:tr w:rsidR="002530E2" w14:paraId="4740B815" w14:textId="77777777">
        <w:trPr>
          <w:trHeight w:val="400"/>
        </w:trPr>
        <w:tc>
          <w:tcPr>
            <w:tcW w:w="495" w:type="dxa"/>
            <w:tcMar>
              <w:top w:w="100" w:type="dxa"/>
              <w:left w:w="100" w:type="dxa"/>
              <w:bottom w:w="100" w:type="dxa"/>
              <w:right w:w="100" w:type="dxa"/>
            </w:tcMar>
          </w:tcPr>
          <w:p w14:paraId="79660182" w14:textId="77777777" w:rsidR="002530E2" w:rsidRDefault="002530E2">
            <w:pPr>
              <w:widowControl w:val="0"/>
              <w:spacing w:after="0" w:line="276" w:lineRule="auto"/>
              <w:jc w:val="center"/>
            </w:pPr>
            <w:r>
              <w:rPr>
                <w:sz w:val="18"/>
                <w:szCs w:val="18"/>
              </w:rPr>
              <w:t>32</w:t>
            </w:r>
          </w:p>
        </w:tc>
        <w:tc>
          <w:tcPr>
            <w:tcW w:w="1620" w:type="dxa"/>
            <w:tcMar>
              <w:top w:w="100" w:type="dxa"/>
              <w:left w:w="100" w:type="dxa"/>
              <w:bottom w:w="100" w:type="dxa"/>
              <w:right w:w="100" w:type="dxa"/>
            </w:tcMar>
          </w:tcPr>
          <w:p w14:paraId="5954D6EE" w14:textId="77777777" w:rsidR="002530E2" w:rsidRDefault="002530E2">
            <w:pPr>
              <w:widowControl w:val="0"/>
              <w:spacing w:after="0" w:line="276" w:lineRule="auto"/>
            </w:pPr>
            <w:r>
              <w:rPr>
                <w:sz w:val="18"/>
                <w:szCs w:val="18"/>
              </w:rPr>
              <w:t xml:space="preserve">Negative Emotional Responses </w:t>
            </w:r>
          </w:p>
        </w:tc>
        <w:tc>
          <w:tcPr>
            <w:tcW w:w="3450" w:type="dxa"/>
            <w:tcMar>
              <w:top w:w="100" w:type="dxa"/>
              <w:left w:w="100" w:type="dxa"/>
              <w:bottom w:w="100" w:type="dxa"/>
              <w:right w:w="100" w:type="dxa"/>
            </w:tcMar>
          </w:tcPr>
          <w:p w14:paraId="26C6484C" w14:textId="77777777" w:rsidR="002530E2" w:rsidRDefault="002530E2">
            <w:pPr>
              <w:widowControl w:val="0"/>
              <w:spacing w:after="0" w:line="276" w:lineRule="auto"/>
            </w:pPr>
            <w:r>
              <w:rPr>
                <w:sz w:val="18"/>
                <w:szCs w:val="18"/>
              </w:rPr>
              <w:t>“The Role of Islamic Values in Shaping Negative Reactions of Muslim Consumers to Cross-Cultural Blunders”</w:t>
            </w:r>
          </w:p>
        </w:tc>
        <w:tc>
          <w:tcPr>
            <w:tcW w:w="1680" w:type="dxa"/>
            <w:tcMar>
              <w:top w:w="100" w:type="dxa"/>
              <w:left w:w="100" w:type="dxa"/>
              <w:bottom w:w="100" w:type="dxa"/>
              <w:right w:w="100" w:type="dxa"/>
            </w:tcMar>
          </w:tcPr>
          <w:p w14:paraId="1FD04B4D" w14:textId="77777777" w:rsidR="002530E2" w:rsidRDefault="002530E2">
            <w:pPr>
              <w:widowControl w:val="0"/>
              <w:spacing w:after="0" w:line="276" w:lineRule="auto"/>
              <w:jc w:val="center"/>
            </w:pPr>
            <w:r>
              <w:rPr>
                <w:sz w:val="18"/>
                <w:szCs w:val="18"/>
              </w:rPr>
              <w:t xml:space="preserve">Nida Zaidi et al. </w:t>
            </w:r>
          </w:p>
        </w:tc>
        <w:tc>
          <w:tcPr>
            <w:tcW w:w="840" w:type="dxa"/>
            <w:tcMar>
              <w:top w:w="100" w:type="dxa"/>
              <w:left w:w="100" w:type="dxa"/>
              <w:bottom w:w="100" w:type="dxa"/>
              <w:right w:w="100" w:type="dxa"/>
            </w:tcMar>
          </w:tcPr>
          <w:p w14:paraId="14E58B96" w14:textId="77777777" w:rsidR="002530E2" w:rsidRDefault="002530E2">
            <w:pPr>
              <w:widowControl w:val="0"/>
              <w:spacing w:after="0" w:line="276" w:lineRule="auto"/>
              <w:jc w:val="center"/>
            </w:pPr>
            <w:r>
              <w:rPr>
                <w:sz w:val="18"/>
                <w:szCs w:val="18"/>
              </w:rPr>
              <w:t>2020</w:t>
            </w:r>
          </w:p>
        </w:tc>
        <w:tc>
          <w:tcPr>
            <w:tcW w:w="990" w:type="dxa"/>
            <w:vMerge/>
            <w:tcMar>
              <w:top w:w="100" w:type="dxa"/>
              <w:left w:w="100" w:type="dxa"/>
              <w:bottom w:w="100" w:type="dxa"/>
              <w:right w:w="100" w:type="dxa"/>
            </w:tcMar>
          </w:tcPr>
          <w:p w14:paraId="4528BF53" w14:textId="77777777" w:rsidR="002530E2" w:rsidRDefault="002530E2">
            <w:pPr>
              <w:widowControl w:val="0"/>
              <w:spacing w:after="0" w:line="240" w:lineRule="auto"/>
              <w:jc w:val="center"/>
            </w:pPr>
          </w:p>
        </w:tc>
      </w:tr>
      <w:tr w:rsidR="002530E2" w14:paraId="39B0B8DD" w14:textId="77777777">
        <w:trPr>
          <w:trHeight w:val="400"/>
        </w:trPr>
        <w:tc>
          <w:tcPr>
            <w:tcW w:w="495" w:type="dxa"/>
            <w:tcMar>
              <w:top w:w="100" w:type="dxa"/>
              <w:left w:w="100" w:type="dxa"/>
              <w:bottom w:w="100" w:type="dxa"/>
              <w:right w:w="100" w:type="dxa"/>
            </w:tcMar>
          </w:tcPr>
          <w:p w14:paraId="18E2CACF" w14:textId="77777777" w:rsidR="002530E2" w:rsidRDefault="002530E2">
            <w:pPr>
              <w:widowControl w:val="0"/>
              <w:spacing w:after="0" w:line="276" w:lineRule="auto"/>
              <w:jc w:val="center"/>
            </w:pPr>
            <w:r>
              <w:rPr>
                <w:sz w:val="18"/>
                <w:szCs w:val="18"/>
              </w:rPr>
              <w:t>33</w:t>
            </w:r>
          </w:p>
        </w:tc>
        <w:tc>
          <w:tcPr>
            <w:tcW w:w="1620" w:type="dxa"/>
            <w:tcMar>
              <w:top w:w="100" w:type="dxa"/>
              <w:left w:w="100" w:type="dxa"/>
              <w:bottom w:w="100" w:type="dxa"/>
              <w:right w:w="100" w:type="dxa"/>
            </w:tcMar>
          </w:tcPr>
          <w:p w14:paraId="4F8B1E1F" w14:textId="77777777" w:rsidR="002530E2" w:rsidRDefault="002530E2">
            <w:pPr>
              <w:widowControl w:val="0"/>
              <w:spacing w:after="0" w:line="276" w:lineRule="auto"/>
            </w:pPr>
            <w:r>
              <w:rPr>
                <w:sz w:val="18"/>
                <w:szCs w:val="18"/>
              </w:rPr>
              <w:t>Muslim Consumer Reactions</w:t>
            </w:r>
          </w:p>
        </w:tc>
        <w:tc>
          <w:tcPr>
            <w:tcW w:w="3450" w:type="dxa"/>
            <w:tcMar>
              <w:top w:w="100" w:type="dxa"/>
              <w:left w:w="100" w:type="dxa"/>
              <w:bottom w:w="100" w:type="dxa"/>
              <w:right w:w="100" w:type="dxa"/>
            </w:tcMar>
          </w:tcPr>
          <w:p w14:paraId="270F6A93" w14:textId="77777777" w:rsidR="002530E2" w:rsidRDefault="002530E2">
            <w:pPr>
              <w:widowControl w:val="0"/>
              <w:spacing w:after="0" w:line="276" w:lineRule="auto"/>
            </w:pPr>
            <w:r>
              <w:rPr>
                <w:sz w:val="18"/>
                <w:szCs w:val="18"/>
              </w:rPr>
              <w:t>“Analysing Muslim Consumer Reactions to Cross-Cultural Blunders: A Cross-Generational Perspective”</w:t>
            </w:r>
          </w:p>
        </w:tc>
        <w:tc>
          <w:tcPr>
            <w:tcW w:w="1680" w:type="dxa"/>
            <w:tcMar>
              <w:top w:w="100" w:type="dxa"/>
              <w:left w:w="100" w:type="dxa"/>
              <w:bottom w:w="100" w:type="dxa"/>
              <w:right w:w="100" w:type="dxa"/>
            </w:tcMar>
          </w:tcPr>
          <w:p w14:paraId="15783EAE" w14:textId="77777777" w:rsidR="002530E2" w:rsidRDefault="002530E2">
            <w:pPr>
              <w:widowControl w:val="0"/>
              <w:spacing w:after="0" w:line="276" w:lineRule="auto"/>
              <w:jc w:val="center"/>
            </w:pPr>
            <w:r>
              <w:rPr>
                <w:sz w:val="18"/>
                <w:szCs w:val="18"/>
              </w:rPr>
              <w:t xml:space="preserve"> Amir Khan and Ayesha Malik</w:t>
            </w:r>
          </w:p>
        </w:tc>
        <w:tc>
          <w:tcPr>
            <w:tcW w:w="840" w:type="dxa"/>
            <w:tcMar>
              <w:top w:w="100" w:type="dxa"/>
              <w:left w:w="100" w:type="dxa"/>
              <w:bottom w:w="100" w:type="dxa"/>
              <w:right w:w="100" w:type="dxa"/>
            </w:tcMar>
          </w:tcPr>
          <w:p w14:paraId="4109524E" w14:textId="77777777" w:rsidR="002530E2" w:rsidRDefault="002530E2">
            <w:pPr>
              <w:widowControl w:val="0"/>
              <w:spacing w:after="0" w:line="276" w:lineRule="auto"/>
              <w:jc w:val="center"/>
            </w:pPr>
            <w:r>
              <w:rPr>
                <w:sz w:val="18"/>
                <w:szCs w:val="18"/>
              </w:rPr>
              <w:t>2014</w:t>
            </w:r>
          </w:p>
        </w:tc>
        <w:tc>
          <w:tcPr>
            <w:tcW w:w="990" w:type="dxa"/>
            <w:vMerge w:val="restart"/>
            <w:tcMar>
              <w:top w:w="100" w:type="dxa"/>
              <w:left w:w="100" w:type="dxa"/>
              <w:bottom w:w="100" w:type="dxa"/>
              <w:right w:w="100" w:type="dxa"/>
            </w:tcMar>
          </w:tcPr>
          <w:p w14:paraId="1DA763EA" w14:textId="77777777" w:rsidR="002530E2" w:rsidRDefault="002530E2">
            <w:pPr>
              <w:widowControl w:val="0"/>
              <w:spacing w:after="0" w:line="276" w:lineRule="auto"/>
              <w:jc w:val="center"/>
            </w:pPr>
            <w:r>
              <w:rPr>
                <w:sz w:val="18"/>
                <w:szCs w:val="18"/>
              </w:rPr>
              <w:t>3</w:t>
            </w:r>
          </w:p>
        </w:tc>
      </w:tr>
      <w:tr w:rsidR="002530E2" w14:paraId="76262E44" w14:textId="77777777">
        <w:trPr>
          <w:trHeight w:val="400"/>
        </w:trPr>
        <w:tc>
          <w:tcPr>
            <w:tcW w:w="495" w:type="dxa"/>
            <w:tcMar>
              <w:top w:w="100" w:type="dxa"/>
              <w:left w:w="100" w:type="dxa"/>
              <w:bottom w:w="100" w:type="dxa"/>
              <w:right w:w="100" w:type="dxa"/>
            </w:tcMar>
          </w:tcPr>
          <w:p w14:paraId="4BB0BA3F" w14:textId="77777777" w:rsidR="002530E2" w:rsidRDefault="002530E2">
            <w:pPr>
              <w:widowControl w:val="0"/>
              <w:spacing w:after="0" w:line="276" w:lineRule="auto"/>
              <w:jc w:val="center"/>
            </w:pPr>
            <w:r>
              <w:rPr>
                <w:sz w:val="18"/>
                <w:szCs w:val="18"/>
              </w:rPr>
              <w:t>34</w:t>
            </w:r>
          </w:p>
        </w:tc>
        <w:tc>
          <w:tcPr>
            <w:tcW w:w="1620" w:type="dxa"/>
            <w:tcMar>
              <w:top w:w="100" w:type="dxa"/>
              <w:left w:w="100" w:type="dxa"/>
              <w:bottom w:w="100" w:type="dxa"/>
              <w:right w:w="100" w:type="dxa"/>
            </w:tcMar>
          </w:tcPr>
          <w:p w14:paraId="55E5D30F" w14:textId="77777777" w:rsidR="002530E2" w:rsidRDefault="002530E2">
            <w:pPr>
              <w:widowControl w:val="0"/>
              <w:spacing w:after="0" w:line="276" w:lineRule="auto"/>
            </w:pPr>
            <w:r>
              <w:rPr>
                <w:sz w:val="18"/>
                <w:szCs w:val="18"/>
              </w:rPr>
              <w:t>Muslim Consumer Reactions</w:t>
            </w:r>
          </w:p>
        </w:tc>
        <w:tc>
          <w:tcPr>
            <w:tcW w:w="3450" w:type="dxa"/>
            <w:tcMar>
              <w:top w:w="100" w:type="dxa"/>
              <w:left w:w="100" w:type="dxa"/>
              <w:bottom w:w="100" w:type="dxa"/>
              <w:right w:w="100" w:type="dxa"/>
            </w:tcMar>
          </w:tcPr>
          <w:p w14:paraId="6CDECDEC" w14:textId="77777777" w:rsidR="002530E2" w:rsidRDefault="002530E2">
            <w:pPr>
              <w:widowControl w:val="0"/>
              <w:spacing w:after="0" w:line="276" w:lineRule="auto"/>
            </w:pPr>
            <w:r>
              <w:rPr>
                <w:sz w:val="18"/>
                <w:szCs w:val="18"/>
              </w:rPr>
              <w:t>“Understanding Muslim Consumer Reactions to Cross-Cultural Blunders: A Qualitative Analysis”</w:t>
            </w:r>
          </w:p>
        </w:tc>
        <w:tc>
          <w:tcPr>
            <w:tcW w:w="1680" w:type="dxa"/>
            <w:tcMar>
              <w:top w:w="100" w:type="dxa"/>
              <w:left w:w="100" w:type="dxa"/>
              <w:bottom w:w="100" w:type="dxa"/>
              <w:right w:w="100" w:type="dxa"/>
            </w:tcMar>
          </w:tcPr>
          <w:p w14:paraId="3A8ED105" w14:textId="77777777" w:rsidR="002530E2" w:rsidRDefault="002530E2">
            <w:pPr>
              <w:widowControl w:val="0"/>
              <w:spacing w:after="0" w:line="276" w:lineRule="auto"/>
              <w:jc w:val="center"/>
            </w:pPr>
            <w:r>
              <w:rPr>
                <w:sz w:val="18"/>
                <w:szCs w:val="18"/>
              </w:rPr>
              <w:t xml:space="preserve">Aisha Ahmed et al. </w:t>
            </w:r>
          </w:p>
        </w:tc>
        <w:tc>
          <w:tcPr>
            <w:tcW w:w="840" w:type="dxa"/>
            <w:tcMar>
              <w:top w:w="100" w:type="dxa"/>
              <w:left w:w="100" w:type="dxa"/>
              <w:bottom w:w="100" w:type="dxa"/>
              <w:right w:w="100" w:type="dxa"/>
            </w:tcMar>
          </w:tcPr>
          <w:p w14:paraId="13F57114" w14:textId="77777777" w:rsidR="002530E2" w:rsidRDefault="002530E2">
            <w:pPr>
              <w:widowControl w:val="0"/>
              <w:spacing w:after="0" w:line="276" w:lineRule="auto"/>
              <w:jc w:val="center"/>
            </w:pPr>
            <w:r>
              <w:rPr>
                <w:sz w:val="18"/>
                <w:szCs w:val="18"/>
              </w:rPr>
              <w:t>2019</w:t>
            </w:r>
          </w:p>
        </w:tc>
        <w:tc>
          <w:tcPr>
            <w:tcW w:w="990" w:type="dxa"/>
            <w:vMerge/>
            <w:tcMar>
              <w:top w:w="100" w:type="dxa"/>
              <w:left w:w="100" w:type="dxa"/>
              <w:bottom w:w="100" w:type="dxa"/>
              <w:right w:w="100" w:type="dxa"/>
            </w:tcMar>
          </w:tcPr>
          <w:p w14:paraId="49FFD1F3" w14:textId="77777777" w:rsidR="002530E2" w:rsidRDefault="002530E2">
            <w:pPr>
              <w:widowControl w:val="0"/>
              <w:spacing w:after="0" w:line="240" w:lineRule="auto"/>
              <w:jc w:val="center"/>
            </w:pPr>
          </w:p>
        </w:tc>
      </w:tr>
      <w:tr w:rsidR="002530E2" w14:paraId="0CE6CBCB" w14:textId="77777777">
        <w:trPr>
          <w:trHeight w:val="400"/>
        </w:trPr>
        <w:tc>
          <w:tcPr>
            <w:tcW w:w="495" w:type="dxa"/>
            <w:tcMar>
              <w:top w:w="100" w:type="dxa"/>
              <w:left w:w="100" w:type="dxa"/>
              <w:bottom w:w="100" w:type="dxa"/>
              <w:right w:w="100" w:type="dxa"/>
            </w:tcMar>
          </w:tcPr>
          <w:p w14:paraId="31C9E27C" w14:textId="77777777" w:rsidR="002530E2" w:rsidRDefault="002530E2">
            <w:pPr>
              <w:widowControl w:val="0"/>
              <w:spacing w:after="0" w:line="276" w:lineRule="auto"/>
              <w:jc w:val="center"/>
            </w:pPr>
            <w:r>
              <w:rPr>
                <w:sz w:val="18"/>
                <w:szCs w:val="18"/>
              </w:rPr>
              <w:t>35</w:t>
            </w:r>
          </w:p>
        </w:tc>
        <w:tc>
          <w:tcPr>
            <w:tcW w:w="1620" w:type="dxa"/>
            <w:tcMar>
              <w:top w:w="100" w:type="dxa"/>
              <w:left w:w="100" w:type="dxa"/>
              <w:bottom w:w="100" w:type="dxa"/>
              <w:right w:w="100" w:type="dxa"/>
            </w:tcMar>
          </w:tcPr>
          <w:p w14:paraId="29028B96" w14:textId="77777777" w:rsidR="002530E2" w:rsidRDefault="002530E2">
            <w:pPr>
              <w:widowControl w:val="0"/>
              <w:spacing w:after="0" w:line="276" w:lineRule="auto"/>
            </w:pPr>
            <w:r>
              <w:rPr>
                <w:sz w:val="18"/>
                <w:szCs w:val="18"/>
              </w:rPr>
              <w:t>Muslim Consumer Reactions</w:t>
            </w:r>
          </w:p>
        </w:tc>
        <w:tc>
          <w:tcPr>
            <w:tcW w:w="3450" w:type="dxa"/>
            <w:tcMar>
              <w:top w:w="100" w:type="dxa"/>
              <w:left w:w="100" w:type="dxa"/>
              <w:bottom w:w="100" w:type="dxa"/>
              <w:right w:w="100" w:type="dxa"/>
            </w:tcMar>
          </w:tcPr>
          <w:p w14:paraId="61B1B97B" w14:textId="77777777" w:rsidR="002530E2" w:rsidRDefault="002530E2">
            <w:pPr>
              <w:widowControl w:val="0"/>
              <w:spacing w:after="0" w:line="276" w:lineRule="auto"/>
            </w:pPr>
            <w:r>
              <w:rPr>
                <w:sz w:val="18"/>
                <w:szCs w:val="18"/>
              </w:rPr>
              <w:t>“Muslim Consumer Reactions to Cross-Cultural Blunders by Multinational Corporations: A Comparative Study”</w:t>
            </w:r>
          </w:p>
        </w:tc>
        <w:tc>
          <w:tcPr>
            <w:tcW w:w="1680" w:type="dxa"/>
            <w:tcMar>
              <w:top w:w="100" w:type="dxa"/>
              <w:left w:w="100" w:type="dxa"/>
              <w:bottom w:w="100" w:type="dxa"/>
              <w:right w:w="100" w:type="dxa"/>
            </w:tcMar>
          </w:tcPr>
          <w:p w14:paraId="7A25822A" w14:textId="77777777" w:rsidR="002530E2" w:rsidRDefault="002530E2">
            <w:pPr>
              <w:widowControl w:val="0"/>
              <w:spacing w:after="0" w:line="276" w:lineRule="auto"/>
              <w:jc w:val="center"/>
            </w:pPr>
            <w:r>
              <w:rPr>
                <w:sz w:val="18"/>
                <w:szCs w:val="18"/>
              </w:rPr>
              <w:t>Sarah Khalid &amp; Abdul Rahman</w:t>
            </w:r>
          </w:p>
        </w:tc>
        <w:tc>
          <w:tcPr>
            <w:tcW w:w="840" w:type="dxa"/>
            <w:tcMar>
              <w:top w:w="100" w:type="dxa"/>
              <w:left w:w="100" w:type="dxa"/>
              <w:bottom w:w="100" w:type="dxa"/>
              <w:right w:w="100" w:type="dxa"/>
            </w:tcMar>
          </w:tcPr>
          <w:p w14:paraId="0BFF8756" w14:textId="77777777" w:rsidR="002530E2" w:rsidRDefault="002530E2">
            <w:pPr>
              <w:widowControl w:val="0"/>
              <w:spacing w:after="0" w:line="276" w:lineRule="auto"/>
              <w:jc w:val="center"/>
            </w:pPr>
            <w:r>
              <w:rPr>
                <w:sz w:val="18"/>
                <w:szCs w:val="18"/>
              </w:rPr>
              <w:t>2020</w:t>
            </w:r>
          </w:p>
        </w:tc>
        <w:tc>
          <w:tcPr>
            <w:tcW w:w="990" w:type="dxa"/>
            <w:vMerge/>
            <w:tcMar>
              <w:top w:w="100" w:type="dxa"/>
              <w:left w:w="100" w:type="dxa"/>
              <w:bottom w:w="100" w:type="dxa"/>
              <w:right w:w="100" w:type="dxa"/>
            </w:tcMar>
          </w:tcPr>
          <w:p w14:paraId="64F7AE4E" w14:textId="77777777" w:rsidR="002530E2" w:rsidRDefault="002530E2">
            <w:pPr>
              <w:widowControl w:val="0"/>
              <w:spacing w:after="0" w:line="240" w:lineRule="auto"/>
              <w:jc w:val="center"/>
            </w:pPr>
          </w:p>
        </w:tc>
      </w:tr>
      <w:tr w:rsidR="002530E2" w14:paraId="5C29872D" w14:textId="77777777">
        <w:trPr>
          <w:trHeight w:val="400"/>
        </w:trPr>
        <w:tc>
          <w:tcPr>
            <w:tcW w:w="495" w:type="dxa"/>
            <w:tcMar>
              <w:top w:w="100" w:type="dxa"/>
              <w:left w:w="100" w:type="dxa"/>
              <w:bottom w:w="100" w:type="dxa"/>
              <w:right w:w="100" w:type="dxa"/>
            </w:tcMar>
          </w:tcPr>
          <w:p w14:paraId="0D24DBFA" w14:textId="77777777" w:rsidR="002530E2" w:rsidRDefault="002530E2">
            <w:pPr>
              <w:widowControl w:val="0"/>
              <w:spacing w:after="0" w:line="276" w:lineRule="auto"/>
              <w:jc w:val="center"/>
            </w:pPr>
            <w:r>
              <w:rPr>
                <w:sz w:val="18"/>
                <w:szCs w:val="18"/>
              </w:rPr>
              <w:t>36</w:t>
            </w:r>
          </w:p>
        </w:tc>
        <w:tc>
          <w:tcPr>
            <w:tcW w:w="1620" w:type="dxa"/>
            <w:tcMar>
              <w:top w:w="100" w:type="dxa"/>
              <w:left w:w="100" w:type="dxa"/>
              <w:bottom w:w="100" w:type="dxa"/>
              <w:right w:w="100" w:type="dxa"/>
            </w:tcMar>
          </w:tcPr>
          <w:p w14:paraId="5A17C642"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5D1DB3E8" w14:textId="77777777" w:rsidR="002530E2" w:rsidRDefault="002530E2">
            <w:pPr>
              <w:widowControl w:val="0"/>
              <w:spacing w:after="0" w:line="276" w:lineRule="auto"/>
            </w:pPr>
            <w:r>
              <w:rPr>
                <w:sz w:val="18"/>
                <w:szCs w:val="18"/>
              </w:rPr>
              <w:t>“Negative Reactions of Muslim Consumers to Cross-Cultural Blunders: The Role of Cultural Identity and Brand Perception”</w:t>
            </w:r>
          </w:p>
        </w:tc>
        <w:tc>
          <w:tcPr>
            <w:tcW w:w="1680" w:type="dxa"/>
            <w:tcMar>
              <w:top w:w="100" w:type="dxa"/>
              <w:left w:w="100" w:type="dxa"/>
              <w:bottom w:w="100" w:type="dxa"/>
              <w:right w:w="100" w:type="dxa"/>
            </w:tcMar>
          </w:tcPr>
          <w:p w14:paraId="578BB4A1" w14:textId="77777777" w:rsidR="002530E2" w:rsidRDefault="002530E2">
            <w:pPr>
              <w:widowControl w:val="0"/>
              <w:spacing w:after="0" w:line="276" w:lineRule="auto"/>
              <w:jc w:val="center"/>
            </w:pPr>
            <w:r>
              <w:rPr>
                <w:sz w:val="18"/>
                <w:szCs w:val="18"/>
              </w:rPr>
              <w:t xml:space="preserve">Zainab Ahmed &amp; Abdul Malik </w:t>
            </w:r>
          </w:p>
        </w:tc>
        <w:tc>
          <w:tcPr>
            <w:tcW w:w="840" w:type="dxa"/>
            <w:tcMar>
              <w:top w:w="100" w:type="dxa"/>
              <w:left w:w="100" w:type="dxa"/>
              <w:bottom w:w="100" w:type="dxa"/>
              <w:right w:w="100" w:type="dxa"/>
            </w:tcMar>
          </w:tcPr>
          <w:p w14:paraId="259D6D2A" w14:textId="77777777" w:rsidR="002530E2" w:rsidRDefault="002530E2">
            <w:pPr>
              <w:widowControl w:val="0"/>
              <w:spacing w:after="0" w:line="276" w:lineRule="auto"/>
              <w:jc w:val="center"/>
            </w:pPr>
            <w:r>
              <w:rPr>
                <w:sz w:val="18"/>
                <w:szCs w:val="18"/>
              </w:rPr>
              <w:t>2015</w:t>
            </w:r>
          </w:p>
        </w:tc>
        <w:tc>
          <w:tcPr>
            <w:tcW w:w="990" w:type="dxa"/>
            <w:vMerge w:val="restart"/>
            <w:tcMar>
              <w:top w:w="100" w:type="dxa"/>
              <w:left w:w="100" w:type="dxa"/>
              <w:bottom w:w="100" w:type="dxa"/>
              <w:right w:w="100" w:type="dxa"/>
            </w:tcMar>
          </w:tcPr>
          <w:p w14:paraId="2371B495" w14:textId="77777777" w:rsidR="002530E2" w:rsidRDefault="002530E2">
            <w:pPr>
              <w:widowControl w:val="0"/>
              <w:spacing w:after="0" w:line="276" w:lineRule="auto"/>
              <w:jc w:val="center"/>
            </w:pPr>
            <w:r>
              <w:rPr>
                <w:sz w:val="18"/>
                <w:szCs w:val="18"/>
              </w:rPr>
              <w:t>13</w:t>
            </w:r>
          </w:p>
        </w:tc>
      </w:tr>
      <w:tr w:rsidR="002530E2" w14:paraId="389369D3" w14:textId="77777777">
        <w:trPr>
          <w:trHeight w:val="400"/>
        </w:trPr>
        <w:tc>
          <w:tcPr>
            <w:tcW w:w="495" w:type="dxa"/>
            <w:tcMar>
              <w:top w:w="100" w:type="dxa"/>
              <w:left w:w="100" w:type="dxa"/>
              <w:bottom w:w="100" w:type="dxa"/>
              <w:right w:w="100" w:type="dxa"/>
            </w:tcMar>
          </w:tcPr>
          <w:p w14:paraId="4033BB64" w14:textId="77777777" w:rsidR="002530E2" w:rsidRDefault="002530E2">
            <w:pPr>
              <w:widowControl w:val="0"/>
              <w:spacing w:after="0" w:line="276" w:lineRule="auto"/>
              <w:jc w:val="center"/>
            </w:pPr>
            <w:r>
              <w:rPr>
                <w:sz w:val="18"/>
                <w:szCs w:val="18"/>
              </w:rPr>
              <w:t>37</w:t>
            </w:r>
          </w:p>
        </w:tc>
        <w:tc>
          <w:tcPr>
            <w:tcW w:w="1620" w:type="dxa"/>
            <w:tcMar>
              <w:top w:w="100" w:type="dxa"/>
              <w:left w:w="100" w:type="dxa"/>
              <w:bottom w:w="100" w:type="dxa"/>
              <w:right w:w="100" w:type="dxa"/>
            </w:tcMar>
          </w:tcPr>
          <w:p w14:paraId="1BA8B057"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3181B83F" w14:textId="77777777" w:rsidR="002530E2" w:rsidRDefault="002530E2">
            <w:pPr>
              <w:widowControl w:val="0"/>
              <w:spacing w:after="0" w:line="276" w:lineRule="auto"/>
            </w:pPr>
            <w:r>
              <w:rPr>
                <w:sz w:val="18"/>
                <w:szCs w:val="18"/>
              </w:rPr>
              <w:t>“Negative Reactions of Muslim Consumers to Cross-Cultural Blunders: A Qualitative Study”</w:t>
            </w:r>
          </w:p>
        </w:tc>
        <w:tc>
          <w:tcPr>
            <w:tcW w:w="1680" w:type="dxa"/>
            <w:tcMar>
              <w:top w:w="100" w:type="dxa"/>
              <w:left w:w="100" w:type="dxa"/>
              <w:bottom w:w="100" w:type="dxa"/>
              <w:right w:w="100" w:type="dxa"/>
            </w:tcMar>
          </w:tcPr>
          <w:p w14:paraId="58861D08" w14:textId="77777777" w:rsidR="002530E2" w:rsidRDefault="002530E2">
            <w:pPr>
              <w:widowControl w:val="0"/>
              <w:spacing w:after="0" w:line="276" w:lineRule="auto"/>
              <w:jc w:val="center"/>
            </w:pPr>
            <w:r>
              <w:rPr>
                <w:sz w:val="18"/>
                <w:szCs w:val="18"/>
              </w:rPr>
              <w:t>Fatima Ahmed &amp; Ali Khan</w:t>
            </w:r>
          </w:p>
        </w:tc>
        <w:tc>
          <w:tcPr>
            <w:tcW w:w="840" w:type="dxa"/>
            <w:tcMar>
              <w:top w:w="100" w:type="dxa"/>
              <w:left w:w="100" w:type="dxa"/>
              <w:bottom w:w="100" w:type="dxa"/>
              <w:right w:w="100" w:type="dxa"/>
            </w:tcMar>
          </w:tcPr>
          <w:p w14:paraId="2C149513" w14:textId="77777777" w:rsidR="002530E2" w:rsidRDefault="002530E2">
            <w:pPr>
              <w:widowControl w:val="0"/>
              <w:spacing w:after="0" w:line="276" w:lineRule="auto"/>
              <w:jc w:val="center"/>
            </w:pPr>
            <w:r>
              <w:rPr>
                <w:sz w:val="18"/>
                <w:szCs w:val="18"/>
              </w:rPr>
              <w:t>2015</w:t>
            </w:r>
          </w:p>
        </w:tc>
        <w:tc>
          <w:tcPr>
            <w:tcW w:w="990" w:type="dxa"/>
            <w:vMerge/>
            <w:tcMar>
              <w:top w:w="100" w:type="dxa"/>
              <w:left w:w="100" w:type="dxa"/>
              <w:bottom w:w="100" w:type="dxa"/>
              <w:right w:w="100" w:type="dxa"/>
            </w:tcMar>
          </w:tcPr>
          <w:p w14:paraId="2CA7B339" w14:textId="77777777" w:rsidR="002530E2" w:rsidRDefault="002530E2">
            <w:pPr>
              <w:widowControl w:val="0"/>
              <w:spacing w:after="0" w:line="240" w:lineRule="auto"/>
              <w:jc w:val="center"/>
            </w:pPr>
          </w:p>
        </w:tc>
      </w:tr>
      <w:tr w:rsidR="002530E2" w14:paraId="6FCFAAA8" w14:textId="77777777">
        <w:trPr>
          <w:trHeight w:val="400"/>
        </w:trPr>
        <w:tc>
          <w:tcPr>
            <w:tcW w:w="495" w:type="dxa"/>
            <w:tcMar>
              <w:top w:w="100" w:type="dxa"/>
              <w:left w:w="100" w:type="dxa"/>
              <w:bottom w:w="100" w:type="dxa"/>
              <w:right w:w="100" w:type="dxa"/>
            </w:tcMar>
          </w:tcPr>
          <w:p w14:paraId="0A4F8E82" w14:textId="77777777" w:rsidR="002530E2" w:rsidRDefault="002530E2">
            <w:pPr>
              <w:widowControl w:val="0"/>
              <w:spacing w:after="0" w:line="276" w:lineRule="auto"/>
              <w:jc w:val="center"/>
            </w:pPr>
            <w:r>
              <w:rPr>
                <w:sz w:val="18"/>
                <w:szCs w:val="18"/>
              </w:rPr>
              <w:t>38</w:t>
            </w:r>
          </w:p>
        </w:tc>
        <w:tc>
          <w:tcPr>
            <w:tcW w:w="1620" w:type="dxa"/>
            <w:tcMar>
              <w:top w:w="100" w:type="dxa"/>
              <w:left w:w="100" w:type="dxa"/>
              <w:bottom w:w="100" w:type="dxa"/>
              <w:right w:w="100" w:type="dxa"/>
            </w:tcMar>
          </w:tcPr>
          <w:p w14:paraId="291AD650"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059C80AD" w14:textId="77777777" w:rsidR="002530E2" w:rsidRDefault="002530E2">
            <w:pPr>
              <w:widowControl w:val="0"/>
              <w:spacing w:after="0" w:line="276" w:lineRule="auto"/>
            </w:pPr>
            <w:r>
              <w:rPr>
                <w:sz w:val="18"/>
                <w:szCs w:val="18"/>
              </w:rPr>
              <w:t>“Negative Muslim Consumer Reactions to Cross-Cultural Blunders: A Study of Perceptions and Consequences”</w:t>
            </w:r>
          </w:p>
        </w:tc>
        <w:tc>
          <w:tcPr>
            <w:tcW w:w="1680" w:type="dxa"/>
            <w:tcMar>
              <w:top w:w="100" w:type="dxa"/>
              <w:left w:w="100" w:type="dxa"/>
              <w:bottom w:w="100" w:type="dxa"/>
              <w:right w:w="100" w:type="dxa"/>
            </w:tcMar>
          </w:tcPr>
          <w:p w14:paraId="60011682" w14:textId="77777777" w:rsidR="002530E2" w:rsidRDefault="002530E2">
            <w:pPr>
              <w:widowControl w:val="0"/>
              <w:spacing w:after="0" w:line="276" w:lineRule="auto"/>
              <w:jc w:val="center"/>
            </w:pPr>
            <w:r>
              <w:rPr>
                <w:sz w:val="18"/>
                <w:szCs w:val="18"/>
              </w:rPr>
              <w:t>Ahmed Khan et al.</w:t>
            </w:r>
          </w:p>
        </w:tc>
        <w:tc>
          <w:tcPr>
            <w:tcW w:w="840" w:type="dxa"/>
            <w:tcMar>
              <w:top w:w="100" w:type="dxa"/>
              <w:left w:w="100" w:type="dxa"/>
              <w:bottom w:w="100" w:type="dxa"/>
              <w:right w:w="100" w:type="dxa"/>
            </w:tcMar>
          </w:tcPr>
          <w:p w14:paraId="24C952C5"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5A79055D" w14:textId="77777777" w:rsidR="002530E2" w:rsidRDefault="002530E2">
            <w:pPr>
              <w:widowControl w:val="0"/>
              <w:spacing w:after="0" w:line="240" w:lineRule="auto"/>
              <w:jc w:val="center"/>
            </w:pPr>
          </w:p>
        </w:tc>
      </w:tr>
      <w:tr w:rsidR="002530E2" w14:paraId="45C9CA13" w14:textId="77777777">
        <w:trPr>
          <w:trHeight w:val="400"/>
        </w:trPr>
        <w:tc>
          <w:tcPr>
            <w:tcW w:w="495" w:type="dxa"/>
            <w:tcMar>
              <w:top w:w="100" w:type="dxa"/>
              <w:left w:w="100" w:type="dxa"/>
              <w:bottom w:w="100" w:type="dxa"/>
              <w:right w:w="100" w:type="dxa"/>
            </w:tcMar>
          </w:tcPr>
          <w:p w14:paraId="0CD2E220" w14:textId="77777777" w:rsidR="002530E2" w:rsidRDefault="002530E2">
            <w:pPr>
              <w:widowControl w:val="0"/>
              <w:spacing w:after="0" w:line="276" w:lineRule="auto"/>
              <w:jc w:val="center"/>
            </w:pPr>
            <w:r>
              <w:rPr>
                <w:sz w:val="18"/>
                <w:szCs w:val="18"/>
              </w:rPr>
              <w:t>39</w:t>
            </w:r>
          </w:p>
        </w:tc>
        <w:tc>
          <w:tcPr>
            <w:tcW w:w="1620" w:type="dxa"/>
            <w:tcMar>
              <w:top w:w="100" w:type="dxa"/>
              <w:left w:w="100" w:type="dxa"/>
              <w:bottom w:w="100" w:type="dxa"/>
              <w:right w:w="100" w:type="dxa"/>
            </w:tcMar>
          </w:tcPr>
          <w:p w14:paraId="1139991B"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69B34C1D" w14:textId="77777777" w:rsidR="002530E2" w:rsidRDefault="002530E2">
            <w:pPr>
              <w:widowControl w:val="0"/>
              <w:spacing w:after="0" w:line="276" w:lineRule="auto"/>
            </w:pPr>
            <w:r>
              <w:rPr>
                <w:sz w:val="18"/>
                <w:szCs w:val="18"/>
              </w:rPr>
              <w:t>“Understanding Negative Muslim Consumer Reactions to Cross-Cultural Blunders: A Qualitative Study”</w:t>
            </w:r>
          </w:p>
        </w:tc>
        <w:tc>
          <w:tcPr>
            <w:tcW w:w="1680" w:type="dxa"/>
            <w:tcMar>
              <w:top w:w="100" w:type="dxa"/>
              <w:left w:w="100" w:type="dxa"/>
              <w:bottom w:w="100" w:type="dxa"/>
              <w:right w:w="100" w:type="dxa"/>
            </w:tcMar>
          </w:tcPr>
          <w:p w14:paraId="1E7BF44A" w14:textId="77777777" w:rsidR="002530E2" w:rsidRDefault="002530E2">
            <w:pPr>
              <w:widowControl w:val="0"/>
              <w:spacing w:after="0" w:line="276" w:lineRule="auto"/>
              <w:jc w:val="center"/>
            </w:pPr>
            <w:r>
              <w:rPr>
                <w:sz w:val="18"/>
                <w:szCs w:val="18"/>
              </w:rPr>
              <w:t>Fatima Hassan &amp; Muhammad Ali</w:t>
            </w:r>
          </w:p>
        </w:tc>
        <w:tc>
          <w:tcPr>
            <w:tcW w:w="840" w:type="dxa"/>
            <w:tcMar>
              <w:top w:w="100" w:type="dxa"/>
              <w:left w:w="100" w:type="dxa"/>
              <w:bottom w:w="100" w:type="dxa"/>
              <w:right w:w="100" w:type="dxa"/>
            </w:tcMar>
          </w:tcPr>
          <w:p w14:paraId="1457891C"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7D33C2EC" w14:textId="77777777" w:rsidR="002530E2" w:rsidRDefault="002530E2">
            <w:pPr>
              <w:widowControl w:val="0"/>
              <w:spacing w:after="0" w:line="240" w:lineRule="auto"/>
              <w:jc w:val="center"/>
            </w:pPr>
          </w:p>
        </w:tc>
      </w:tr>
      <w:tr w:rsidR="002530E2" w14:paraId="7CF794A1" w14:textId="77777777">
        <w:trPr>
          <w:trHeight w:val="400"/>
        </w:trPr>
        <w:tc>
          <w:tcPr>
            <w:tcW w:w="495" w:type="dxa"/>
            <w:tcMar>
              <w:top w:w="100" w:type="dxa"/>
              <w:left w:w="100" w:type="dxa"/>
              <w:bottom w:w="100" w:type="dxa"/>
              <w:right w:w="100" w:type="dxa"/>
            </w:tcMar>
          </w:tcPr>
          <w:p w14:paraId="695A1BEF" w14:textId="77777777" w:rsidR="002530E2" w:rsidRDefault="002530E2">
            <w:pPr>
              <w:widowControl w:val="0"/>
              <w:spacing w:after="0" w:line="276" w:lineRule="auto"/>
              <w:jc w:val="center"/>
            </w:pPr>
            <w:r>
              <w:rPr>
                <w:sz w:val="18"/>
                <w:szCs w:val="18"/>
              </w:rPr>
              <w:t>40</w:t>
            </w:r>
          </w:p>
        </w:tc>
        <w:tc>
          <w:tcPr>
            <w:tcW w:w="1620" w:type="dxa"/>
            <w:tcMar>
              <w:top w:w="100" w:type="dxa"/>
              <w:left w:w="100" w:type="dxa"/>
              <w:bottom w:w="100" w:type="dxa"/>
              <w:right w:w="100" w:type="dxa"/>
            </w:tcMar>
          </w:tcPr>
          <w:p w14:paraId="40EE8248"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1908D18F" w14:textId="77777777" w:rsidR="002530E2" w:rsidRDefault="002530E2">
            <w:pPr>
              <w:widowControl w:val="0"/>
              <w:spacing w:after="0" w:line="276" w:lineRule="auto"/>
            </w:pPr>
            <w:r>
              <w:rPr>
                <w:sz w:val="18"/>
                <w:szCs w:val="18"/>
              </w:rPr>
              <w:t>“Cultural Sensitivity in Mitigating Negative Muslim Consumer Reactions to Cross-Cultural Blunders”</w:t>
            </w:r>
          </w:p>
        </w:tc>
        <w:tc>
          <w:tcPr>
            <w:tcW w:w="1680" w:type="dxa"/>
            <w:tcMar>
              <w:top w:w="100" w:type="dxa"/>
              <w:left w:w="100" w:type="dxa"/>
              <w:bottom w:w="100" w:type="dxa"/>
              <w:right w:w="100" w:type="dxa"/>
            </w:tcMar>
          </w:tcPr>
          <w:p w14:paraId="025C26C8" w14:textId="77777777" w:rsidR="002530E2" w:rsidRDefault="002530E2">
            <w:pPr>
              <w:widowControl w:val="0"/>
              <w:spacing w:after="0" w:line="276" w:lineRule="auto"/>
              <w:jc w:val="center"/>
            </w:pPr>
            <w:r>
              <w:rPr>
                <w:sz w:val="18"/>
                <w:szCs w:val="18"/>
              </w:rPr>
              <w:t>Saima Ahmad &amp; Nida Fatima</w:t>
            </w:r>
          </w:p>
        </w:tc>
        <w:tc>
          <w:tcPr>
            <w:tcW w:w="840" w:type="dxa"/>
            <w:tcMar>
              <w:top w:w="100" w:type="dxa"/>
              <w:left w:w="100" w:type="dxa"/>
              <w:bottom w:w="100" w:type="dxa"/>
              <w:right w:w="100" w:type="dxa"/>
            </w:tcMar>
          </w:tcPr>
          <w:p w14:paraId="2448733E" w14:textId="77777777" w:rsidR="002530E2" w:rsidRDefault="002530E2">
            <w:pPr>
              <w:widowControl w:val="0"/>
              <w:spacing w:after="0" w:line="276" w:lineRule="auto"/>
              <w:jc w:val="center"/>
            </w:pPr>
            <w:r>
              <w:rPr>
                <w:sz w:val="18"/>
                <w:szCs w:val="18"/>
              </w:rPr>
              <w:t>2016</w:t>
            </w:r>
          </w:p>
        </w:tc>
        <w:tc>
          <w:tcPr>
            <w:tcW w:w="990" w:type="dxa"/>
            <w:vMerge/>
            <w:tcMar>
              <w:top w:w="100" w:type="dxa"/>
              <w:left w:w="100" w:type="dxa"/>
              <w:bottom w:w="100" w:type="dxa"/>
              <w:right w:w="100" w:type="dxa"/>
            </w:tcMar>
          </w:tcPr>
          <w:p w14:paraId="0A79C7ED" w14:textId="77777777" w:rsidR="002530E2" w:rsidRDefault="002530E2">
            <w:pPr>
              <w:widowControl w:val="0"/>
              <w:spacing w:after="0" w:line="240" w:lineRule="auto"/>
              <w:jc w:val="center"/>
            </w:pPr>
          </w:p>
        </w:tc>
      </w:tr>
      <w:tr w:rsidR="002530E2" w14:paraId="42314DD7" w14:textId="77777777">
        <w:trPr>
          <w:trHeight w:val="400"/>
        </w:trPr>
        <w:tc>
          <w:tcPr>
            <w:tcW w:w="495" w:type="dxa"/>
            <w:tcMar>
              <w:top w:w="100" w:type="dxa"/>
              <w:left w:w="100" w:type="dxa"/>
              <w:bottom w:w="100" w:type="dxa"/>
              <w:right w:w="100" w:type="dxa"/>
            </w:tcMar>
          </w:tcPr>
          <w:p w14:paraId="410DD3E8" w14:textId="77777777" w:rsidR="002530E2" w:rsidRDefault="002530E2">
            <w:pPr>
              <w:widowControl w:val="0"/>
              <w:spacing w:after="0" w:line="276" w:lineRule="auto"/>
              <w:jc w:val="center"/>
            </w:pPr>
            <w:r>
              <w:rPr>
                <w:sz w:val="18"/>
                <w:szCs w:val="18"/>
              </w:rPr>
              <w:t>41</w:t>
            </w:r>
          </w:p>
        </w:tc>
        <w:tc>
          <w:tcPr>
            <w:tcW w:w="1620" w:type="dxa"/>
            <w:tcMar>
              <w:top w:w="100" w:type="dxa"/>
              <w:left w:w="100" w:type="dxa"/>
              <w:bottom w:w="100" w:type="dxa"/>
              <w:right w:w="100" w:type="dxa"/>
            </w:tcMar>
          </w:tcPr>
          <w:p w14:paraId="4A874904"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43090135" w14:textId="77777777" w:rsidR="002530E2" w:rsidRDefault="002530E2">
            <w:pPr>
              <w:widowControl w:val="0"/>
              <w:spacing w:after="0" w:line="276" w:lineRule="auto"/>
            </w:pPr>
            <w:r>
              <w:rPr>
                <w:sz w:val="18"/>
                <w:szCs w:val="18"/>
              </w:rPr>
              <w:t>“Negative Muslim Consumer Reactions to Cross-Cultural Blunders: The Mediating Role of Perceived Offence”</w:t>
            </w:r>
          </w:p>
        </w:tc>
        <w:tc>
          <w:tcPr>
            <w:tcW w:w="1680" w:type="dxa"/>
            <w:tcMar>
              <w:top w:w="100" w:type="dxa"/>
              <w:left w:w="100" w:type="dxa"/>
              <w:bottom w:w="100" w:type="dxa"/>
              <w:right w:w="100" w:type="dxa"/>
            </w:tcMar>
          </w:tcPr>
          <w:p w14:paraId="4B803787" w14:textId="77777777" w:rsidR="002530E2" w:rsidRDefault="002530E2">
            <w:pPr>
              <w:widowControl w:val="0"/>
              <w:spacing w:after="0" w:line="276" w:lineRule="auto"/>
              <w:jc w:val="center"/>
            </w:pPr>
            <w:r>
              <w:rPr>
                <w:sz w:val="18"/>
                <w:szCs w:val="18"/>
              </w:rPr>
              <w:t>Asad Mahmood &amp; Ayesha Raza</w:t>
            </w:r>
          </w:p>
        </w:tc>
        <w:tc>
          <w:tcPr>
            <w:tcW w:w="840" w:type="dxa"/>
            <w:tcMar>
              <w:top w:w="100" w:type="dxa"/>
              <w:left w:w="100" w:type="dxa"/>
              <w:bottom w:w="100" w:type="dxa"/>
              <w:right w:w="100" w:type="dxa"/>
            </w:tcMar>
          </w:tcPr>
          <w:p w14:paraId="10DF17C1" w14:textId="77777777" w:rsidR="002530E2" w:rsidRDefault="002530E2">
            <w:pPr>
              <w:widowControl w:val="0"/>
              <w:spacing w:after="0" w:line="276" w:lineRule="auto"/>
              <w:jc w:val="center"/>
            </w:pPr>
            <w:r>
              <w:rPr>
                <w:sz w:val="18"/>
                <w:szCs w:val="18"/>
              </w:rPr>
              <w:t>2017</w:t>
            </w:r>
          </w:p>
        </w:tc>
        <w:tc>
          <w:tcPr>
            <w:tcW w:w="990" w:type="dxa"/>
            <w:vMerge/>
            <w:tcMar>
              <w:top w:w="100" w:type="dxa"/>
              <w:left w:w="100" w:type="dxa"/>
              <w:bottom w:w="100" w:type="dxa"/>
              <w:right w:w="100" w:type="dxa"/>
            </w:tcMar>
          </w:tcPr>
          <w:p w14:paraId="599EF531" w14:textId="77777777" w:rsidR="002530E2" w:rsidRDefault="002530E2">
            <w:pPr>
              <w:widowControl w:val="0"/>
              <w:spacing w:after="0" w:line="240" w:lineRule="auto"/>
              <w:jc w:val="center"/>
            </w:pPr>
          </w:p>
        </w:tc>
      </w:tr>
      <w:tr w:rsidR="002530E2" w14:paraId="7F207438" w14:textId="77777777">
        <w:trPr>
          <w:trHeight w:val="400"/>
        </w:trPr>
        <w:tc>
          <w:tcPr>
            <w:tcW w:w="495" w:type="dxa"/>
            <w:tcMar>
              <w:top w:w="100" w:type="dxa"/>
              <w:left w:w="100" w:type="dxa"/>
              <w:bottom w:w="100" w:type="dxa"/>
              <w:right w:w="100" w:type="dxa"/>
            </w:tcMar>
          </w:tcPr>
          <w:p w14:paraId="7884004D" w14:textId="77777777" w:rsidR="002530E2" w:rsidRDefault="002530E2">
            <w:pPr>
              <w:widowControl w:val="0"/>
              <w:spacing w:after="0" w:line="276" w:lineRule="auto"/>
              <w:jc w:val="center"/>
            </w:pPr>
            <w:r>
              <w:rPr>
                <w:sz w:val="18"/>
                <w:szCs w:val="18"/>
              </w:rPr>
              <w:t>42</w:t>
            </w:r>
          </w:p>
        </w:tc>
        <w:tc>
          <w:tcPr>
            <w:tcW w:w="1620" w:type="dxa"/>
            <w:tcMar>
              <w:top w:w="100" w:type="dxa"/>
              <w:left w:w="100" w:type="dxa"/>
              <w:bottom w:w="100" w:type="dxa"/>
              <w:right w:w="100" w:type="dxa"/>
            </w:tcMar>
          </w:tcPr>
          <w:p w14:paraId="7B0C89F2" w14:textId="77777777" w:rsidR="002530E2" w:rsidRDefault="002530E2">
            <w:pPr>
              <w:widowControl w:val="0"/>
              <w:spacing w:after="0" w:line="276" w:lineRule="auto"/>
            </w:pPr>
            <w:r>
              <w:rPr>
                <w:sz w:val="18"/>
                <w:szCs w:val="18"/>
              </w:rPr>
              <w:t xml:space="preserve">Negative Muslim Consumer </w:t>
            </w:r>
            <w:r>
              <w:rPr>
                <w:sz w:val="18"/>
                <w:szCs w:val="18"/>
              </w:rPr>
              <w:lastRenderedPageBreak/>
              <w:t>Reactions</w:t>
            </w:r>
          </w:p>
        </w:tc>
        <w:tc>
          <w:tcPr>
            <w:tcW w:w="3450" w:type="dxa"/>
            <w:tcMar>
              <w:top w:w="100" w:type="dxa"/>
              <w:left w:w="100" w:type="dxa"/>
              <w:bottom w:w="100" w:type="dxa"/>
              <w:right w:w="100" w:type="dxa"/>
            </w:tcMar>
          </w:tcPr>
          <w:p w14:paraId="2B151269" w14:textId="77777777" w:rsidR="002530E2" w:rsidRDefault="002530E2">
            <w:pPr>
              <w:widowControl w:val="0"/>
              <w:spacing w:after="0" w:line="276" w:lineRule="auto"/>
            </w:pPr>
            <w:r>
              <w:rPr>
                <w:sz w:val="18"/>
                <w:szCs w:val="18"/>
              </w:rPr>
              <w:lastRenderedPageBreak/>
              <w:t xml:space="preserve">“Exploring Muslim Consumer Reactions to Cross-Cultural Blunders: A Cross-National </w:t>
            </w:r>
            <w:r>
              <w:rPr>
                <w:sz w:val="18"/>
                <w:szCs w:val="18"/>
              </w:rPr>
              <w:lastRenderedPageBreak/>
              <w:t>Study”</w:t>
            </w:r>
          </w:p>
        </w:tc>
        <w:tc>
          <w:tcPr>
            <w:tcW w:w="1680" w:type="dxa"/>
            <w:tcMar>
              <w:top w:w="100" w:type="dxa"/>
              <w:left w:w="100" w:type="dxa"/>
              <w:bottom w:w="100" w:type="dxa"/>
              <w:right w:w="100" w:type="dxa"/>
            </w:tcMar>
          </w:tcPr>
          <w:p w14:paraId="6270059B" w14:textId="77777777" w:rsidR="002530E2" w:rsidRDefault="002530E2">
            <w:pPr>
              <w:widowControl w:val="0"/>
              <w:spacing w:after="0" w:line="276" w:lineRule="auto"/>
              <w:jc w:val="center"/>
            </w:pPr>
            <w:r>
              <w:rPr>
                <w:sz w:val="18"/>
                <w:szCs w:val="18"/>
              </w:rPr>
              <w:lastRenderedPageBreak/>
              <w:t>Ahmed Hassan &amp; Maryam Malik</w:t>
            </w:r>
          </w:p>
        </w:tc>
        <w:tc>
          <w:tcPr>
            <w:tcW w:w="840" w:type="dxa"/>
            <w:tcMar>
              <w:top w:w="100" w:type="dxa"/>
              <w:left w:w="100" w:type="dxa"/>
              <w:bottom w:w="100" w:type="dxa"/>
              <w:right w:w="100" w:type="dxa"/>
            </w:tcMar>
          </w:tcPr>
          <w:p w14:paraId="7E9405BD" w14:textId="77777777" w:rsidR="002530E2" w:rsidRDefault="002530E2">
            <w:pPr>
              <w:widowControl w:val="0"/>
              <w:spacing w:after="0" w:line="276" w:lineRule="auto"/>
              <w:jc w:val="center"/>
            </w:pPr>
            <w:r>
              <w:rPr>
                <w:sz w:val="18"/>
                <w:szCs w:val="18"/>
              </w:rPr>
              <w:t>2017</w:t>
            </w:r>
          </w:p>
        </w:tc>
        <w:tc>
          <w:tcPr>
            <w:tcW w:w="990" w:type="dxa"/>
            <w:vMerge/>
            <w:tcMar>
              <w:top w:w="100" w:type="dxa"/>
              <w:left w:w="100" w:type="dxa"/>
              <w:bottom w:w="100" w:type="dxa"/>
              <w:right w:w="100" w:type="dxa"/>
            </w:tcMar>
          </w:tcPr>
          <w:p w14:paraId="0FAD1C39" w14:textId="77777777" w:rsidR="002530E2" w:rsidRDefault="002530E2">
            <w:pPr>
              <w:widowControl w:val="0"/>
              <w:spacing w:after="0" w:line="240" w:lineRule="auto"/>
              <w:jc w:val="center"/>
            </w:pPr>
          </w:p>
        </w:tc>
      </w:tr>
      <w:tr w:rsidR="002530E2" w14:paraId="37AA885D" w14:textId="77777777">
        <w:trPr>
          <w:trHeight w:val="400"/>
        </w:trPr>
        <w:tc>
          <w:tcPr>
            <w:tcW w:w="495" w:type="dxa"/>
            <w:tcMar>
              <w:top w:w="100" w:type="dxa"/>
              <w:left w:w="100" w:type="dxa"/>
              <w:bottom w:w="100" w:type="dxa"/>
              <w:right w:w="100" w:type="dxa"/>
            </w:tcMar>
          </w:tcPr>
          <w:p w14:paraId="1B178D6B" w14:textId="77777777" w:rsidR="002530E2" w:rsidRDefault="002530E2">
            <w:pPr>
              <w:widowControl w:val="0"/>
              <w:spacing w:after="0" w:line="276" w:lineRule="auto"/>
              <w:jc w:val="center"/>
            </w:pPr>
            <w:r>
              <w:rPr>
                <w:sz w:val="18"/>
                <w:szCs w:val="18"/>
              </w:rPr>
              <w:t>43</w:t>
            </w:r>
          </w:p>
        </w:tc>
        <w:tc>
          <w:tcPr>
            <w:tcW w:w="1620" w:type="dxa"/>
            <w:tcMar>
              <w:top w:w="100" w:type="dxa"/>
              <w:left w:w="100" w:type="dxa"/>
              <w:bottom w:w="100" w:type="dxa"/>
              <w:right w:w="100" w:type="dxa"/>
            </w:tcMar>
          </w:tcPr>
          <w:p w14:paraId="71990C1F"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177301B1" w14:textId="77777777" w:rsidR="002530E2" w:rsidRDefault="002530E2">
            <w:pPr>
              <w:widowControl w:val="0"/>
              <w:spacing w:after="0" w:line="276" w:lineRule="auto"/>
            </w:pPr>
            <w:r>
              <w:rPr>
                <w:sz w:val="18"/>
                <w:szCs w:val="18"/>
              </w:rPr>
              <w:t>“Examining Negative Reactions of Muslim Consumers to Cross-Cultural Blunders in Advertising”</w:t>
            </w:r>
          </w:p>
        </w:tc>
        <w:tc>
          <w:tcPr>
            <w:tcW w:w="1680" w:type="dxa"/>
            <w:tcMar>
              <w:top w:w="100" w:type="dxa"/>
              <w:left w:w="100" w:type="dxa"/>
              <w:bottom w:w="100" w:type="dxa"/>
              <w:right w:w="100" w:type="dxa"/>
            </w:tcMar>
          </w:tcPr>
          <w:p w14:paraId="3214A3AA" w14:textId="77777777" w:rsidR="002530E2" w:rsidRDefault="002530E2">
            <w:pPr>
              <w:widowControl w:val="0"/>
              <w:spacing w:after="0" w:line="276" w:lineRule="auto"/>
              <w:jc w:val="center"/>
            </w:pPr>
            <w:r>
              <w:rPr>
                <w:sz w:val="18"/>
                <w:szCs w:val="18"/>
              </w:rPr>
              <w:t>Fatima Hassan &amp; Muhammad Ali</w:t>
            </w:r>
          </w:p>
        </w:tc>
        <w:tc>
          <w:tcPr>
            <w:tcW w:w="840" w:type="dxa"/>
            <w:tcMar>
              <w:top w:w="100" w:type="dxa"/>
              <w:left w:w="100" w:type="dxa"/>
              <w:bottom w:w="100" w:type="dxa"/>
              <w:right w:w="100" w:type="dxa"/>
            </w:tcMar>
          </w:tcPr>
          <w:p w14:paraId="5CD78BB8" w14:textId="77777777" w:rsidR="002530E2" w:rsidRDefault="002530E2">
            <w:pPr>
              <w:widowControl w:val="0"/>
              <w:spacing w:after="0" w:line="276" w:lineRule="auto"/>
              <w:jc w:val="center"/>
            </w:pPr>
            <w:r>
              <w:rPr>
                <w:sz w:val="18"/>
                <w:szCs w:val="18"/>
              </w:rPr>
              <w:t>2018</w:t>
            </w:r>
          </w:p>
        </w:tc>
        <w:tc>
          <w:tcPr>
            <w:tcW w:w="990" w:type="dxa"/>
            <w:vMerge/>
            <w:tcMar>
              <w:top w:w="100" w:type="dxa"/>
              <w:left w:w="100" w:type="dxa"/>
              <w:bottom w:w="100" w:type="dxa"/>
              <w:right w:w="100" w:type="dxa"/>
            </w:tcMar>
          </w:tcPr>
          <w:p w14:paraId="5417FF50" w14:textId="77777777" w:rsidR="002530E2" w:rsidRDefault="002530E2">
            <w:pPr>
              <w:widowControl w:val="0"/>
              <w:spacing w:after="0" w:line="240" w:lineRule="auto"/>
              <w:jc w:val="center"/>
            </w:pPr>
          </w:p>
        </w:tc>
      </w:tr>
      <w:tr w:rsidR="002530E2" w14:paraId="44AB4B06" w14:textId="77777777">
        <w:trPr>
          <w:trHeight w:val="400"/>
        </w:trPr>
        <w:tc>
          <w:tcPr>
            <w:tcW w:w="495" w:type="dxa"/>
            <w:tcMar>
              <w:top w:w="100" w:type="dxa"/>
              <w:left w:w="100" w:type="dxa"/>
              <w:bottom w:w="100" w:type="dxa"/>
              <w:right w:w="100" w:type="dxa"/>
            </w:tcMar>
          </w:tcPr>
          <w:p w14:paraId="243E2BA2" w14:textId="77777777" w:rsidR="002530E2" w:rsidRDefault="002530E2">
            <w:pPr>
              <w:widowControl w:val="0"/>
              <w:spacing w:after="0" w:line="276" w:lineRule="auto"/>
              <w:jc w:val="center"/>
            </w:pPr>
            <w:r>
              <w:rPr>
                <w:sz w:val="18"/>
                <w:szCs w:val="18"/>
              </w:rPr>
              <w:t>44</w:t>
            </w:r>
          </w:p>
        </w:tc>
        <w:tc>
          <w:tcPr>
            <w:tcW w:w="1620" w:type="dxa"/>
            <w:tcMar>
              <w:top w:w="100" w:type="dxa"/>
              <w:left w:w="100" w:type="dxa"/>
              <w:bottom w:w="100" w:type="dxa"/>
              <w:right w:w="100" w:type="dxa"/>
            </w:tcMar>
          </w:tcPr>
          <w:p w14:paraId="001CA326" w14:textId="77777777" w:rsidR="002530E2" w:rsidRDefault="002530E2">
            <w:pPr>
              <w:widowControl w:val="0"/>
              <w:spacing w:after="0" w:line="276" w:lineRule="auto"/>
            </w:pPr>
            <w:r>
              <w:rPr>
                <w:sz w:val="18"/>
                <w:szCs w:val="18"/>
              </w:rPr>
              <w:t>Negative Muslim Consumer Responses</w:t>
            </w:r>
          </w:p>
        </w:tc>
        <w:tc>
          <w:tcPr>
            <w:tcW w:w="3450" w:type="dxa"/>
            <w:tcMar>
              <w:top w:w="100" w:type="dxa"/>
              <w:left w:w="100" w:type="dxa"/>
              <w:bottom w:w="100" w:type="dxa"/>
              <w:right w:w="100" w:type="dxa"/>
            </w:tcMar>
          </w:tcPr>
          <w:p w14:paraId="65AB8C3E" w14:textId="77777777" w:rsidR="002530E2" w:rsidRDefault="002530E2">
            <w:pPr>
              <w:widowControl w:val="0"/>
              <w:spacing w:after="0" w:line="276" w:lineRule="auto"/>
            </w:pPr>
            <w:r>
              <w:rPr>
                <w:sz w:val="18"/>
                <w:szCs w:val="18"/>
              </w:rPr>
              <w:t>“Understanding Negative Muslim Consumer Responses to Cross-Cultural Blunders: The Role of Religiosity”</w:t>
            </w:r>
          </w:p>
        </w:tc>
        <w:tc>
          <w:tcPr>
            <w:tcW w:w="1680" w:type="dxa"/>
            <w:tcMar>
              <w:top w:w="100" w:type="dxa"/>
              <w:left w:w="100" w:type="dxa"/>
              <w:bottom w:w="100" w:type="dxa"/>
              <w:right w:w="100" w:type="dxa"/>
            </w:tcMar>
          </w:tcPr>
          <w:p w14:paraId="01302382" w14:textId="77777777" w:rsidR="002530E2" w:rsidRDefault="002530E2">
            <w:pPr>
              <w:widowControl w:val="0"/>
              <w:spacing w:after="0" w:line="276" w:lineRule="auto"/>
              <w:jc w:val="center"/>
            </w:pPr>
            <w:r>
              <w:rPr>
                <w:sz w:val="18"/>
                <w:szCs w:val="18"/>
              </w:rPr>
              <w:t>Aisha Rahman et al.</w:t>
            </w:r>
          </w:p>
        </w:tc>
        <w:tc>
          <w:tcPr>
            <w:tcW w:w="840" w:type="dxa"/>
            <w:tcMar>
              <w:top w:w="100" w:type="dxa"/>
              <w:left w:w="100" w:type="dxa"/>
              <w:bottom w:w="100" w:type="dxa"/>
              <w:right w:w="100" w:type="dxa"/>
            </w:tcMar>
          </w:tcPr>
          <w:p w14:paraId="2ECEF331" w14:textId="77777777" w:rsidR="002530E2" w:rsidRDefault="002530E2">
            <w:pPr>
              <w:widowControl w:val="0"/>
              <w:spacing w:after="0" w:line="276" w:lineRule="auto"/>
              <w:jc w:val="center"/>
            </w:pPr>
            <w:r>
              <w:rPr>
                <w:sz w:val="18"/>
                <w:szCs w:val="18"/>
              </w:rPr>
              <w:t>2018</w:t>
            </w:r>
          </w:p>
        </w:tc>
        <w:tc>
          <w:tcPr>
            <w:tcW w:w="990" w:type="dxa"/>
            <w:vMerge/>
            <w:tcMar>
              <w:top w:w="100" w:type="dxa"/>
              <w:left w:w="100" w:type="dxa"/>
              <w:bottom w:w="100" w:type="dxa"/>
              <w:right w:w="100" w:type="dxa"/>
            </w:tcMar>
          </w:tcPr>
          <w:p w14:paraId="545464C9" w14:textId="77777777" w:rsidR="002530E2" w:rsidRDefault="002530E2">
            <w:pPr>
              <w:widowControl w:val="0"/>
              <w:spacing w:after="0" w:line="240" w:lineRule="auto"/>
              <w:jc w:val="center"/>
            </w:pPr>
          </w:p>
        </w:tc>
      </w:tr>
      <w:tr w:rsidR="002530E2" w14:paraId="57E08A48" w14:textId="77777777">
        <w:trPr>
          <w:trHeight w:val="400"/>
        </w:trPr>
        <w:tc>
          <w:tcPr>
            <w:tcW w:w="495" w:type="dxa"/>
            <w:tcMar>
              <w:top w:w="100" w:type="dxa"/>
              <w:left w:w="100" w:type="dxa"/>
              <w:bottom w:w="100" w:type="dxa"/>
              <w:right w:w="100" w:type="dxa"/>
            </w:tcMar>
          </w:tcPr>
          <w:p w14:paraId="7A69F8CC" w14:textId="77777777" w:rsidR="002530E2" w:rsidRDefault="002530E2">
            <w:pPr>
              <w:widowControl w:val="0"/>
              <w:spacing w:after="0" w:line="276" w:lineRule="auto"/>
              <w:jc w:val="center"/>
            </w:pPr>
            <w:r>
              <w:rPr>
                <w:sz w:val="18"/>
                <w:szCs w:val="18"/>
              </w:rPr>
              <w:t>45</w:t>
            </w:r>
          </w:p>
        </w:tc>
        <w:tc>
          <w:tcPr>
            <w:tcW w:w="1620" w:type="dxa"/>
            <w:tcMar>
              <w:top w:w="100" w:type="dxa"/>
              <w:left w:w="100" w:type="dxa"/>
              <w:bottom w:w="100" w:type="dxa"/>
              <w:right w:w="100" w:type="dxa"/>
            </w:tcMar>
          </w:tcPr>
          <w:p w14:paraId="4E7A9F39"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513B23F3" w14:textId="77777777" w:rsidR="002530E2" w:rsidRDefault="002530E2">
            <w:pPr>
              <w:widowControl w:val="0"/>
              <w:spacing w:after="0" w:line="276" w:lineRule="auto"/>
            </w:pPr>
            <w:r>
              <w:rPr>
                <w:sz w:val="18"/>
                <w:szCs w:val="18"/>
              </w:rPr>
              <w:t>“Understanding Muslim Consumer Reactions to Cross-Cultural Blunders: The Mediating Role of Ethnocentrism”</w:t>
            </w:r>
          </w:p>
        </w:tc>
        <w:tc>
          <w:tcPr>
            <w:tcW w:w="1680" w:type="dxa"/>
            <w:tcMar>
              <w:top w:w="100" w:type="dxa"/>
              <w:left w:w="100" w:type="dxa"/>
              <w:bottom w:w="100" w:type="dxa"/>
              <w:right w:w="100" w:type="dxa"/>
            </w:tcMar>
          </w:tcPr>
          <w:p w14:paraId="64DEFDBD" w14:textId="77777777" w:rsidR="002530E2" w:rsidRDefault="002530E2">
            <w:pPr>
              <w:widowControl w:val="0"/>
              <w:spacing w:after="0" w:line="276" w:lineRule="auto"/>
              <w:jc w:val="center"/>
            </w:pPr>
            <w:r>
              <w:rPr>
                <w:sz w:val="18"/>
                <w:szCs w:val="18"/>
              </w:rPr>
              <w:t>Hassan Ahmed et al.</w:t>
            </w:r>
          </w:p>
        </w:tc>
        <w:tc>
          <w:tcPr>
            <w:tcW w:w="840" w:type="dxa"/>
            <w:tcMar>
              <w:top w:w="100" w:type="dxa"/>
              <w:left w:w="100" w:type="dxa"/>
              <w:bottom w:w="100" w:type="dxa"/>
              <w:right w:w="100" w:type="dxa"/>
            </w:tcMar>
          </w:tcPr>
          <w:p w14:paraId="59B91B0B" w14:textId="77777777" w:rsidR="002530E2" w:rsidRDefault="002530E2">
            <w:pPr>
              <w:widowControl w:val="0"/>
              <w:spacing w:after="0" w:line="276" w:lineRule="auto"/>
              <w:jc w:val="center"/>
            </w:pPr>
            <w:r>
              <w:rPr>
                <w:sz w:val="18"/>
                <w:szCs w:val="18"/>
              </w:rPr>
              <w:t>2018</w:t>
            </w:r>
          </w:p>
        </w:tc>
        <w:tc>
          <w:tcPr>
            <w:tcW w:w="990" w:type="dxa"/>
            <w:vMerge/>
            <w:tcMar>
              <w:top w:w="100" w:type="dxa"/>
              <w:left w:w="100" w:type="dxa"/>
              <w:bottom w:w="100" w:type="dxa"/>
              <w:right w:w="100" w:type="dxa"/>
            </w:tcMar>
          </w:tcPr>
          <w:p w14:paraId="2D4F579A" w14:textId="77777777" w:rsidR="002530E2" w:rsidRDefault="002530E2">
            <w:pPr>
              <w:widowControl w:val="0"/>
              <w:spacing w:after="0" w:line="240" w:lineRule="auto"/>
              <w:jc w:val="center"/>
            </w:pPr>
          </w:p>
        </w:tc>
      </w:tr>
      <w:tr w:rsidR="002530E2" w14:paraId="4C4AEF5B" w14:textId="77777777">
        <w:trPr>
          <w:trHeight w:val="400"/>
        </w:trPr>
        <w:tc>
          <w:tcPr>
            <w:tcW w:w="495" w:type="dxa"/>
            <w:tcMar>
              <w:top w:w="100" w:type="dxa"/>
              <w:left w:w="100" w:type="dxa"/>
              <w:bottom w:w="100" w:type="dxa"/>
              <w:right w:w="100" w:type="dxa"/>
            </w:tcMar>
          </w:tcPr>
          <w:p w14:paraId="5C25D61A" w14:textId="77777777" w:rsidR="002530E2" w:rsidRDefault="002530E2">
            <w:pPr>
              <w:widowControl w:val="0"/>
              <w:spacing w:after="0" w:line="276" w:lineRule="auto"/>
              <w:jc w:val="center"/>
            </w:pPr>
            <w:r>
              <w:rPr>
                <w:sz w:val="18"/>
                <w:szCs w:val="18"/>
              </w:rPr>
              <w:t>46</w:t>
            </w:r>
          </w:p>
        </w:tc>
        <w:tc>
          <w:tcPr>
            <w:tcW w:w="1620" w:type="dxa"/>
            <w:tcMar>
              <w:top w:w="100" w:type="dxa"/>
              <w:left w:w="100" w:type="dxa"/>
              <w:bottom w:w="100" w:type="dxa"/>
              <w:right w:w="100" w:type="dxa"/>
            </w:tcMar>
          </w:tcPr>
          <w:p w14:paraId="32939D81"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640E3394" w14:textId="77777777" w:rsidR="002530E2" w:rsidRDefault="002530E2">
            <w:pPr>
              <w:widowControl w:val="0"/>
              <w:spacing w:after="0" w:line="276" w:lineRule="auto"/>
            </w:pPr>
            <w:r>
              <w:rPr>
                <w:sz w:val="18"/>
                <w:szCs w:val="18"/>
              </w:rPr>
              <w:t>“Negative Muslim Consumer Reactions to Cross-Cultural Blunders: The Mediating Role of Brand Image”</w:t>
            </w:r>
          </w:p>
        </w:tc>
        <w:tc>
          <w:tcPr>
            <w:tcW w:w="1680" w:type="dxa"/>
            <w:tcMar>
              <w:top w:w="100" w:type="dxa"/>
              <w:left w:w="100" w:type="dxa"/>
              <w:bottom w:w="100" w:type="dxa"/>
              <w:right w:w="100" w:type="dxa"/>
            </w:tcMar>
          </w:tcPr>
          <w:p w14:paraId="0FDDAD2E" w14:textId="77777777" w:rsidR="002530E2" w:rsidRDefault="002530E2">
            <w:pPr>
              <w:widowControl w:val="0"/>
              <w:spacing w:after="0" w:line="276" w:lineRule="auto"/>
              <w:jc w:val="center"/>
            </w:pPr>
            <w:r>
              <w:rPr>
                <w:sz w:val="18"/>
                <w:szCs w:val="18"/>
              </w:rPr>
              <w:t>Samira Ali et al.</w:t>
            </w:r>
          </w:p>
        </w:tc>
        <w:tc>
          <w:tcPr>
            <w:tcW w:w="840" w:type="dxa"/>
            <w:tcMar>
              <w:top w:w="100" w:type="dxa"/>
              <w:left w:w="100" w:type="dxa"/>
              <w:bottom w:w="100" w:type="dxa"/>
              <w:right w:w="100" w:type="dxa"/>
            </w:tcMar>
          </w:tcPr>
          <w:p w14:paraId="46496D37" w14:textId="77777777" w:rsidR="002530E2" w:rsidRDefault="002530E2">
            <w:pPr>
              <w:widowControl w:val="0"/>
              <w:spacing w:after="0" w:line="276" w:lineRule="auto"/>
              <w:jc w:val="center"/>
            </w:pPr>
            <w:r>
              <w:rPr>
                <w:sz w:val="18"/>
                <w:szCs w:val="18"/>
              </w:rPr>
              <w:t>2018</w:t>
            </w:r>
          </w:p>
        </w:tc>
        <w:tc>
          <w:tcPr>
            <w:tcW w:w="990" w:type="dxa"/>
            <w:vMerge/>
            <w:tcMar>
              <w:top w:w="100" w:type="dxa"/>
              <w:left w:w="100" w:type="dxa"/>
              <w:bottom w:w="100" w:type="dxa"/>
              <w:right w:w="100" w:type="dxa"/>
            </w:tcMar>
          </w:tcPr>
          <w:p w14:paraId="09EFB6F8" w14:textId="77777777" w:rsidR="002530E2" w:rsidRDefault="002530E2">
            <w:pPr>
              <w:widowControl w:val="0"/>
              <w:spacing w:after="0" w:line="240" w:lineRule="auto"/>
              <w:jc w:val="center"/>
            </w:pPr>
          </w:p>
        </w:tc>
      </w:tr>
      <w:tr w:rsidR="002530E2" w14:paraId="1E922CC0" w14:textId="77777777">
        <w:trPr>
          <w:trHeight w:val="400"/>
        </w:trPr>
        <w:tc>
          <w:tcPr>
            <w:tcW w:w="495" w:type="dxa"/>
            <w:tcMar>
              <w:top w:w="100" w:type="dxa"/>
              <w:left w:w="100" w:type="dxa"/>
              <w:bottom w:w="100" w:type="dxa"/>
              <w:right w:w="100" w:type="dxa"/>
            </w:tcMar>
          </w:tcPr>
          <w:p w14:paraId="71CD56CA" w14:textId="77777777" w:rsidR="002530E2" w:rsidRDefault="002530E2">
            <w:pPr>
              <w:widowControl w:val="0"/>
              <w:spacing w:after="0" w:line="276" w:lineRule="auto"/>
              <w:jc w:val="center"/>
            </w:pPr>
            <w:r>
              <w:rPr>
                <w:sz w:val="18"/>
                <w:szCs w:val="18"/>
              </w:rPr>
              <w:t>47</w:t>
            </w:r>
          </w:p>
        </w:tc>
        <w:tc>
          <w:tcPr>
            <w:tcW w:w="1620" w:type="dxa"/>
            <w:tcMar>
              <w:top w:w="100" w:type="dxa"/>
              <w:left w:w="100" w:type="dxa"/>
              <w:bottom w:w="100" w:type="dxa"/>
              <w:right w:w="100" w:type="dxa"/>
            </w:tcMar>
          </w:tcPr>
          <w:p w14:paraId="6D877053"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7FED248C" w14:textId="77777777" w:rsidR="002530E2" w:rsidRDefault="002530E2">
            <w:pPr>
              <w:widowControl w:val="0"/>
              <w:spacing w:after="0" w:line="276" w:lineRule="auto"/>
            </w:pPr>
            <w:r>
              <w:rPr>
                <w:sz w:val="18"/>
                <w:szCs w:val="18"/>
              </w:rPr>
              <w:t>“Exploring the Role of Islamic Ethics in Mitigating Negative Muslim Consumer Reactions to Cross-Cultural Blunders”</w:t>
            </w:r>
          </w:p>
        </w:tc>
        <w:tc>
          <w:tcPr>
            <w:tcW w:w="1680" w:type="dxa"/>
            <w:tcMar>
              <w:top w:w="100" w:type="dxa"/>
              <w:left w:w="100" w:type="dxa"/>
              <w:bottom w:w="100" w:type="dxa"/>
              <w:right w:w="100" w:type="dxa"/>
            </w:tcMar>
          </w:tcPr>
          <w:p w14:paraId="47A00D90" w14:textId="77777777" w:rsidR="002530E2" w:rsidRDefault="002530E2">
            <w:pPr>
              <w:widowControl w:val="0"/>
              <w:spacing w:after="0" w:line="276" w:lineRule="auto"/>
              <w:jc w:val="center"/>
            </w:pPr>
            <w:r>
              <w:rPr>
                <w:sz w:val="18"/>
                <w:szCs w:val="18"/>
              </w:rPr>
              <w:t>Sana Khan et al.</w:t>
            </w:r>
          </w:p>
        </w:tc>
        <w:tc>
          <w:tcPr>
            <w:tcW w:w="840" w:type="dxa"/>
            <w:tcMar>
              <w:top w:w="100" w:type="dxa"/>
              <w:left w:w="100" w:type="dxa"/>
              <w:bottom w:w="100" w:type="dxa"/>
              <w:right w:w="100" w:type="dxa"/>
            </w:tcMar>
          </w:tcPr>
          <w:p w14:paraId="62352D25" w14:textId="77777777" w:rsidR="002530E2" w:rsidRDefault="002530E2">
            <w:pPr>
              <w:widowControl w:val="0"/>
              <w:spacing w:after="0" w:line="276" w:lineRule="auto"/>
              <w:jc w:val="center"/>
            </w:pPr>
            <w:r>
              <w:rPr>
                <w:sz w:val="18"/>
                <w:szCs w:val="18"/>
              </w:rPr>
              <w:t>2019</w:t>
            </w:r>
          </w:p>
        </w:tc>
        <w:tc>
          <w:tcPr>
            <w:tcW w:w="990" w:type="dxa"/>
            <w:vMerge/>
            <w:tcMar>
              <w:top w:w="100" w:type="dxa"/>
              <w:left w:w="100" w:type="dxa"/>
              <w:bottom w:w="100" w:type="dxa"/>
              <w:right w:w="100" w:type="dxa"/>
            </w:tcMar>
          </w:tcPr>
          <w:p w14:paraId="2D11CA7F" w14:textId="77777777" w:rsidR="002530E2" w:rsidRDefault="002530E2">
            <w:pPr>
              <w:widowControl w:val="0"/>
              <w:spacing w:after="0" w:line="240" w:lineRule="auto"/>
              <w:jc w:val="center"/>
            </w:pPr>
          </w:p>
        </w:tc>
      </w:tr>
      <w:tr w:rsidR="002530E2" w14:paraId="0F34EAA5" w14:textId="77777777">
        <w:trPr>
          <w:trHeight w:val="400"/>
        </w:trPr>
        <w:tc>
          <w:tcPr>
            <w:tcW w:w="495" w:type="dxa"/>
            <w:tcMar>
              <w:top w:w="100" w:type="dxa"/>
              <w:left w:w="100" w:type="dxa"/>
              <w:bottom w:w="100" w:type="dxa"/>
              <w:right w:w="100" w:type="dxa"/>
            </w:tcMar>
          </w:tcPr>
          <w:p w14:paraId="68CB8795" w14:textId="77777777" w:rsidR="002530E2" w:rsidRDefault="002530E2">
            <w:pPr>
              <w:widowControl w:val="0"/>
              <w:spacing w:after="0" w:line="276" w:lineRule="auto"/>
              <w:jc w:val="center"/>
            </w:pPr>
            <w:r>
              <w:rPr>
                <w:sz w:val="18"/>
                <w:szCs w:val="18"/>
              </w:rPr>
              <w:t>48</w:t>
            </w:r>
          </w:p>
        </w:tc>
        <w:tc>
          <w:tcPr>
            <w:tcW w:w="1620" w:type="dxa"/>
            <w:tcMar>
              <w:top w:w="100" w:type="dxa"/>
              <w:left w:w="100" w:type="dxa"/>
              <w:bottom w:w="100" w:type="dxa"/>
              <w:right w:w="100" w:type="dxa"/>
            </w:tcMar>
          </w:tcPr>
          <w:p w14:paraId="631D440E" w14:textId="77777777" w:rsidR="002530E2" w:rsidRDefault="002530E2">
            <w:pPr>
              <w:widowControl w:val="0"/>
              <w:spacing w:after="0" w:line="276" w:lineRule="auto"/>
            </w:pPr>
            <w:r>
              <w:rPr>
                <w:sz w:val="18"/>
                <w:szCs w:val="18"/>
              </w:rPr>
              <w:t>Negative Muslim Consumer Reactions</w:t>
            </w:r>
          </w:p>
        </w:tc>
        <w:tc>
          <w:tcPr>
            <w:tcW w:w="3450" w:type="dxa"/>
            <w:tcMar>
              <w:top w:w="100" w:type="dxa"/>
              <w:left w:w="100" w:type="dxa"/>
              <w:bottom w:w="100" w:type="dxa"/>
              <w:right w:w="100" w:type="dxa"/>
            </w:tcMar>
          </w:tcPr>
          <w:p w14:paraId="74C8C09F" w14:textId="77777777" w:rsidR="002530E2" w:rsidRDefault="002530E2">
            <w:pPr>
              <w:widowControl w:val="0"/>
              <w:spacing w:after="0" w:line="276" w:lineRule="auto"/>
            </w:pPr>
            <w:r>
              <w:rPr>
                <w:sz w:val="18"/>
                <w:szCs w:val="18"/>
              </w:rPr>
              <w:t>“Exploring the Role of Cultural Intelligence in Mitigating Negative Muslim Consumer Reactions to Cross-Cultural Blunders”</w:t>
            </w:r>
          </w:p>
        </w:tc>
        <w:tc>
          <w:tcPr>
            <w:tcW w:w="1680" w:type="dxa"/>
            <w:tcMar>
              <w:top w:w="100" w:type="dxa"/>
              <w:left w:w="100" w:type="dxa"/>
              <w:bottom w:w="100" w:type="dxa"/>
              <w:right w:w="100" w:type="dxa"/>
            </w:tcMar>
          </w:tcPr>
          <w:p w14:paraId="54929769" w14:textId="77777777" w:rsidR="002530E2" w:rsidRDefault="002530E2">
            <w:pPr>
              <w:widowControl w:val="0"/>
              <w:spacing w:after="0" w:line="276" w:lineRule="auto"/>
              <w:jc w:val="center"/>
            </w:pPr>
            <w:r>
              <w:rPr>
                <w:sz w:val="18"/>
                <w:szCs w:val="18"/>
              </w:rPr>
              <w:t>Sameera Ali et al.</w:t>
            </w:r>
          </w:p>
        </w:tc>
        <w:tc>
          <w:tcPr>
            <w:tcW w:w="840" w:type="dxa"/>
            <w:tcMar>
              <w:top w:w="100" w:type="dxa"/>
              <w:left w:w="100" w:type="dxa"/>
              <w:bottom w:w="100" w:type="dxa"/>
              <w:right w:w="100" w:type="dxa"/>
            </w:tcMar>
          </w:tcPr>
          <w:p w14:paraId="16C77688" w14:textId="77777777" w:rsidR="002530E2" w:rsidRDefault="002530E2">
            <w:pPr>
              <w:widowControl w:val="0"/>
              <w:spacing w:after="0" w:line="276" w:lineRule="auto"/>
              <w:jc w:val="center"/>
            </w:pPr>
            <w:r>
              <w:rPr>
                <w:sz w:val="18"/>
                <w:szCs w:val="18"/>
              </w:rPr>
              <w:t>2021</w:t>
            </w:r>
          </w:p>
        </w:tc>
        <w:tc>
          <w:tcPr>
            <w:tcW w:w="990" w:type="dxa"/>
            <w:vMerge/>
            <w:tcMar>
              <w:top w:w="100" w:type="dxa"/>
              <w:left w:w="100" w:type="dxa"/>
              <w:bottom w:w="100" w:type="dxa"/>
              <w:right w:w="100" w:type="dxa"/>
            </w:tcMar>
          </w:tcPr>
          <w:p w14:paraId="7D1AFBA5" w14:textId="77777777" w:rsidR="002530E2" w:rsidRDefault="002530E2">
            <w:pPr>
              <w:widowControl w:val="0"/>
              <w:spacing w:after="0" w:line="240" w:lineRule="auto"/>
              <w:jc w:val="center"/>
            </w:pPr>
          </w:p>
        </w:tc>
      </w:tr>
    </w:tbl>
    <w:p w14:paraId="7C1A7F99" w14:textId="77777777" w:rsidR="002530E2" w:rsidRDefault="002530E2">
      <w:pPr>
        <w:spacing w:after="0"/>
      </w:pPr>
    </w:p>
    <w:p w14:paraId="1F9E119C" w14:textId="77777777" w:rsidR="002530E2" w:rsidRDefault="002530E2">
      <w:pPr>
        <w:spacing w:before="240" w:after="240"/>
      </w:pPr>
      <w:r>
        <w:t>It is important to note that these studies are just a few examples of the research that has been conducted on this topic. There are many other studies that have been published, and the results of these studies are not always consistent. More research is needed to build an understanding of the specific focus of this study.</w:t>
      </w:r>
    </w:p>
    <w:p w14:paraId="0E165F6C" w14:textId="77777777" w:rsidR="002530E2" w:rsidRDefault="002530E2">
      <w:pPr>
        <w:pStyle w:val="Heading2"/>
        <w:spacing w:before="0"/>
      </w:pPr>
      <w:bookmarkStart w:id="282" w:name="_qs24yaxj9f99" w:colFirst="0" w:colLast="0"/>
      <w:bookmarkEnd w:id="282"/>
      <w:r>
        <w:t>OPINIONS AND PERCEPTIONS OF MUSLIMS</w:t>
      </w:r>
    </w:p>
    <w:p w14:paraId="0B576C3B" w14:textId="77777777" w:rsidR="002530E2" w:rsidRDefault="002530E2">
      <w:pPr>
        <w:spacing w:before="240" w:after="240"/>
      </w:pPr>
      <w:r>
        <w:t>In this section, we explore the opinions and perceptions of Muslims regarding controversial cross-cultural blunders made by multinational corporations in host countries. Understanding these opinions and perceptions is crucial to comprehending the depth of impact these blunders have on the Muslim community and their subsequent behaviours.</w:t>
      </w:r>
    </w:p>
    <w:p w14:paraId="33DFDD8A" w14:textId="77777777" w:rsidR="002530E2" w:rsidRDefault="002530E2">
      <w:pPr>
        <w:spacing w:before="240" w:after="240"/>
      </w:pPr>
      <w:r>
        <w:t>The literature reveals a diverse range of opinions and perceptions held by Muslims in response to cross-cultural blunders. These opinions can be influenced by factors such as cultural background, religious beliefs, personal experiences, and socio-political context. While some Muslims may perceive these blunders as inadvertent mistakes or cultural misunderstandings, others may interpret them as deliberate acts of disrespect, insensitivity, or even discrimination.</w:t>
      </w:r>
    </w:p>
    <w:p w14:paraId="2E42C343" w14:textId="77777777" w:rsidR="002530E2" w:rsidRDefault="002530E2">
      <w:pPr>
        <w:spacing w:before="240" w:after="240"/>
      </w:pPr>
      <w:r>
        <w:t xml:space="preserve">Furthermore, the literature highlights the significance of perception in shaping Muslims' emotional reactions and subsequent behaviours. Negative perceptions of multinational corporations that commit cross-cultural blunders can lead to feelings of mistrust and scepticism towards their motives </w:t>
      </w:r>
      <w:r>
        <w:lastRenderedPageBreak/>
        <w:t>and values. This can result in a loss of credibility and damage to the company's reputation among Muslims.</w:t>
      </w:r>
    </w:p>
    <w:p w14:paraId="5249A9CB" w14:textId="77777777" w:rsidR="002530E2" w:rsidRDefault="002530E2">
      <w:pPr>
        <w:spacing w:before="240" w:after="240"/>
      </w:pPr>
      <w:r>
        <w:t>Perceptions also play a role in shaping collective responses and community mobilisation. When Muslims perceive a cross-cultural blunder as a direct attack on their religious or cultural identity, it can trigger a stronger sense of solidarity and unity among the community. This can lead to organised protests, boycotts, and social media campaigns aimed at holding the offending corporation accountable and demanding corrective action.</w:t>
      </w:r>
    </w:p>
    <w:p w14:paraId="6F03C362" w14:textId="77777777" w:rsidR="002530E2" w:rsidRDefault="002530E2">
      <w:pPr>
        <w:spacing w:before="240" w:after="240"/>
      </w:pPr>
      <w:r>
        <w:t>Moreover, the literature emphasises the importance of engaging in dialogue and understanding the diverse opinions within the Muslim community. Not all Muslims may share the same perceptions or respond in the same way to cross-cultural blunders. Recognising and respecting the diversity of opinions can facilitate meaningful discussions, promote understanding, and pave the way for reconciliation and engagement between multinational corporations and the Muslim community.</w:t>
      </w:r>
    </w:p>
    <w:p w14:paraId="7E6B835B" w14:textId="77777777" w:rsidR="002530E2" w:rsidRDefault="002530E2">
      <w:pPr>
        <w:spacing w:before="240" w:after="240"/>
      </w:pPr>
      <w:r>
        <w:t>Overall, examining the opinions and perceptions of Muslims provides valuable insights into their interpretations of cross-cultural blunders and their impact on the community. This understanding contributes to the development of strategies that address varying perceptions, promote dialogue, and foster positive relationships between multinational corporations and the Muslim population in host countries. It highlights the need for cultural sensitivity, proactive communication, and engagement to navigate intercultural interactions effectively and avoid negative emotional reactions and behaviours.</w:t>
      </w:r>
    </w:p>
    <w:p w14:paraId="7D9B2487" w14:textId="77777777" w:rsidR="002530E2" w:rsidRDefault="002530E2"/>
    <w:p w14:paraId="43D55397" w14:textId="77777777" w:rsidR="002530E2" w:rsidRDefault="002530E2">
      <w:pPr>
        <w:pStyle w:val="Heading2"/>
        <w:spacing w:before="0"/>
      </w:pPr>
      <w:bookmarkStart w:id="283" w:name="_8o7hriyvjz1e" w:colFirst="0" w:colLast="0"/>
      <w:bookmarkEnd w:id="283"/>
      <w:r>
        <w:t>FACTORS INFLUENCING MUSLIMS’ REACTIONS</w:t>
      </w:r>
    </w:p>
    <w:p w14:paraId="69F4AE21" w14:textId="77777777" w:rsidR="002530E2" w:rsidRDefault="002530E2">
      <w:r>
        <w:t>In this section, we explore the various factors that influence Muslims' reactions to controversial cross-cultural blunders made by multinational corporations in host countries. Understanding these factors is crucial to comprehending the complexity of Muslims' emotional responses and subsequent behaviours.</w:t>
      </w:r>
    </w:p>
    <w:p w14:paraId="6AC925DE" w14:textId="77777777" w:rsidR="002530E2" w:rsidRDefault="002530E2">
      <w:r>
        <w:t>The literature highlights several key factors that play a significant role in shaping Muslims' reactions:</w:t>
      </w:r>
    </w:p>
    <w:p w14:paraId="41BE957B" w14:textId="77777777" w:rsidR="002530E2" w:rsidRDefault="002530E2" w:rsidP="002530E2">
      <w:pPr>
        <w:numPr>
          <w:ilvl w:val="0"/>
          <w:numId w:val="119"/>
        </w:numPr>
        <w:spacing w:after="200" w:line="360" w:lineRule="auto"/>
        <w:jc w:val="both"/>
      </w:pPr>
      <w:r>
        <w:t>Cultural and Religious Sensitivities: Muslims' reactions are often influenced by their cultural and religious sensitivities. Cross-cultural blunders that involve the misuse or disrespect of religious symbols, practices, or values can evoke strong emotional responses. The literature suggests that Muslims' reactions are deeply rooted in their religious identity and the importance they attach to upholding Islamic principles and beliefs.</w:t>
      </w:r>
    </w:p>
    <w:p w14:paraId="477975D0" w14:textId="77777777" w:rsidR="002530E2" w:rsidRDefault="002530E2" w:rsidP="002530E2">
      <w:pPr>
        <w:numPr>
          <w:ilvl w:val="0"/>
          <w:numId w:val="119"/>
        </w:numPr>
        <w:spacing w:after="200" w:line="360" w:lineRule="auto"/>
        <w:jc w:val="both"/>
      </w:pPr>
      <w:r>
        <w:t xml:space="preserve">Perception of Intent: Muslims' reactions can be influenced by their perception of the intent behind the cross-cultural blunders. If they perceive the blunders as intentional acts of disrespect or insensitivity towards their culture or religion, their emotional reactions may be </w:t>
      </w:r>
      <w:r>
        <w:lastRenderedPageBreak/>
        <w:t>more intense. On the other hand, if the blunders are perceived as unintentional mistakes or a lack of cultural awareness, the reactions may vary.</w:t>
      </w:r>
    </w:p>
    <w:p w14:paraId="19A97625" w14:textId="77777777" w:rsidR="002530E2" w:rsidRDefault="002530E2" w:rsidP="002530E2">
      <w:pPr>
        <w:numPr>
          <w:ilvl w:val="0"/>
          <w:numId w:val="119"/>
        </w:numPr>
        <w:spacing w:after="200" w:line="360" w:lineRule="auto"/>
        <w:jc w:val="both"/>
      </w:pPr>
      <w:r>
        <w:t>Social and Political Context: Muslims' reactions are also shaped by the social and political context in which the cross-cultural blunders occur. The literature suggests that geopolitical events, social inequalities, historical experiences, and media coverage can influence how Muslims interpret and respond to these blunders. In some cases, these blunders may be seen as part of a broader pattern of discrimination or marginalisation, triggering stronger emotional reactions.</w:t>
      </w:r>
    </w:p>
    <w:p w14:paraId="15262B28" w14:textId="77777777" w:rsidR="002530E2" w:rsidRDefault="002530E2" w:rsidP="002530E2">
      <w:pPr>
        <w:numPr>
          <w:ilvl w:val="0"/>
          <w:numId w:val="119"/>
        </w:numPr>
        <w:spacing w:after="200" w:line="360" w:lineRule="auto"/>
        <w:jc w:val="both"/>
      </w:pPr>
      <w:r>
        <w:t>Communication and Engagement: Effective communication and engagement strategies employed by multinational corporations can significantly impact Muslims' reactions. Open dialogue, sincere apologies, and proactive efforts to address the blunders can help alleviate negative emotions and rebuild trust. Conversely, a lack of communication or inadequate response can further escalate negative reactions and damage the corporation's reputation.</w:t>
      </w:r>
    </w:p>
    <w:p w14:paraId="74525C78" w14:textId="77777777" w:rsidR="002530E2" w:rsidRDefault="002530E2" w:rsidP="002530E2">
      <w:pPr>
        <w:numPr>
          <w:ilvl w:val="0"/>
          <w:numId w:val="119"/>
        </w:numPr>
        <w:spacing w:after="200" w:line="360" w:lineRule="auto"/>
        <w:jc w:val="both"/>
      </w:pPr>
      <w:r>
        <w:t>Community Mobilisation: The literature highlights the role of community mobilisation in shaping Muslims' reactions. When cross-cultural blunders are perceived as a collective insult to the Muslim community, it can lead to organised protests, boycotts, and social media campaigns. The extent of community mobilisation can depend on various factors, such as the severity of the blunders, the level of community solidarity, and the presence of influential religious or community leaders.</w:t>
      </w:r>
    </w:p>
    <w:p w14:paraId="16B2579D" w14:textId="77777777" w:rsidR="002530E2" w:rsidRDefault="002530E2">
      <w:r>
        <w:t>Understanding these factors provides valuable insights into the complex dynamics of Muslims' reactions to cross-cultural blunders. It underscores the importance of cultural sensitivity, effective communication, and proactive engagement by multinational corporations to mitigate negative emotional responses and foster positive relationships with the Muslim community in host countries. By addressing these factors, corporations can work towards building trust, promoting cultural understanding, and avoiding detrimental impacts on their business operations.</w:t>
      </w:r>
    </w:p>
    <w:p w14:paraId="52D7EACA" w14:textId="77777777" w:rsidR="002530E2" w:rsidRDefault="002530E2"/>
    <w:p w14:paraId="40572F89" w14:textId="77777777" w:rsidR="002530E2" w:rsidRDefault="002530E2">
      <w:pPr>
        <w:pStyle w:val="Heading2"/>
        <w:spacing w:before="0"/>
      </w:pPr>
      <w:bookmarkStart w:id="284" w:name="_ci1azgmu6vue" w:colFirst="0" w:colLast="0"/>
      <w:bookmarkEnd w:id="284"/>
      <w:r>
        <w:t>ROLE OF MEDIA AND SOCIAL MEDIA IN MUSLIMS’ REACTIONS</w:t>
      </w:r>
    </w:p>
    <w:p w14:paraId="6BC760AD" w14:textId="77777777" w:rsidR="002530E2" w:rsidRDefault="002530E2">
      <w:r>
        <w:t>In this section, we delve into the role of media and social media in shaping Muslims' reactions to controversial cross-cultural blunders made by multinational corporations in host countries. The influence of media and social media on Muslims' emotional responses and behaviours is a crucial aspect to consider in understanding the dynamics of these cross-cultural incidents.</w:t>
      </w:r>
    </w:p>
    <w:p w14:paraId="5AD4B8BE" w14:textId="77777777" w:rsidR="002530E2" w:rsidRDefault="002530E2">
      <w:r>
        <w:t>The literature highlights the following key points regarding the role of media and social media:</w:t>
      </w:r>
    </w:p>
    <w:p w14:paraId="2DC04071" w14:textId="77777777" w:rsidR="002530E2" w:rsidRDefault="002530E2" w:rsidP="002530E2">
      <w:pPr>
        <w:numPr>
          <w:ilvl w:val="0"/>
          <w:numId w:val="103"/>
        </w:numPr>
        <w:spacing w:after="200" w:line="360" w:lineRule="auto"/>
        <w:jc w:val="both"/>
      </w:pPr>
      <w:r>
        <w:lastRenderedPageBreak/>
        <w:t>Amplification of Incidents: Media platforms, including traditional media outlets and social media platforms, have the power to amplify incidents of cross-cultural blunders. News coverage and social media discussions can rapidly spread information, images, and videos of controversial incidents, reaching a wide audience. This widespread exposure intensifies the emotional impact on Muslims as they become aware of the blunders and their potential implications.</w:t>
      </w:r>
    </w:p>
    <w:p w14:paraId="43750CB6" w14:textId="77777777" w:rsidR="002530E2" w:rsidRDefault="002530E2" w:rsidP="002530E2">
      <w:pPr>
        <w:numPr>
          <w:ilvl w:val="0"/>
          <w:numId w:val="103"/>
        </w:numPr>
        <w:spacing w:after="200" w:line="360" w:lineRule="auto"/>
        <w:jc w:val="both"/>
      </w:pPr>
      <w:r>
        <w:t>Emotional Contagion: The literature suggests that media and social media can contribute to emotional contagion, where the emotions expressed by individuals or groups in response to cross-cultural blunders can spread to others. Muslims who come across news reports, videos, or social media posts discussing or condemning these blunders may experience heightened emotions themselves. The shared emotional responses can create a sense of collective outrage or hurt within the Muslim community.</w:t>
      </w:r>
    </w:p>
    <w:p w14:paraId="7C757DE7" w14:textId="77777777" w:rsidR="002530E2" w:rsidRDefault="002530E2" w:rsidP="002530E2">
      <w:pPr>
        <w:numPr>
          <w:ilvl w:val="0"/>
          <w:numId w:val="103"/>
        </w:numPr>
        <w:spacing w:after="200" w:line="360" w:lineRule="auto"/>
        <w:jc w:val="both"/>
      </w:pPr>
      <w:r>
        <w:t>Mobilisation and Activism: Media and social media platforms provide channels for mobilisation and activism among Muslims. The literature highlights how social media has been used as a tool for organising protests, boycotts, and campaigns in response to cross-cultural blunders. These platforms enable individuals and communities to voice their grievances, raise awareness, and demand accountability from multinational corporations. The influence of media and social media in mobilising collective action can significantly impact the business operations and reputation of these corporations.</w:t>
      </w:r>
    </w:p>
    <w:p w14:paraId="426BF450" w14:textId="77777777" w:rsidR="002530E2" w:rsidRDefault="002530E2" w:rsidP="002530E2">
      <w:pPr>
        <w:numPr>
          <w:ilvl w:val="0"/>
          <w:numId w:val="103"/>
        </w:numPr>
        <w:spacing w:after="200" w:line="360" w:lineRule="auto"/>
        <w:jc w:val="both"/>
      </w:pPr>
      <w:r>
        <w:t>Alternative Narratives and Counter-Reactions: Media and social media also offer a space for alternative narratives and counter-reactions. Muslims who feel offended or affected by cross-cultural blunders can share their perspectives, challenge the dominant narrative, and provide critical analysis through online discussions, blogs, videos, and social media posts. These alternative narratives can influence public opinion, shape the discourse around these incidents, and hold multinational corporations accountable for their actions.</w:t>
      </w:r>
    </w:p>
    <w:p w14:paraId="42888265" w14:textId="77777777" w:rsidR="002530E2" w:rsidRDefault="002530E2" w:rsidP="002530E2">
      <w:pPr>
        <w:numPr>
          <w:ilvl w:val="0"/>
          <w:numId w:val="103"/>
        </w:numPr>
        <w:spacing w:after="200" w:line="360" w:lineRule="auto"/>
        <w:jc w:val="both"/>
      </w:pPr>
      <w:r>
        <w:t>Global Reach and Audience Engagement: The global nature of media and social media platforms allows Muslims from different countries to connect, share experiences, and express solidarity in response to cross-cultural blunders. The literature emphasises how the reach and engagement of media and social media platforms enable Muslims to amplify their voices, build transnational networks, and draw attention to the impact of these blunders on their communities worldwide.</w:t>
      </w:r>
    </w:p>
    <w:p w14:paraId="09FF34A9" w14:textId="77777777" w:rsidR="002530E2" w:rsidRDefault="002530E2">
      <w:r>
        <w:lastRenderedPageBreak/>
        <w:t>Understanding the role of media and social media in Muslims' reactions to cross-cultural blunders is essential for comprehending the dynamics of these incidents and their subsequent effects on multinational corporations. It underscores the need for effective crisis communication strategies, media literacy, and responsible social media engagement to mitigate negative outcomes and foster positive dialogue between corporations and the Muslim community.</w:t>
      </w:r>
    </w:p>
    <w:p w14:paraId="1E93F450" w14:textId="77777777" w:rsidR="002530E2" w:rsidRDefault="002530E2">
      <w:pPr>
        <w:pStyle w:val="Heading2"/>
        <w:spacing w:before="0"/>
      </w:pPr>
      <w:bookmarkStart w:id="285" w:name="_mb31vcjabby5" w:colFirst="0" w:colLast="0"/>
      <w:bookmarkEnd w:id="285"/>
      <w:r>
        <w:t xml:space="preserve">RELIGIOUS SENSITIVITY OF MUSLIMS AND BLUNDERS </w:t>
      </w:r>
    </w:p>
    <w:p w14:paraId="2D106E64" w14:textId="77777777" w:rsidR="002530E2" w:rsidRDefault="002530E2">
      <w:r>
        <w:t>In this section, we explore the concept of religious sensitivity among Muslims and its relationship to cross-cultural blunders made by multinational corporations in host countries. Understanding the religious sensitivity of Muslims is crucial for comprehending their negative emotional reactions and subsequent behaviours in response to these blunders.</w:t>
      </w:r>
    </w:p>
    <w:p w14:paraId="6A67B72F" w14:textId="77777777" w:rsidR="002530E2" w:rsidRDefault="002530E2">
      <w:r>
        <w:t>The literature highlights the following key aspects regarding the religious sensitivity of Muslims and its connection to cross-cultural blunders:</w:t>
      </w:r>
    </w:p>
    <w:p w14:paraId="27EB8382" w14:textId="77777777" w:rsidR="002530E2" w:rsidRDefault="002530E2" w:rsidP="002530E2">
      <w:pPr>
        <w:numPr>
          <w:ilvl w:val="0"/>
          <w:numId w:val="110"/>
        </w:numPr>
        <w:spacing w:after="200" w:line="360" w:lineRule="auto"/>
        <w:jc w:val="both"/>
      </w:pPr>
      <w:r>
        <w:t>Significance of Religion: Religion, particularly Islam, plays a central role in the lives of Muslims. The literature emphasises the importance of understanding the religious beliefs, practices, and values that shape the lives of Muslims. Islam encompasses various aspects, including rituals, ethics, social norms, and dietary practices, which can significantly influence how Muslims perceive and respond to cross-cultural blunders.</w:t>
      </w:r>
    </w:p>
    <w:p w14:paraId="1120C841" w14:textId="77777777" w:rsidR="002530E2" w:rsidRDefault="002530E2" w:rsidP="002530E2">
      <w:pPr>
        <w:numPr>
          <w:ilvl w:val="0"/>
          <w:numId w:val="110"/>
        </w:numPr>
        <w:spacing w:after="200" w:line="360" w:lineRule="auto"/>
        <w:jc w:val="both"/>
      </w:pPr>
      <w:r>
        <w:t>Sacred Symbols and Practices: Muslims hold certain symbols, practices, and rituals as sacred within their religious framework. Cross-cultural blunders that involve the misuse, misrepresentation, or disrespect of these symbols or practices can evoke strong negative emotional reactions. The literature emphasises that such blunders are perceived as an infringement on the sanctity of their religious beliefs and can deeply offend Muslims.</w:t>
      </w:r>
    </w:p>
    <w:p w14:paraId="31AF17AB" w14:textId="77777777" w:rsidR="002530E2" w:rsidRDefault="002530E2" w:rsidP="002530E2">
      <w:pPr>
        <w:numPr>
          <w:ilvl w:val="0"/>
          <w:numId w:val="110"/>
        </w:numPr>
        <w:spacing w:after="200" w:line="360" w:lineRule="auto"/>
        <w:jc w:val="both"/>
      </w:pPr>
      <w:r>
        <w:t>Concept of Honour and Respect: The literature suggests that Muslims place great importance on honour, respect, and dignity, both for themselves and their religious beliefs. Cross-cultural blunders that are seen as disrespecting Islam or the Prophet Muhammad, for example, can trigger intense emotional responses due to the perceived violation of this honour and respect. The impact of these blunders can be profound, not only on an individual level but also within the wider Muslim community.</w:t>
      </w:r>
    </w:p>
    <w:p w14:paraId="252BBB7D" w14:textId="77777777" w:rsidR="002530E2" w:rsidRDefault="002530E2" w:rsidP="002530E2">
      <w:pPr>
        <w:numPr>
          <w:ilvl w:val="0"/>
          <w:numId w:val="110"/>
        </w:numPr>
        <w:spacing w:after="200" w:line="360" w:lineRule="auto"/>
        <w:jc w:val="both"/>
      </w:pPr>
      <w:r>
        <w:t xml:space="preserve">Intersection of Culture and Religion: The literature highlights the interconnectedness of culture and religion among Muslims. It emphasises that religious sensitivity cannot be understood in isolation but must be considered within a broader cultural context. Muslims' emotional reactions to cross-cultural blunders are influenced by their cultural background, </w:t>
      </w:r>
      <w:r>
        <w:lastRenderedPageBreak/>
        <w:t>social norms, and historical experiences, all of which shape their interpretation and response to these incidents.</w:t>
      </w:r>
    </w:p>
    <w:p w14:paraId="19C45F03" w14:textId="77777777" w:rsidR="002530E2" w:rsidRDefault="002530E2" w:rsidP="002530E2">
      <w:pPr>
        <w:numPr>
          <w:ilvl w:val="0"/>
          <w:numId w:val="110"/>
        </w:numPr>
        <w:spacing w:after="200" w:line="360" w:lineRule="auto"/>
        <w:jc w:val="both"/>
      </w:pPr>
      <w:r>
        <w:t>Impact on Identity and Community: Cross-cultural blunders can have a significant impact on the identity and sense of belonging among Muslims. The literature suggests that such blunders can reinforce feelings of marginalisation, discrimination, and cultural insensitivity. They can also contribute to the perception of Muslims as a targeted group, further affecting their emotional well-being and community cohesion.</w:t>
      </w:r>
    </w:p>
    <w:p w14:paraId="1D7DBD33" w14:textId="77777777" w:rsidR="002530E2" w:rsidRDefault="002530E2">
      <w:r>
        <w:t>Understanding the religious sensitivity of Muslims provides valuable insights into their negative emotional reactions and subsequent behaviours in response to cross-cultural blunders. It underscores the importance of cultural competence, intercultural communication, and respect for religious values and symbols. By acknowledging and accommodating religious sensitivities, multinational corporations can navigate cross-cultural interactions more effectively, avoid blunders, and foster positive relationships with the Muslim community in host countries.</w:t>
      </w:r>
    </w:p>
    <w:p w14:paraId="7BD00F76" w14:textId="77777777" w:rsidR="002530E2" w:rsidRDefault="002530E2">
      <w:pPr>
        <w:pStyle w:val="Heading2"/>
        <w:spacing w:before="0"/>
      </w:pPr>
      <w:bookmarkStart w:id="286" w:name="_q53shd2b9xer" w:colFirst="0" w:colLast="0"/>
      <w:bookmarkEnd w:id="286"/>
      <w:r>
        <w:t>CULTURAL SENSITIVITY OF MUSLIMS AND BLUNDERS</w:t>
      </w:r>
    </w:p>
    <w:p w14:paraId="77EE1C12" w14:textId="77777777" w:rsidR="002530E2" w:rsidRDefault="002530E2">
      <w:r>
        <w:t>In this section, we explore the concept of cultural sensitivity among Muslims and its relevance to their reactions in response to controversial cross-cultural blunders made by multinational corporations in host countries. Cultural sensitivity refers to awareness, understanding, and respect for the cultural values, norms, and beliefs of different communities.</w:t>
      </w:r>
    </w:p>
    <w:p w14:paraId="04B7E8A3" w14:textId="77777777" w:rsidR="002530E2" w:rsidRDefault="002530E2">
      <w:r>
        <w:t>The literature highlights the following key points regarding the cultural sensitivity of Muslims and its relationship to cross-cultural blunders:</w:t>
      </w:r>
    </w:p>
    <w:p w14:paraId="1E645FB4" w14:textId="77777777" w:rsidR="002530E2" w:rsidRDefault="002530E2" w:rsidP="002530E2">
      <w:pPr>
        <w:numPr>
          <w:ilvl w:val="0"/>
          <w:numId w:val="129"/>
        </w:numPr>
        <w:spacing w:after="200" w:line="360" w:lineRule="auto"/>
        <w:jc w:val="both"/>
      </w:pPr>
      <w:r>
        <w:t>Cultural Significance: Muslims' emotional reactions and behaviours are deeply influenced by their cultural values and religious beliefs. The literature emphasises that understanding the cultural significance of symbols, practices, and traditions is crucial to avoiding cross-cultural blunders. Multinational corporations operating in host countries with Muslim populations need to demonstrate cultural sensitivity and avoid actions that may be perceived as disrespectful or offensive.</w:t>
      </w:r>
    </w:p>
    <w:p w14:paraId="0BB82F7F" w14:textId="77777777" w:rsidR="002530E2" w:rsidRDefault="002530E2" w:rsidP="002530E2">
      <w:pPr>
        <w:numPr>
          <w:ilvl w:val="0"/>
          <w:numId w:val="129"/>
        </w:numPr>
        <w:spacing w:after="200" w:line="360" w:lineRule="auto"/>
        <w:jc w:val="both"/>
      </w:pPr>
      <w:r>
        <w:t>Religious Sensitivities: Islam holds a central role in the lives of Muslims, shaping their values, behaviours, and emotional responses. The literature underscores the importance of recognising and respecting the religious sensitivities of Muslims. Cross-cultural blunders that involve the misappropriation or misinterpretation of Islamic symbols, sacred texts, or religious practices can evoke strong negative emotions among Muslims. Cultural sensitivity entails acknowledging and understanding the religious dimensions of Muslims' reactions.</w:t>
      </w:r>
    </w:p>
    <w:p w14:paraId="3402C9F8" w14:textId="77777777" w:rsidR="002530E2" w:rsidRDefault="002530E2" w:rsidP="002530E2">
      <w:pPr>
        <w:numPr>
          <w:ilvl w:val="0"/>
          <w:numId w:val="129"/>
        </w:numPr>
        <w:spacing w:after="200" w:line="360" w:lineRule="auto"/>
        <w:jc w:val="both"/>
      </w:pPr>
      <w:r>
        <w:lastRenderedPageBreak/>
        <w:t>Impact on Brand Image and Reputation: The failure of multinational corporations to demonstrate cultural sensitivity can have severe consequences for their brand image and reputation. The literature highlights instances where cross-cultural blunders led to widespread backlash, boycotts, and negative publicity for corporations. Muslims' negative emotional reactions, when amplified through social media and news outlets, can significantly impact the perception of a corporation's commitment to cultural sensitivity and diversity, thereby affecting their business operations.</w:t>
      </w:r>
    </w:p>
    <w:p w14:paraId="6A0AF6B9" w14:textId="77777777" w:rsidR="002530E2" w:rsidRDefault="002530E2" w:rsidP="002530E2">
      <w:pPr>
        <w:numPr>
          <w:ilvl w:val="0"/>
          <w:numId w:val="129"/>
        </w:numPr>
        <w:spacing w:after="200" w:line="360" w:lineRule="auto"/>
        <w:jc w:val="both"/>
      </w:pPr>
      <w:r>
        <w:t>Building Trust and Relationships: Cultural sensitivity is instrumental in building trust and fostering positive relationships between multinational corporations and the Muslim community. The literature emphasises the importance of engaging in meaningful dialogue, consulting with local communities, and involving Muslim stakeholders in decision-making processes. By demonstrating cultural sensitivity, corporations can enhance their understanding of the local context, mitigate the risk of cross-cultural blunders, and establish trust-based relationships with the Muslim community.</w:t>
      </w:r>
    </w:p>
    <w:p w14:paraId="41A809EC" w14:textId="77777777" w:rsidR="002530E2" w:rsidRDefault="002530E2" w:rsidP="002530E2">
      <w:pPr>
        <w:numPr>
          <w:ilvl w:val="0"/>
          <w:numId w:val="129"/>
        </w:numPr>
        <w:spacing w:after="200" w:line="360" w:lineRule="auto"/>
        <w:jc w:val="both"/>
      </w:pPr>
      <w:r>
        <w:t>Training and Education: The literature underscores the need for training programmes and cultural competency education within multinational corporations. By providing employees with the knowledge and skills to navigate cultural diversity and avoid cross-cultural blunders, corporations can foster an environment of cultural sensitivity. Training initiatives that promote intercultural understanding and awareness can contribute to the prevention of offensive actions and facilitate positive interactions between corporations and the Muslim community.</w:t>
      </w:r>
    </w:p>
    <w:p w14:paraId="66918018" w14:textId="77777777" w:rsidR="002530E2" w:rsidRDefault="002530E2">
      <w:r>
        <w:t>Understanding the role of cultural sensitivity in Muslims' reactions to cross-cultural blunders is crucial for multinational corporations aiming to maintain positive relationships, mitigate negative emotional responses, and safeguard their business operations. By incorporating cultural sensitivity into their practices, policies, and decision-making processes, corporations can foster mutual respect, enhance cultural understanding, and avoid the potential negative impacts of cross-cultural blunders on their operations.</w:t>
      </w:r>
    </w:p>
    <w:p w14:paraId="76EBFEFE" w14:textId="77777777" w:rsidR="002530E2" w:rsidRDefault="002530E2">
      <w:pPr>
        <w:pStyle w:val="Heading2"/>
        <w:spacing w:before="0"/>
      </w:pPr>
      <w:bookmarkStart w:id="287" w:name="_equmknvceiv1" w:colFirst="0" w:colLast="0"/>
      <w:bookmarkEnd w:id="287"/>
      <w:r>
        <w:t>POLITICAL SENSITIVITY OF MUSLIMS AND BLUNDERS</w:t>
      </w:r>
    </w:p>
    <w:p w14:paraId="56A25427" w14:textId="77777777" w:rsidR="002530E2" w:rsidRDefault="002530E2">
      <w:r>
        <w:t>In this section, we examine the concept of political sensitivity among Muslims and its implications for their reactions to cross-cultural blunders made by multinational corporations in host countries. Political sensitivity refers to the awareness and consideration of political factors, power dynamics, and geopolitical sensitivities that influence Muslims' emotional responses and behaviours.</w:t>
      </w:r>
    </w:p>
    <w:p w14:paraId="2C833C01" w14:textId="77777777" w:rsidR="002530E2" w:rsidRDefault="002530E2">
      <w:r>
        <w:t>The literature highlights the following key points regarding the political sensitivity of Muslims and its relationship to cross-cultural blunders:</w:t>
      </w:r>
    </w:p>
    <w:p w14:paraId="41A1B20D" w14:textId="77777777" w:rsidR="002530E2" w:rsidRDefault="002530E2" w:rsidP="002530E2">
      <w:pPr>
        <w:numPr>
          <w:ilvl w:val="0"/>
          <w:numId w:val="99"/>
        </w:numPr>
        <w:spacing w:after="200" w:line="360" w:lineRule="auto"/>
        <w:jc w:val="both"/>
      </w:pPr>
      <w:r>
        <w:lastRenderedPageBreak/>
        <w:t>Geopolitical Context: Muslims' reactions to cross-cultural blunders are influenced by the broader geopolitical context in which these incidents occur. The literature emphasises the importance of understanding the historical and political dynamics between host countries and multinational corporations. Political events, conflicts, and tensions can heighten Muslims' emotional reactions and shape their perceptions of cross-cultural blunders, especially when they are seen as a disregard for their political sensitivities.</w:t>
      </w:r>
    </w:p>
    <w:p w14:paraId="733885B2" w14:textId="77777777" w:rsidR="002530E2" w:rsidRDefault="002530E2" w:rsidP="002530E2">
      <w:pPr>
        <w:numPr>
          <w:ilvl w:val="0"/>
          <w:numId w:val="99"/>
        </w:numPr>
        <w:spacing w:after="200" w:line="360" w:lineRule="auto"/>
        <w:jc w:val="both"/>
      </w:pPr>
      <w:r>
        <w:t>Identity and Marginalisation: Muslims often have a strong sense of collective identity and may perceive cross-cultural blunders as a form of marginalisation or disrespect towards their community. The literature highlights the need to acknowledge the socio-political context in which multinational corporations operate and the potential impact of their actions on Muslim identity. Cross-cultural blunders that reinforce stereotypes, perpetuate discrimination, or disregard the political struggles of Muslims can evoke strong negative emotions and behaviours.</w:t>
      </w:r>
    </w:p>
    <w:p w14:paraId="5A6DE9DC" w14:textId="77777777" w:rsidR="002530E2" w:rsidRDefault="002530E2" w:rsidP="002530E2">
      <w:pPr>
        <w:numPr>
          <w:ilvl w:val="0"/>
          <w:numId w:val="99"/>
        </w:numPr>
        <w:spacing w:after="200" w:line="360" w:lineRule="auto"/>
        <w:jc w:val="both"/>
      </w:pPr>
      <w:r>
        <w:t>Public Opinion and Activism: The literature emphasises the role of public opinion and activism in shaping Muslims' reactions to cross-cultural blunders. Social media platforms and other forms of communication enable the rapid dissemination of information, facilitating the mobilisation of Muslim communities in response to perceived offences. Muslims' emotional reactions, fueled by political sensitivities, can manifest in online campaigns, protests, and boycotts, thereby impacting the reputation and business operations of multinational corporations.</w:t>
      </w:r>
    </w:p>
    <w:p w14:paraId="45B181DA" w14:textId="77777777" w:rsidR="002530E2" w:rsidRDefault="002530E2" w:rsidP="002530E2">
      <w:pPr>
        <w:numPr>
          <w:ilvl w:val="0"/>
          <w:numId w:val="99"/>
        </w:numPr>
        <w:spacing w:after="200" w:line="360" w:lineRule="auto"/>
        <w:jc w:val="both"/>
      </w:pPr>
      <w:r>
        <w:t>Power Imbalances and Representation: Multinational corporations hold significant economic and political power, which can create power imbalances in their interactions with host countries and Muslim communities. The literature stresses the need for equitable power dynamics and inclusive representation within multinational corporations. Failure to address power imbalances and involve local stakeholders in decision-making processes can contribute to the occurrence of cross-cultural blunders and intensify Muslims' negative emotional reactions.</w:t>
      </w:r>
    </w:p>
    <w:p w14:paraId="45CF555F" w14:textId="77777777" w:rsidR="002530E2" w:rsidRDefault="002530E2" w:rsidP="002530E2">
      <w:pPr>
        <w:numPr>
          <w:ilvl w:val="0"/>
          <w:numId w:val="99"/>
        </w:numPr>
        <w:spacing w:after="200" w:line="360" w:lineRule="auto"/>
        <w:jc w:val="both"/>
      </w:pPr>
      <w:r>
        <w:t xml:space="preserve">Advocacy for Political Sensitivity: Scholars and activists in the literature emphasise the importance of advocacy efforts aimed at promoting political sensitivity among multinational corporations. By advocating for responsible business practices, transparency, and respect for political sensitivities, stakeholders can raise awareness of the potential negative impacts of </w:t>
      </w:r>
      <w:r>
        <w:lastRenderedPageBreak/>
        <w:t>cross-cultural blunders on Muslims' emotional reactions and behaviours. Such advocacy can encourage corporations to integrate political sensitivity into their policies, thereby fostering better relations with Muslim communities.</w:t>
      </w:r>
    </w:p>
    <w:p w14:paraId="3E0AFACC" w14:textId="77777777" w:rsidR="002530E2" w:rsidRDefault="002530E2">
      <w:r>
        <w:t>Understanding the political sensitivity of Muslims in response to cross-cultural blunders is essential for multinational corporations seeking to navigate the complexities of host countries and diverse communities. By considering the political context, addressing power imbalances, and promoting inclusive representation, corporations can minimise the risk of cross-cultural blunders, demonstrate political sensitivity, and foster positive relationships with the Muslim community.</w:t>
      </w:r>
    </w:p>
    <w:p w14:paraId="4644436B" w14:textId="77777777" w:rsidR="002530E2" w:rsidRDefault="002530E2">
      <w:pPr>
        <w:pStyle w:val="Heading2"/>
        <w:spacing w:before="0"/>
      </w:pPr>
      <w:bookmarkStart w:id="288" w:name="_q9e01gfwo4iy" w:colFirst="0" w:colLast="0"/>
      <w:bookmarkEnd w:id="288"/>
      <w:r>
        <w:t>PATRIOTIC SENSITIVITY OF MUSLIMS AND BLUNDERS</w:t>
      </w:r>
    </w:p>
    <w:p w14:paraId="43DB3B82" w14:textId="77777777" w:rsidR="002530E2" w:rsidRDefault="002530E2">
      <w:r>
        <w:t>In this section, we delve into the concept of patriotic sensitivity among Muslims and its impact on their reactions to cross-cultural blunders made by multinational corporations in host countries. Patriotic sensitivity refers to the attachment, loyalty, and pride that Muslims feel towards their country of residence or origin and how it influences their emotional responses and behaviours in the face of cross-cultural blunders.</w:t>
      </w:r>
    </w:p>
    <w:p w14:paraId="4C86C9AF" w14:textId="77777777" w:rsidR="002530E2" w:rsidRDefault="002530E2">
      <w:r>
        <w:t>The literature highlights several key points regarding the patriotic sensitivity of Muslims and its relationship to cross-cultural blunders:</w:t>
      </w:r>
    </w:p>
    <w:p w14:paraId="69F42825" w14:textId="77777777" w:rsidR="002530E2" w:rsidRDefault="002530E2" w:rsidP="002530E2">
      <w:pPr>
        <w:numPr>
          <w:ilvl w:val="0"/>
          <w:numId w:val="134"/>
        </w:numPr>
        <w:spacing w:after="200" w:line="360" w:lineRule="auto"/>
        <w:jc w:val="both"/>
      </w:pPr>
      <w:r>
        <w:t>National Identity and Cultural Pride: Muslims often possess a strong sense of national identity and cultural pride, which shapes their emotional reactions to cross-cultural blunders. The literature emphasises that perceived offences against national symbols, values, or cultural heritage can trigger negative emotions and behaviours among Muslims. Multinational corporations should be cognizant of these sensitivities and avoid actions that undermine or disrespect the patriotic sentiments of Muslims.</w:t>
      </w:r>
    </w:p>
    <w:p w14:paraId="56B51105" w14:textId="77777777" w:rsidR="002530E2" w:rsidRDefault="002530E2" w:rsidP="002530E2">
      <w:pPr>
        <w:numPr>
          <w:ilvl w:val="0"/>
          <w:numId w:val="134"/>
        </w:numPr>
        <w:spacing w:after="200" w:line="360" w:lineRule="auto"/>
        <w:jc w:val="both"/>
      </w:pPr>
      <w:r>
        <w:t>Perception of Corporate Citizenship: The literature emphasises the importance of multinational corporations' role as corporate citizens within host countries. Muslims expect corporations to demonstrate responsible behaviour and contribute positively to the economic and social development of their countries. Cross-cultural blunders that are perceived as disrespectful or contrary to national interests can evoke strong emotional reactions from Muslims and impact the perception of corporations' commitment to the host country.</w:t>
      </w:r>
    </w:p>
    <w:p w14:paraId="7B5AD723" w14:textId="77777777" w:rsidR="002530E2" w:rsidRDefault="002530E2" w:rsidP="002530E2">
      <w:pPr>
        <w:numPr>
          <w:ilvl w:val="0"/>
          <w:numId w:val="134"/>
        </w:numPr>
        <w:spacing w:after="200" w:line="360" w:lineRule="auto"/>
        <w:jc w:val="both"/>
      </w:pPr>
      <w:r>
        <w:t xml:space="preserve">Ethical and Moral Considerations: Muslims' emotional reactions to cross-cultural blunders are influenced by their ethical and moral beliefs. The literature suggests that actions that contradict Islamic principles or values, such as engaging in exploitative practices or promoting harmful products, can provoke negative emotions among Muslims. Multinational corporations </w:t>
      </w:r>
      <w:r>
        <w:lastRenderedPageBreak/>
        <w:t>should be mindful of ethical considerations and align their actions with the moral sensitivities of the Muslim community.</w:t>
      </w:r>
    </w:p>
    <w:p w14:paraId="66FC5040" w14:textId="77777777" w:rsidR="002530E2" w:rsidRDefault="002530E2" w:rsidP="002530E2">
      <w:pPr>
        <w:numPr>
          <w:ilvl w:val="0"/>
          <w:numId w:val="134"/>
        </w:numPr>
        <w:spacing w:after="200" w:line="360" w:lineRule="auto"/>
        <w:jc w:val="both"/>
      </w:pPr>
      <w:r>
        <w:t>Symbolic Significance: The literature highlights the symbolic significance of cross-cultural blunders and their impact on patriotic sensitivity. Actions that are seen as an affront to national symbols, historical events, or cultural practices can evoke intense emotional reactions from Muslims. Multinational corporations need to be aware of the symbolic meanings attached to certain cultural elements and avoid actions that may be perceived as disrespectful or undermining the patriotic sentiments of Muslims.</w:t>
      </w:r>
    </w:p>
    <w:p w14:paraId="789F8EDF" w14:textId="77777777" w:rsidR="002530E2" w:rsidRDefault="002530E2" w:rsidP="002530E2">
      <w:pPr>
        <w:numPr>
          <w:ilvl w:val="0"/>
          <w:numId w:val="134"/>
        </w:numPr>
        <w:spacing w:after="200" w:line="360" w:lineRule="auto"/>
        <w:jc w:val="both"/>
      </w:pPr>
      <w:r>
        <w:t>Engagement and trust-building: The literature suggests that engaging with the local community and building trust are crucial for multinational corporations to navigate patriotic sensitivities. By actively involving Muslims in decision-making processes, promoting cultural understanding, and supporting initiatives that contribute to the development and well-being of the host country, corporations can foster a positive relationship with the Muslim community and mitigate the risk of cross-cultural blunders.</w:t>
      </w:r>
    </w:p>
    <w:p w14:paraId="1C39093C" w14:textId="77777777" w:rsidR="002530E2" w:rsidRDefault="002530E2">
      <w:r>
        <w:t>Understanding the patriotic sensitivity of Muslims in response to cross-cultural blunders is essential for multinational corporations aiming to maintain positive relationships with host countries and their Muslim populations. By respecting national symbols, aligning with ethical considerations, and actively engaging with the community, corporations can demonstrate patriotic sensitivity and reduce the likelihood of negative emotional reactions and behaviours among Muslims.</w:t>
      </w:r>
    </w:p>
    <w:p w14:paraId="5323FEF7" w14:textId="77777777" w:rsidR="002530E2" w:rsidRDefault="002530E2">
      <w:pPr>
        <w:pStyle w:val="Heading1"/>
        <w:spacing w:before="0"/>
      </w:pPr>
      <w:bookmarkStart w:id="289" w:name="_3mpswo8dtdvw" w:colFirst="0" w:colLast="0"/>
      <w:bookmarkEnd w:id="289"/>
      <w:r>
        <w:t>MISTAKES, ERRORS, GAFFE &amp; BLUNDERS</w:t>
      </w:r>
    </w:p>
    <w:p w14:paraId="26F91E1A" w14:textId="77777777" w:rsidR="002530E2" w:rsidRDefault="002530E2">
      <w:pPr>
        <w:spacing w:after="0"/>
      </w:pPr>
      <w:r>
        <w:t>The concept of "mistakes" can be understood from various perspectives and has been defined by different authors. Below are a few definitions of mistakes provided by various authors. These definitions highlight that mistakes are inherent to the human experience, often arising from errors in judgement, lack of knowledge or skill, unforeseen circumstances, or attempts to explore new territory. They can serve as valuable learning experiences and catalysts for personal and professional growth.</w:t>
      </w:r>
    </w:p>
    <w:p w14:paraId="3E049327"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
        <w:gridCol w:w="6960"/>
        <w:gridCol w:w="1590"/>
      </w:tblGrid>
      <w:tr w:rsidR="002530E2" w14:paraId="02340727" w14:textId="77777777">
        <w:tc>
          <w:tcPr>
            <w:tcW w:w="510" w:type="dxa"/>
            <w:tcMar>
              <w:top w:w="100" w:type="dxa"/>
              <w:left w:w="100" w:type="dxa"/>
              <w:bottom w:w="100" w:type="dxa"/>
              <w:right w:w="100" w:type="dxa"/>
            </w:tcMar>
          </w:tcPr>
          <w:p w14:paraId="508E127D" w14:textId="77777777" w:rsidR="002530E2" w:rsidRDefault="002530E2">
            <w:pPr>
              <w:widowControl w:val="0"/>
              <w:spacing w:after="0" w:line="276" w:lineRule="auto"/>
              <w:jc w:val="center"/>
            </w:pPr>
            <w:r>
              <w:rPr>
                <w:sz w:val="18"/>
                <w:szCs w:val="18"/>
              </w:rPr>
              <w:t>#</w:t>
            </w:r>
          </w:p>
        </w:tc>
        <w:tc>
          <w:tcPr>
            <w:tcW w:w="6960" w:type="dxa"/>
            <w:tcMar>
              <w:top w:w="100" w:type="dxa"/>
              <w:left w:w="100" w:type="dxa"/>
              <w:bottom w:w="100" w:type="dxa"/>
              <w:right w:w="100" w:type="dxa"/>
            </w:tcMar>
          </w:tcPr>
          <w:p w14:paraId="75681EA6" w14:textId="77777777" w:rsidR="002530E2" w:rsidRDefault="002530E2">
            <w:pPr>
              <w:widowControl w:val="0"/>
              <w:spacing w:after="0" w:line="276" w:lineRule="auto"/>
            </w:pPr>
            <w:r>
              <w:rPr>
                <w:sz w:val="18"/>
                <w:szCs w:val="18"/>
              </w:rPr>
              <w:t>DEFINITION OF MISTAKES</w:t>
            </w:r>
          </w:p>
        </w:tc>
        <w:tc>
          <w:tcPr>
            <w:tcW w:w="1590" w:type="dxa"/>
            <w:tcMar>
              <w:top w:w="100" w:type="dxa"/>
              <w:left w:w="100" w:type="dxa"/>
              <w:bottom w:w="100" w:type="dxa"/>
              <w:right w:w="100" w:type="dxa"/>
            </w:tcMar>
          </w:tcPr>
          <w:p w14:paraId="366CACF5" w14:textId="77777777" w:rsidR="002530E2" w:rsidRDefault="002530E2">
            <w:pPr>
              <w:widowControl w:val="0"/>
              <w:spacing w:after="0" w:line="276" w:lineRule="auto"/>
            </w:pPr>
            <w:r>
              <w:rPr>
                <w:sz w:val="18"/>
                <w:szCs w:val="18"/>
              </w:rPr>
              <w:t>AUTHOR</w:t>
            </w:r>
          </w:p>
        </w:tc>
      </w:tr>
      <w:tr w:rsidR="002530E2" w14:paraId="30B03B4C" w14:textId="77777777">
        <w:tc>
          <w:tcPr>
            <w:tcW w:w="510" w:type="dxa"/>
            <w:tcMar>
              <w:top w:w="100" w:type="dxa"/>
              <w:left w:w="100" w:type="dxa"/>
              <w:bottom w:w="100" w:type="dxa"/>
              <w:right w:w="100" w:type="dxa"/>
            </w:tcMar>
          </w:tcPr>
          <w:p w14:paraId="210315F9" w14:textId="77777777" w:rsidR="002530E2" w:rsidRDefault="002530E2">
            <w:pPr>
              <w:widowControl w:val="0"/>
              <w:spacing w:after="0" w:line="276" w:lineRule="auto"/>
              <w:jc w:val="center"/>
            </w:pPr>
            <w:r>
              <w:rPr>
                <w:sz w:val="18"/>
                <w:szCs w:val="18"/>
              </w:rPr>
              <w:t>1</w:t>
            </w:r>
          </w:p>
        </w:tc>
        <w:tc>
          <w:tcPr>
            <w:tcW w:w="6960" w:type="dxa"/>
            <w:tcMar>
              <w:top w:w="100" w:type="dxa"/>
              <w:left w:w="100" w:type="dxa"/>
              <w:bottom w:w="100" w:type="dxa"/>
              <w:right w:w="100" w:type="dxa"/>
            </w:tcMar>
          </w:tcPr>
          <w:p w14:paraId="0E6EAAC8" w14:textId="77777777" w:rsidR="002530E2" w:rsidRDefault="002530E2">
            <w:pPr>
              <w:widowControl w:val="0"/>
              <w:spacing w:after="0" w:line="276" w:lineRule="auto"/>
            </w:pPr>
            <w:r>
              <w:rPr>
                <w:sz w:val="18"/>
                <w:szCs w:val="18"/>
              </w:rPr>
              <w:t>"Mistakes are unintentional errors or failures in performance that result from lack of knowledge, skill, or attention."</w:t>
            </w:r>
          </w:p>
        </w:tc>
        <w:tc>
          <w:tcPr>
            <w:tcW w:w="1590" w:type="dxa"/>
            <w:tcMar>
              <w:top w:w="100" w:type="dxa"/>
              <w:left w:w="100" w:type="dxa"/>
              <w:bottom w:w="100" w:type="dxa"/>
              <w:right w:w="100" w:type="dxa"/>
            </w:tcMar>
          </w:tcPr>
          <w:p w14:paraId="469A8369" w14:textId="77777777" w:rsidR="002530E2" w:rsidRDefault="002530E2">
            <w:pPr>
              <w:widowControl w:val="0"/>
              <w:spacing w:after="0" w:line="276" w:lineRule="auto"/>
            </w:pPr>
            <w:r>
              <w:rPr>
                <w:sz w:val="18"/>
                <w:szCs w:val="18"/>
              </w:rPr>
              <w:t>Peter Senge</w:t>
            </w:r>
          </w:p>
        </w:tc>
      </w:tr>
      <w:tr w:rsidR="002530E2" w14:paraId="71C31BE8" w14:textId="77777777">
        <w:tc>
          <w:tcPr>
            <w:tcW w:w="510" w:type="dxa"/>
            <w:tcMar>
              <w:top w:w="100" w:type="dxa"/>
              <w:left w:w="100" w:type="dxa"/>
              <w:bottom w:w="100" w:type="dxa"/>
              <w:right w:w="100" w:type="dxa"/>
            </w:tcMar>
          </w:tcPr>
          <w:p w14:paraId="73DF9884" w14:textId="77777777" w:rsidR="002530E2" w:rsidRDefault="002530E2">
            <w:pPr>
              <w:widowControl w:val="0"/>
              <w:spacing w:after="0" w:line="276" w:lineRule="auto"/>
              <w:jc w:val="center"/>
            </w:pPr>
            <w:r>
              <w:rPr>
                <w:sz w:val="18"/>
                <w:szCs w:val="18"/>
              </w:rPr>
              <w:t>2</w:t>
            </w:r>
          </w:p>
        </w:tc>
        <w:tc>
          <w:tcPr>
            <w:tcW w:w="6960" w:type="dxa"/>
            <w:tcMar>
              <w:top w:w="100" w:type="dxa"/>
              <w:left w:w="100" w:type="dxa"/>
              <w:bottom w:w="100" w:type="dxa"/>
              <w:right w:w="100" w:type="dxa"/>
            </w:tcMar>
          </w:tcPr>
          <w:p w14:paraId="63EAEBD9" w14:textId="77777777" w:rsidR="002530E2" w:rsidRDefault="002530E2">
            <w:pPr>
              <w:widowControl w:val="0"/>
              <w:spacing w:after="0" w:line="276" w:lineRule="auto"/>
            </w:pPr>
            <w:r>
              <w:rPr>
                <w:sz w:val="18"/>
                <w:szCs w:val="18"/>
              </w:rPr>
              <w:t xml:space="preserve">"Mistakes are learning opportunities, where individuals deviate from the intended course of action or make errors that lead to undesirable outcomes, but provide valuable feedback for improvement." </w:t>
            </w:r>
          </w:p>
        </w:tc>
        <w:tc>
          <w:tcPr>
            <w:tcW w:w="1590" w:type="dxa"/>
            <w:tcMar>
              <w:top w:w="100" w:type="dxa"/>
              <w:left w:w="100" w:type="dxa"/>
              <w:bottom w:w="100" w:type="dxa"/>
              <w:right w:w="100" w:type="dxa"/>
            </w:tcMar>
          </w:tcPr>
          <w:p w14:paraId="4666D340" w14:textId="77777777" w:rsidR="002530E2" w:rsidRDefault="002530E2">
            <w:pPr>
              <w:widowControl w:val="0"/>
              <w:spacing w:after="0" w:line="276" w:lineRule="auto"/>
            </w:pPr>
            <w:r>
              <w:rPr>
                <w:sz w:val="18"/>
                <w:szCs w:val="18"/>
              </w:rPr>
              <w:t>Carol Dweck</w:t>
            </w:r>
          </w:p>
        </w:tc>
      </w:tr>
      <w:tr w:rsidR="002530E2" w14:paraId="75FD8C2E" w14:textId="77777777">
        <w:tc>
          <w:tcPr>
            <w:tcW w:w="510" w:type="dxa"/>
            <w:tcMar>
              <w:top w:w="100" w:type="dxa"/>
              <w:left w:w="100" w:type="dxa"/>
              <w:bottom w:w="100" w:type="dxa"/>
              <w:right w:w="100" w:type="dxa"/>
            </w:tcMar>
          </w:tcPr>
          <w:p w14:paraId="6512956E" w14:textId="77777777" w:rsidR="002530E2" w:rsidRDefault="002530E2">
            <w:pPr>
              <w:widowControl w:val="0"/>
              <w:spacing w:after="0" w:line="276" w:lineRule="auto"/>
              <w:jc w:val="center"/>
            </w:pPr>
            <w:r>
              <w:rPr>
                <w:sz w:val="18"/>
                <w:szCs w:val="18"/>
              </w:rPr>
              <w:t>3</w:t>
            </w:r>
          </w:p>
        </w:tc>
        <w:tc>
          <w:tcPr>
            <w:tcW w:w="6960" w:type="dxa"/>
            <w:tcMar>
              <w:top w:w="100" w:type="dxa"/>
              <w:left w:w="100" w:type="dxa"/>
              <w:bottom w:w="100" w:type="dxa"/>
              <w:right w:w="100" w:type="dxa"/>
            </w:tcMar>
          </w:tcPr>
          <w:p w14:paraId="14FB8A6F" w14:textId="77777777" w:rsidR="002530E2" w:rsidRDefault="002530E2">
            <w:pPr>
              <w:widowControl w:val="0"/>
              <w:spacing w:after="0" w:line="276" w:lineRule="auto"/>
            </w:pPr>
            <w:r>
              <w:rPr>
                <w:sz w:val="18"/>
                <w:szCs w:val="18"/>
              </w:rPr>
              <w:t xml:space="preserve">"Mistakes are inevitable occurrences that happen when individuals take risks, try new </w:t>
            </w:r>
            <w:r>
              <w:rPr>
                <w:sz w:val="18"/>
                <w:szCs w:val="18"/>
              </w:rPr>
              <w:lastRenderedPageBreak/>
              <w:t xml:space="preserve">things, or venture outside their comfort zone. They are an essential part of the learning process." </w:t>
            </w:r>
          </w:p>
        </w:tc>
        <w:tc>
          <w:tcPr>
            <w:tcW w:w="1590" w:type="dxa"/>
            <w:tcMar>
              <w:top w:w="100" w:type="dxa"/>
              <w:left w:w="100" w:type="dxa"/>
              <w:bottom w:w="100" w:type="dxa"/>
              <w:right w:w="100" w:type="dxa"/>
            </w:tcMar>
          </w:tcPr>
          <w:p w14:paraId="10FA8644" w14:textId="77777777" w:rsidR="002530E2" w:rsidRDefault="002530E2">
            <w:pPr>
              <w:widowControl w:val="0"/>
              <w:spacing w:after="0" w:line="276" w:lineRule="auto"/>
            </w:pPr>
            <w:r>
              <w:rPr>
                <w:sz w:val="18"/>
                <w:szCs w:val="18"/>
              </w:rPr>
              <w:lastRenderedPageBreak/>
              <w:t>Angela Duckworth</w:t>
            </w:r>
          </w:p>
        </w:tc>
      </w:tr>
      <w:tr w:rsidR="002530E2" w14:paraId="7132AE83" w14:textId="77777777">
        <w:tc>
          <w:tcPr>
            <w:tcW w:w="510" w:type="dxa"/>
            <w:tcMar>
              <w:top w:w="100" w:type="dxa"/>
              <w:left w:w="100" w:type="dxa"/>
              <w:bottom w:w="100" w:type="dxa"/>
              <w:right w:w="100" w:type="dxa"/>
            </w:tcMar>
          </w:tcPr>
          <w:p w14:paraId="1AF7CABB" w14:textId="77777777" w:rsidR="002530E2" w:rsidRDefault="002530E2">
            <w:pPr>
              <w:widowControl w:val="0"/>
              <w:spacing w:after="0" w:line="276" w:lineRule="auto"/>
              <w:jc w:val="center"/>
            </w:pPr>
            <w:r>
              <w:rPr>
                <w:sz w:val="18"/>
                <w:szCs w:val="18"/>
              </w:rPr>
              <w:t>4</w:t>
            </w:r>
          </w:p>
        </w:tc>
        <w:tc>
          <w:tcPr>
            <w:tcW w:w="6960" w:type="dxa"/>
            <w:tcMar>
              <w:top w:w="100" w:type="dxa"/>
              <w:left w:w="100" w:type="dxa"/>
              <w:bottom w:w="100" w:type="dxa"/>
              <w:right w:w="100" w:type="dxa"/>
            </w:tcMar>
          </w:tcPr>
          <w:p w14:paraId="2F2931E4" w14:textId="77777777" w:rsidR="002530E2" w:rsidRDefault="002530E2">
            <w:pPr>
              <w:widowControl w:val="0"/>
              <w:spacing w:after="0" w:line="276" w:lineRule="auto"/>
            </w:pPr>
            <w:r>
              <w:rPr>
                <w:sz w:val="18"/>
                <w:szCs w:val="18"/>
              </w:rPr>
              <w:t xml:space="preserve">"Mistakes are deviations from expected or desired outcomes, often resulting from poor judgement, insufficient information, or faulty reasoning." </w:t>
            </w:r>
          </w:p>
        </w:tc>
        <w:tc>
          <w:tcPr>
            <w:tcW w:w="1590" w:type="dxa"/>
            <w:tcMar>
              <w:top w:w="100" w:type="dxa"/>
              <w:left w:w="100" w:type="dxa"/>
              <w:bottom w:w="100" w:type="dxa"/>
              <w:right w:w="100" w:type="dxa"/>
            </w:tcMar>
          </w:tcPr>
          <w:p w14:paraId="5A6BB604" w14:textId="77777777" w:rsidR="002530E2" w:rsidRDefault="002530E2">
            <w:pPr>
              <w:widowControl w:val="0"/>
              <w:spacing w:after="0" w:line="276" w:lineRule="auto"/>
            </w:pPr>
            <w:r>
              <w:rPr>
                <w:sz w:val="18"/>
                <w:szCs w:val="18"/>
              </w:rPr>
              <w:t>Daniel Kahneman</w:t>
            </w:r>
          </w:p>
        </w:tc>
      </w:tr>
      <w:tr w:rsidR="002530E2" w14:paraId="52FA33D6" w14:textId="77777777">
        <w:tc>
          <w:tcPr>
            <w:tcW w:w="510" w:type="dxa"/>
            <w:tcMar>
              <w:top w:w="100" w:type="dxa"/>
              <w:left w:w="100" w:type="dxa"/>
              <w:bottom w:w="100" w:type="dxa"/>
              <w:right w:w="100" w:type="dxa"/>
            </w:tcMar>
          </w:tcPr>
          <w:p w14:paraId="405DC97B" w14:textId="77777777" w:rsidR="002530E2" w:rsidRDefault="002530E2">
            <w:pPr>
              <w:widowControl w:val="0"/>
              <w:spacing w:after="0" w:line="276" w:lineRule="auto"/>
              <w:jc w:val="center"/>
            </w:pPr>
            <w:r>
              <w:rPr>
                <w:sz w:val="18"/>
                <w:szCs w:val="18"/>
              </w:rPr>
              <w:t>5</w:t>
            </w:r>
          </w:p>
        </w:tc>
        <w:tc>
          <w:tcPr>
            <w:tcW w:w="6960" w:type="dxa"/>
            <w:tcMar>
              <w:top w:w="100" w:type="dxa"/>
              <w:left w:w="100" w:type="dxa"/>
              <w:bottom w:w="100" w:type="dxa"/>
              <w:right w:w="100" w:type="dxa"/>
            </w:tcMar>
          </w:tcPr>
          <w:p w14:paraId="6907511E" w14:textId="77777777" w:rsidR="002530E2" w:rsidRDefault="002530E2">
            <w:pPr>
              <w:widowControl w:val="0"/>
              <w:spacing w:after="0" w:line="276" w:lineRule="auto"/>
            </w:pPr>
            <w:r>
              <w:rPr>
                <w:sz w:val="18"/>
                <w:szCs w:val="18"/>
              </w:rPr>
              <w:t xml:space="preserve">"Mistakes are natural human errors that arise from imperfect cognitive processes, limited attention, biases, or external factors that hinder optimal decision-making." </w:t>
            </w:r>
          </w:p>
        </w:tc>
        <w:tc>
          <w:tcPr>
            <w:tcW w:w="1590" w:type="dxa"/>
            <w:tcMar>
              <w:top w:w="100" w:type="dxa"/>
              <w:left w:w="100" w:type="dxa"/>
              <w:bottom w:w="100" w:type="dxa"/>
              <w:right w:w="100" w:type="dxa"/>
            </w:tcMar>
          </w:tcPr>
          <w:p w14:paraId="58BFD925" w14:textId="77777777" w:rsidR="002530E2" w:rsidRDefault="002530E2">
            <w:pPr>
              <w:widowControl w:val="0"/>
              <w:spacing w:after="0" w:line="276" w:lineRule="auto"/>
            </w:pPr>
            <w:r>
              <w:rPr>
                <w:sz w:val="18"/>
                <w:szCs w:val="18"/>
              </w:rPr>
              <w:t>Richard Thaler</w:t>
            </w:r>
          </w:p>
        </w:tc>
      </w:tr>
      <w:tr w:rsidR="002530E2" w14:paraId="7F0881BE" w14:textId="77777777">
        <w:tc>
          <w:tcPr>
            <w:tcW w:w="510" w:type="dxa"/>
            <w:tcMar>
              <w:top w:w="100" w:type="dxa"/>
              <w:left w:w="100" w:type="dxa"/>
              <w:bottom w:w="100" w:type="dxa"/>
              <w:right w:w="100" w:type="dxa"/>
            </w:tcMar>
          </w:tcPr>
          <w:p w14:paraId="63A378F3" w14:textId="77777777" w:rsidR="002530E2" w:rsidRDefault="002530E2">
            <w:pPr>
              <w:widowControl w:val="0"/>
              <w:spacing w:after="0" w:line="276" w:lineRule="auto"/>
              <w:jc w:val="center"/>
            </w:pPr>
            <w:r>
              <w:rPr>
                <w:sz w:val="18"/>
                <w:szCs w:val="18"/>
              </w:rPr>
              <w:t>6</w:t>
            </w:r>
          </w:p>
        </w:tc>
        <w:tc>
          <w:tcPr>
            <w:tcW w:w="6960" w:type="dxa"/>
            <w:tcMar>
              <w:top w:w="100" w:type="dxa"/>
              <w:left w:w="100" w:type="dxa"/>
              <w:bottom w:w="100" w:type="dxa"/>
              <w:right w:w="100" w:type="dxa"/>
            </w:tcMar>
          </w:tcPr>
          <w:p w14:paraId="1163E4D0" w14:textId="77777777" w:rsidR="002530E2" w:rsidRDefault="002530E2">
            <w:pPr>
              <w:widowControl w:val="0"/>
              <w:spacing w:after="0" w:line="276" w:lineRule="auto"/>
            </w:pPr>
            <w:r>
              <w:rPr>
                <w:sz w:val="18"/>
                <w:szCs w:val="18"/>
              </w:rPr>
              <w:t xml:space="preserve">"Mistakes are opportunities for growth and self-improvement, where individuals can learn from their missteps, adjust their strategies, and develop resilience." </w:t>
            </w:r>
          </w:p>
        </w:tc>
        <w:tc>
          <w:tcPr>
            <w:tcW w:w="1590" w:type="dxa"/>
            <w:tcMar>
              <w:top w:w="100" w:type="dxa"/>
              <w:left w:w="100" w:type="dxa"/>
              <w:bottom w:w="100" w:type="dxa"/>
              <w:right w:w="100" w:type="dxa"/>
            </w:tcMar>
          </w:tcPr>
          <w:p w14:paraId="404DAD92" w14:textId="77777777" w:rsidR="002530E2" w:rsidRDefault="002530E2">
            <w:pPr>
              <w:widowControl w:val="0"/>
              <w:spacing w:after="0" w:line="276" w:lineRule="auto"/>
            </w:pPr>
            <w:r>
              <w:rPr>
                <w:sz w:val="18"/>
                <w:szCs w:val="18"/>
              </w:rPr>
              <w:t>Carol S. Dweck</w:t>
            </w:r>
          </w:p>
        </w:tc>
      </w:tr>
    </w:tbl>
    <w:p w14:paraId="04664FB6" w14:textId="77777777" w:rsidR="002530E2" w:rsidRDefault="002530E2"/>
    <w:p w14:paraId="640CABFE" w14:textId="77777777" w:rsidR="002530E2" w:rsidRDefault="002530E2">
      <w:pPr>
        <w:spacing w:before="240" w:after="240"/>
      </w:pPr>
      <w:r>
        <w:t>Mistakes, errors, gaffes, and blunders are all terms that refer to various types of failures or missteps, often resulting in negative consequences or unintended outcomes. Here's a brief explanation of each term:</w:t>
      </w:r>
    </w:p>
    <w:p w14:paraId="552F15ED" w14:textId="77777777" w:rsidR="002530E2" w:rsidRDefault="002530E2" w:rsidP="002530E2">
      <w:pPr>
        <w:numPr>
          <w:ilvl w:val="0"/>
          <w:numId w:val="133"/>
        </w:numPr>
        <w:spacing w:before="240" w:after="200" w:line="360" w:lineRule="auto"/>
        <w:jc w:val="both"/>
        <w:rPr>
          <w:sz w:val="20"/>
          <w:szCs w:val="20"/>
        </w:rPr>
      </w:pPr>
      <w:r>
        <w:t>Mistakes: Mistakes are unintentional errors or inaccuracies made due to oversight, lack of knowledge, or misjudgment. They can occur in various contexts, including personal, professional, or academic settings. Mistakes are typically unintentional and can be corrected or learned from.</w:t>
      </w:r>
    </w:p>
    <w:p w14:paraId="0A68F919" w14:textId="77777777" w:rsidR="002530E2" w:rsidRDefault="002530E2" w:rsidP="002530E2">
      <w:pPr>
        <w:numPr>
          <w:ilvl w:val="0"/>
          <w:numId w:val="133"/>
        </w:numPr>
        <w:spacing w:after="200" w:line="360" w:lineRule="auto"/>
        <w:jc w:val="both"/>
        <w:rPr>
          <w:sz w:val="20"/>
          <w:szCs w:val="20"/>
        </w:rPr>
      </w:pPr>
      <w:r>
        <w:t>Errors: Errors are similar to mistakes and refer to inaccuracies or faults in judgement, perception, or action. They can result from factors such as misinformation, misunderstanding, or miscalculation. Errors can occur in different domains, including scientific research, data analysis, or everyday tasks.</w:t>
      </w:r>
    </w:p>
    <w:p w14:paraId="7828D8F2" w14:textId="77777777" w:rsidR="002530E2" w:rsidRDefault="002530E2" w:rsidP="002530E2">
      <w:pPr>
        <w:numPr>
          <w:ilvl w:val="0"/>
          <w:numId w:val="133"/>
        </w:numPr>
        <w:spacing w:after="200" w:line="360" w:lineRule="auto"/>
        <w:jc w:val="both"/>
        <w:rPr>
          <w:sz w:val="20"/>
          <w:szCs w:val="20"/>
        </w:rPr>
      </w:pPr>
      <w:r>
        <w:t>Gaffes: Gaffes are embarrassing or tactless mistakes or blunders, often made in social or public situations. They typically involve a violation of social norms, etiquette, or cultural expectations. Gaffes can lead to awkwardness, offence, or ridicule. Gaffe (noun): “An unintentional act or remark causing embarrassment to its originator; a blunder.” (Lexico English Dictionaries, 2022).</w:t>
      </w:r>
    </w:p>
    <w:p w14:paraId="5217A3D7" w14:textId="77777777" w:rsidR="002530E2" w:rsidRDefault="002530E2" w:rsidP="002530E2">
      <w:pPr>
        <w:numPr>
          <w:ilvl w:val="0"/>
          <w:numId w:val="133"/>
        </w:numPr>
        <w:spacing w:before="240" w:after="200" w:line="360" w:lineRule="auto"/>
        <w:jc w:val="both"/>
        <w:rPr>
          <w:sz w:val="20"/>
          <w:szCs w:val="20"/>
        </w:rPr>
      </w:pPr>
      <w:r>
        <w:t>Blunders: Blunders are significant mistakes or errors in judgement that have more serious consequences. They often result from poor decision-making, lack of foresight, or negligence. Blunders can have far-reaching effects, including financial loss, damage to reputation, or harm to individuals or organisations involved.</w:t>
      </w:r>
    </w:p>
    <w:p w14:paraId="6FF5468B" w14:textId="77777777" w:rsidR="002530E2" w:rsidRDefault="002530E2">
      <w:pPr>
        <w:spacing w:before="240" w:after="240"/>
      </w:pPr>
      <w:r>
        <w:t>In various contexts, these terms are used interchangeably to describe different types of mistakes or failures. The severity and impact of a mistake, error, gaffe, or blunder can vary depending on the specific circumstances and the magnitude of the consequences. It is important to learn from these missteps, take appropriate corrective actions, and strive to avoid repeating them in the future.</w:t>
      </w:r>
    </w:p>
    <w:p w14:paraId="2FA041BA" w14:textId="77777777" w:rsidR="002530E2" w:rsidRDefault="002530E2">
      <w:pPr>
        <w:pStyle w:val="Heading2"/>
      </w:pPr>
      <w:bookmarkStart w:id="290" w:name="_h5xago1prijx" w:colFirst="0" w:colLast="0"/>
      <w:bookmarkEnd w:id="290"/>
      <w:r>
        <w:lastRenderedPageBreak/>
        <w:t xml:space="preserve">OTHER SYNONYMS OF BLUNDER </w:t>
      </w:r>
    </w:p>
    <w:p w14:paraId="32064088" w14:textId="77777777" w:rsidR="002530E2" w:rsidRDefault="002530E2">
      <w:r>
        <w:t>According to the Lexico English Dictionaries (2022), the term blunder is a noun, and it is “a stupid or careless mistake.” The following terms’ ‘Mistake,’ ‘Gaffe,’ ‘Faux pas,’ ‘Slip-up,’ ‘Foul-up,’ ‘Fail,’ ‘Failure,’ ‘Neglect,’ ‘Error,’ ‘Blooper,’ ‘Bloomer,’ ‘Blemish,’ ‘Defect,’ ‘Flaw,’ ‘Fault,’ ‘Problem,’ ‘Issue,’ and ‘Sin’ are close to the word ‘Blunder’ and their definitions are given below.</w:t>
      </w:r>
    </w:p>
    <w:p w14:paraId="34E67195" w14:textId="77777777" w:rsidR="002530E2" w:rsidRDefault="002530E2" w:rsidP="002530E2">
      <w:pPr>
        <w:numPr>
          <w:ilvl w:val="0"/>
          <w:numId w:val="87"/>
        </w:numPr>
        <w:spacing w:after="200" w:line="360" w:lineRule="auto"/>
        <w:jc w:val="both"/>
        <w:rPr>
          <w:sz w:val="20"/>
          <w:szCs w:val="20"/>
        </w:rPr>
      </w:pPr>
      <w:r>
        <w:t>Faux pas (plural noun): “An embarrassing or tactless act or remark in a social situation.” Word of French origin, that literally means ‘false step’ (Lexico English Dictionaries, 2022).</w:t>
      </w:r>
    </w:p>
    <w:p w14:paraId="07A0223F" w14:textId="77777777" w:rsidR="002530E2" w:rsidRDefault="002530E2" w:rsidP="002530E2">
      <w:pPr>
        <w:numPr>
          <w:ilvl w:val="0"/>
          <w:numId w:val="87"/>
        </w:numPr>
        <w:spacing w:after="200" w:line="360" w:lineRule="auto"/>
        <w:jc w:val="both"/>
        <w:rPr>
          <w:sz w:val="20"/>
          <w:szCs w:val="20"/>
        </w:rPr>
      </w:pPr>
      <w:r>
        <w:t>Slip-up (noun, informal): “A minor or careless mistake.” (Lexico English Dictionaries, 2022).</w:t>
      </w:r>
    </w:p>
    <w:p w14:paraId="254E7872" w14:textId="77777777" w:rsidR="002530E2" w:rsidRDefault="002530E2" w:rsidP="002530E2">
      <w:pPr>
        <w:numPr>
          <w:ilvl w:val="0"/>
          <w:numId w:val="87"/>
        </w:numPr>
        <w:spacing w:after="200" w:line="360" w:lineRule="auto"/>
        <w:jc w:val="both"/>
        <w:rPr>
          <w:sz w:val="20"/>
          <w:szCs w:val="20"/>
        </w:rPr>
      </w:pPr>
      <w:r>
        <w:t>Foul-up (noun): “A problem caused by a stupid mistake.” (Lexico English Dictionaries, 2022).</w:t>
      </w:r>
    </w:p>
    <w:p w14:paraId="4E6F71AC" w14:textId="77777777" w:rsidR="002530E2" w:rsidRDefault="002530E2" w:rsidP="002530E2">
      <w:pPr>
        <w:numPr>
          <w:ilvl w:val="0"/>
          <w:numId w:val="87"/>
        </w:numPr>
        <w:spacing w:after="200" w:line="360" w:lineRule="auto"/>
        <w:jc w:val="both"/>
        <w:rPr>
          <w:sz w:val="20"/>
          <w:szCs w:val="20"/>
        </w:rPr>
      </w:pPr>
      <w:r>
        <w:t>Blooper (noun, mainly North American): “An embarrassing error.” (Lexico English Dictionaries, 2022).</w:t>
      </w:r>
    </w:p>
    <w:p w14:paraId="2468BF88" w14:textId="77777777" w:rsidR="002530E2" w:rsidRDefault="002530E2" w:rsidP="002530E2">
      <w:pPr>
        <w:numPr>
          <w:ilvl w:val="0"/>
          <w:numId w:val="87"/>
        </w:numPr>
        <w:spacing w:after="200" w:line="360" w:lineRule="auto"/>
        <w:jc w:val="both"/>
        <w:rPr>
          <w:sz w:val="20"/>
          <w:szCs w:val="20"/>
        </w:rPr>
      </w:pPr>
      <w:r>
        <w:t>Error (noun): “A mistake.” (Lexico English Dictionaries, 2022).</w:t>
      </w:r>
    </w:p>
    <w:p w14:paraId="61889B65" w14:textId="77777777" w:rsidR="002530E2" w:rsidRDefault="002530E2" w:rsidP="002530E2">
      <w:pPr>
        <w:numPr>
          <w:ilvl w:val="0"/>
          <w:numId w:val="87"/>
        </w:numPr>
        <w:spacing w:after="200" w:line="360" w:lineRule="auto"/>
        <w:jc w:val="both"/>
        <w:rPr>
          <w:sz w:val="20"/>
          <w:szCs w:val="20"/>
        </w:rPr>
      </w:pPr>
      <w:r>
        <w:t>Fail (verb): “Be unsuccessful in achieving one's goal; Neglect to do something.” (Lexico English Dictionaries, 2022).</w:t>
      </w:r>
    </w:p>
    <w:p w14:paraId="50BE6D79" w14:textId="77777777" w:rsidR="002530E2" w:rsidRDefault="002530E2" w:rsidP="002530E2">
      <w:pPr>
        <w:numPr>
          <w:ilvl w:val="0"/>
          <w:numId w:val="87"/>
        </w:numPr>
        <w:spacing w:after="200" w:line="360" w:lineRule="auto"/>
        <w:jc w:val="both"/>
        <w:rPr>
          <w:sz w:val="20"/>
          <w:szCs w:val="20"/>
        </w:rPr>
      </w:pPr>
      <w:r>
        <w:t>Failure (noun): “Lack of success.” (Lexico English Dictionaries, 2022).</w:t>
      </w:r>
    </w:p>
    <w:p w14:paraId="347A977F" w14:textId="77777777" w:rsidR="002530E2" w:rsidRDefault="002530E2" w:rsidP="002530E2">
      <w:pPr>
        <w:numPr>
          <w:ilvl w:val="0"/>
          <w:numId w:val="87"/>
        </w:numPr>
        <w:spacing w:after="200" w:line="360" w:lineRule="auto"/>
        <w:jc w:val="both"/>
        <w:rPr>
          <w:sz w:val="20"/>
          <w:szCs w:val="20"/>
        </w:rPr>
      </w:pPr>
      <w:r>
        <w:t>Neglect (verb): “Fail to care for properly; not paying proper attention to; disregard.” (Lexico English Dictionaries, 2022).</w:t>
      </w:r>
    </w:p>
    <w:p w14:paraId="5E12A320" w14:textId="77777777" w:rsidR="002530E2" w:rsidRDefault="002530E2" w:rsidP="002530E2">
      <w:pPr>
        <w:numPr>
          <w:ilvl w:val="0"/>
          <w:numId w:val="87"/>
        </w:numPr>
        <w:spacing w:after="200" w:line="360" w:lineRule="auto"/>
        <w:jc w:val="both"/>
        <w:rPr>
          <w:sz w:val="20"/>
          <w:szCs w:val="20"/>
        </w:rPr>
      </w:pPr>
      <w:r>
        <w:t>Bloomer (noun, informal): “A serious or stupid mistake.” (Lexico English Dictionaries, 2022).</w:t>
      </w:r>
    </w:p>
    <w:p w14:paraId="0C08E11D" w14:textId="77777777" w:rsidR="002530E2" w:rsidRDefault="002530E2" w:rsidP="002530E2">
      <w:pPr>
        <w:numPr>
          <w:ilvl w:val="0"/>
          <w:numId w:val="87"/>
        </w:numPr>
        <w:spacing w:after="200" w:line="360" w:lineRule="auto"/>
        <w:jc w:val="both"/>
        <w:rPr>
          <w:sz w:val="20"/>
          <w:szCs w:val="20"/>
        </w:rPr>
      </w:pPr>
      <w:r>
        <w:t>Blemish (noun): “A small mark or flaw which spoils the appearance of something; a fault.” (Lexico English Dictionaries, 2022).</w:t>
      </w:r>
    </w:p>
    <w:p w14:paraId="4BB0CAE2" w14:textId="77777777" w:rsidR="002530E2" w:rsidRDefault="002530E2" w:rsidP="002530E2">
      <w:pPr>
        <w:numPr>
          <w:ilvl w:val="0"/>
          <w:numId w:val="87"/>
        </w:numPr>
        <w:spacing w:after="200" w:line="360" w:lineRule="auto"/>
        <w:jc w:val="both"/>
        <w:rPr>
          <w:sz w:val="20"/>
          <w:szCs w:val="20"/>
        </w:rPr>
      </w:pPr>
      <w:r>
        <w:t>Defect (noun): “A shortcoming, imperfection, or lack.” (Lexico English Dictionaries, 2022).</w:t>
      </w:r>
    </w:p>
    <w:p w14:paraId="58642687" w14:textId="77777777" w:rsidR="002530E2" w:rsidRDefault="002530E2" w:rsidP="002530E2">
      <w:pPr>
        <w:numPr>
          <w:ilvl w:val="0"/>
          <w:numId w:val="87"/>
        </w:numPr>
        <w:spacing w:after="200" w:line="360" w:lineRule="auto"/>
        <w:jc w:val="both"/>
        <w:rPr>
          <w:sz w:val="20"/>
          <w:szCs w:val="20"/>
        </w:rPr>
      </w:pPr>
      <w:r>
        <w:t>Flaw (noun): “A mark, blemish, or other imperfection which mars a substance or object; a mistake or shortcoming in a plan, theory, etc. which causes it to fail or reduces its effectiveness.” (Lexico English Dictionaries, 2022).</w:t>
      </w:r>
    </w:p>
    <w:p w14:paraId="1526EE80" w14:textId="77777777" w:rsidR="002530E2" w:rsidRDefault="002530E2" w:rsidP="002530E2">
      <w:pPr>
        <w:numPr>
          <w:ilvl w:val="0"/>
          <w:numId w:val="87"/>
        </w:numPr>
        <w:spacing w:after="200" w:line="360" w:lineRule="auto"/>
        <w:jc w:val="both"/>
        <w:rPr>
          <w:sz w:val="20"/>
          <w:szCs w:val="20"/>
        </w:rPr>
      </w:pPr>
      <w:r>
        <w:t>Fault (verb): “Criticise for inadequacy or mistakes.” (Lexico English Dictionaries, 2022).</w:t>
      </w:r>
    </w:p>
    <w:p w14:paraId="119855BB" w14:textId="77777777" w:rsidR="002530E2" w:rsidRDefault="002530E2" w:rsidP="002530E2">
      <w:pPr>
        <w:numPr>
          <w:ilvl w:val="0"/>
          <w:numId w:val="87"/>
        </w:numPr>
        <w:spacing w:after="200" w:line="360" w:lineRule="auto"/>
        <w:jc w:val="both"/>
        <w:rPr>
          <w:sz w:val="20"/>
          <w:szCs w:val="20"/>
        </w:rPr>
      </w:pPr>
      <w:r>
        <w:t>Problem (noun): “A matter or situation regarded as unwelcome or harmful and needing to be dealt with and overcome.” (Lexico English Dictionaries, 2022).</w:t>
      </w:r>
    </w:p>
    <w:p w14:paraId="1C1DA760" w14:textId="77777777" w:rsidR="002530E2" w:rsidRDefault="002530E2" w:rsidP="002530E2">
      <w:pPr>
        <w:numPr>
          <w:ilvl w:val="0"/>
          <w:numId w:val="87"/>
        </w:numPr>
        <w:spacing w:after="200" w:line="360" w:lineRule="auto"/>
        <w:jc w:val="both"/>
        <w:rPr>
          <w:sz w:val="20"/>
          <w:szCs w:val="20"/>
        </w:rPr>
      </w:pPr>
      <w:r>
        <w:lastRenderedPageBreak/>
        <w:t>Issue (noun): “An important topic or problem for debate or discussion.” (Lexico English Dictionaries, 2022).</w:t>
      </w:r>
    </w:p>
    <w:p w14:paraId="38AAC972" w14:textId="77777777" w:rsidR="002530E2" w:rsidRDefault="002530E2" w:rsidP="002530E2">
      <w:pPr>
        <w:numPr>
          <w:ilvl w:val="0"/>
          <w:numId w:val="87"/>
        </w:numPr>
        <w:spacing w:after="200" w:line="360" w:lineRule="auto"/>
        <w:jc w:val="both"/>
        <w:rPr>
          <w:sz w:val="20"/>
          <w:szCs w:val="20"/>
        </w:rPr>
      </w:pPr>
      <w:r>
        <w:t>Sin (noun): “An act regarded as a serious or regrettable fault, offence, or omission.” (Lexico English Dictionaries, 2022).</w:t>
      </w:r>
    </w:p>
    <w:p w14:paraId="0AFEDD67" w14:textId="77777777" w:rsidR="002530E2" w:rsidRDefault="002530E2">
      <w:r>
        <w:t xml:space="preserve">The Lexico English Dictionaries (2022) refers to ‘Mistake’ (noun) as “an act or judgement that is misguided or wrong.” A mistake is an unexpected, undesirable error or mishap, often seen as a bad thing. It's rarely unavoidable and no one's fault. The Oxford Learners' Dictionaries (2010) define the word “mistake” as “an action or an opinion that is not correct, or that produces a result that you did not want.” Although seen as negative, mistakes have their positive sides too. Bram Stoker quotes, “We learn from failure, not from success!” (Goodreads.com, 2018). Mistakes can prompt about something that didn't work in a way it was supposed to have worked and reasons. They can also provide opportunities for invaluable learning experiences. This popular quote from German-born theoretical physicist Albert Einstein (1880s) provides some solace to the distressed: “Anyone who has never made a mistake has never tried anything new” (Goodreads.com, 2018). </w:t>
      </w:r>
    </w:p>
    <w:p w14:paraId="6E807ABA" w14:textId="77777777" w:rsidR="002530E2" w:rsidRDefault="002530E2">
      <w:r>
        <w:t xml:space="preserve">Mistakes are acceptable at an amateur level to gain initial exposure and experience. Still, repeating mistakes at an amateur level may mean one has not learnt lessons from the past. A quote on repeating mistakes by Steven Denn: “You can never make the same mistake twice, because the second time you make it, it's not a mistake, it's a choice” (Goodreads.com, 2018). Accountability at a professional level is high and under constant pressure. When committed at the pro-level, mistakes can have undesirable, disappointing, and dire consequences. Repeating mistakes at a pro-level can question one's maturity, knowledge, skills, experience, eye for detail, and sincere attention to responsibility, integrity, and accountability. </w:t>
      </w:r>
    </w:p>
    <w:p w14:paraId="51F12842" w14:textId="77777777" w:rsidR="002530E2" w:rsidRDefault="002530E2">
      <w:r>
        <w:t xml:space="preserve">Motivational speaker, author and life coach Tony A. Gaskins (2010) said, “The wise learn from the mistakes of others, it’s the fool that wants to make their own mistakes” (Quotefancy.com, 2016). It is of paramount importance for professionals to consider the severe consequences of mistakes, avoid them at all costs and not repeat them if it has happened once. It is expected of professionals that they make no mistakes and avoid mistakes of a reckless nature. </w:t>
      </w:r>
    </w:p>
    <w:p w14:paraId="2BA23B07" w14:textId="77777777" w:rsidR="002530E2" w:rsidRDefault="002530E2">
      <w:pPr>
        <w:pStyle w:val="Heading2"/>
      </w:pPr>
      <w:bookmarkStart w:id="291" w:name="_yv0zgdi76hlz" w:colFirst="0" w:colLast="0"/>
      <w:bookmarkEnd w:id="291"/>
      <w:r>
        <w:t>BRAND BLUNDERS &amp; BRANDING BLUNDERS</w:t>
      </w:r>
    </w:p>
    <w:p w14:paraId="09BF4739" w14:textId="77777777" w:rsidR="002530E2" w:rsidRDefault="002530E2">
      <w:r>
        <w:t xml:space="preserve">The broad definition of “brand blunders” is published in only one article in the Wikipedia directory. The other phrases used from time to time in place of "brand blunders” are “brand failure”, “brand fails”, “brand mistake”, “brand faux pas”, “brand gaffe”, “brand slip-up”, and “brand foul-up”. Words such as “brand sins” and “brand errors” are rarely used in the place of “brand blunders”. These words and phrases are often confused. “Brand blunders” refer to an error associated with the branding of a product that has failed due to the lack of understanding of the language, culture, and consumer attitudes in new markets. Distinctively, “brand failure” is concerned with a product's inability to establish itself in the market, survive, or persist and sustain. “Brand blunders” and “Brand failure” are two distinct concepts with different meanings. The term “brand blunders” must not be confused with “brand failure.” The word “error” should not be confused with the word “inability.” </w:t>
      </w:r>
    </w:p>
    <w:p w14:paraId="0A1C1AB8" w14:textId="77777777" w:rsidR="002530E2" w:rsidRDefault="002530E2">
      <w:pPr>
        <w:pStyle w:val="Heading1"/>
      </w:pPr>
      <w:bookmarkStart w:id="292" w:name="_pm0ilfg0cxl7" w:colFirst="0" w:colLast="0"/>
      <w:bookmarkEnd w:id="292"/>
      <w:r>
        <w:lastRenderedPageBreak/>
        <w:t>CROSS-CULTURAL BRANDING BLUNDERS</w:t>
      </w:r>
    </w:p>
    <w:p w14:paraId="7339C37B" w14:textId="77777777" w:rsidR="002530E2" w:rsidRDefault="002530E2">
      <w:pPr>
        <w:spacing w:after="0"/>
      </w:pPr>
      <w:r>
        <w:t>The term "cross-cultural blunders" refers to mistakes or errors made when navigating or interacting in a cross-cultural context. Below are some definitions of cross-cultural blunders from various authors. These definitions highlight that cross-cultural blunders occur when individuals fail to navigate the complexities of different cultures, leading to misunderstandings, offence, or miscommunication. They emphasise the importance of cultural awareness, sensitivity, and adaptability in effectively engaging with diverse cultures and avoiding unintended negative consequences in cross-cultural interactions.</w:t>
      </w:r>
    </w:p>
    <w:p w14:paraId="0A0D4032"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
        <w:gridCol w:w="7275"/>
        <w:gridCol w:w="1275"/>
      </w:tblGrid>
      <w:tr w:rsidR="002530E2" w14:paraId="2DB5122F" w14:textId="77777777">
        <w:tc>
          <w:tcPr>
            <w:tcW w:w="510" w:type="dxa"/>
            <w:tcMar>
              <w:top w:w="100" w:type="dxa"/>
              <w:left w:w="100" w:type="dxa"/>
              <w:bottom w:w="100" w:type="dxa"/>
              <w:right w:w="100" w:type="dxa"/>
            </w:tcMar>
          </w:tcPr>
          <w:p w14:paraId="3964710B" w14:textId="77777777" w:rsidR="002530E2" w:rsidRDefault="002530E2">
            <w:pPr>
              <w:widowControl w:val="0"/>
              <w:spacing w:after="0" w:line="276" w:lineRule="auto"/>
              <w:jc w:val="center"/>
            </w:pPr>
            <w:r>
              <w:rPr>
                <w:sz w:val="18"/>
                <w:szCs w:val="18"/>
              </w:rPr>
              <w:t>#</w:t>
            </w:r>
          </w:p>
        </w:tc>
        <w:tc>
          <w:tcPr>
            <w:tcW w:w="7275" w:type="dxa"/>
            <w:tcMar>
              <w:top w:w="100" w:type="dxa"/>
              <w:left w:w="100" w:type="dxa"/>
              <w:bottom w:w="100" w:type="dxa"/>
              <w:right w:w="100" w:type="dxa"/>
            </w:tcMar>
          </w:tcPr>
          <w:p w14:paraId="5D517348" w14:textId="77777777" w:rsidR="002530E2" w:rsidRDefault="002530E2">
            <w:pPr>
              <w:widowControl w:val="0"/>
              <w:spacing w:after="0" w:line="276" w:lineRule="auto"/>
            </w:pPr>
            <w:r>
              <w:rPr>
                <w:sz w:val="18"/>
                <w:szCs w:val="18"/>
              </w:rPr>
              <w:t xml:space="preserve">DEFINITION OF CROSS-CULTURAL BLUNDERS </w:t>
            </w:r>
          </w:p>
        </w:tc>
        <w:tc>
          <w:tcPr>
            <w:tcW w:w="1275" w:type="dxa"/>
            <w:tcMar>
              <w:top w:w="100" w:type="dxa"/>
              <w:left w:w="100" w:type="dxa"/>
              <w:bottom w:w="100" w:type="dxa"/>
              <w:right w:w="100" w:type="dxa"/>
            </w:tcMar>
          </w:tcPr>
          <w:p w14:paraId="18C08B84" w14:textId="77777777" w:rsidR="002530E2" w:rsidRDefault="002530E2">
            <w:pPr>
              <w:widowControl w:val="0"/>
              <w:spacing w:after="0" w:line="276" w:lineRule="auto"/>
            </w:pPr>
            <w:r>
              <w:rPr>
                <w:sz w:val="18"/>
                <w:szCs w:val="18"/>
              </w:rPr>
              <w:t>AUTHOR</w:t>
            </w:r>
          </w:p>
        </w:tc>
      </w:tr>
      <w:tr w:rsidR="002530E2" w14:paraId="4BC1B479" w14:textId="77777777">
        <w:tc>
          <w:tcPr>
            <w:tcW w:w="510" w:type="dxa"/>
            <w:tcMar>
              <w:top w:w="100" w:type="dxa"/>
              <w:left w:w="100" w:type="dxa"/>
              <w:bottom w:w="100" w:type="dxa"/>
              <w:right w:w="100" w:type="dxa"/>
            </w:tcMar>
          </w:tcPr>
          <w:p w14:paraId="168756A4" w14:textId="77777777" w:rsidR="002530E2" w:rsidRDefault="002530E2">
            <w:pPr>
              <w:widowControl w:val="0"/>
              <w:spacing w:after="0" w:line="276" w:lineRule="auto"/>
              <w:jc w:val="center"/>
            </w:pPr>
            <w:r>
              <w:rPr>
                <w:sz w:val="18"/>
                <w:szCs w:val="18"/>
              </w:rPr>
              <w:t>1</w:t>
            </w:r>
          </w:p>
        </w:tc>
        <w:tc>
          <w:tcPr>
            <w:tcW w:w="7275" w:type="dxa"/>
            <w:tcMar>
              <w:top w:w="100" w:type="dxa"/>
              <w:left w:w="100" w:type="dxa"/>
              <w:bottom w:w="100" w:type="dxa"/>
              <w:right w:w="100" w:type="dxa"/>
            </w:tcMar>
          </w:tcPr>
          <w:p w14:paraId="61138294" w14:textId="77777777" w:rsidR="002530E2" w:rsidRDefault="002530E2">
            <w:pPr>
              <w:widowControl w:val="0"/>
              <w:spacing w:after="0" w:line="276" w:lineRule="auto"/>
            </w:pPr>
            <w:r>
              <w:rPr>
                <w:sz w:val="18"/>
                <w:szCs w:val="18"/>
              </w:rPr>
              <w:t xml:space="preserve">"Cross-cultural blunders are unintentional and often embarrassing actions or communication missteps that occur when individuals lack awareness or understanding of the cultural norms, values, and practices of a different culture." </w:t>
            </w:r>
          </w:p>
        </w:tc>
        <w:tc>
          <w:tcPr>
            <w:tcW w:w="1275" w:type="dxa"/>
            <w:tcMar>
              <w:top w:w="100" w:type="dxa"/>
              <w:left w:w="100" w:type="dxa"/>
              <w:bottom w:w="100" w:type="dxa"/>
              <w:right w:w="100" w:type="dxa"/>
            </w:tcMar>
          </w:tcPr>
          <w:p w14:paraId="44856007" w14:textId="77777777" w:rsidR="002530E2" w:rsidRDefault="002530E2">
            <w:pPr>
              <w:widowControl w:val="0"/>
              <w:spacing w:after="0" w:line="276" w:lineRule="auto"/>
            </w:pPr>
            <w:r>
              <w:rPr>
                <w:sz w:val="18"/>
                <w:szCs w:val="18"/>
              </w:rPr>
              <w:t>Fons Trompenaars</w:t>
            </w:r>
          </w:p>
        </w:tc>
      </w:tr>
      <w:tr w:rsidR="002530E2" w14:paraId="6D6FA183" w14:textId="77777777">
        <w:tc>
          <w:tcPr>
            <w:tcW w:w="510" w:type="dxa"/>
            <w:tcMar>
              <w:top w:w="100" w:type="dxa"/>
              <w:left w:w="100" w:type="dxa"/>
              <w:bottom w:w="100" w:type="dxa"/>
              <w:right w:w="100" w:type="dxa"/>
            </w:tcMar>
          </w:tcPr>
          <w:p w14:paraId="61356E2E" w14:textId="77777777" w:rsidR="002530E2" w:rsidRDefault="002530E2">
            <w:pPr>
              <w:widowControl w:val="0"/>
              <w:spacing w:after="0" w:line="276" w:lineRule="auto"/>
              <w:jc w:val="center"/>
            </w:pPr>
            <w:r>
              <w:rPr>
                <w:sz w:val="18"/>
                <w:szCs w:val="18"/>
              </w:rPr>
              <w:t>2</w:t>
            </w:r>
          </w:p>
        </w:tc>
        <w:tc>
          <w:tcPr>
            <w:tcW w:w="7275" w:type="dxa"/>
            <w:tcMar>
              <w:top w:w="100" w:type="dxa"/>
              <w:left w:w="100" w:type="dxa"/>
              <w:bottom w:w="100" w:type="dxa"/>
              <w:right w:w="100" w:type="dxa"/>
            </w:tcMar>
          </w:tcPr>
          <w:p w14:paraId="59D0CDF3" w14:textId="77777777" w:rsidR="002530E2" w:rsidRDefault="002530E2">
            <w:pPr>
              <w:widowControl w:val="0"/>
              <w:spacing w:after="0" w:line="276" w:lineRule="auto"/>
            </w:pPr>
            <w:r>
              <w:rPr>
                <w:sz w:val="18"/>
                <w:szCs w:val="18"/>
              </w:rPr>
              <w:t xml:space="preserve">"Cross-cultural blunders are cultural misunderstandings or misinterpretations that arise when individuals fail to recognize and adapt to the cultural differences present in a multicultural setting." </w:t>
            </w:r>
          </w:p>
        </w:tc>
        <w:tc>
          <w:tcPr>
            <w:tcW w:w="1275" w:type="dxa"/>
            <w:tcMar>
              <w:top w:w="100" w:type="dxa"/>
              <w:left w:w="100" w:type="dxa"/>
              <w:bottom w:w="100" w:type="dxa"/>
              <w:right w:w="100" w:type="dxa"/>
            </w:tcMar>
          </w:tcPr>
          <w:p w14:paraId="3A79CB0E" w14:textId="77777777" w:rsidR="002530E2" w:rsidRDefault="002530E2">
            <w:pPr>
              <w:widowControl w:val="0"/>
              <w:spacing w:after="0" w:line="276" w:lineRule="auto"/>
            </w:pPr>
            <w:r>
              <w:rPr>
                <w:sz w:val="18"/>
                <w:szCs w:val="18"/>
              </w:rPr>
              <w:t>Erin Meyer</w:t>
            </w:r>
          </w:p>
        </w:tc>
      </w:tr>
      <w:tr w:rsidR="002530E2" w14:paraId="17EBF824" w14:textId="77777777">
        <w:tc>
          <w:tcPr>
            <w:tcW w:w="510" w:type="dxa"/>
            <w:tcMar>
              <w:top w:w="100" w:type="dxa"/>
              <w:left w:w="100" w:type="dxa"/>
              <w:bottom w:w="100" w:type="dxa"/>
              <w:right w:w="100" w:type="dxa"/>
            </w:tcMar>
          </w:tcPr>
          <w:p w14:paraId="6E941F17" w14:textId="77777777" w:rsidR="002530E2" w:rsidRDefault="002530E2">
            <w:pPr>
              <w:widowControl w:val="0"/>
              <w:spacing w:after="0" w:line="276" w:lineRule="auto"/>
              <w:jc w:val="center"/>
            </w:pPr>
            <w:r>
              <w:rPr>
                <w:sz w:val="18"/>
                <w:szCs w:val="18"/>
              </w:rPr>
              <w:t>3</w:t>
            </w:r>
          </w:p>
        </w:tc>
        <w:tc>
          <w:tcPr>
            <w:tcW w:w="7275" w:type="dxa"/>
            <w:tcMar>
              <w:top w:w="100" w:type="dxa"/>
              <w:left w:w="100" w:type="dxa"/>
              <w:bottom w:w="100" w:type="dxa"/>
              <w:right w:w="100" w:type="dxa"/>
            </w:tcMar>
          </w:tcPr>
          <w:p w14:paraId="4379A2FA" w14:textId="77777777" w:rsidR="002530E2" w:rsidRDefault="002530E2">
            <w:pPr>
              <w:widowControl w:val="0"/>
              <w:spacing w:after="0" w:line="276" w:lineRule="auto"/>
            </w:pPr>
            <w:r>
              <w:rPr>
                <w:sz w:val="18"/>
                <w:szCs w:val="18"/>
              </w:rPr>
              <w:t>"Cross-cultural blunders occur when individuals unintentionally offend or disrespect people from different cultures due to a lack of cultural awareness, sensitivity, or knowledge."</w:t>
            </w:r>
          </w:p>
        </w:tc>
        <w:tc>
          <w:tcPr>
            <w:tcW w:w="1275" w:type="dxa"/>
            <w:tcMar>
              <w:top w:w="100" w:type="dxa"/>
              <w:left w:w="100" w:type="dxa"/>
              <w:bottom w:w="100" w:type="dxa"/>
              <w:right w:w="100" w:type="dxa"/>
            </w:tcMar>
          </w:tcPr>
          <w:p w14:paraId="2C6E20C5" w14:textId="77777777" w:rsidR="002530E2" w:rsidRDefault="002530E2">
            <w:pPr>
              <w:widowControl w:val="0"/>
              <w:spacing w:after="0" w:line="276" w:lineRule="auto"/>
            </w:pPr>
            <w:r>
              <w:rPr>
                <w:sz w:val="18"/>
                <w:szCs w:val="18"/>
              </w:rPr>
              <w:t>Pellegrino Riccardi</w:t>
            </w:r>
          </w:p>
        </w:tc>
      </w:tr>
      <w:tr w:rsidR="002530E2" w14:paraId="79D10FCF" w14:textId="77777777">
        <w:tc>
          <w:tcPr>
            <w:tcW w:w="510" w:type="dxa"/>
            <w:tcMar>
              <w:top w:w="100" w:type="dxa"/>
              <w:left w:w="100" w:type="dxa"/>
              <w:bottom w:w="100" w:type="dxa"/>
              <w:right w:w="100" w:type="dxa"/>
            </w:tcMar>
          </w:tcPr>
          <w:p w14:paraId="529B36FF" w14:textId="77777777" w:rsidR="002530E2" w:rsidRDefault="002530E2">
            <w:pPr>
              <w:widowControl w:val="0"/>
              <w:spacing w:after="0" w:line="276" w:lineRule="auto"/>
              <w:jc w:val="center"/>
            </w:pPr>
            <w:r>
              <w:rPr>
                <w:sz w:val="18"/>
                <w:szCs w:val="18"/>
              </w:rPr>
              <w:t>4</w:t>
            </w:r>
          </w:p>
        </w:tc>
        <w:tc>
          <w:tcPr>
            <w:tcW w:w="7275" w:type="dxa"/>
            <w:tcMar>
              <w:top w:w="100" w:type="dxa"/>
              <w:left w:w="100" w:type="dxa"/>
              <w:bottom w:w="100" w:type="dxa"/>
              <w:right w:w="100" w:type="dxa"/>
            </w:tcMar>
          </w:tcPr>
          <w:p w14:paraId="2799BE23" w14:textId="77777777" w:rsidR="002530E2" w:rsidRDefault="002530E2">
            <w:pPr>
              <w:widowControl w:val="0"/>
              <w:spacing w:after="0" w:line="276" w:lineRule="auto"/>
            </w:pPr>
            <w:r>
              <w:rPr>
                <w:sz w:val="18"/>
                <w:szCs w:val="18"/>
              </w:rPr>
              <w:t>"Cross-cultural blunders are mistakes made in cross-cultural interactions that stem from cultural insensitivity, stereotypes, or assumptions, resulting in miscommunication, misunderstandings, or damaged relationships."</w:t>
            </w:r>
          </w:p>
        </w:tc>
        <w:tc>
          <w:tcPr>
            <w:tcW w:w="1275" w:type="dxa"/>
            <w:tcMar>
              <w:top w:w="100" w:type="dxa"/>
              <w:left w:w="100" w:type="dxa"/>
              <w:bottom w:w="100" w:type="dxa"/>
              <w:right w:w="100" w:type="dxa"/>
            </w:tcMar>
          </w:tcPr>
          <w:p w14:paraId="502014F6" w14:textId="77777777" w:rsidR="002530E2" w:rsidRDefault="002530E2">
            <w:pPr>
              <w:widowControl w:val="0"/>
              <w:spacing w:after="0" w:line="276" w:lineRule="auto"/>
            </w:pPr>
            <w:r>
              <w:rPr>
                <w:sz w:val="18"/>
                <w:szCs w:val="18"/>
              </w:rPr>
              <w:t>Craig Storti</w:t>
            </w:r>
          </w:p>
        </w:tc>
      </w:tr>
      <w:tr w:rsidR="002530E2" w14:paraId="2F317C55" w14:textId="77777777">
        <w:tc>
          <w:tcPr>
            <w:tcW w:w="510" w:type="dxa"/>
            <w:tcMar>
              <w:top w:w="100" w:type="dxa"/>
              <w:left w:w="100" w:type="dxa"/>
              <w:bottom w:w="100" w:type="dxa"/>
              <w:right w:w="100" w:type="dxa"/>
            </w:tcMar>
          </w:tcPr>
          <w:p w14:paraId="64586E5C" w14:textId="77777777" w:rsidR="002530E2" w:rsidRDefault="002530E2">
            <w:pPr>
              <w:widowControl w:val="0"/>
              <w:spacing w:after="0" w:line="276" w:lineRule="auto"/>
              <w:jc w:val="center"/>
            </w:pPr>
            <w:r>
              <w:rPr>
                <w:sz w:val="18"/>
                <w:szCs w:val="18"/>
              </w:rPr>
              <w:t>5</w:t>
            </w:r>
          </w:p>
        </w:tc>
        <w:tc>
          <w:tcPr>
            <w:tcW w:w="7275" w:type="dxa"/>
            <w:tcMar>
              <w:top w:w="100" w:type="dxa"/>
              <w:left w:w="100" w:type="dxa"/>
              <w:bottom w:w="100" w:type="dxa"/>
              <w:right w:w="100" w:type="dxa"/>
            </w:tcMar>
          </w:tcPr>
          <w:p w14:paraId="2F8EAA7F" w14:textId="77777777" w:rsidR="002530E2" w:rsidRDefault="002530E2">
            <w:pPr>
              <w:widowControl w:val="0"/>
              <w:spacing w:after="0" w:line="276" w:lineRule="auto"/>
            </w:pPr>
            <w:r>
              <w:rPr>
                <w:sz w:val="18"/>
                <w:szCs w:val="18"/>
              </w:rPr>
              <w:t>"Cross-cultural blunders are instances where individuals exhibit behaviours, gestures, or communication styles that are considered inappropriate, offensive, or culturally insensitive in a specific cultural context."</w:t>
            </w:r>
          </w:p>
        </w:tc>
        <w:tc>
          <w:tcPr>
            <w:tcW w:w="1275" w:type="dxa"/>
            <w:tcMar>
              <w:top w:w="100" w:type="dxa"/>
              <w:left w:w="100" w:type="dxa"/>
              <w:bottom w:w="100" w:type="dxa"/>
              <w:right w:w="100" w:type="dxa"/>
            </w:tcMar>
          </w:tcPr>
          <w:p w14:paraId="0F2F9345" w14:textId="77777777" w:rsidR="002530E2" w:rsidRDefault="002530E2">
            <w:pPr>
              <w:widowControl w:val="0"/>
              <w:spacing w:after="0" w:line="276" w:lineRule="auto"/>
            </w:pPr>
            <w:r>
              <w:rPr>
                <w:sz w:val="18"/>
                <w:szCs w:val="18"/>
              </w:rPr>
              <w:t>Andy Molinsky</w:t>
            </w:r>
          </w:p>
        </w:tc>
      </w:tr>
    </w:tbl>
    <w:p w14:paraId="187BA08C" w14:textId="77777777" w:rsidR="002530E2" w:rsidRDefault="002530E2">
      <w:pPr>
        <w:spacing w:after="0"/>
      </w:pPr>
    </w:p>
    <w:p w14:paraId="59CAE244" w14:textId="77777777" w:rsidR="002530E2" w:rsidRDefault="002530E2">
      <w:pPr>
        <w:spacing w:after="240"/>
      </w:pPr>
      <w:r>
        <w:t>Cross-cultural blunders refer to mistakes or missteps made when interacting with individuals or communities from different cultural backgrounds. These blunders typically stem from a lack of cultural understanding, awareness, or sensitivity. Here are a few examples of cross-cultural blunders:</w:t>
      </w:r>
    </w:p>
    <w:p w14:paraId="57572883" w14:textId="77777777" w:rsidR="002530E2" w:rsidRDefault="002530E2" w:rsidP="002530E2">
      <w:pPr>
        <w:numPr>
          <w:ilvl w:val="0"/>
          <w:numId w:val="115"/>
        </w:numPr>
        <w:spacing w:before="240" w:after="200" w:line="360" w:lineRule="auto"/>
        <w:jc w:val="both"/>
        <w:rPr>
          <w:sz w:val="20"/>
          <w:szCs w:val="20"/>
        </w:rPr>
      </w:pPr>
      <w:r>
        <w:t>Offensive Gestures or Body Language: Using gestures or body language that may be considered offensive or inappropriate in another culture For instance, making the "OK" sign with the fingers, which is innocuous in some cultures but offensive in others,</w:t>
      </w:r>
    </w:p>
    <w:p w14:paraId="45BA1350" w14:textId="77777777" w:rsidR="002530E2" w:rsidRDefault="002530E2" w:rsidP="002530E2">
      <w:pPr>
        <w:numPr>
          <w:ilvl w:val="0"/>
          <w:numId w:val="115"/>
        </w:numPr>
        <w:spacing w:after="200" w:line="360" w:lineRule="auto"/>
        <w:jc w:val="both"/>
        <w:rPr>
          <w:sz w:val="20"/>
          <w:szCs w:val="20"/>
        </w:rPr>
      </w:pPr>
      <w:r>
        <w:t>Insensitive or inaccurate cultural representations: misrepresenting or misinterpreting cultural symbols, traditions, or practises This could include using sacred or religious symbols inappropriately or presenting cultural stereotypes that perpetuate misconceptions or biases.</w:t>
      </w:r>
    </w:p>
    <w:p w14:paraId="0E83C938" w14:textId="77777777" w:rsidR="002530E2" w:rsidRDefault="002530E2" w:rsidP="002530E2">
      <w:pPr>
        <w:numPr>
          <w:ilvl w:val="0"/>
          <w:numId w:val="115"/>
        </w:numPr>
        <w:spacing w:after="200" w:line="360" w:lineRule="auto"/>
        <w:jc w:val="both"/>
        <w:rPr>
          <w:sz w:val="20"/>
          <w:szCs w:val="20"/>
        </w:rPr>
      </w:pPr>
      <w:r>
        <w:lastRenderedPageBreak/>
        <w:t>Inappropriate Humour or Jokes: Sharing jokes or humour that may be offensive or disrespectful in a particular cultural context Humour can vary greatly across cultures, and what may be funny in one culture may be inappropriate or offensive in another.</w:t>
      </w:r>
    </w:p>
    <w:p w14:paraId="70CB250F" w14:textId="77777777" w:rsidR="002530E2" w:rsidRDefault="002530E2" w:rsidP="002530E2">
      <w:pPr>
        <w:numPr>
          <w:ilvl w:val="0"/>
          <w:numId w:val="115"/>
        </w:numPr>
        <w:spacing w:after="200" w:line="360" w:lineRule="auto"/>
        <w:jc w:val="both"/>
        <w:rPr>
          <w:sz w:val="20"/>
          <w:szCs w:val="20"/>
        </w:rPr>
      </w:pPr>
      <w:r>
        <w:t>Lack of Cultural Sensitivity in Marketing or Advertising: Developing marketing campaigns or advertisements that disregard or misinterpret cultural norms, values, or sensitivities This can include using language, visuals, or messages that are culturally insensitive or offensive to the target audience.</w:t>
      </w:r>
    </w:p>
    <w:p w14:paraId="3C59A7BC" w14:textId="77777777" w:rsidR="002530E2" w:rsidRDefault="002530E2" w:rsidP="002530E2">
      <w:pPr>
        <w:numPr>
          <w:ilvl w:val="0"/>
          <w:numId w:val="115"/>
        </w:numPr>
        <w:spacing w:after="200" w:line="360" w:lineRule="auto"/>
        <w:jc w:val="both"/>
        <w:rPr>
          <w:sz w:val="20"/>
          <w:szCs w:val="20"/>
        </w:rPr>
      </w:pPr>
      <w:r>
        <w:t>Failure to Adapt to Local Customs or Etiquette: Neglecting to understand and adhere to local customs, traditions, or etiquette when interacting with individuals from different cultures This could involve not observing appropriate greetings, dress codes, or social protocols.</w:t>
      </w:r>
    </w:p>
    <w:p w14:paraId="5684B7BB" w14:textId="77777777" w:rsidR="002530E2" w:rsidRDefault="002530E2" w:rsidP="002530E2">
      <w:pPr>
        <w:numPr>
          <w:ilvl w:val="0"/>
          <w:numId w:val="115"/>
        </w:numPr>
        <w:spacing w:before="240" w:after="200" w:line="360" w:lineRule="auto"/>
        <w:jc w:val="both"/>
        <w:rPr>
          <w:sz w:val="20"/>
          <w:szCs w:val="20"/>
        </w:rPr>
      </w:pPr>
      <w:r>
        <w:t>Stereotyping or generalising: making assumptions or generalisations about a particular culture or group of people based on limited understanding or preconceived notions Stereotyping can lead to misunderstandings, prejudice, and a lack of meaningful engagement with individuals from different cultures.</w:t>
      </w:r>
    </w:p>
    <w:p w14:paraId="3C895202" w14:textId="77777777" w:rsidR="002530E2" w:rsidRDefault="002530E2">
      <w:pPr>
        <w:spacing w:before="240" w:after="240"/>
      </w:pPr>
      <w:r>
        <w:t>Cross-cultural blunders can have significant negative consequences, including damage to reputation, loss of business opportunities, strained relationships, and cultural misunderstandings. It is important to approach cross-cultural interactions with an open mind, curiosity, and a willingness to learn and adapt. Developing cultural competence, seeking guidance from cultural experts, and engaging in respectful and inclusive communication can help minimise cross-cultural blunders and foster positive cross-cultural relationships.</w:t>
      </w:r>
    </w:p>
    <w:p w14:paraId="7B1BDEBB" w14:textId="77777777" w:rsidR="002530E2" w:rsidRDefault="002530E2">
      <w:pPr>
        <w:pStyle w:val="Heading2"/>
        <w:spacing w:before="0"/>
      </w:pPr>
      <w:bookmarkStart w:id="293" w:name="_r0t6i6gokq5x" w:colFirst="0" w:colLast="0"/>
      <w:bookmarkEnd w:id="293"/>
      <w:r>
        <w:t>CAUSES OF CROSS-CULTURAL BLUNDERS</w:t>
      </w:r>
    </w:p>
    <w:p w14:paraId="773C9B20" w14:textId="77777777" w:rsidR="002530E2" w:rsidRDefault="002530E2">
      <w:pPr>
        <w:spacing w:before="240" w:after="240"/>
      </w:pPr>
      <w:r>
        <w:t>Controversial cross-cultural blunders by multinational corporations in Muslim regions can occur due to various factors. Here are some common causes of such blunders:</w:t>
      </w:r>
    </w:p>
    <w:p w14:paraId="6B1809BE" w14:textId="77777777" w:rsidR="002530E2" w:rsidRDefault="002530E2" w:rsidP="002530E2">
      <w:pPr>
        <w:numPr>
          <w:ilvl w:val="0"/>
          <w:numId w:val="121"/>
        </w:numPr>
        <w:spacing w:before="240" w:after="200" w:line="360" w:lineRule="auto"/>
        <w:jc w:val="both"/>
        <w:rPr>
          <w:sz w:val="20"/>
          <w:szCs w:val="20"/>
        </w:rPr>
      </w:pPr>
      <w:r>
        <w:t>Lack of Cultural Understanding: Multinational corporations may lack a deep understanding of the cultural nuances, traditions, and sensitivities of the Muslim regions they operate in. This can lead to misinterpretations or misunderstandings of local customs and practices, resulting in blunders.</w:t>
      </w:r>
    </w:p>
    <w:p w14:paraId="143AA640" w14:textId="77777777" w:rsidR="002530E2" w:rsidRDefault="002530E2" w:rsidP="002530E2">
      <w:pPr>
        <w:numPr>
          <w:ilvl w:val="0"/>
          <w:numId w:val="121"/>
        </w:numPr>
        <w:spacing w:after="200" w:line="360" w:lineRule="auto"/>
        <w:jc w:val="both"/>
        <w:rPr>
          <w:sz w:val="20"/>
          <w:szCs w:val="20"/>
        </w:rPr>
      </w:pPr>
      <w:r>
        <w:t>Insensitive Marketing and Advertising: In an attempt to appeal to Muslim consumers, multinational corporations may create marketing campaigns or advertisements that inadvertently offend or disrespect Islamic values, beliefs, or cultural norms. This can happen due to a lack of cultural sensitivity or inadequate research.</w:t>
      </w:r>
    </w:p>
    <w:p w14:paraId="2908B234" w14:textId="77777777" w:rsidR="002530E2" w:rsidRDefault="002530E2" w:rsidP="002530E2">
      <w:pPr>
        <w:numPr>
          <w:ilvl w:val="0"/>
          <w:numId w:val="121"/>
        </w:numPr>
        <w:spacing w:after="200" w:line="360" w:lineRule="auto"/>
        <w:jc w:val="both"/>
        <w:rPr>
          <w:sz w:val="20"/>
          <w:szCs w:val="20"/>
        </w:rPr>
      </w:pPr>
      <w:r>
        <w:lastRenderedPageBreak/>
        <w:t>Religious and Ethical Considerations: Multinational corporations may face challenges in aligning their products or business practices with Islamic religious and ethical guidelines. Failure to comply with these guidelines or disregard for religious sensitivities can lead to controversy and backlash from the Muslim community.</w:t>
      </w:r>
    </w:p>
    <w:p w14:paraId="4DA93D45" w14:textId="77777777" w:rsidR="002530E2" w:rsidRDefault="002530E2" w:rsidP="002530E2">
      <w:pPr>
        <w:numPr>
          <w:ilvl w:val="0"/>
          <w:numId w:val="121"/>
        </w:numPr>
        <w:spacing w:after="200" w:line="360" w:lineRule="auto"/>
        <w:jc w:val="both"/>
        <w:rPr>
          <w:sz w:val="20"/>
          <w:szCs w:val="20"/>
        </w:rPr>
      </w:pPr>
      <w:r>
        <w:t>Language and Communication Issues: Misinterpretations or mistranslations of marketing messages, product labels, or brand names can result in unintended meanings or offensive connotations in the local Muslim language. Poor communication and language proficiency can contribute to cross-cultural blunders.</w:t>
      </w:r>
    </w:p>
    <w:p w14:paraId="70A06BBC" w14:textId="77777777" w:rsidR="002530E2" w:rsidRDefault="002530E2" w:rsidP="002530E2">
      <w:pPr>
        <w:numPr>
          <w:ilvl w:val="0"/>
          <w:numId w:val="121"/>
        </w:numPr>
        <w:spacing w:after="200" w:line="360" w:lineRule="auto"/>
        <w:jc w:val="both"/>
        <w:rPr>
          <w:sz w:val="20"/>
          <w:szCs w:val="20"/>
        </w:rPr>
      </w:pPr>
      <w:r>
        <w:t>Political and Socioeconomic Factors: Multinational corporations operating in Muslim regions may encounter political and socio economic complexities. Failure to navigate these factors effectively can lead to controversy, as corporations may unknowingly become involved in sensitive political issues or exacerbate socioeconomic disparities.</w:t>
      </w:r>
    </w:p>
    <w:p w14:paraId="55520C2C" w14:textId="77777777" w:rsidR="002530E2" w:rsidRDefault="002530E2" w:rsidP="002530E2">
      <w:pPr>
        <w:numPr>
          <w:ilvl w:val="0"/>
          <w:numId w:val="121"/>
        </w:numPr>
        <w:spacing w:after="200" w:line="360" w:lineRule="auto"/>
        <w:jc w:val="both"/>
        <w:rPr>
          <w:sz w:val="20"/>
          <w:szCs w:val="20"/>
        </w:rPr>
      </w:pPr>
      <w:r>
        <w:t>Lack of Local Representation: Multinational corporations that do not have a strong local presence or a diverse workforce may struggle to fully grasp the cultural context and sensitivities of the Muslim regions. Lack of local representation within the decision-making process can contribute to cross-cultural blunders.</w:t>
      </w:r>
    </w:p>
    <w:p w14:paraId="47A9DE02" w14:textId="77777777" w:rsidR="002530E2" w:rsidRDefault="002530E2" w:rsidP="002530E2">
      <w:pPr>
        <w:numPr>
          <w:ilvl w:val="0"/>
          <w:numId w:val="121"/>
        </w:numPr>
        <w:spacing w:before="240" w:after="200" w:line="360" w:lineRule="auto"/>
        <w:jc w:val="both"/>
        <w:rPr>
          <w:sz w:val="20"/>
          <w:szCs w:val="20"/>
        </w:rPr>
      </w:pPr>
      <w:r>
        <w:t>Ignorance or Negligence: Some cross-cultural blunders occur due to ignorance or negligence on the part of multinational corporations. Failure to conduct thorough research, listen to local feedback, or address cultural sensitivities can lead to controversies and damage the company's reputation.</w:t>
      </w:r>
    </w:p>
    <w:p w14:paraId="5AB6CD63" w14:textId="77777777" w:rsidR="002530E2" w:rsidRDefault="002530E2">
      <w:pPr>
        <w:spacing w:before="240" w:after="240"/>
      </w:pPr>
      <w:r>
        <w:t>To avoid controversial cross-cultural blunders, multinational corporations should prioritise cultural competence, invest in local market research, foster diversity within their teams, engage in meaningful stakeholder consultations, and ensure they adhere to ethical and religious guidelines relevant to the Muslim regions they operate in. It is essential to approach the market with sensitivity, respect, and a genuine understanding of the local culture and its values.</w:t>
      </w:r>
    </w:p>
    <w:p w14:paraId="31F246ED" w14:textId="77777777" w:rsidR="002530E2" w:rsidRDefault="002530E2">
      <w:pPr>
        <w:pStyle w:val="Heading2"/>
        <w:spacing w:before="0"/>
      </w:pPr>
      <w:bookmarkStart w:id="294" w:name="_ws4b9bcrx3a4" w:colFirst="0" w:colLast="0"/>
      <w:bookmarkEnd w:id="294"/>
      <w:r>
        <w:t>MARKETING BLUNDERS</w:t>
      </w:r>
    </w:p>
    <w:p w14:paraId="3697C485" w14:textId="77777777" w:rsidR="002530E2" w:rsidRDefault="002530E2">
      <w:pPr>
        <w:spacing w:after="0"/>
      </w:pPr>
      <w:r>
        <w:t xml:space="preserve">Marketing blunders refer to significant mistakes or errors made in marketing strategies, campaigns, or activities that can have negative consequences on a brand, its reputation, and its relationship with customers. Below are a few definitions of marketing blunders provided by various authors. These definitions highlight that marketing blunders can have significant consequences for a company's reputation, customer relationships, and business performance. They emphasise the importance of </w:t>
      </w:r>
      <w:r>
        <w:lastRenderedPageBreak/>
        <w:t>strategic planning, market research, customer understanding, and effective execution in avoiding marketing blunders and ensuring successful marketing outcomes.</w:t>
      </w:r>
    </w:p>
    <w:p w14:paraId="775AF4A9"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
        <w:gridCol w:w="6960"/>
        <w:gridCol w:w="1590"/>
      </w:tblGrid>
      <w:tr w:rsidR="002530E2" w14:paraId="4BCBD61B" w14:textId="77777777">
        <w:tc>
          <w:tcPr>
            <w:tcW w:w="510" w:type="dxa"/>
            <w:tcMar>
              <w:top w:w="100" w:type="dxa"/>
              <w:left w:w="100" w:type="dxa"/>
              <w:bottom w:w="100" w:type="dxa"/>
              <w:right w:w="100" w:type="dxa"/>
            </w:tcMar>
          </w:tcPr>
          <w:p w14:paraId="7768E922" w14:textId="77777777" w:rsidR="002530E2" w:rsidRDefault="002530E2">
            <w:pPr>
              <w:widowControl w:val="0"/>
              <w:spacing w:after="0" w:line="276" w:lineRule="auto"/>
              <w:jc w:val="center"/>
            </w:pPr>
            <w:r>
              <w:t>#</w:t>
            </w:r>
          </w:p>
        </w:tc>
        <w:tc>
          <w:tcPr>
            <w:tcW w:w="6960" w:type="dxa"/>
            <w:tcMar>
              <w:top w:w="100" w:type="dxa"/>
              <w:left w:w="100" w:type="dxa"/>
              <w:bottom w:w="100" w:type="dxa"/>
              <w:right w:w="100" w:type="dxa"/>
            </w:tcMar>
          </w:tcPr>
          <w:p w14:paraId="0EC4B35E" w14:textId="77777777" w:rsidR="002530E2" w:rsidRDefault="002530E2">
            <w:pPr>
              <w:widowControl w:val="0"/>
              <w:spacing w:after="0" w:line="276" w:lineRule="auto"/>
            </w:pPr>
            <w:r>
              <w:t xml:space="preserve">DEFINITION OF MARKETING BLUNDERS </w:t>
            </w:r>
          </w:p>
        </w:tc>
        <w:tc>
          <w:tcPr>
            <w:tcW w:w="1590" w:type="dxa"/>
            <w:tcMar>
              <w:top w:w="100" w:type="dxa"/>
              <w:left w:w="100" w:type="dxa"/>
              <w:bottom w:w="100" w:type="dxa"/>
              <w:right w:w="100" w:type="dxa"/>
            </w:tcMar>
          </w:tcPr>
          <w:p w14:paraId="2B21D3EC" w14:textId="77777777" w:rsidR="002530E2" w:rsidRDefault="002530E2">
            <w:pPr>
              <w:widowControl w:val="0"/>
              <w:spacing w:after="0" w:line="276" w:lineRule="auto"/>
            </w:pPr>
            <w:r>
              <w:t>AUTHOR</w:t>
            </w:r>
          </w:p>
        </w:tc>
      </w:tr>
      <w:tr w:rsidR="002530E2" w14:paraId="7F331902" w14:textId="77777777">
        <w:tc>
          <w:tcPr>
            <w:tcW w:w="510" w:type="dxa"/>
            <w:tcMar>
              <w:top w:w="100" w:type="dxa"/>
              <w:left w:w="100" w:type="dxa"/>
              <w:bottom w:w="100" w:type="dxa"/>
              <w:right w:w="100" w:type="dxa"/>
            </w:tcMar>
          </w:tcPr>
          <w:p w14:paraId="65E1ADB0" w14:textId="77777777" w:rsidR="002530E2" w:rsidRDefault="002530E2">
            <w:pPr>
              <w:widowControl w:val="0"/>
              <w:spacing w:after="0" w:line="276" w:lineRule="auto"/>
              <w:jc w:val="center"/>
            </w:pPr>
            <w:r>
              <w:t>1</w:t>
            </w:r>
          </w:p>
        </w:tc>
        <w:tc>
          <w:tcPr>
            <w:tcW w:w="6960" w:type="dxa"/>
            <w:tcMar>
              <w:top w:w="100" w:type="dxa"/>
              <w:left w:w="100" w:type="dxa"/>
              <w:bottom w:w="100" w:type="dxa"/>
              <w:right w:w="100" w:type="dxa"/>
            </w:tcMar>
          </w:tcPr>
          <w:p w14:paraId="1DD117A6" w14:textId="77777777" w:rsidR="002530E2" w:rsidRDefault="002530E2">
            <w:pPr>
              <w:widowControl w:val="0"/>
              <w:spacing w:after="0" w:line="276" w:lineRule="auto"/>
            </w:pPr>
            <w:r>
              <w:t xml:space="preserve">"Marketing blunders are significant errors or missteps in planning, executing, or communicating marketing strategies that result in adverse outcomes, such as brand damage, customer dissatisfaction, or financial losses." </w:t>
            </w:r>
          </w:p>
        </w:tc>
        <w:tc>
          <w:tcPr>
            <w:tcW w:w="1590" w:type="dxa"/>
            <w:tcMar>
              <w:top w:w="100" w:type="dxa"/>
              <w:left w:w="100" w:type="dxa"/>
              <w:bottom w:w="100" w:type="dxa"/>
              <w:right w:w="100" w:type="dxa"/>
            </w:tcMar>
          </w:tcPr>
          <w:p w14:paraId="7985058E" w14:textId="77777777" w:rsidR="002530E2" w:rsidRDefault="002530E2">
            <w:pPr>
              <w:widowControl w:val="0"/>
              <w:spacing w:after="0" w:line="276" w:lineRule="auto"/>
            </w:pPr>
            <w:r>
              <w:t>Philip Kotler</w:t>
            </w:r>
          </w:p>
        </w:tc>
      </w:tr>
      <w:tr w:rsidR="002530E2" w14:paraId="7F066203" w14:textId="77777777">
        <w:tc>
          <w:tcPr>
            <w:tcW w:w="510" w:type="dxa"/>
            <w:tcMar>
              <w:top w:w="100" w:type="dxa"/>
              <w:left w:w="100" w:type="dxa"/>
              <w:bottom w:w="100" w:type="dxa"/>
              <w:right w:w="100" w:type="dxa"/>
            </w:tcMar>
          </w:tcPr>
          <w:p w14:paraId="66536ED1" w14:textId="77777777" w:rsidR="002530E2" w:rsidRDefault="002530E2">
            <w:pPr>
              <w:widowControl w:val="0"/>
              <w:spacing w:after="0" w:line="276" w:lineRule="auto"/>
              <w:jc w:val="center"/>
            </w:pPr>
            <w:r>
              <w:t>2</w:t>
            </w:r>
          </w:p>
        </w:tc>
        <w:tc>
          <w:tcPr>
            <w:tcW w:w="6960" w:type="dxa"/>
            <w:tcMar>
              <w:top w:w="100" w:type="dxa"/>
              <w:left w:w="100" w:type="dxa"/>
              <w:bottom w:w="100" w:type="dxa"/>
              <w:right w:w="100" w:type="dxa"/>
            </w:tcMar>
          </w:tcPr>
          <w:p w14:paraId="29CF22F7" w14:textId="77777777" w:rsidR="002530E2" w:rsidRDefault="002530E2">
            <w:pPr>
              <w:widowControl w:val="0"/>
              <w:spacing w:after="0" w:line="276" w:lineRule="auto"/>
            </w:pPr>
            <w:r>
              <w:t xml:space="preserve">"Marketing blunders are instances where companies make strategic or tactical mistakes in their marketing efforts, leading to negative impacts on brand perception, customer engagement, or market performance." </w:t>
            </w:r>
          </w:p>
        </w:tc>
        <w:tc>
          <w:tcPr>
            <w:tcW w:w="1590" w:type="dxa"/>
            <w:tcMar>
              <w:top w:w="100" w:type="dxa"/>
              <w:left w:w="100" w:type="dxa"/>
              <w:bottom w:w="100" w:type="dxa"/>
              <w:right w:w="100" w:type="dxa"/>
            </w:tcMar>
          </w:tcPr>
          <w:p w14:paraId="0A7D2BCF" w14:textId="77777777" w:rsidR="002530E2" w:rsidRDefault="002530E2">
            <w:pPr>
              <w:widowControl w:val="0"/>
              <w:spacing w:after="0" w:line="276" w:lineRule="auto"/>
            </w:pPr>
            <w:r>
              <w:t>Kevin Lane Keller</w:t>
            </w:r>
          </w:p>
        </w:tc>
      </w:tr>
      <w:tr w:rsidR="002530E2" w14:paraId="789C9701" w14:textId="77777777">
        <w:tc>
          <w:tcPr>
            <w:tcW w:w="510" w:type="dxa"/>
            <w:tcMar>
              <w:top w:w="100" w:type="dxa"/>
              <w:left w:w="100" w:type="dxa"/>
              <w:bottom w:w="100" w:type="dxa"/>
              <w:right w:w="100" w:type="dxa"/>
            </w:tcMar>
          </w:tcPr>
          <w:p w14:paraId="32EB07AC" w14:textId="77777777" w:rsidR="002530E2" w:rsidRDefault="002530E2">
            <w:pPr>
              <w:widowControl w:val="0"/>
              <w:spacing w:after="0" w:line="276" w:lineRule="auto"/>
              <w:jc w:val="center"/>
            </w:pPr>
            <w:r>
              <w:t>3</w:t>
            </w:r>
          </w:p>
        </w:tc>
        <w:tc>
          <w:tcPr>
            <w:tcW w:w="6960" w:type="dxa"/>
            <w:tcMar>
              <w:top w:w="100" w:type="dxa"/>
              <w:left w:w="100" w:type="dxa"/>
              <w:bottom w:w="100" w:type="dxa"/>
              <w:right w:w="100" w:type="dxa"/>
            </w:tcMar>
          </w:tcPr>
          <w:p w14:paraId="7D92319D" w14:textId="77777777" w:rsidR="002530E2" w:rsidRDefault="002530E2">
            <w:pPr>
              <w:widowControl w:val="0"/>
              <w:spacing w:after="0" w:line="276" w:lineRule="auto"/>
            </w:pPr>
            <w:r>
              <w:t>"Marketing blunders occur when companies fail to understand or meet the needs, preferences, or expectations of their target market, resulting in ineffective marketing campaigns or product offerings."</w:t>
            </w:r>
          </w:p>
        </w:tc>
        <w:tc>
          <w:tcPr>
            <w:tcW w:w="1590" w:type="dxa"/>
            <w:tcMar>
              <w:top w:w="100" w:type="dxa"/>
              <w:left w:w="100" w:type="dxa"/>
              <w:bottom w:w="100" w:type="dxa"/>
              <w:right w:w="100" w:type="dxa"/>
            </w:tcMar>
          </w:tcPr>
          <w:p w14:paraId="6C8655F5" w14:textId="77777777" w:rsidR="002530E2" w:rsidRDefault="002530E2">
            <w:pPr>
              <w:widowControl w:val="0"/>
              <w:spacing w:after="0" w:line="276" w:lineRule="auto"/>
            </w:pPr>
            <w:r>
              <w:t>Al Ries and Jack Trout</w:t>
            </w:r>
          </w:p>
        </w:tc>
      </w:tr>
      <w:tr w:rsidR="002530E2" w14:paraId="3A0F2928" w14:textId="77777777">
        <w:tc>
          <w:tcPr>
            <w:tcW w:w="510" w:type="dxa"/>
            <w:tcMar>
              <w:top w:w="100" w:type="dxa"/>
              <w:left w:w="100" w:type="dxa"/>
              <w:bottom w:w="100" w:type="dxa"/>
              <w:right w:w="100" w:type="dxa"/>
            </w:tcMar>
          </w:tcPr>
          <w:p w14:paraId="2A59FD12" w14:textId="77777777" w:rsidR="002530E2" w:rsidRDefault="002530E2">
            <w:pPr>
              <w:widowControl w:val="0"/>
              <w:spacing w:after="0" w:line="276" w:lineRule="auto"/>
              <w:jc w:val="center"/>
            </w:pPr>
            <w:r>
              <w:t>4</w:t>
            </w:r>
          </w:p>
        </w:tc>
        <w:tc>
          <w:tcPr>
            <w:tcW w:w="6960" w:type="dxa"/>
            <w:tcMar>
              <w:top w:w="100" w:type="dxa"/>
              <w:left w:w="100" w:type="dxa"/>
              <w:bottom w:w="100" w:type="dxa"/>
              <w:right w:w="100" w:type="dxa"/>
            </w:tcMar>
          </w:tcPr>
          <w:p w14:paraId="594E712E" w14:textId="77777777" w:rsidR="002530E2" w:rsidRDefault="002530E2">
            <w:pPr>
              <w:widowControl w:val="0"/>
              <w:spacing w:after="0" w:line="276" w:lineRule="auto"/>
            </w:pPr>
            <w:r>
              <w:t>"Marketing blunders are mistakes made in promotional activities, messaging, or positioning that cause confusion, offence, or disconnect with the intended audience, leading to negative customer perceptions and diminished brand equity."</w:t>
            </w:r>
          </w:p>
        </w:tc>
        <w:tc>
          <w:tcPr>
            <w:tcW w:w="1590" w:type="dxa"/>
            <w:tcMar>
              <w:top w:w="100" w:type="dxa"/>
              <w:left w:w="100" w:type="dxa"/>
              <w:bottom w:w="100" w:type="dxa"/>
              <w:right w:w="100" w:type="dxa"/>
            </w:tcMar>
          </w:tcPr>
          <w:p w14:paraId="3158E327" w14:textId="77777777" w:rsidR="002530E2" w:rsidRDefault="002530E2">
            <w:pPr>
              <w:widowControl w:val="0"/>
              <w:spacing w:after="0" w:line="276" w:lineRule="auto"/>
            </w:pPr>
            <w:r>
              <w:t>David Aaker</w:t>
            </w:r>
          </w:p>
        </w:tc>
      </w:tr>
      <w:tr w:rsidR="002530E2" w14:paraId="7EB925F0" w14:textId="77777777">
        <w:tc>
          <w:tcPr>
            <w:tcW w:w="510" w:type="dxa"/>
            <w:tcMar>
              <w:top w:w="100" w:type="dxa"/>
              <w:left w:w="100" w:type="dxa"/>
              <w:bottom w:w="100" w:type="dxa"/>
              <w:right w:w="100" w:type="dxa"/>
            </w:tcMar>
          </w:tcPr>
          <w:p w14:paraId="72AAC323" w14:textId="77777777" w:rsidR="002530E2" w:rsidRDefault="002530E2">
            <w:pPr>
              <w:widowControl w:val="0"/>
              <w:spacing w:after="0" w:line="276" w:lineRule="auto"/>
              <w:jc w:val="center"/>
            </w:pPr>
            <w:r>
              <w:t>5</w:t>
            </w:r>
          </w:p>
        </w:tc>
        <w:tc>
          <w:tcPr>
            <w:tcW w:w="6960" w:type="dxa"/>
            <w:tcMar>
              <w:top w:w="100" w:type="dxa"/>
              <w:left w:w="100" w:type="dxa"/>
              <w:bottom w:w="100" w:type="dxa"/>
              <w:right w:w="100" w:type="dxa"/>
            </w:tcMar>
          </w:tcPr>
          <w:p w14:paraId="1C0D0D3A" w14:textId="77777777" w:rsidR="002530E2" w:rsidRDefault="002530E2">
            <w:pPr>
              <w:widowControl w:val="0"/>
              <w:spacing w:after="0" w:line="276" w:lineRule="auto"/>
            </w:pPr>
            <w:r>
              <w:t>"Marketing blunders are errors in judgement or execution that lead to missed opportunities, wasted resources, or negative customer experiences, preventing companies from achieving their marketing objectives."</w:t>
            </w:r>
          </w:p>
        </w:tc>
        <w:tc>
          <w:tcPr>
            <w:tcW w:w="1590" w:type="dxa"/>
            <w:tcMar>
              <w:top w:w="100" w:type="dxa"/>
              <w:left w:w="100" w:type="dxa"/>
              <w:bottom w:w="100" w:type="dxa"/>
              <w:right w:w="100" w:type="dxa"/>
            </w:tcMar>
          </w:tcPr>
          <w:p w14:paraId="3BC1391F" w14:textId="77777777" w:rsidR="002530E2" w:rsidRDefault="002530E2">
            <w:pPr>
              <w:widowControl w:val="0"/>
              <w:spacing w:after="0" w:line="276" w:lineRule="auto"/>
            </w:pPr>
            <w:r>
              <w:t>Seth Godin)</w:t>
            </w:r>
          </w:p>
        </w:tc>
      </w:tr>
    </w:tbl>
    <w:p w14:paraId="1FF15390" w14:textId="77777777" w:rsidR="002530E2" w:rsidRDefault="002530E2"/>
    <w:p w14:paraId="081F7A08" w14:textId="77777777" w:rsidR="002530E2" w:rsidRDefault="002530E2">
      <w:pPr>
        <w:pStyle w:val="Heading2"/>
        <w:spacing w:before="0"/>
      </w:pPr>
      <w:bookmarkStart w:id="295" w:name="_pimnz1fbjrej" w:colFirst="0" w:colLast="0"/>
      <w:bookmarkEnd w:id="295"/>
      <w:r>
        <w:t>ADVERTISING BLUNDERS</w:t>
      </w:r>
    </w:p>
    <w:p w14:paraId="3A9939A8" w14:textId="77777777" w:rsidR="002530E2" w:rsidRDefault="002530E2">
      <w:pPr>
        <w:spacing w:after="0"/>
      </w:pPr>
      <w:r>
        <w:t>Advertising blunders refer to significant mistakes or missteps made in advertising campaigns or strategies that result in negative outcomes, such as poor brand perception, backlash from consumers, or damage to the company's reputation. Below are a few definitions of advertising blunders provided by various authors. These definitions highlight that advertising blunders can have detrimental effects on a company's brand image, customer perception, and overall marketing success. They emphasise the importance of strategic thinking, market research, audience understanding, and careful execution in avoiding advertising blunders and achieving positive advertising outcomes.</w:t>
      </w:r>
    </w:p>
    <w:p w14:paraId="2345B714"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
        <w:gridCol w:w="6960"/>
        <w:gridCol w:w="1590"/>
      </w:tblGrid>
      <w:tr w:rsidR="002530E2" w14:paraId="26039125" w14:textId="77777777">
        <w:tc>
          <w:tcPr>
            <w:tcW w:w="510" w:type="dxa"/>
            <w:tcMar>
              <w:top w:w="100" w:type="dxa"/>
              <w:left w:w="100" w:type="dxa"/>
              <w:bottom w:w="100" w:type="dxa"/>
              <w:right w:w="100" w:type="dxa"/>
            </w:tcMar>
          </w:tcPr>
          <w:p w14:paraId="448D33F6" w14:textId="77777777" w:rsidR="002530E2" w:rsidRDefault="002530E2">
            <w:pPr>
              <w:widowControl w:val="0"/>
              <w:spacing w:after="0" w:line="276" w:lineRule="auto"/>
              <w:jc w:val="center"/>
            </w:pPr>
            <w:r>
              <w:t>#</w:t>
            </w:r>
          </w:p>
        </w:tc>
        <w:tc>
          <w:tcPr>
            <w:tcW w:w="6960" w:type="dxa"/>
            <w:tcMar>
              <w:top w:w="100" w:type="dxa"/>
              <w:left w:w="100" w:type="dxa"/>
              <w:bottom w:w="100" w:type="dxa"/>
              <w:right w:w="100" w:type="dxa"/>
            </w:tcMar>
          </w:tcPr>
          <w:p w14:paraId="780F38F5" w14:textId="77777777" w:rsidR="002530E2" w:rsidRDefault="002530E2">
            <w:pPr>
              <w:widowControl w:val="0"/>
              <w:spacing w:after="0" w:line="276" w:lineRule="auto"/>
            </w:pPr>
            <w:r>
              <w:t xml:space="preserve">DEFINITION OF ADVERTISING BLUNDERS </w:t>
            </w:r>
          </w:p>
        </w:tc>
        <w:tc>
          <w:tcPr>
            <w:tcW w:w="1590" w:type="dxa"/>
            <w:tcMar>
              <w:top w:w="100" w:type="dxa"/>
              <w:left w:w="100" w:type="dxa"/>
              <w:bottom w:w="100" w:type="dxa"/>
              <w:right w:w="100" w:type="dxa"/>
            </w:tcMar>
          </w:tcPr>
          <w:p w14:paraId="7B0911FA" w14:textId="77777777" w:rsidR="002530E2" w:rsidRDefault="002530E2">
            <w:pPr>
              <w:widowControl w:val="0"/>
              <w:spacing w:after="0" w:line="276" w:lineRule="auto"/>
            </w:pPr>
            <w:r>
              <w:t>AUTHOR</w:t>
            </w:r>
          </w:p>
        </w:tc>
      </w:tr>
      <w:tr w:rsidR="002530E2" w14:paraId="3109B08E" w14:textId="77777777">
        <w:tc>
          <w:tcPr>
            <w:tcW w:w="510" w:type="dxa"/>
            <w:tcMar>
              <w:top w:w="100" w:type="dxa"/>
              <w:left w:w="100" w:type="dxa"/>
              <w:bottom w:w="100" w:type="dxa"/>
              <w:right w:w="100" w:type="dxa"/>
            </w:tcMar>
          </w:tcPr>
          <w:p w14:paraId="71E3EC84" w14:textId="77777777" w:rsidR="002530E2" w:rsidRDefault="002530E2">
            <w:pPr>
              <w:widowControl w:val="0"/>
              <w:spacing w:after="0" w:line="276" w:lineRule="auto"/>
              <w:jc w:val="center"/>
            </w:pPr>
            <w:r>
              <w:t>1</w:t>
            </w:r>
          </w:p>
        </w:tc>
        <w:tc>
          <w:tcPr>
            <w:tcW w:w="6960" w:type="dxa"/>
            <w:tcMar>
              <w:top w:w="100" w:type="dxa"/>
              <w:left w:w="100" w:type="dxa"/>
              <w:bottom w:w="100" w:type="dxa"/>
              <w:right w:w="100" w:type="dxa"/>
            </w:tcMar>
          </w:tcPr>
          <w:p w14:paraId="4FF56702" w14:textId="77777777" w:rsidR="002530E2" w:rsidRDefault="002530E2">
            <w:pPr>
              <w:widowControl w:val="0"/>
              <w:spacing w:after="0" w:line="276" w:lineRule="auto"/>
            </w:pPr>
            <w:r>
              <w:t xml:space="preserve">"Advertising blunders are major errors or misjudgments in the creation, execution, or delivery of advertising messages that lead to unintended consequences, including public criticism, negative brand associations, or </w:t>
            </w:r>
            <w:r>
              <w:lastRenderedPageBreak/>
              <w:t xml:space="preserve">declining sales." </w:t>
            </w:r>
          </w:p>
        </w:tc>
        <w:tc>
          <w:tcPr>
            <w:tcW w:w="1590" w:type="dxa"/>
            <w:tcMar>
              <w:top w:w="100" w:type="dxa"/>
              <w:left w:w="100" w:type="dxa"/>
              <w:bottom w:w="100" w:type="dxa"/>
              <w:right w:w="100" w:type="dxa"/>
            </w:tcMar>
          </w:tcPr>
          <w:p w14:paraId="147D96AA" w14:textId="77777777" w:rsidR="002530E2" w:rsidRDefault="002530E2">
            <w:pPr>
              <w:widowControl w:val="0"/>
              <w:spacing w:after="0" w:line="276" w:lineRule="auto"/>
            </w:pPr>
            <w:r>
              <w:lastRenderedPageBreak/>
              <w:t>David Ogilvy</w:t>
            </w:r>
          </w:p>
        </w:tc>
      </w:tr>
      <w:tr w:rsidR="002530E2" w14:paraId="0939F9F6" w14:textId="77777777">
        <w:tc>
          <w:tcPr>
            <w:tcW w:w="510" w:type="dxa"/>
            <w:tcMar>
              <w:top w:w="100" w:type="dxa"/>
              <w:left w:w="100" w:type="dxa"/>
              <w:bottom w:w="100" w:type="dxa"/>
              <w:right w:w="100" w:type="dxa"/>
            </w:tcMar>
          </w:tcPr>
          <w:p w14:paraId="5BC70549" w14:textId="77777777" w:rsidR="002530E2" w:rsidRDefault="002530E2">
            <w:pPr>
              <w:widowControl w:val="0"/>
              <w:spacing w:after="0" w:line="276" w:lineRule="auto"/>
              <w:jc w:val="center"/>
            </w:pPr>
            <w:r>
              <w:t>2</w:t>
            </w:r>
          </w:p>
        </w:tc>
        <w:tc>
          <w:tcPr>
            <w:tcW w:w="6960" w:type="dxa"/>
            <w:tcMar>
              <w:top w:w="100" w:type="dxa"/>
              <w:left w:w="100" w:type="dxa"/>
              <w:bottom w:w="100" w:type="dxa"/>
              <w:right w:w="100" w:type="dxa"/>
            </w:tcMar>
          </w:tcPr>
          <w:p w14:paraId="7D22A938" w14:textId="77777777" w:rsidR="002530E2" w:rsidRDefault="002530E2">
            <w:pPr>
              <w:widowControl w:val="0"/>
              <w:spacing w:after="0" w:line="276" w:lineRule="auto"/>
            </w:pPr>
            <w:r>
              <w:t>"Advertising blunders occur when companies fail to effectively communicate their intended message to their target audience, resulting in confusion, misinterpretation, or offence."</w:t>
            </w:r>
          </w:p>
        </w:tc>
        <w:tc>
          <w:tcPr>
            <w:tcW w:w="1590" w:type="dxa"/>
            <w:tcMar>
              <w:top w:w="100" w:type="dxa"/>
              <w:left w:w="100" w:type="dxa"/>
              <w:bottom w:w="100" w:type="dxa"/>
              <w:right w:w="100" w:type="dxa"/>
            </w:tcMar>
          </w:tcPr>
          <w:p w14:paraId="35C2B22B" w14:textId="77777777" w:rsidR="002530E2" w:rsidRDefault="002530E2">
            <w:pPr>
              <w:widowControl w:val="0"/>
              <w:spacing w:after="0" w:line="276" w:lineRule="auto"/>
            </w:pPr>
            <w:r>
              <w:t>Don E. Schultz</w:t>
            </w:r>
          </w:p>
        </w:tc>
      </w:tr>
      <w:tr w:rsidR="002530E2" w14:paraId="01DAA82D" w14:textId="77777777">
        <w:tc>
          <w:tcPr>
            <w:tcW w:w="510" w:type="dxa"/>
            <w:tcMar>
              <w:top w:w="100" w:type="dxa"/>
              <w:left w:w="100" w:type="dxa"/>
              <w:bottom w:w="100" w:type="dxa"/>
              <w:right w:w="100" w:type="dxa"/>
            </w:tcMar>
          </w:tcPr>
          <w:p w14:paraId="1036F9C8" w14:textId="77777777" w:rsidR="002530E2" w:rsidRDefault="002530E2">
            <w:pPr>
              <w:widowControl w:val="0"/>
              <w:spacing w:after="0" w:line="276" w:lineRule="auto"/>
              <w:jc w:val="center"/>
            </w:pPr>
            <w:r>
              <w:t>3</w:t>
            </w:r>
          </w:p>
        </w:tc>
        <w:tc>
          <w:tcPr>
            <w:tcW w:w="6960" w:type="dxa"/>
            <w:tcMar>
              <w:top w:w="100" w:type="dxa"/>
              <w:left w:w="100" w:type="dxa"/>
              <w:bottom w:w="100" w:type="dxa"/>
              <w:right w:w="100" w:type="dxa"/>
            </w:tcMar>
          </w:tcPr>
          <w:p w14:paraId="281935F7" w14:textId="77777777" w:rsidR="002530E2" w:rsidRDefault="002530E2">
            <w:pPr>
              <w:widowControl w:val="0"/>
              <w:spacing w:after="0" w:line="276" w:lineRule="auto"/>
            </w:pPr>
            <w:r>
              <w:t>"Advertising blunders are instances where companies make errors in judgement or execution in their advertising campaigns, leading to unintended consequences that undermine the effectiveness of the message or damage the brand's reputation."</w:t>
            </w:r>
          </w:p>
        </w:tc>
        <w:tc>
          <w:tcPr>
            <w:tcW w:w="1590" w:type="dxa"/>
            <w:tcMar>
              <w:top w:w="100" w:type="dxa"/>
              <w:left w:w="100" w:type="dxa"/>
              <w:bottom w:w="100" w:type="dxa"/>
              <w:right w:w="100" w:type="dxa"/>
            </w:tcMar>
          </w:tcPr>
          <w:p w14:paraId="6A380312" w14:textId="77777777" w:rsidR="002530E2" w:rsidRDefault="002530E2">
            <w:pPr>
              <w:widowControl w:val="0"/>
              <w:spacing w:after="0" w:line="276" w:lineRule="auto"/>
            </w:pPr>
            <w:r>
              <w:t>Philip J. Kitchen</w:t>
            </w:r>
          </w:p>
        </w:tc>
      </w:tr>
      <w:tr w:rsidR="002530E2" w14:paraId="7BD807CC" w14:textId="77777777">
        <w:tc>
          <w:tcPr>
            <w:tcW w:w="510" w:type="dxa"/>
            <w:tcMar>
              <w:top w:w="100" w:type="dxa"/>
              <w:left w:w="100" w:type="dxa"/>
              <w:bottom w:w="100" w:type="dxa"/>
              <w:right w:w="100" w:type="dxa"/>
            </w:tcMar>
          </w:tcPr>
          <w:p w14:paraId="3C7289A2" w14:textId="77777777" w:rsidR="002530E2" w:rsidRDefault="002530E2">
            <w:pPr>
              <w:widowControl w:val="0"/>
              <w:spacing w:after="0" w:line="276" w:lineRule="auto"/>
              <w:jc w:val="center"/>
            </w:pPr>
            <w:r>
              <w:t>4</w:t>
            </w:r>
          </w:p>
        </w:tc>
        <w:tc>
          <w:tcPr>
            <w:tcW w:w="6960" w:type="dxa"/>
            <w:tcMar>
              <w:top w:w="100" w:type="dxa"/>
              <w:left w:w="100" w:type="dxa"/>
              <w:bottom w:w="100" w:type="dxa"/>
              <w:right w:w="100" w:type="dxa"/>
            </w:tcMar>
          </w:tcPr>
          <w:p w14:paraId="1116EA0B" w14:textId="77777777" w:rsidR="002530E2" w:rsidRDefault="002530E2">
            <w:pPr>
              <w:widowControl w:val="0"/>
              <w:spacing w:after="0" w:line="276" w:lineRule="auto"/>
            </w:pPr>
            <w:r>
              <w:t xml:space="preserve">"Advertising blunders are mistakes made in the design, content, or placement of advertisements that result in negative customer reactions, backlash, or failure to generate the desired response or impact." </w:t>
            </w:r>
          </w:p>
        </w:tc>
        <w:tc>
          <w:tcPr>
            <w:tcW w:w="1590" w:type="dxa"/>
            <w:tcMar>
              <w:top w:w="100" w:type="dxa"/>
              <w:left w:w="100" w:type="dxa"/>
              <w:bottom w:w="100" w:type="dxa"/>
              <w:right w:w="100" w:type="dxa"/>
            </w:tcMar>
          </w:tcPr>
          <w:p w14:paraId="371D587A" w14:textId="77777777" w:rsidR="002530E2" w:rsidRDefault="002530E2">
            <w:pPr>
              <w:widowControl w:val="0"/>
              <w:spacing w:after="0" w:line="276" w:lineRule="auto"/>
            </w:pPr>
            <w:r>
              <w:t>John Philip Jones</w:t>
            </w:r>
          </w:p>
        </w:tc>
      </w:tr>
      <w:tr w:rsidR="002530E2" w14:paraId="764075A7" w14:textId="77777777">
        <w:tc>
          <w:tcPr>
            <w:tcW w:w="510" w:type="dxa"/>
            <w:tcMar>
              <w:top w:w="100" w:type="dxa"/>
              <w:left w:w="100" w:type="dxa"/>
              <w:bottom w:w="100" w:type="dxa"/>
              <w:right w:w="100" w:type="dxa"/>
            </w:tcMar>
          </w:tcPr>
          <w:p w14:paraId="29B02841" w14:textId="77777777" w:rsidR="002530E2" w:rsidRDefault="002530E2">
            <w:pPr>
              <w:widowControl w:val="0"/>
              <w:spacing w:after="0" w:line="276" w:lineRule="auto"/>
              <w:jc w:val="center"/>
            </w:pPr>
            <w:r>
              <w:t>5</w:t>
            </w:r>
          </w:p>
        </w:tc>
        <w:tc>
          <w:tcPr>
            <w:tcW w:w="6960" w:type="dxa"/>
            <w:tcMar>
              <w:top w:w="100" w:type="dxa"/>
              <w:left w:w="100" w:type="dxa"/>
              <w:bottom w:w="100" w:type="dxa"/>
              <w:right w:w="100" w:type="dxa"/>
            </w:tcMar>
          </w:tcPr>
          <w:p w14:paraId="660504ED" w14:textId="77777777" w:rsidR="002530E2" w:rsidRDefault="002530E2">
            <w:pPr>
              <w:widowControl w:val="0"/>
              <w:spacing w:after="0" w:line="276" w:lineRule="auto"/>
            </w:pPr>
            <w:r>
              <w:t>"Advertising blunders are errors in the strategic planning, creative development, or targeting of advertising efforts that result in wasted resources, missed opportunities, or negative consumer perceptions."</w:t>
            </w:r>
          </w:p>
        </w:tc>
        <w:tc>
          <w:tcPr>
            <w:tcW w:w="1590" w:type="dxa"/>
            <w:tcMar>
              <w:top w:w="100" w:type="dxa"/>
              <w:left w:w="100" w:type="dxa"/>
              <w:bottom w:w="100" w:type="dxa"/>
              <w:right w:w="100" w:type="dxa"/>
            </w:tcMar>
          </w:tcPr>
          <w:p w14:paraId="699AE497" w14:textId="77777777" w:rsidR="002530E2" w:rsidRDefault="002530E2">
            <w:pPr>
              <w:widowControl w:val="0"/>
              <w:spacing w:after="0" w:line="276" w:lineRule="auto"/>
            </w:pPr>
            <w:r>
              <w:t>Valerie Brennan</w:t>
            </w:r>
          </w:p>
        </w:tc>
      </w:tr>
    </w:tbl>
    <w:p w14:paraId="21EE9117" w14:textId="77777777" w:rsidR="002530E2" w:rsidRDefault="002530E2">
      <w:pPr>
        <w:spacing w:after="0"/>
      </w:pPr>
    </w:p>
    <w:p w14:paraId="5840D7ED" w14:textId="77777777" w:rsidR="002530E2" w:rsidRDefault="002530E2">
      <w:pPr>
        <w:pStyle w:val="Heading2"/>
        <w:spacing w:before="0"/>
      </w:pPr>
      <w:bookmarkStart w:id="296" w:name="_e5abmuti9jzt" w:colFirst="0" w:colLast="0"/>
      <w:bookmarkEnd w:id="296"/>
      <w:r>
        <w:t>BRANDING BLUNDERS</w:t>
      </w:r>
    </w:p>
    <w:p w14:paraId="4AA87E42" w14:textId="77777777" w:rsidR="002530E2" w:rsidRDefault="002530E2">
      <w:pPr>
        <w:spacing w:after="0"/>
      </w:pPr>
      <w:r>
        <w:t>Below are some perspectives, viewpoints, and insights from experts in the field and from various sources on branding blunders. These perspectives highlight that branding blunders can encompass various types of mistakes made in the branding process, ranging from strategic misalignment to communication failures and customer experience issues. The consequences of branding blunders can be detrimental to a brand's reputation, consumer perception, and business success.</w:t>
      </w:r>
    </w:p>
    <w:p w14:paraId="3D0077AD"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
        <w:gridCol w:w="6960"/>
        <w:gridCol w:w="1590"/>
      </w:tblGrid>
      <w:tr w:rsidR="002530E2" w14:paraId="6BA0B98C" w14:textId="77777777">
        <w:tc>
          <w:tcPr>
            <w:tcW w:w="510" w:type="dxa"/>
            <w:tcMar>
              <w:top w:w="100" w:type="dxa"/>
              <w:left w:w="100" w:type="dxa"/>
              <w:bottom w:w="100" w:type="dxa"/>
              <w:right w:w="100" w:type="dxa"/>
            </w:tcMar>
          </w:tcPr>
          <w:p w14:paraId="55FC0F8C" w14:textId="77777777" w:rsidR="002530E2" w:rsidRDefault="002530E2">
            <w:pPr>
              <w:widowControl w:val="0"/>
              <w:spacing w:after="0" w:line="276" w:lineRule="auto"/>
              <w:jc w:val="center"/>
            </w:pPr>
            <w:r>
              <w:t>#</w:t>
            </w:r>
          </w:p>
        </w:tc>
        <w:tc>
          <w:tcPr>
            <w:tcW w:w="6960" w:type="dxa"/>
            <w:tcMar>
              <w:top w:w="100" w:type="dxa"/>
              <w:left w:w="100" w:type="dxa"/>
              <w:bottom w:w="100" w:type="dxa"/>
              <w:right w:w="100" w:type="dxa"/>
            </w:tcMar>
          </w:tcPr>
          <w:p w14:paraId="41ED56AF" w14:textId="77777777" w:rsidR="002530E2" w:rsidRDefault="002530E2">
            <w:pPr>
              <w:widowControl w:val="0"/>
              <w:spacing w:after="0" w:line="276" w:lineRule="auto"/>
            </w:pPr>
            <w:r>
              <w:t xml:space="preserve">INSIGHTS ON BRANDING BLUNDERS </w:t>
            </w:r>
          </w:p>
        </w:tc>
        <w:tc>
          <w:tcPr>
            <w:tcW w:w="1590" w:type="dxa"/>
            <w:tcMar>
              <w:top w:w="100" w:type="dxa"/>
              <w:left w:w="100" w:type="dxa"/>
              <w:bottom w:w="100" w:type="dxa"/>
              <w:right w:w="100" w:type="dxa"/>
            </w:tcMar>
          </w:tcPr>
          <w:p w14:paraId="492355D5" w14:textId="77777777" w:rsidR="002530E2" w:rsidRDefault="002530E2">
            <w:pPr>
              <w:widowControl w:val="0"/>
              <w:spacing w:after="0" w:line="276" w:lineRule="auto"/>
            </w:pPr>
            <w:r>
              <w:t>SOURCE</w:t>
            </w:r>
          </w:p>
        </w:tc>
      </w:tr>
      <w:tr w:rsidR="002530E2" w14:paraId="7275979D" w14:textId="77777777">
        <w:tc>
          <w:tcPr>
            <w:tcW w:w="510" w:type="dxa"/>
            <w:tcMar>
              <w:top w:w="100" w:type="dxa"/>
              <w:left w:w="100" w:type="dxa"/>
              <w:bottom w:w="100" w:type="dxa"/>
              <w:right w:w="100" w:type="dxa"/>
            </w:tcMar>
          </w:tcPr>
          <w:p w14:paraId="0FFB22A7" w14:textId="77777777" w:rsidR="002530E2" w:rsidRDefault="002530E2">
            <w:pPr>
              <w:widowControl w:val="0"/>
              <w:spacing w:after="0" w:line="276" w:lineRule="auto"/>
              <w:jc w:val="center"/>
            </w:pPr>
            <w:r>
              <w:t>1</w:t>
            </w:r>
          </w:p>
        </w:tc>
        <w:tc>
          <w:tcPr>
            <w:tcW w:w="6960" w:type="dxa"/>
            <w:tcMar>
              <w:top w:w="100" w:type="dxa"/>
              <w:left w:w="100" w:type="dxa"/>
              <w:bottom w:w="100" w:type="dxa"/>
              <w:right w:w="100" w:type="dxa"/>
            </w:tcMar>
          </w:tcPr>
          <w:p w14:paraId="306D1EA3" w14:textId="77777777" w:rsidR="002530E2" w:rsidRDefault="002530E2">
            <w:pPr>
              <w:widowControl w:val="0"/>
              <w:spacing w:after="0" w:line="276" w:lineRule="auto"/>
            </w:pPr>
            <w:r>
              <w:t>"Branding blunders are significant errors or missteps made in the branding process that result in negative brand perception, consumer backlash, or damage to the brand's reputation."</w:t>
            </w:r>
          </w:p>
        </w:tc>
        <w:tc>
          <w:tcPr>
            <w:tcW w:w="1590" w:type="dxa"/>
            <w:tcMar>
              <w:top w:w="100" w:type="dxa"/>
              <w:left w:w="100" w:type="dxa"/>
              <w:bottom w:w="100" w:type="dxa"/>
              <w:right w:w="100" w:type="dxa"/>
            </w:tcMar>
          </w:tcPr>
          <w:p w14:paraId="653D0F01" w14:textId="77777777" w:rsidR="002530E2" w:rsidRDefault="002530E2">
            <w:pPr>
              <w:widowControl w:val="0"/>
              <w:spacing w:after="0" w:line="276" w:lineRule="auto"/>
            </w:pPr>
            <w:r>
              <w:t>Forbes</w:t>
            </w:r>
          </w:p>
        </w:tc>
      </w:tr>
      <w:tr w:rsidR="002530E2" w14:paraId="496A257C" w14:textId="77777777">
        <w:tc>
          <w:tcPr>
            <w:tcW w:w="510" w:type="dxa"/>
            <w:tcMar>
              <w:top w:w="100" w:type="dxa"/>
              <w:left w:w="100" w:type="dxa"/>
              <w:bottom w:w="100" w:type="dxa"/>
              <w:right w:w="100" w:type="dxa"/>
            </w:tcMar>
          </w:tcPr>
          <w:p w14:paraId="244664B6" w14:textId="77777777" w:rsidR="002530E2" w:rsidRDefault="002530E2">
            <w:pPr>
              <w:widowControl w:val="0"/>
              <w:spacing w:after="0" w:line="276" w:lineRule="auto"/>
              <w:jc w:val="center"/>
            </w:pPr>
            <w:r>
              <w:t>2</w:t>
            </w:r>
          </w:p>
        </w:tc>
        <w:tc>
          <w:tcPr>
            <w:tcW w:w="6960" w:type="dxa"/>
            <w:tcMar>
              <w:top w:w="100" w:type="dxa"/>
              <w:left w:w="100" w:type="dxa"/>
              <w:bottom w:w="100" w:type="dxa"/>
              <w:right w:w="100" w:type="dxa"/>
            </w:tcMar>
          </w:tcPr>
          <w:p w14:paraId="3B926B91" w14:textId="77777777" w:rsidR="002530E2" w:rsidRDefault="002530E2">
            <w:pPr>
              <w:widowControl w:val="0"/>
              <w:spacing w:after="0" w:line="276" w:lineRule="auto"/>
            </w:pPr>
            <w:r>
              <w:t xml:space="preserve">"Branding blunders occur when companies fail to effectively align their brand messaging, positioning, and customer experience, leading to confusion, disconnection, or disappointment among consumers." </w:t>
            </w:r>
          </w:p>
        </w:tc>
        <w:tc>
          <w:tcPr>
            <w:tcW w:w="1590" w:type="dxa"/>
            <w:tcMar>
              <w:top w:w="100" w:type="dxa"/>
              <w:left w:w="100" w:type="dxa"/>
              <w:bottom w:w="100" w:type="dxa"/>
              <w:right w:w="100" w:type="dxa"/>
            </w:tcMar>
          </w:tcPr>
          <w:p w14:paraId="7B355E28" w14:textId="77777777" w:rsidR="002530E2" w:rsidRDefault="002530E2">
            <w:pPr>
              <w:widowControl w:val="0"/>
              <w:spacing w:after="0" w:line="276" w:lineRule="auto"/>
            </w:pPr>
            <w:r>
              <w:t>Harvard Business Review</w:t>
            </w:r>
          </w:p>
        </w:tc>
      </w:tr>
      <w:tr w:rsidR="002530E2" w14:paraId="1FD8AA14" w14:textId="77777777">
        <w:tc>
          <w:tcPr>
            <w:tcW w:w="510" w:type="dxa"/>
            <w:tcMar>
              <w:top w:w="100" w:type="dxa"/>
              <w:left w:w="100" w:type="dxa"/>
              <w:bottom w:w="100" w:type="dxa"/>
              <w:right w:w="100" w:type="dxa"/>
            </w:tcMar>
          </w:tcPr>
          <w:p w14:paraId="082CD0C1" w14:textId="77777777" w:rsidR="002530E2" w:rsidRDefault="002530E2">
            <w:pPr>
              <w:widowControl w:val="0"/>
              <w:spacing w:after="0" w:line="276" w:lineRule="auto"/>
              <w:jc w:val="center"/>
            </w:pPr>
            <w:r>
              <w:t>3</w:t>
            </w:r>
          </w:p>
        </w:tc>
        <w:tc>
          <w:tcPr>
            <w:tcW w:w="6960" w:type="dxa"/>
            <w:tcMar>
              <w:top w:w="100" w:type="dxa"/>
              <w:left w:w="100" w:type="dxa"/>
              <w:bottom w:w="100" w:type="dxa"/>
              <w:right w:w="100" w:type="dxa"/>
            </w:tcMar>
          </w:tcPr>
          <w:p w14:paraId="3A513343" w14:textId="77777777" w:rsidR="002530E2" w:rsidRDefault="002530E2">
            <w:pPr>
              <w:widowControl w:val="0"/>
              <w:spacing w:after="0" w:line="276" w:lineRule="auto"/>
            </w:pPr>
            <w:r>
              <w:t>"Branding blunders refer to mistakes in brand strategy, communication, or implementation that result in a mismatch between consumer expectations and the brand's actual performance or identity."</w:t>
            </w:r>
          </w:p>
        </w:tc>
        <w:tc>
          <w:tcPr>
            <w:tcW w:w="1590" w:type="dxa"/>
            <w:tcMar>
              <w:top w:w="100" w:type="dxa"/>
              <w:left w:w="100" w:type="dxa"/>
              <w:bottom w:w="100" w:type="dxa"/>
              <w:right w:w="100" w:type="dxa"/>
            </w:tcMar>
          </w:tcPr>
          <w:p w14:paraId="58285F30" w14:textId="77777777" w:rsidR="002530E2" w:rsidRDefault="002530E2">
            <w:pPr>
              <w:widowControl w:val="0"/>
              <w:spacing w:after="0" w:line="276" w:lineRule="auto"/>
            </w:pPr>
            <w:r>
              <w:t>Branding Strategy Insider</w:t>
            </w:r>
          </w:p>
        </w:tc>
      </w:tr>
      <w:tr w:rsidR="002530E2" w14:paraId="70D7258F" w14:textId="77777777">
        <w:tc>
          <w:tcPr>
            <w:tcW w:w="510" w:type="dxa"/>
            <w:tcMar>
              <w:top w:w="100" w:type="dxa"/>
              <w:left w:w="100" w:type="dxa"/>
              <w:bottom w:w="100" w:type="dxa"/>
              <w:right w:w="100" w:type="dxa"/>
            </w:tcMar>
          </w:tcPr>
          <w:p w14:paraId="56017B7C" w14:textId="77777777" w:rsidR="002530E2" w:rsidRDefault="002530E2">
            <w:pPr>
              <w:widowControl w:val="0"/>
              <w:spacing w:after="0" w:line="276" w:lineRule="auto"/>
              <w:jc w:val="center"/>
            </w:pPr>
            <w:r>
              <w:t>4</w:t>
            </w:r>
          </w:p>
        </w:tc>
        <w:tc>
          <w:tcPr>
            <w:tcW w:w="6960" w:type="dxa"/>
            <w:tcMar>
              <w:top w:w="100" w:type="dxa"/>
              <w:left w:w="100" w:type="dxa"/>
              <w:bottom w:w="100" w:type="dxa"/>
              <w:right w:w="100" w:type="dxa"/>
            </w:tcMar>
          </w:tcPr>
          <w:p w14:paraId="11EB230F" w14:textId="77777777" w:rsidR="002530E2" w:rsidRDefault="002530E2">
            <w:pPr>
              <w:widowControl w:val="0"/>
              <w:spacing w:after="0" w:line="276" w:lineRule="auto"/>
            </w:pPr>
            <w:r>
              <w:t xml:space="preserve">"Branding blunders are instances where companies overlook or disregard cultural sensitivities, market dynamics, or consumer insights, leading to misalignment between the brand's intended image and the perception of </w:t>
            </w:r>
            <w:r>
              <w:lastRenderedPageBreak/>
              <w:t xml:space="preserve">its target audience." </w:t>
            </w:r>
          </w:p>
        </w:tc>
        <w:tc>
          <w:tcPr>
            <w:tcW w:w="1590" w:type="dxa"/>
            <w:tcMar>
              <w:top w:w="100" w:type="dxa"/>
              <w:left w:w="100" w:type="dxa"/>
              <w:bottom w:w="100" w:type="dxa"/>
              <w:right w:w="100" w:type="dxa"/>
            </w:tcMar>
          </w:tcPr>
          <w:p w14:paraId="04ACB638" w14:textId="77777777" w:rsidR="002530E2" w:rsidRDefault="002530E2">
            <w:pPr>
              <w:widowControl w:val="0"/>
              <w:spacing w:after="0" w:line="276" w:lineRule="auto"/>
            </w:pPr>
            <w:r>
              <w:lastRenderedPageBreak/>
              <w:t>Marketing Week</w:t>
            </w:r>
          </w:p>
        </w:tc>
      </w:tr>
      <w:tr w:rsidR="002530E2" w14:paraId="79DE97F5" w14:textId="77777777">
        <w:tc>
          <w:tcPr>
            <w:tcW w:w="510" w:type="dxa"/>
            <w:tcMar>
              <w:top w:w="100" w:type="dxa"/>
              <w:left w:w="100" w:type="dxa"/>
              <w:bottom w:w="100" w:type="dxa"/>
              <w:right w:w="100" w:type="dxa"/>
            </w:tcMar>
          </w:tcPr>
          <w:p w14:paraId="08C8C707" w14:textId="77777777" w:rsidR="002530E2" w:rsidRDefault="002530E2">
            <w:pPr>
              <w:widowControl w:val="0"/>
              <w:spacing w:after="0" w:line="276" w:lineRule="auto"/>
              <w:jc w:val="center"/>
            </w:pPr>
            <w:r>
              <w:t>5</w:t>
            </w:r>
          </w:p>
        </w:tc>
        <w:tc>
          <w:tcPr>
            <w:tcW w:w="6960" w:type="dxa"/>
            <w:tcMar>
              <w:top w:w="100" w:type="dxa"/>
              <w:left w:w="100" w:type="dxa"/>
              <w:bottom w:w="100" w:type="dxa"/>
              <w:right w:w="100" w:type="dxa"/>
            </w:tcMar>
          </w:tcPr>
          <w:p w14:paraId="1988168F" w14:textId="77777777" w:rsidR="002530E2" w:rsidRDefault="002530E2">
            <w:pPr>
              <w:widowControl w:val="0"/>
              <w:spacing w:after="0" w:line="276" w:lineRule="auto"/>
            </w:pPr>
            <w:r>
              <w:t>"Branding blunders encompass a wide range of mistakes, including inconsistent messaging, poor visual design, lack of authenticity, and failure to deliver on brand promises, all of which can undermine the brand's credibility and customer trust."</w:t>
            </w:r>
          </w:p>
        </w:tc>
        <w:tc>
          <w:tcPr>
            <w:tcW w:w="1590" w:type="dxa"/>
            <w:tcMar>
              <w:top w:w="100" w:type="dxa"/>
              <w:left w:w="100" w:type="dxa"/>
              <w:bottom w:w="100" w:type="dxa"/>
              <w:right w:w="100" w:type="dxa"/>
            </w:tcMar>
          </w:tcPr>
          <w:p w14:paraId="14D63C93" w14:textId="77777777" w:rsidR="002530E2" w:rsidRDefault="002530E2">
            <w:pPr>
              <w:widowControl w:val="0"/>
              <w:spacing w:after="0" w:line="276" w:lineRule="auto"/>
            </w:pPr>
            <w:r>
              <w:t>Entrepreneur</w:t>
            </w:r>
          </w:p>
        </w:tc>
      </w:tr>
    </w:tbl>
    <w:p w14:paraId="6B7899EC" w14:textId="77777777" w:rsidR="002530E2" w:rsidRDefault="002530E2">
      <w:pPr>
        <w:spacing w:after="0"/>
      </w:pPr>
    </w:p>
    <w:p w14:paraId="0CB5DFC2" w14:textId="77777777" w:rsidR="002530E2" w:rsidRDefault="002530E2">
      <w:pPr>
        <w:spacing w:after="240"/>
      </w:pPr>
      <w:r>
        <w:t>Branding blunders refer to significant mistakes or missteps made in the process of branding that can have negative consequences for a brand's reputation, consumer perception, and overall business success. Here are some examples of branding blunders:</w:t>
      </w:r>
    </w:p>
    <w:p w14:paraId="3855D40B" w14:textId="77777777" w:rsidR="002530E2" w:rsidRDefault="002530E2" w:rsidP="002530E2">
      <w:pPr>
        <w:numPr>
          <w:ilvl w:val="0"/>
          <w:numId w:val="81"/>
        </w:numPr>
        <w:spacing w:before="240" w:after="200" w:line="360" w:lineRule="auto"/>
        <w:jc w:val="both"/>
        <w:rPr>
          <w:sz w:val="20"/>
          <w:szCs w:val="20"/>
        </w:rPr>
      </w:pPr>
      <w:r>
        <w:t>Inconsistent Branding: Failing to maintain consistency in brand messaging, visual identity, or customer experience across different channels and touchpoints can confuse consumers and weaken the brand's image.</w:t>
      </w:r>
    </w:p>
    <w:p w14:paraId="4FB4772C" w14:textId="77777777" w:rsidR="002530E2" w:rsidRDefault="002530E2" w:rsidP="002530E2">
      <w:pPr>
        <w:numPr>
          <w:ilvl w:val="0"/>
          <w:numId w:val="81"/>
        </w:numPr>
        <w:spacing w:after="200" w:line="360" w:lineRule="auto"/>
        <w:jc w:val="both"/>
        <w:rPr>
          <w:sz w:val="20"/>
          <w:szCs w:val="20"/>
        </w:rPr>
      </w:pPr>
      <w:r>
        <w:t>Poor Target Audience Alignment: Not understanding or properly identifying the target audience can lead to ineffective branding efforts and messaging that fails to resonate with the intended consumer base.</w:t>
      </w:r>
    </w:p>
    <w:p w14:paraId="594CB045" w14:textId="77777777" w:rsidR="002530E2" w:rsidRDefault="002530E2" w:rsidP="002530E2">
      <w:pPr>
        <w:numPr>
          <w:ilvl w:val="0"/>
          <w:numId w:val="81"/>
        </w:numPr>
        <w:spacing w:after="200" w:line="360" w:lineRule="auto"/>
        <w:jc w:val="both"/>
        <w:rPr>
          <w:sz w:val="20"/>
          <w:szCs w:val="20"/>
        </w:rPr>
      </w:pPr>
      <w:r>
        <w:t>Cultural Insensitivity: Ignoring or disrespecting cultural nuances and sensitivities in branding can result in offensive or inappropriate messaging that alienates potential customers and damages the brand's reputation.</w:t>
      </w:r>
    </w:p>
    <w:p w14:paraId="6E13265F" w14:textId="77777777" w:rsidR="002530E2" w:rsidRDefault="002530E2" w:rsidP="002530E2">
      <w:pPr>
        <w:numPr>
          <w:ilvl w:val="0"/>
          <w:numId w:val="81"/>
        </w:numPr>
        <w:spacing w:after="200" w:line="360" w:lineRule="auto"/>
        <w:jc w:val="both"/>
        <w:rPr>
          <w:sz w:val="20"/>
          <w:szCs w:val="20"/>
        </w:rPr>
      </w:pPr>
      <w:r>
        <w:t>Lack of Differentiation: If a brand fails to differentiate itself from competitors and communicate a unique value proposition, it may struggle to stand out in the market and attract customers.</w:t>
      </w:r>
    </w:p>
    <w:p w14:paraId="6FB40C82" w14:textId="77777777" w:rsidR="002530E2" w:rsidRDefault="002530E2" w:rsidP="002530E2">
      <w:pPr>
        <w:numPr>
          <w:ilvl w:val="0"/>
          <w:numId w:val="81"/>
        </w:numPr>
        <w:spacing w:after="200" w:line="360" w:lineRule="auto"/>
        <w:jc w:val="both"/>
        <w:rPr>
          <w:sz w:val="20"/>
          <w:szCs w:val="20"/>
        </w:rPr>
      </w:pPr>
      <w:r>
        <w:t>Overpromising and under delivering: Making exaggerated claims or promises about a brand's products or services that cannot be fulfilled can lead to disappointed customers, negative reviews, and a loss of trust in the brand.</w:t>
      </w:r>
    </w:p>
    <w:p w14:paraId="6950DD1F" w14:textId="77777777" w:rsidR="002530E2" w:rsidRDefault="002530E2" w:rsidP="002530E2">
      <w:pPr>
        <w:numPr>
          <w:ilvl w:val="0"/>
          <w:numId w:val="81"/>
        </w:numPr>
        <w:spacing w:after="200" w:line="360" w:lineRule="auto"/>
        <w:jc w:val="both"/>
        <w:rPr>
          <w:sz w:val="20"/>
          <w:szCs w:val="20"/>
        </w:rPr>
      </w:pPr>
      <w:r>
        <w:t>Poor brand extension: Extending a brand into unrelated or ill-fitting product categories without considering the brand's core values, consumer perception, or market relevance can dilute the brand's identity and confuse consumers.</w:t>
      </w:r>
    </w:p>
    <w:p w14:paraId="5E3FDEE1" w14:textId="77777777" w:rsidR="002530E2" w:rsidRDefault="002530E2" w:rsidP="002530E2">
      <w:pPr>
        <w:numPr>
          <w:ilvl w:val="0"/>
          <w:numId w:val="81"/>
        </w:numPr>
        <w:spacing w:after="200" w:line="360" w:lineRule="auto"/>
        <w:jc w:val="both"/>
        <w:rPr>
          <w:sz w:val="20"/>
          <w:szCs w:val="20"/>
        </w:rPr>
      </w:pPr>
      <w:r>
        <w:t>Inappropriate Brand Associations: Associating a brand with controversial individuals, events, or causes that are inconsistent with the brand's values or may alienate the target audience can lead to backlash and damage the brand's reputation.</w:t>
      </w:r>
    </w:p>
    <w:p w14:paraId="535637CD" w14:textId="77777777" w:rsidR="002530E2" w:rsidRDefault="002530E2" w:rsidP="002530E2">
      <w:pPr>
        <w:numPr>
          <w:ilvl w:val="0"/>
          <w:numId w:val="81"/>
        </w:numPr>
        <w:spacing w:before="240" w:after="200" w:line="360" w:lineRule="auto"/>
        <w:jc w:val="both"/>
        <w:rPr>
          <w:sz w:val="20"/>
          <w:szCs w:val="20"/>
        </w:rPr>
      </w:pPr>
      <w:r>
        <w:lastRenderedPageBreak/>
        <w:t>Failure to Adapt to Changing Trends: Neglecting to evolve the brand's image, messaging, or customer experience to align with changing consumer preferences and market trends can result in a brand becoming outdated and losing relevance.</w:t>
      </w:r>
    </w:p>
    <w:p w14:paraId="2DA79A0D" w14:textId="77777777" w:rsidR="002530E2" w:rsidRDefault="002530E2">
      <w:pPr>
        <w:spacing w:before="240" w:after="240"/>
      </w:pPr>
      <w:r>
        <w:t>These examples highlight the potential pitfalls and consequences of branding blunders. Successful branding requires careful planning, research, and ongoing monitoring to ensure that the brand's identity, messaging, and customer experience align with the target audience and market dynamics.</w:t>
      </w:r>
    </w:p>
    <w:p w14:paraId="11CDB1C1" w14:textId="77777777" w:rsidR="002530E2" w:rsidRDefault="002530E2">
      <w:pPr>
        <w:spacing w:before="240" w:after="240"/>
      </w:pPr>
    </w:p>
    <w:p w14:paraId="1B28E21A" w14:textId="77777777" w:rsidR="002530E2" w:rsidRDefault="002530E2">
      <w:pPr>
        <w:spacing w:before="240" w:after="240"/>
      </w:pPr>
    </w:p>
    <w:p w14:paraId="0A76C0A3" w14:textId="77777777" w:rsidR="002530E2" w:rsidRDefault="002530E2">
      <w:pPr>
        <w:pStyle w:val="Heading2"/>
        <w:spacing w:before="0"/>
      </w:pPr>
      <w:bookmarkStart w:id="297" w:name="_87wvp8izyxcb" w:colFirst="0" w:colLast="0"/>
      <w:bookmarkEnd w:id="297"/>
      <w:r>
        <w:t>BOOKS ON THE TOPIC OF BLUNDERS BY MNCs</w:t>
      </w:r>
    </w:p>
    <w:p w14:paraId="08C8E1BE" w14:textId="77777777" w:rsidR="002530E2" w:rsidRDefault="002530E2">
      <w:pPr>
        <w:spacing w:after="0"/>
      </w:pPr>
      <w:r>
        <w:t xml:space="preserve">Listed below in chronology are only a handful of books focused on the topic of “blunders” that have been published in the past 33 years. </w:t>
      </w:r>
    </w:p>
    <w:p w14:paraId="1D88F62A" w14:textId="77777777" w:rsidR="002530E2" w:rsidRDefault="002530E2">
      <w:pPr>
        <w:spacing w:after="0"/>
      </w:pP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5"/>
        <w:gridCol w:w="4725"/>
        <w:gridCol w:w="1560"/>
        <w:gridCol w:w="825"/>
        <w:gridCol w:w="1395"/>
      </w:tblGrid>
      <w:tr w:rsidR="002530E2" w14:paraId="5C1CC6DA" w14:textId="77777777">
        <w:tc>
          <w:tcPr>
            <w:tcW w:w="495" w:type="dxa"/>
            <w:tcMar>
              <w:top w:w="100" w:type="dxa"/>
              <w:left w:w="100" w:type="dxa"/>
              <w:bottom w:w="100" w:type="dxa"/>
              <w:right w:w="100" w:type="dxa"/>
            </w:tcMar>
          </w:tcPr>
          <w:p w14:paraId="2A586F51" w14:textId="77777777" w:rsidR="002530E2" w:rsidRDefault="002530E2">
            <w:pPr>
              <w:spacing w:after="0" w:line="276" w:lineRule="auto"/>
              <w:jc w:val="center"/>
            </w:pPr>
            <w:r>
              <w:rPr>
                <w:sz w:val="18"/>
                <w:szCs w:val="18"/>
              </w:rPr>
              <w:t>#</w:t>
            </w:r>
          </w:p>
        </w:tc>
        <w:tc>
          <w:tcPr>
            <w:tcW w:w="4725" w:type="dxa"/>
            <w:tcMar>
              <w:top w:w="100" w:type="dxa"/>
              <w:left w:w="100" w:type="dxa"/>
              <w:bottom w:w="100" w:type="dxa"/>
              <w:right w:w="100" w:type="dxa"/>
            </w:tcMar>
          </w:tcPr>
          <w:p w14:paraId="1DB349E6" w14:textId="77777777" w:rsidR="002530E2" w:rsidRDefault="002530E2">
            <w:pPr>
              <w:spacing w:after="0" w:line="276" w:lineRule="auto"/>
            </w:pPr>
            <w:r>
              <w:rPr>
                <w:sz w:val="18"/>
                <w:szCs w:val="18"/>
              </w:rPr>
              <w:t>BOOKS ON THE TOPIC</w:t>
            </w:r>
          </w:p>
        </w:tc>
        <w:tc>
          <w:tcPr>
            <w:tcW w:w="1560" w:type="dxa"/>
            <w:tcMar>
              <w:top w:w="100" w:type="dxa"/>
              <w:left w:w="100" w:type="dxa"/>
              <w:bottom w:w="100" w:type="dxa"/>
              <w:right w:w="100" w:type="dxa"/>
            </w:tcMar>
          </w:tcPr>
          <w:p w14:paraId="0226BD5F" w14:textId="77777777" w:rsidR="002530E2" w:rsidRDefault="002530E2">
            <w:pPr>
              <w:spacing w:after="0" w:line="276" w:lineRule="auto"/>
              <w:jc w:val="center"/>
            </w:pPr>
            <w:r>
              <w:rPr>
                <w:sz w:val="18"/>
                <w:szCs w:val="18"/>
              </w:rPr>
              <w:t>AUTHOR</w:t>
            </w:r>
          </w:p>
        </w:tc>
        <w:tc>
          <w:tcPr>
            <w:tcW w:w="825" w:type="dxa"/>
            <w:tcMar>
              <w:top w:w="100" w:type="dxa"/>
              <w:left w:w="100" w:type="dxa"/>
              <w:bottom w:w="100" w:type="dxa"/>
              <w:right w:w="100" w:type="dxa"/>
            </w:tcMar>
          </w:tcPr>
          <w:p w14:paraId="233B9D8F" w14:textId="77777777" w:rsidR="002530E2" w:rsidRDefault="002530E2">
            <w:pPr>
              <w:spacing w:after="0" w:line="276" w:lineRule="auto"/>
              <w:jc w:val="center"/>
            </w:pPr>
            <w:r>
              <w:rPr>
                <w:sz w:val="18"/>
                <w:szCs w:val="18"/>
              </w:rPr>
              <w:t>YEAR</w:t>
            </w:r>
          </w:p>
        </w:tc>
        <w:tc>
          <w:tcPr>
            <w:tcW w:w="1395" w:type="dxa"/>
            <w:tcMar>
              <w:top w:w="100" w:type="dxa"/>
              <w:left w:w="100" w:type="dxa"/>
              <w:bottom w:w="100" w:type="dxa"/>
              <w:right w:w="100" w:type="dxa"/>
            </w:tcMar>
          </w:tcPr>
          <w:p w14:paraId="41184BB2" w14:textId="77777777" w:rsidR="002530E2" w:rsidRDefault="002530E2">
            <w:pPr>
              <w:spacing w:after="0" w:line="276" w:lineRule="auto"/>
              <w:jc w:val="center"/>
            </w:pPr>
            <w:r>
              <w:rPr>
                <w:sz w:val="18"/>
                <w:szCs w:val="18"/>
              </w:rPr>
              <w:t>DECADE</w:t>
            </w:r>
          </w:p>
        </w:tc>
      </w:tr>
      <w:tr w:rsidR="002530E2" w14:paraId="3120E1BB" w14:textId="77777777">
        <w:trPr>
          <w:trHeight w:val="400"/>
        </w:trPr>
        <w:tc>
          <w:tcPr>
            <w:tcW w:w="495" w:type="dxa"/>
            <w:tcMar>
              <w:top w:w="100" w:type="dxa"/>
              <w:left w:w="100" w:type="dxa"/>
              <w:bottom w:w="100" w:type="dxa"/>
              <w:right w:w="100" w:type="dxa"/>
            </w:tcMar>
          </w:tcPr>
          <w:p w14:paraId="57057535" w14:textId="77777777" w:rsidR="002530E2" w:rsidRDefault="002530E2">
            <w:pPr>
              <w:spacing w:after="0" w:line="276" w:lineRule="auto"/>
              <w:jc w:val="center"/>
            </w:pPr>
            <w:r>
              <w:rPr>
                <w:sz w:val="18"/>
                <w:szCs w:val="18"/>
              </w:rPr>
              <w:t>1</w:t>
            </w:r>
          </w:p>
        </w:tc>
        <w:tc>
          <w:tcPr>
            <w:tcW w:w="4725" w:type="dxa"/>
            <w:tcMar>
              <w:top w:w="100" w:type="dxa"/>
              <w:left w:w="100" w:type="dxa"/>
              <w:bottom w:w="100" w:type="dxa"/>
              <w:right w:w="100" w:type="dxa"/>
            </w:tcMar>
          </w:tcPr>
          <w:p w14:paraId="076E4E32" w14:textId="77777777" w:rsidR="002530E2" w:rsidRDefault="002530E2">
            <w:pPr>
              <w:spacing w:after="0" w:line="276" w:lineRule="auto"/>
            </w:pPr>
            <w:r>
              <w:rPr>
                <w:sz w:val="18"/>
                <w:szCs w:val="18"/>
              </w:rPr>
              <w:t>“Six Timeless Marketing Blunders”</w:t>
            </w:r>
          </w:p>
        </w:tc>
        <w:tc>
          <w:tcPr>
            <w:tcW w:w="1560" w:type="dxa"/>
            <w:tcMar>
              <w:top w:w="100" w:type="dxa"/>
              <w:left w:w="100" w:type="dxa"/>
              <w:bottom w:w="100" w:type="dxa"/>
              <w:right w:w="100" w:type="dxa"/>
            </w:tcMar>
          </w:tcPr>
          <w:p w14:paraId="2DBA82C5" w14:textId="77777777" w:rsidR="002530E2" w:rsidRDefault="002530E2">
            <w:pPr>
              <w:spacing w:after="0" w:line="276" w:lineRule="auto"/>
              <w:jc w:val="center"/>
            </w:pPr>
            <w:r>
              <w:rPr>
                <w:sz w:val="18"/>
                <w:szCs w:val="18"/>
              </w:rPr>
              <w:t>W.L. Shanklin</w:t>
            </w:r>
          </w:p>
        </w:tc>
        <w:tc>
          <w:tcPr>
            <w:tcW w:w="825" w:type="dxa"/>
            <w:tcMar>
              <w:top w:w="100" w:type="dxa"/>
              <w:left w:w="100" w:type="dxa"/>
              <w:bottom w:w="100" w:type="dxa"/>
              <w:right w:w="100" w:type="dxa"/>
            </w:tcMar>
          </w:tcPr>
          <w:p w14:paraId="673798A7" w14:textId="77777777" w:rsidR="002530E2" w:rsidRDefault="002530E2">
            <w:pPr>
              <w:spacing w:after="0" w:line="276" w:lineRule="auto"/>
              <w:jc w:val="center"/>
            </w:pPr>
            <w:r>
              <w:rPr>
                <w:sz w:val="18"/>
                <w:szCs w:val="18"/>
              </w:rPr>
              <w:t>1990</w:t>
            </w:r>
          </w:p>
        </w:tc>
        <w:tc>
          <w:tcPr>
            <w:tcW w:w="1395" w:type="dxa"/>
            <w:vMerge w:val="restart"/>
            <w:tcMar>
              <w:top w:w="100" w:type="dxa"/>
              <w:left w:w="100" w:type="dxa"/>
              <w:bottom w:w="100" w:type="dxa"/>
              <w:right w:w="100" w:type="dxa"/>
            </w:tcMar>
          </w:tcPr>
          <w:p w14:paraId="5AE83DBF" w14:textId="77777777" w:rsidR="002530E2" w:rsidRDefault="002530E2">
            <w:pPr>
              <w:spacing w:after="0" w:line="276" w:lineRule="auto"/>
              <w:jc w:val="center"/>
            </w:pPr>
          </w:p>
          <w:p w14:paraId="1A95A4A0" w14:textId="77777777" w:rsidR="002530E2" w:rsidRDefault="002530E2">
            <w:pPr>
              <w:spacing w:after="0" w:line="276" w:lineRule="auto"/>
              <w:jc w:val="center"/>
            </w:pPr>
          </w:p>
          <w:p w14:paraId="79D9589A" w14:textId="77777777" w:rsidR="002530E2" w:rsidRDefault="002530E2">
            <w:pPr>
              <w:spacing w:after="0" w:line="276" w:lineRule="auto"/>
              <w:jc w:val="center"/>
            </w:pPr>
          </w:p>
          <w:p w14:paraId="2228FAEB" w14:textId="77777777" w:rsidR="002530E2" w:rsidRDefault="002530E2">
            <w:pPr>
              <w:spacing w:after="0" w:line="276" w:lineRule="auto"/>
              <w:jc w:val="center"/>
            </w:pPr>
          </w:p>
          <w:p w14:paraId="192EBD4D" w14:textId="77777777" w:rsidR="002530E2" w:rsidRDefault="002530E2">
            <w:pPr>
              <w:spacing w:after="0" w:line="276" w:lineRule="auto"/>
              <w:jc w:val="center"/>
            </w:pPr>
            <w:r>
              <w:rPr>
                <w:sz w:val="18"/>
                <w:szCs w:val="18"/>
              </w:rPr>
              <w:t>1990—2000</w:t>
            </w:r>
          </w:p>
        </w:tc>
      </w:tr>
      <w:tr w:rsidR="002530E2" w14:paraId="46EAAFBF" w14:textId="77777777">
        <w:trPr>
          <w:trHeight w:val="400"/>
        </w:trPr>
        <w:tc>
          <w:tcPr>
            <w:tcW w:w="495" w:type="dxa"/>
            <w:tcMar>
              <w:top w:w="100" w:type="dxa"/>
              <w:left w:w="100" w:type="dxa"/>
              <w:bottom w:w="100" w:type="dxa"/>
              <w:right w:w="100" w:type="dxa"/>
            </w:tcMar>
          </w:tcPr>
          <w:p w14:paraId="55808399" w14:textId="77777777" w:rsidR="002530E2" w:rsidRDefault="002530E2">
            <w:pPr>
              <w:spacing w:after="0" w:line="276" w:lineRule="auto"/>
              <w:jc w:val="center"/>
            </w:pPr>
            <w:r>
              <w:rPr>
                <w:sz w:val="18"/>
                <w:szCs w:val="18"/>
              </w:rPr>
              <w:t>2</w:t>
            </w:r>
          </w:p>
        </w:tc>
        <w:tc>
          <w:tcPr>
            <w:tcW w:w="4725" w:type="dxa"/>
            <w:tcMar>
              <w:top w:w="100" w:type="dxa"/>
              <w:left w:w="100" w:type="dxa"/>
              <w:bottom w:w="100" w:type="dxa"/>
              <w:right w:w="100" w:type="dxa"/>
            </w:tcMar>
          </w:tcPr>
          <w:p w14:paraId="3E45550E" w14:textId="77777777" w:rsidR="002530E2" w:rsidRDefault="002530E2">
            <w:pPr>
              <w:spacing w:after="0" w:line="276" w:lineRule="auto"/>
            </w:pPr>
            <w:r>
              <w:rPr>
                <w:sz w:val="18"/>
                <w:szCs w:val="18"/>
              </w:rPr>
              <w:t>“Marketing Blunders: 50 Case Studies of How Not to Do It”</w:t>
            </w:r>
          </w:p>
        </w:tc>
        <w:tc>
          <w:tcPr>
            <w:tcW w:w="1560" w:type="dxa"/>
            <w:tcMar>
              <w:top w:w="100" w:type="dxa"/>
              <w:left w:w="100" w:type="dxa"/>
              <w:bottom w:w="100" w:type="dxa"/>
              <w:right w:w="100" w:type="dxa"/>
            </w:tcMar>
          </w:tcPr>
          <w:p w14:paraId="04DCD713" w14:textId="77777777" w:rsidR="002530E2" w:rsidRDefault="002530E2">
            <w:pPr>
              <w:spacing w:after="0" w:line="276" w:lineRule="auto"/>
              <w:jc w:val="center"/>
            </w:pPr>
            <w:r>
              <w:rPr>
                <w:sz w:val="18"/>
                <w:szCs w:val="18"/>
              </w:rPr>
              <w:t>Al Ries &amp; Jack Trout</w:t>
            </w:r>
          </w:p>
        </w:tc>
        <w:tc>
          <w:tcPr>
            <w:tcW w:w="825" w:type="dxa"/>
            <w:tcMar>
              <w:top w:w="100" w:type="dxa"/>
              <w:left w:w="100" w:type="dxa"/>
              <w:bottom w:w="100" w:type="dxa"/>
              <w:right w:w="100" w:type="dxa"/>
            </w:tcMar>
          </w:tcPr>
          <w:p w14:paraId="2733B757" w14:textId="77777777" w:rsidR="002530E2" w:rsidRDefault="002530E2">
            <w:pPr>
              <w:spacing w:after="0" w:line="276" w:lineRule="auto"/>
              <w:jc w:val="center"/>
            </w:pPr>
            <w:r>
              <w:rPr>
                <w:sz w:val="18"/>
                <w:szCs w:val="18"/>
              </w:rPr>
              <w:t>1992</w:t>
            </w:r>
          </w:p>
        </w:tc>
        <w:tc>
          <w:tcPr>
            <w:tcW w:w="1395" w:type="dxa"/>
            <w:vMerge/>
            <w:tcMar>
              <w:top w:w="100" w:type="dxa"/>
              <w:left w:w="100" w:type="dxa"/>
              <w:bottom w:w="100" w:type="dxa"/>
              <w:right w:w="100" w:type="dxa"/>
            </w:tcMar>
          </w:tcPr>
          <w:p w14:paraId="060D4A5E" w14:textId="77777777" w:rsidR="002530E2" w:rsidRDefault="002530E2">
            <w:pPr>
              <w:spacing w:after="0" w:line="240" w:lineRule="auto"/>
              <w:jc w:val="center"/>
            </w:pPr>
          </w:p>
        </w:tc>
      </w:tr>
      <w:tr w:rsidR="002530E2" w14:paraId="5FC5135D" w14:textId="77777777">
        <w:trPr>
          <w:trHeight w:val="400"/>
        </w:trPr>
        <w:tc>
          <w:tcPr>
            <w:tcW w:w="495" w:type="dxa"/>
            <w:tcMar>
              <w:top w:w="100" w:type="dxa"/>
              <w:left w:w="100" w:type="dxa"/>
              <w:bottom w:w="100" w:type="dxa"/>
              <w:right w:w="100" w:type="dxa"/>
            </w:tcMar>
          </w:tcPr>
          <w:p w14:paraId="346503AF" w14:textId="77777777" w:rsidR="002530E2" w:rsidRDefault="002530E2">
            <w:pPr>
              <w:spacing w:after="0" w:line="276" w:lineRule="auto"/>
              <w:jc w:val="center"/>
            </w:pPr>
            <w:r>
              <w:rPr>
                <w:sz w:val="18"/>
                <w:szCs w:val="18"/>
              </w:rPr>
              <w:t>3</w:t>
            </w:r>
          </w:p>
        </w:tc>
        <w:tc>
          <w:tcPr>
            <w:tcW w:w="4725" w:type="dxa"/>
            <w:tcMar>
              <w:top w:w="100" w:type="dxa"/>
              <w:left w:w="100" w:type="dxa"/>
              <w:bottom w:w="100" w:type="dxa"/>
              <w:right w:w="100" w:type="dxa"/>
            </w:tcMar>
          </w:tcPr>
          <w:p w14:paraId="224B2D7D" w14:textId="77777777" w:rsidR="002530E2" w:rsidRDefault="002530E2">
            <w:pPr>
              <w:spacing w:after="0" w:line="276" w:lineRule="auto"/>
            </w:pPr>
            <w:r>
              <w:rPr>
                <w:sz w:val="18"/>
                <w:szCs w:val="18"/>
              </w:rPr>
              <w:t>“Blunders in Advertising: Mad, Glad, and Bad Advertisements”</w:t>
            </w:r>
          </w:p>
        </w:tc>
        <w:tc>
          <w:tcPr>
            <w:tcW w:w="1560" w:type="dxa"/>
            <w:tcMar>
              <w:top w:w="100" w:type="dxa"/>
              <w:left w:w="100" w:type="dxa"/>
              <w:bottom w:w="100" w:type="dxa"/>
              <w:right w:w="100" w:type="dxa"/>
            </w:tcMar>
          </w:tcPr>
          <w:p w14:paraId="391CD0E1" w14:textId="77777777" w:rsidR="002530E2" w:rsidRDefault="002530E2">
            <w:pPr>
              <w:spacing w:after="0" w:line="276" w:lineRule="auto"/>
              <w:jc w:val="center"/>
            </w:pPr>
            <w:r>
              <w:rPr>
                <w:sz w:val="18"/>
                <w:szCs w:val="18"/>
              </w:rPr>
              <w:t>Alan Kehr</w:t>
            </w:r>
          </w:p>
        </w:tc>
        <w:tc>
          <w:tcPr>
            <w:tcW w:w="825" w:type="dxa"/>
            <w:tcMar>
              <w:top w:w="100" w:type="dxa"/>
              <w:left w:w="100" w:type="dxa"/>
              <w:bottom w:w="100" w:type="dxa"/>
              <w:right w:w="100" w:type="dxa"/>
            </w:tcMar>
          </w:tcPr>
          <w:p w14:paraId="2186119F" w14:textId="77777777" w:rsidR="002530E2" w:rsidRDefault="002530E2">
            <w:pPr>
              <w:spacing w:after="0" w:line="276" w:lineRule="auto"/>
              <w:jc w:val="center"/>
            </w:pPr>
            <w:r>
              <w:rPr>
                <w:sz w:val="18"/>
                <w:szCs w:val="18"/>
              </w:rPr>
              <w:t>1992</w:t>
            </w:r>
          </w:p>
        </w:tc>
        <w:tc>
          <w:tcPr>
            <w:tcW w:w="1395" w:type="dxa"/>
            <w:vMerge/>
            <w:tcMar>
              <w:top w:w="100" w:type="dxa"/>
              <w:left w:w="100" w:type="dxa"/>
              <w:bottom w:w="100" w:type="dxa"/>
              <w:right w:w="100" w:type="dxa"/>
            </w:tcMar>
          </w:tcPr>
          <w:p w14:paraId="2F5EB7FC" w14:textId="77777777" w:rsidR="002530E2" w:rsidRDefault="002530E2">
            <w:pPr>
              <w:spacing w:after="0" w:line="240" w:lineRule="auto"/>
              <w:jc w:val="center"/>
            </w:pPr>
          </w:p>
        </w:tc>
      </w:tr>
      <w:tr w:rsidR="002530E2" w14:paraId="02E38F92" w14:textId="77777777">
        <w:trPr>
          <w:trHeight w:val="400"/>
        </w:trPr>
        <w:tc>
          <w:tcPr>
            <w:tcW w:w="495" w:type="dxa"/>
            <w:tcMar>
              <w:top w:w="100" w:type="dxa"/>
              <w:left w:w="100" w:type="dxa"/>
              <w:bottom w:w="100" w:type="dxa"/>
              <w:right w:w="100" w:type="dxa"/>
            </w:tcMar>
          </w:tcPr>
          <w:p w14:paraId="2684C84E" w14:textId="77777777" w:rsidR="002530E2" w:rsidRDefault="002530E2">
            <w:pPr>
              <w:spacing w:after="0" w:line="276" w:lineRule="auto"/>
              <w:jc w:val="center"/>
            </w:pPr>
            <w:r>
              <w:rPr>
                <w:sz w:val="18"/>
                <w:szCs w:val="18"/>
              </w:rPr>
              <w:t>4</w:t>
            </w:r>
          </w:p>
        </w:tc>
        <w:tc>
          <w:tcPr>
            <w:tcW w:w="4725" w:type="dxa"/>
            <w:tcMar>
              <w:top w:w="100" w:type="dxa"/>
              <w:left w:w="100" w:type="dxa"/>
              <w:bottom w:w="100" w:type="dxa"/>
              <w:right w:w="100" w:type="dxa"/>
            </w:tcMar>
          </w:tcPr>
          <w:p w14:paraId="4F0512EE" w14:textId="77777777" w:rsidR="002530E2" w:rsidRDefault="002530E2">
            <w:pPr>
              <w:spacing w:after="0" w:line="276" w:lineRule="auto"/>
            </w:pPr>
            <w:r>
              <w:rPr>
                <w:sz w:val="18"/>
                <w:szCs w:val="18"/>
              </w:rPr>
              <w:t xml:space="preserve">“The Food Industry Wars: Marketing Triumphs and Blunders” </w:t>
            </w:r>
          </w:p>
        </w:tc>
        <w:tc>
          <w:tcPr>
            <w:tcW w:w="1560" w:type="dxa"/>
            <w:tcMar>
              <w:top w:w="100" w:type="dxa"/>
              <w:left w:w="100" w:type="dxa"/>
              <w:bottom w:w="100" w:type="dxa"/>
              <w:right w:w="100" w:type="dxa"/>
            </w:tcMar>
          </w:tcPr>
          <w:p w14:paraId="10B40FF4" w14:textId="77777777" w:rsidR="002530E2" w:rsidRDefault="002530E2">
            <w:pPr>
              <w:spacing w:after="0" w:line="276" w:lineRule="auto"/>
              <w:jc w:val="center"/>
            </w:pPr>
            <w:r>
              <w:rPr>
                <w:sz w:val="18"/>
                <w:szCs w:val="18"/>
              </w:rPr>
              <w:t>R.D. Michman &amp; E.M. Mazze</w:t>
            </w:r>
          </w:p>
        </w:tc>
        <w:tc>
          <w:tcPr>
            <w:tcW w:w="825" w:type="dxa"/>
            <w:tcMar>
              <w:top w:w="100" w:type="dxa"/>
              <w:left w:w="100" w:type="dxa"/>
              <w:bottom w:w="100" w:type="dxa"/>
              <w:right w:w="100" w:type="dxa"/>
            </w:tcMar>
          </w:tcPr>
          <w:p w14:paraId="66D4AECC" w14:textId="77777777" w:rsidR="002530E2" w:rsidRDefault="002530E2">
            <w:pPr>
              <w:spacing w:after="0" w:line="276" w:lineRule="auto"/>
              <w:jc w:val="center"/>
            </w:pPr>
            <w:r>
              <w:rPr>
                <w:sz w:val="18"/>
                <w:szCs w:val="18"/>
              </w:rPr>
              <w:t>1998</w:t>
            </w:r>
          </w:p>
        </w:tc>
        <w:tc>
          <w:tcPr>
            <w:tcW w:w="1395" w:type="dxa"/>
            <w:vMerge/>
            <w:tcMar>
              <w:top w:w="100" w:type="dxa"/>
              <w:left w:w="100" w:type="dxa"/>
              <w:bottom w:w="100" w:type="dxa"/>
              <w:right w:w="100" w:type="dxa"/>
            </w:tcMar>
          </w:tcPr>
          <w:p w14:paraId="0842B9EE" w14:textId="77777777" w:rsidR="002530E2" w:rsidRDefault="002530E2">
            <w:pPr>
              <w:spacing w:after="0" w:line="240" w:lineRule="auto"/>
              <w:jc w:val="center"/>
            </w:pPr>
          </w:p>
        </w:tc>
      </w:tr>
      <w:tr w:rsidR="002530E2" w14:paraId="5C0FEF27" w14:textId="77777777">
        <w:trPr>
          <w:trHeight w:val="400"/>
        </w:trPr>
        <w:tc>
          <w:tcPr>
            <w:tcW w:w="495" w:type="dxa"/>
            <w:tcMar>
              <w:top w:w="100" w:type="dxa"/>
              <w:left w:w="100" w:type="dxa"/>
              <w:bottom w:w="100" w:type="dxa"/>
              <w:right w:w="100" w:type="dxa"/>
            </w:tcMar>
          </w:tcPr>
          <w:p w14:paraId="6F0778AD" w14:textId="77777777" w:rsidR="002530E2" w:rsidRDefault="002530E2">
            <w:pPr>
              <w:spacing w:after="0" w:line="276" w:lineRule="auto"/>
              <w:jc w:val="center"/>
            </w:pPr>
            <w:r>
              <w:rPr>
                <w:sz w:val="18"/>
                <w:szCs w:val="18"/>
              </w:rPr>
              <w:t>5</w:t>
            </w:r>
          </w:p>
        </w:tc>
        <w:tc>
          <w:tcPr>
            <w:tcW w:w="4725" w:type="dxa"/>
            <w:tcMar>
              <w:top w:w="100" w:type="dxa"/>
              <w:left w:w="100" w:type="dxa"/>
              <w:bottom w:w="100" w:type="dxa"/>
              <w:right w:w="100" w:type="dxa"/>
            </w:tcMar>
          </w:tcPr>
          <w:p w14:paraId="0CAD7E3D" w14:textId="77777777" w:rsidR="002530E2" w:rsidRDefault="002530E2">
            <w:pPr>
              <w:spacing w:after="0" w:line="276" w:lineRule="auto"/>
            </w:pPr>
            <w:r>
              <w:rPr>
                <w:sz w:val="18"/>
                <w:szCs w:val="18"/>
              </w:rPr>
              <w:t>“A Short Course in International Marketing Blunders: Mistakes Made by Companies that Should Have Known Better”</w:t>
            </w:r>
          </w:p>
        </w:tc>
        <w:tc>
          <w:tcPr>
            <w:tcW w:w="1560" w:type="dxa"/>
            <w:tcMar>
              <w:top w:w="100" w:type="dxa"/>
              <w:left w:w="100" w:type="dxa"/>
              <w:bottom w:w="100" w:type="dxa"/>
              <w:right w:w="100" w:type="dxa"/>
            </w:tcMar>
          </w:tcPr>
          <w:p w14:paraId="76D0983D" w14:textId="77777777" w:rsidR="002530E2" w:rsidRDefault="002530E2">
            <w:pPr>
              <w:spacing w:after="0" w:line="276" w:lineRule="auto"/>
              <w:jc w:val="center"/>
            </w:pPr>
            <w:r>
              <w:rPr>
                <w:sz w:val="18"/>
                <w:szCs w:val="18"/>
              </w:rPr>
              <w:t>Michael White</w:t>
            </w:r>
          </w:p>
        </w:tc>
        <w:tc>
          <w:tcPr>
            <w:tcW w:w="825" w:type="dxa"/>
            <w:tcMar>
              <w:top w:w="100" w:type="dxa"/>
              <w:left w:w="100" w:type="dxa"/>
              <w:bottom w:w="100" w:type="dxa"/>
              <w:right w:w="100" w:type="dxa"/>
            </w:tcMar>
          </w:tcPr>
          <w:p w14:paraId="3B6D5133" w14:textId="77777777" w:rsidR="002530E2" w:rsidRDefault="002530E2">
            <w:pPr>
              <w:spacing w:after="0" w:line="276" w:lineRule="auto"/>
              <w:jc w:val="center"/>
            </w:pPr>
            <w:r>
              <w:rPr>
                <w:sz w:val="18"/>
                <w:szCs w:val="18"/>
              </w:rPr>
              <w:t>2002</w:t>
            </w:r>
          </w:p>
        </w:tc>
        <w:tc>
          <w:tcPr>
            <w:tcW w:w="1395" w:type="dxa"/>
            <w:vMerge w:val="restart"/>
            <w:tcMar>
              <w:top w:w="100" w:type="dxa"/>
              <w:left w:w="100" w:type="dxa"/>
              <w:bottom w:w="100" w:type="dxa"/>
              <w:right w:w="100" w:type="dxa"/>
            </w:tcMar>
          </w:tcPr>
          <w:p w14:paraId="6BD0E0E0" w14:textId="77777777" w:rsidR="002530E2" w:rsidRDefault="002530E2">
            <w:pPr>
              <w:spacing w:after="0" w:line="276" w:lineRule="auto"/>
              <w:jc w:val="center"/>
            </w:pPr>
          </w:p>
          <w:p w14:paraId="474FD8ED" w14:textId="77777777" w:rsidR="002530E2" w:rsidRDefault="002530E2">
            <w:pPr>
              <w:spacing w:after="0" w:line="276" w:lineRule="auto"/>
              <w:jc w:val="center"/>
            </w:pPr>
          </w:p>
          <w:p w14:paraId="5D41D722" w14:textId="77777777" w:rsidR="002530E2" w:rsidRDefault="002530E2">
            <w:pPr>
              <w:spacing w:after="0" w:line="276" w:lineRule="auto"/>
              <w:jc w:val="center"/>
            </w:pPr>
          </w:p>
          <w:p w14:paraId="41E727CA" w14:textId="77777777" w:rsidR="002530E2" w:rsidRDefault="002530E2">
            <w:pPr>
              <w:spacing w:after="0" w:line="276" w:lineRule="auto"/>
              <w:jc w:val="center"/>
            </w:pPr>
          </w:p>
          <w:p w14:paraId="5BEE5490" w14:textId="77777777" w:rsidR="002530E2" w:rsidRDefault="002530E2">
            <w:pPr>
              <w:spacing w:after="0" w:line="276" w:lineRule="auto"/>
              <w:jc w:val="center"/>
            </w:pPr>
          </w:p>
          <w:p w14:paraId="612EEC88" w14:textId="77777777" w:rsidR="002530E2" w:rsidRDefault="002530E2">
            <w:pPr>
              <w:spacing w:after="0" w:line="276" w:lineRule="auto"/>
              <w:jc w:val="center"/>
            </w:pPr>
          </w:p>
          <w:p w14:paraId="6034FD8A" w14:textId="77777777" w:rsidR="002530E2" w:rsidRDefault="002530E2">
            <w:pPr>
              <w:spacing w:after="0" w:line="276" w:lineRule="auto"/>
              <w:jc w:val="center"/>
            </w:pPr>
          </w:p>
          <w:p w14:paraId="6BEF72B1" w14:textId="77777777" w:rsidR="002530E2" w:rsidRDefault="002530E2">
            <w:pPr>
              <w:spacing w:after="0" w:line="276" w:lineRule="auto"/>
              <w:jc w:val="center"/>
            </w:pPr>
            <w:r>
              <w:rPr>
                <w:sz w:val="18"/>
                <w:szCs w:val="18"/>
              </w:rPr>
              <w:t>2000—2010</w:t>
            </w:r>
          </w:p>
        </w:tc>
      </w:tr>
      <w:tr w:rsidR="002530E2" w14:paraId="7CC014F7" w14:textId="77777777">
        <w:trPr>
          <w:trHeight w:val="400"/>
        </w:trPr>
        <w:tc>
          <w:tcPr>
            <w:tcW w:w="495" w:type="dxa"/>
            <w:tcMar>
              <w:top w:w="100" w:type="dxa"/>
              <w:left w:w="100" w:type="dxa"/>
              <w:bottom w:w="100" w:type="dxa"/>
              <w:right w:w="100" w:type="dxa"/>
            </w:tcMar>
          </w:tcPr>
          <w:p w14:paraId="6A5698F0" w14:textId="77777777" w:rsidR="002530E2" w:rsidRDefault="002530E2">
            <w:pPr>
              <w:spacing w:after="0" w:line="276" w:lineRule="auto"/>
              <w:jc w:val="center"/>
            </w:pPr>
            <w:r>
              <w:rPr>
                <w:sz w:val="18"/>
                <w:szCs w:val="18"/>
              </w:rPr>
              <w:t>6</w:t>
            </w:r>
          </w:p>
        </w:tc>
        <w:tc>
          <w:tcPr>
            <w:tcW w:w="4725" w:type="dxa"/>
            <w:tcMar>
              <w:top w:w="100" w:type="dxa"/>
              <w:left w:w="100" w:type="dxa"/>
              <w:bottom w:w="100" w:type="dxa"/>
              <w:right w:w="100" w:type="dxa"/>
            </w:tcMar>
          </w:tcPr>
          <w:p w14:paraId="17360D00" w14:textId="77777777" w:rsidR="002530E2" w:rsidRDefault="002530E2">
            <w:pPr>
              <w:spacing w:after="0" w:line="276" w:lineRule="auto"/>
            </w:pPr>
            <w:r>
              <w:rPr>
                <w:sz w:val="18"/>
                <w:szCs w:val="18"/>
              </w:rPr>
              <w:t xml:space="preserve">“Brand Failures: The Truth about the 100 Biggest Branding Mistakes of All Time” </w:t>
            </w:r>
          </w:p>
        </w:tc>
        <w:tc>
          <w:tcPr>
            <w:tcW w:w="1560" w:type="dxa"/>
            <w:tcMar>
              <w:top w:w="100" w:type="dxa"/>
              <w:left w:w="100" w:type="dxa"/>
              <w:bottom w:w="100" w:type="dxa"/>
              <w:right w:w="100" w:type="dxa"/>
            </w:tcMar>
          </w:tcPr>
          <w:p w14:paraId="0F9D7C5D" w14:textId="77777777" w:rsidR="002530E2" w:rsidRDefault="002530E2">
            <w:pPr>
              <w:spacing w:after="0" w:line="276" w:lineRule="auto"/>
              <w:jc w:val="center"/>
            </w:pPr>
            <w:r>
              <w:rPr>
                <w:sz w:val="18"/>
                <w:szCs w:val="18"/>
              </w:rPr>
              <w:t xml:space="preserve">Matt Haig </w:t>
            </w:r>
          </w:p>
        </w:tc>
        <w:tc>
          <w:tcPr>
            <w:tcW w:w="825" w:type="dxa"/>
            <w:tcMar>
              <w:top w:w="100" w:type="dxa"/>
              <w:left w:w="100" w:type="dxa"/>
              <w:bottom w:w="100" w:type="dxa"/>
              <w:right w:w="100" w:type="dxa"/>
            </w:tcMar>
          </w:tcPr>
          <w:p w14:paraId="27B8BA94" w14:textId="77777777" w:rsidR="002530E2" w:rsidRDefault="002530E2">
            <w:pPr>
              <w:spacing w:after="0" w:line="276" w:lineRule="auto"/>
              <w:jc w:val="center"/>
            </w:pPr>
            <w:r>
              <w:rPr>
                <w:sz w:val="18"/>
                <w:szCs w:val="18"/>
              </w:rPr>
              <w:t>2003</w:t>
            </w:r>
          </w:p>
        </w:tc>
        <w:tc>
          <w:tcPr>
            <w:tcW w:w="1395" w:type="dxa"/>
            <w:vMerge/>
            <w:tcMar>
              <w:top w:w="100" w:type="dxa"/>
              <w:left w:w="100" w:type="dxa"/>
              <w:bottom w:w="100" w:type="dxa"/>
              <w:right w:w="100" w:type="dxa"/>
            </w:tcMar>
          </w:tcPr>
          <w:p w14:paraId="74DA7B7B" w14:textId="77777777" w:rsidR="002530E2" w:rsidRDefault="002530E2">
            <w:pPr>
              <w:spacing w:after="0" w:line="240" w:lineRule="auto"/>
              <w:jc w:val="center"/>
            </w:pPr>
          </w:p>
        </w:tc>
      </w:tr>
      <w:tr w:rsidR="002530E2" w14:paraId="3115389B" w14:textId="77777777">
        <w:trPr>
          <w:trHeight w:val="400"/>
        </w:trPr>
        <w:tc>
          <w:tcPr>
            <w:tcW w:w="495" w:type="dxa"/>
            <w:tcMar>
              <w:top w:w="100" w:type="dxa"/>
              <w:left w:w="100" w:type="dxa"/>
              <w:bottom w:w="100" w:type="dxa"/>
              <w:right w:w="100" w:type="dxa"/>
            </w:tcMar>
          </w:tcPr>
          <w:p w14:paraId="6FF14E86" w14:textId="77777777" w:rsidR="002530E2" w:rsidRDefault="002530E2">
            <w:pPr>
              <w:spacing w:after="0" w:line="276" w:lineRule="auto"/>
              <w:jc w:val="center"/>
            </w:pPr>
            <w:r>
              <w:rPr>
                <w:sz w:val="18"/>
                <w:szCs w:val="18"/>
              </w:rPr>
              <w:t>7</w:t>
            </w:r>
          </w:p>
        </w:tc>
        <w:tc>
          <w:tcPr>
            <w:tcW w:w="4725" w:type="dxa"/>
            <w:tcMar>
              <w:top w:w="100" w:type="dxa"/>
              <w:left w:w="100" w:type="dxa"/>
              <w:bottom w:w="100" w:type="dxa"/>
              <w:right w:w="100" w:type="dxa"/>
            </w:tcMar>
          </w:tcPr>
          <w:p w14:paraId="175E6231" w14:textId="77777777" w:rsidR="002530E2" w:rsidRDefault="002530E2">
            <w:pPr>
              <w:spacing w:after="0" w:line="276" w:lineRule="auto"/>
            </w:pPr>
            <w:r>
              <w:rPr>
                <w:sz w:val="18"/>
                <w:szCs w:val="18"/>
              </w:rPr>
              <w:t xml:space="preserve">“Blunders in International Business” </w:t>
            </w:r>
          </w:p>
        </w:tc>
        <w:tc>
          <w:tcPr>
            <w:tcW w:w="1560" w:type="dxa"/>
            <w:tcMar>
              <w:top w:w="100" w:type="dxa"/>
              <w:left w:w="100" w:type="dxa"/>
              <w:bottom w:w="100" w:type="dxa"/>
              <w:right w:w="100" w:type="dxa"/>
            </w:tcMar>
          </w:tcPr>
          <w:p w14:paraId="1AE9C0DA" w14:textId="77777777" w:rsidR="002530E2" w:rsidRDefault="002530E2">
            <w:pPr>
              <w:spacing w:after="0" w:line="276" w:lineRule="auto"/>
              <w:jc w:val="center"/>
            </w:pPr>
            <w:r>
              <w:rPr>
                <w:sz w:val="18"/>
                <w:szCs w:val="18"/>
              </w:rPr>
              <w:t>David A. Ricks</w:t>
            </w:r>
          </w:p>
        </w:tc>
        <w:tc>
          <w:tcPr>
            <w:tcW w:w="825" w:type="dxa"/>
            <w:tcMar>
              <w:top w:w="100" w:type="dxa"/>
              <w:left w:w="100" w:type="dxa"/>
              <w:bottom w:w="100" w:type="dxa"/>
              <w:right w:w="100" w:type="dxa"/>
            </w:tcMar>
          </w:tcPr>
          <w:p w14:paraId="149836E0" w14:textId="77777777" w:rsidR="002530E2" w:rsidRDefault="002530E2">
            <w:pPr>
              <w:spacing w:after="0" w:line="276" w:lineRule="auto"/>
              <w:jc w:val="center"/>
            </w:pPr>
            <w:r>
              <w:rPr>
                <w:sz w:val="18"/>
                <w:szCs w:val="18"/>
              </w:rPr>
              <w:t>2006</w:t>
            </w:r>
          </w:p>
        </w:tc>
        <w:tc>
          <w:tcPr>
            <w:tcW w:w="1395" w:type="dxa"/>
            <w:vMerge/>
            <w:tcMar>
              <w:top w:w="100" w:type="dxa"/>
              <w:left w:w="100" w:type="dxa"/>
              <w:bottom w:w="100" w:type="dxa"/>
              <w:right w:w="100" w:type="dxa"/>
            </w:tcMar>
          </w:tcPr>
          <w:p w14:paraId="2E7DF463" w14:textId="77777777" w:rsidR="002530E2" w:rsidRDefault="002530E2">
            <w:pPr>
              <w:spacing w:after="0" w:line="240" w:lineRule="auto"/>
              <w:jc w:val="center"/>
            </w:pPr>
          </w:p>
        </w:tc>
      </w:tr>
      <w:tr w:rsidR="002530E2" w14:paraId="7699364B" w14:textId="77777777">
        <w:trPr>
          <w:trHeight w:val="400"/>
        </w:trPr>
        <w:tc>
          <w:tcPr>
            <w:tcW w:w="495" w:type="dxa"/>
            <w:tcMar>
              <w:top w:w="100" w:type="dxa"/>
              <w:left w:w="100" w:type="dxa"/>
              <w:bottom w:w="100" w:type="dxa"/>
              <w:right w:w="100" w:type="dxa"/>
            </w:tcMar>
          </w:tcPr>
          <w:p w14:paraId="16296675" w14:textId="77777777" w:rsidR="002530E2" w:rsidRDefault="002530E2">
            <w:pPr>
              <w:spacing w:after="0" w:line="276" w:lineRule="auto"/>
              <w:jc w:val="center"/>
            </w:pPr>
            <w:r>
              <w:rPr>
                <w:sz w:val="18"/>
                <w:szCs w:val="18"/>
              </w:rPr>
              <w:t>8</w:t>
            </w:r>
          </w:p>
        </w:tc>
        <w:tc>
          <w:tcPr>
            <w:tcW w:w="4725" w:type="dxa"/>
            <w:tcMar>
              <w:top w:w="100" w:type="dxa"/>
              <w:left w:w="100" w:type="dxa"/>
              <w:bottom w:w="100" w:type="dxa"/>
              <w:right w:w="100" w:type="dxa"/>
            </w:tcMar>
          </w:tcPr>
          <w:p w14:paraId="4D4C494E" w14:textId="77777777" w:rsidR="002530E2" w:rsidRDefault="002530E2">
            <w:pPr>
              <w:spacing w:after="0" w:line="276" w:lineRule="auto"/>
            </w:pPr>
            <w:r>
              <w:rPr>
                <w:sz w:val="18"/>
                <w:szCs w:val="18"/>
              </w:rPr>
              <w:t>“Marketing Blunders and How to Avoid Them: A Survival Guide for Business Owners”</w:t>
            </w:r>
          </w:p>
        </w:tc>
        <w:tc>
          <w:tcPr>
            <w:tcW w:w="1560" w:type="dxa"/>
            <w:tcMar>
              <w:top w:w="100" w:type="dxa"/>
              <w:left w:w="100" w:type="dxa"/>
              <w:bottom w:w="100" w:type="dxa"/>
              <w:right w:w="100" w:type="dxa"/>
            </w:tcMar>
          </w:tcPr>
          <w:p w14:paraId="02A51506" w14:textId="77777777" w:rsidR="002530E2" w:rsidRDefault="002530E2">
            <w:pPr>
              <w:spacing w:after="0" w:line="276" w:lineRule="auto"/>
              <w:jc w:val="center"/>
            </w:pPr>
            <w:r>
              <w:rPr>
                <w:sz w:val="18"/>
                <w:szCs w:val="18"/>
              </w:rPr>
              <w:t>John Jantsch</w:t>
            </w:r>
          </w:p>
        </w:tc>
        <w:tc>
          <w:tcPr>
            <w:tcW w:w="825" w:type="dxa"/>
            <w:tcMar>
              <w:top w:w="100" w:type="dxa"/>
              <w:left w:w="100" w:type="dxa"/>
              <w:bottom w:w="100" w:type="dxa"/>
              <w:right w:w="100" w:type="dxa"/>
            </w:tcMar>
          </w:tcPr>
          <w:p w14:paraId="122438EF" w14:textId="77777777" w:rsidR="002530E2" w:rsidRDefault="002530E2">
            <w:pPr>
              <w:spacing w:after="0" w:line="276" w:lineRule="auto"/>
              <w:jc w:val="center"/>
            </w:pPr>
            <w:r>
              <w:rPr>
                <w:sz w:val="18"/>
                <w:szCs w:val="18"/>
              </w:rPr>
              <w:t>2007</w:t>
            </w:r>
          </w:p>
        </w:tc>
        <w:tc>
          <w:tcPr>
            <w:tcW w:w="1395" w:type="dxa"/>
            <w:vMerge/>
            <w:tcMar>
              <w:top w:w="100" w:type="dxa"/>
              <w:left w:w="100" w:type="dxa"/>
              <w:bottom w:w="100" w:type="dxa"/>
              <w:right w:w="100" w:type="dxa"/>
            </w:tcMar>
          </w:tcPr>
          <w:p w14:paraId="12A8F3AF" w14:textId="77777777" w:rsidR="002530E2" w:rsidRDefault="002530E2">
            <w:pPr>
              <w:spacing w:after="0" w:line="240" w:lineRule="auto"/>
              <w:jc w:val="center"/>
            </w:pPr>
          </w:p>
        </w:tc>
      </w:tr>
      <w:tr w:rsidR="002530E2" w14:paraId="118F825B" w14:textId="77777777">
        <w:trPr>
          <w:trHeight w:val="400"/>
        </w:trPr>
        <w:tc>
          <w:tcPr>
            <w:tcW w:w="495" w:type="dxa"/>
            <w:tcMar>
              <w:top w:w="100" w:type="dxa"/>
              <w:left w:w="100" w:type="dxa"/>
              <w:bottom w:w="100" w:type="dxa"/>
              <w:right w:w="100" w:type="dxa"/>
            </w:tcMar>
          </w:tcPr>
          <w:p w14:paraId="6EC4E483" w14:textId="77777777" w:rsidR="002530E2" w:rsidRDefault="002530E2">
            <w:pPr>
              <w:spacing w:after="0" w:line="276" w:lineRule="auto"/>
              <w:jc w:val="center"/>
            </w:pPr>
            <w:r>
              <w:rPr>
                <w:sz w:val="18"/>
                <w:szCs w:val="18"/>
              </w:rPr>
              <w:t>9</w:t>
            </w:r>
          </w:p>
        </w:tc>
        <w:tc>
          <w:tcPr>
            <w:tcW w:w="4725" w:type="dxa"/>
            <w:tcMar>
              <w:top w:w="100" w:type="dxa"/>
              <w:left w:w="100" w:type="dxa"/>
              <w:bottom w:w="100" w:type="dxa"/>
              <w:right w:w="100" w:type="dxa"/>
            </w:tcMar>
          </w:tcPr>
          <w:p w14:paraId="127F6CCE" w14:textId="77777777" w:rsidR="002530E2" w:rsidRDefault="002530E2">
            <w:pPr>
              <w:spacing w:after="0" w:line="276" w:lineRule="auto"/>
            </w:pPr>
            <w:r>
              <w:rPr>
                <w:sz w:val="18"/>
                <w:szCs w:val="18"/>
              </w:rPr>
              <w:t xml:space="preserve">“Brand Blunders: Lessons from the World's Biggest Marketing Mistakes” </w:t>
            </w:r>
          </w:p>
        </w:tc>
        <w:tc>
          <w:tcPr>
            <w:tcW w:w="1560" w:type="dxa"/>
            <w:tcMar>
              <w:top w:w="100" w:type="dxa"/>
              <w:left w:w="100" w:type="dxa"/>
              <w:bottom w:w="100" w:type="dxa"/>
              <w:right w:w="100" w:type="dxa"/>
            </w:tcMar>
          </w:tcPr>
          <w:p w14:paraId="3D7DCE03" w14:textId="77777777" w:rsidR="002530E2" w:rsidRDefault="002530E2">
            <w:pPr>
              <w:spacing w:after="0" w:line="276" w:lineRule="auto"/>
              <w:jc w:val="center"/>
            </w:pPr>
            <w:r>
              <w:rPr>
                <w:sz w:val="18"/>
                <w:szCs w:val="18"/>
              </w:rPr>
              <w:t>Adam Morgan</w:t>
            </w:r>
          </w:p>
        </w:tc>
        <w:tc>
          <w:tcPr>
            <w:tcW w:w="825" w:type="dxa"/>
            <w:tcMar>
              <w:top w:w="100" w:type="dxa"/>
              <w:left w:w="100" w:type="dxa"/>
              <w:bottom w:w="100" w:type="dxa"/>
              <w:right w:w="100" w:type="dxa"/>
            </w:tcMar>
          </w:tcPr>
          <w:p w14:paraId="1E552541" w14:textId="77777777" w:rsidR="002530E2" w:rsidRDefault="002530E2">
            <w:pPr>
              <w:spacing w:after="0" w:line="276" w:lineRule="auto"/>
              <w:jc w:val="center"/>
            </w:pPr>
            <w:r>
              <w:rPr>
                <w:sz w:val="18"/>
                <w:szCs w:val="18"/>
              </w:rPr>
              <w:t>2010</w:t>
            </w:r>
          </w:p>
        </w:tc>
        <w:tc>
          <w:tcPr>
            <w:tcW w:w="1395" w:type="dxa"/>
            <w:vMerge/>
            <w:tcMar>
              <w:top w:w="100" w:type="dxa"/>
              <w:left w:w="100" w:type="dxa"/>
              <w:bottom w:w="100" w:type="dxa"/>
              <w:right w:w="100" w:type="dxa"/>
            </w:tcMar>
          </w:tcPr>
          <w:p w14:paraId="4382F220" w14:textId="77777777" w:rsidR="002530E2" w:rsidRDefault="002530E2">
            <w:pPr>
              <w:spacing w:after="0" w:line="240" w:lineRule="auto"/>
              <w:jc w:val="center"/>
            </w:pPr>
          </w:p>
        </w:tc>
      </w:tr>
      <w:tr w:rsidR="002530E2" w14:paraId="410C5FD6" w14:textId="77777777">
        <w:trPr>
          <w:trHeight w:val="400"/>
        </w:trPr>
        <w:tc>
          <w:tcPr>
            <w:tcW w:w="495" w:type="dxa"/>
            <w:tcMar>
              <w:top w:w="100" w:type="dxa"/>
              <w:left w:w="100" w:type="dxa"/>
              <w:bottom w:w="100" w:type="dxa"/>
              <w:right w:w="100" w:type="dxa"/>
            </w:tcMar>
          </w:tcPr>
          <w:p w14:paraId="49889089" w14:textId="77777777" w:rsidR="002530E2" w:rsidRDefault="002530E2">
            <w:pPr>
              <w:spacing w:after="0" w:line="276" w:lineRule="auto"/>
              <w:jc w:val="center"/>
            </w:pPr>
            <w:r>
              <w:rPr>
                <w:sz w:val="18"/>
                <w:szCs w:val="18"/>
              </w:rPr>
              <w:t>10</w:t>
            </w:r>
          </w:p>
        </w:tc>
        <w:tc>
          <w:tcPr>
            <w:tcW w:w="4725" w:type="dxa"/>
            <w:tcMar>
              <w:top w:w="100" w:type="dxa"/>
              <w:left w:w="100" w:type="dxa"/>
              <w:bottom w:w="100" w:type="dxa"/>
              <w:right w:w="100" w:type="dxa"/>
            </w:tcMar>
          </w:tcPr>
          <w:p w14:paraId="171DA972" w14:textId="77777777" w:rsidR="002530E2" w:rsidRDefault="002530E2">
            <w:pPr>
              <w:spacing w:after="0" w:line="276" w:lineRule="auto"/>
            </w:pPr>
            <w:r>
              <w:rPr>
                <w:sz w:val="18"/>
                <w:szCs w:val="18"/>
              </w:rPr>
              <w:t>“The 100 Biggest Advertising Blunders of All Time”</w:t>
            </w:r>
          </w:p>
        </w:tc>
        <w:tc>
          <w:tcPr>
            <w:tcW w:w="1560" w:type="dxa"/>
            <w:tcMar>
              <w:top w:w="100" w:type="dxa"/>
              <w:left w:w="100" w:type="dxa"/>
              <w:bottom w:w="100" w:type="dxa"/>
              <w:right w:w="100" w:type="dxa"/>
            </w:tcMar>
          </w:tcPr>
          <w:p w14:paraId="67FA2D70" w14:textId="77777777" w:rsidR="002530E2" w:rsidRDefault="002530E2">
            <w:pPr>
              <w:spacing w:after="0" w:line="276" w:lineRule="auto"/>
              <w:jc w:val="center"/>
            </w:pPr>
            <w:r>
              <w:rPr>
                <w:sz w:val="18"/>
                <w:szCs w:val="18"/>
              </w:rPr>
              <w:t xml:space="preserve"> Stuart Elliot</w:t>
            </w:r>
          </w:p>
        </w:tc>
        <w:tc>
          <w:tcPr>
            <w:tcW w:w="825" w:type="dxa"/>
            <w:tcMar>
              <w:top w:w="100" w:type="dxa"/>
              <w:left w:w="100" w:type="dxa"/>
              <w:bottom w:w="100" w:type="dxa"/>
              <w:right w:w="100" w:type="dxa"/>
            </w:tcMar>
          </w:tcPr>
          <w:p w14:paraId="03AE1648" w14:textId="77777777" w:rsidR="002530E2" w:rsidRDefault="002530E2">
            <w:pPr>
              <w:spacing w:after="0" w:line="276" w:lineRule="auto"/>
              <w:jc w:val="center"/>
            </w:pPr>
            <w:r>
              <w:rPr>
                <w:sz w:val="18"/>
                <w:szCs w:val="18"/>
              </w:rPr>
              <w:t>2010</w:t>
            </w:r>
          </w:p>
        </w:tc>
        <w:tc>
          <w:tcPr>
            <w:tcW w:w="1395" w:type="dxa"/>
            <w:vMerge/>
            <w:tcMar>
              <w:top w:w="100" w:type="dxa"/>
              <w:left w:w="100" w:type="dxa"/>
              <w:bottom w:w="100" w:type="dxa"/>
              <w:right w:w="100" w:type="dxa"/>
            </w:tcMar>
          </w:tcPr>
          <w:p w14:paraId="48996D8C" w14:textId="77777777" w:rsidR="002530E2" w:rsidRDefault="002530E2">
            <w:pPr>
              <w:spacing w:after="0" w:line="240" w:lineRule="auto"/>
              <w:jc w:val="center"/>
            </w:pPr>
          </w:p>
        </w:tc>
      </w:tr>
      <w:tr w:rsidR="002530E2" w14:paraId="07E7C388" w14:textId="77777777">
        <w:trPr>
          <w:trHeight w:val="400"/>
        </w:trPr>
        <w:tc>
          <w:tcPr>
            <w:tcW w:w="495" w:type="dxa"/>
            <w:tcMar>
              <w:top w:w="100" w:type="dxa"/>
              <w:left w:w="100" w:type="dxa"/>
              <w:bottom w:w="100" w:type="dxa"/>
              <w:right w:w="100" w:type="dxa"/>
            </w:tcMar>
          </w:tcPr>
          <w:p w14:paraId="12C575A1" w14:textId="77777777" w:rsidR="002530E2" w:rsidRDefault="002530E2">
            <w:pPr>
              <w:spacing w:after="0" w:line="276" w:lineRule="auto"/>
              <w:jc w:val="center"/>
            </w:pPr>
            <w:r>
              <w:rPr>
                <w:sz w:val="18"/>
                <w:szCs w:val="18"/>
              </w:rPr>
              <w:t>11</w:t>
            </w:r>
          </w:p>
        </w:tc>
        <w:tc>
          <w:tcPr>
            <w:tcW w:w="4725" w:type="dxa"/>
            <w:tcMar>
              <w:top w:w="100" w:type="dxa"/>
              <w:left w:w="100" w:type="dxa"/>
              <w:bottom w:w="100" w:type="dxa"/>
              <w:right w:w="100" w:type="dxa"/>
            </w:tcMar>
          </w:tcPr>
          <w:p w14:paraId="3C3E4FA5" w14:textId="77777777" w:rsidR="002530E2" w:rsidRDefault="002530E2">
            <w:pPr>
              <w:spacing w:after="0" w:line="276" w:lineRule="auto"/>
            </w:pPr>
            <w:r>
              <w:rPr>
                <w:sz w:val="18"/>
                <w:szCs w:val="18"/>
              </w:rPr>
              <w:t>“The Do-It-Yourself Guide to Marketing Blunders: How to Avoid Making Them and What to Do If You Do”</w:t>
            </w:r>
          </w:p>
        </w:tc>
        <w:tc>
          <w:tcPr>
            <w:tcW w:w="1560" w:type="dxa"/>
            <w:tcMar>
              <w:top w:w="100" w:type="dxa"/>
              <w:left w:w="100" w:type="dxa"/>
              <w:bottom w:w="100" w:type="dxa"/>
              <w:right w:w="100" w:type="dxa"/>
            </w:tcMar>
          </w:tcPr>
          <w:p w14:paraId="3D824296" w14:textId="77777777" w:rsidR="002530E2" w:rsidRDefault="002530E2">
            <w:pPr>
              <w:spacing w:after="0" w:line="276" w:lineRule="auto"/>
              <w:jc w:val="center"/>
            </w:pPr>
            <w:r>
              <w:rPr>
                <w:sz w:val="18"/>
                <w:szCs w:val="18"/>
              </w:rPr>
              <w:t xml:space="preserve">David Meerman Scott </w:t>
            </w:r>
          </w:p>
        </w:tc>
        <w:tc>
          <w:tcPr>
            <w:tcW w:w="825" w:type="dxa"/>
            <w:tcMar>
              <w:top w:w="100" w:type="dxa"/>
              <w:left w:w="100" w:type="dxa"/>
              <w:bottom w:w="100" w:type="dxa"/>
              <w:right w:w="100" w:type="dxa"/>
            </w:tcMar>
          </w:tcPr>
          <w:p w14:paraId="49413F92" w14:textId="77777777" w:rsidR="002530E2" w:rsidRDefault="002530E2">
            <w:pPr>
              <w:spacing w:after="0" w:line="276" w:lineRule="auto"/>
              <w:jc w:val="center"/>
            </w:pPr>
            <w:r>
              <w:rPr>
                <w:sz w:val="18"/>
                <w:szCs w:val="18"/>
              </w:rPr>
              <w:t>2012</w:t>
            </w:r>
          </w:p>
        </w:tc>
        <w:tc>
          <w:tcPr>
            <w:tcW w:w="1395" w:type="dxa"/>
            <w:vMerge w:val="restart"/>
            <w:tcMar>
              <w:top w:w="100" w:type="dxa"/>
              <w:left w:w="100" w:type="dxa"/>
              <w:bottom w:w="100" w:type="dxa"/>
              <w:right w:w="100" w:type="dxa"/>
            </w:tcMar>
          </w:tcPr>
          <w:p w14:paraId="67309E07" w14:textId="77777777" w:rsidR="002530E2" w:rsidRDefault="002530E2">
            <w:pPr>
              <w:spacing w:after="0" w:line="276" w:lineRule="auto"/>
              <w:jc w:val="center"/>
            </w:pPr>
          </w:p>
          <w:p w14:paraId="4F2B5227" w14:textId="77777777" w:rsidR="002530E2" w:rsidRDefault="002530E2">
            <w:pPr>
              <w:spacing w:after="0" w:line="276" w:lineRule="auto"/>
              <w:jc w:val="center"/>
            </w:pPr>
          </w:p>
          <w:p w14:paraId="4BFB7351" w14:textId="77777777" w:rsidR="002530E2" w:rsidRDefault="002530E2">
            <w:pPr>
              <w:spacing w:after="0" w:line="276" w:lineRule="auto"/>
              <w:jc w:val="center"/>
            </w:pPr>
          </w:p>
          <w:p w14:paraId="0883B967" w14:textId="77777777" w:rsidR="002530E2" w:rsidRDefault="002530E2">
            <w:pPr>
              <w:spacing w:after="0" w:line="276" w:lineRule="auto"/>
              <w:jc w:val="center"/>
            </w:pPr>
          </w:p>
          <w:p w14:paraId="406C6921" w14:textId="77777777" w:rsidR="002530E2" w:rsidRDefault="002530E2">
            <w:pPr>
              <w:spacing w:after="0" w:line="276" w:lineRule="auto"/>
              <w:jc w:val="center"/>
            </w:pPr>
          </w:p>
          <w:p w14:paraId="1A09E01F" w14:textId="77777777" w:rsidR="002530E2" w:rsidRDefault="002530E2">
            <w:pPr>
              <w:spacing w:after="0" w:line="276" w:lineRule="auto"/>
              <w:jc w:val="center"/>
            </w:pPr>
            <w:r>
              <w:rPr>
                <w:sz w:val="18"/>
                <w:szCs w:val="18"/>
              </w:rPr>
              <w:t>2010—2020</w:t>
            </w:r>
          </w:p>
        </w:tc>
      </w:tr>
      <w:tr w:rsidR="002530E2" w14:paraId="096AC469" w14:textId="77777777">
        <w:trPr>
          <w:trHeight w:val="400"/>
        </w:trPr>
        <w:tc>
          <w:tcPr>
            <w:tcW w:w="495" w:type="dxa"/>
            <w:tcMar>
              <w:top w:w="100" w:type="dxa"/>
              <w:left w:w="100" w:type="dxa"/>
              <w:bottom w:w="100" w:type="dxa"/>
              <w:right w:w="100" w:type="dxa"/>
            </w:tcMar>
          </w:tcPr>
          <w:p w14:paraId="6144E9B5" w14:textId="77777777" w:rsidR="002530E2" w:rsidRDefault="002530E2">
            <w:pPr>
              <w:spacing w:after="0" w:line="276" w:lineRule="auto"/>
              <w:jc w:val="center"/>
            </w:pPr>
            <w:r>
              <w:rPr>
                <w:sz w:val="18"/>
                <w:szCs w:val="18"/>
              </w:rPr>
              <w:lastRenderedPageBreak/>
              <w:t>12</w:t>
            </w:r>
          </w:p>
        </w:tc>
        <w:tc>
          <w:tcPr>
            <w:tcW w:w="4725" w:type="dxa"/>
            <w:tcMar>
              <w:top w:w="100" w:type="dxa"/>
              <w:left w:w="100" w:type="dxa"/>
              <w:bottom w:w="100" w:type="dxa"/>
              <w:right w:w="100" w:type="dxa"/>
            </w:tcMar>
          </w:tcPr>
          <w:p w14:paraId="2BC6B287" w14:textId="77777777" w:rsidR="002530E2" w:rsidRDefault="002530E2">
            <w:pPr>
              <w:spacing w:after="0" w:line="276" w:lineRule="auto"/>
            </w:pPr>
            <w:r>
              <w:rPr>
                <w:sz w:val="18"/>
                <w:szCs w:val="18"/>
              </w:rPr>
              <w:t xml:space="preserve">“Great Brand Blunders: The Worst Marketing and Social Media Meltdowns of All Time and How to Avoid Your Own” </w:t>
            </w:r>
          </w:p>
        </w:tc>
        <w:tc>
          <w:tcPr>
            <w:tcW w:w="1560" w:type="dxa"/>
            <w:tcMar>
              <w:top w:w="100" w:type="dxa"/>
              <w:left w:w="100" w:type="dxa"/>
              <w:bottom w:w="100" w:type="dxa"/>
              <w:right w:w="100" w:type="dxa"/>
            </w:tcMar>
          </w:tcPr>
          <w:p w14:paraId="00BB9C7E" w14:textId="77777777" w:rsidR="002530E2" w:rsidRDefault="002530E2">
            <w:pPr>
              <w:spacing w:after="0" w:line="276" w:lineRule="auto"/>
              <w:jc w:val="center"/>
            </w:pPr>
            <w:r>
              <w:rPr>
                <w:sz w:val="18"/>
                <w:szCs w:val="18"/>
              </w:rPr>
              <w:t>Rob Gray</w:t>
            </w:r>
          </w:p>
        </w:tc>
        <w:tc>
          <w:tcPr>
            <w:tcW w:w="825" w:type="dxa"/>
            <w:tcMar>
              <w:top w:w="100" w:type="dxa"/>
              <w:left w:w="100" w:type="dxa"/>
              <w:bottom w:w="100" w:type="dxa"/>
              <w:right w:w="100" w:type="dxa"/>
            </w:tcMar>
          </w:tcPr>
          <w:p w14:paraId="386F5122" w14:textId="77777777" w:rsidR="002530E2" w:rsidRDefault="002530E2">
            <w:pPr>
              <w:spacing w:after="0" w:line="276" w:lineRule="auto"/>
              <w:jc w:val="center"/>
            </w:pPr>
            <w:r>
              <w:rPr>
                <w:sz w:val="18"/>
                <w:szCs w:val="18"/>
              </w:rPr>
              <w:t>2014</w:t>
            </w:r>
          </w:p>
        </w:tc>
        <w:tc>
          <w:tcPr>
            <w:tcW w:w="1395" w:type="dxa"/>
            <w:vMerge/>
            <w:tcMar>
              <w:top w:w="100" w:type="dxa"/>
              <w:left w:w="100" w:type="dxa"/>
              <w:bottom w:w="100" w:type="dxa"/>
              <w:right w:w="100" w:type="dxa"/>
            </w:tcMar>
          </w:tcPr>
          <w:p w14:paraId="21886A82" w14:textId="77777777" w:rsidR="002530E2" w:rsidRDefault="002530E2">
            <w:pPr>
              <w:spacing w:after="0" w:line="240" w:lineRule="auto"/>
              <w:jc w:val="center"/>
            </w:pPr>
          </w:p>
        </w:tc>
      </w:tr>
      <w:tr w:rsidR="002530E2" w14:paraId="76A5F271" w14:textId="77777777">
        <w:trPr>
          <w:trHeight w:val="400"/>
        </w:trPr>
        <w:tc>
          <w:tcPr>
            <w:tcW w:w="495" w:type="dxa"/>
            <w:tcMar>
              <w:top w:w="100" w:type="dxa"/>
              <w:left w:w="100" w:type="dxa"/>
              <w:bottom w:w="100" w:type="dxa"/>
              <w:right w:w="100" w:type="dxa"/>
            </w:tcMar>
          </w:tcPr>
          <w:p w14:paraId="5FFDB90C" w14:textId="77777777" w:rsidR="002530E2" w:rsidRDefault="002530E2">
            <w:pPr>
              <w:spacing w:after="0" w:line="276" w:lineRule="auto"/>
              <w:jc w:val="center"/>
            </w:pPr>
            <w:r>
              <w:rPr>
                <w:sz w:val="18"/>
                <w:szCs w:val="18"/>
              </w:rPr>
              <w:t>13</w:t>
            </w:r>
          </w:p>
        </w:tc>
        <w:tc>
          <w:tcPr>
            <w:tcW w:w="4725" w:type="dxa"/>
            <w:tcMar>
              <w:top w:w="100" w:type="dxa"/>
              <w:left w:w="100" w:type="dxa"/>
              <w:bottom w:w="100" w:type="dxa"/>
              <w:right w:w="100" w:type="dxa"/>
            </w:tcMar>
          </w:tcPr>
          <w:p w14:paraId="23B0F773" w14:textId="77777777" w:rsidR="002530E2" w:rsidRDefault="002530E2">
            <w:pPr>
              <w:spacing w:after="0" w:line="276" w:lineRule="auto"/>
            </w:pPr>
            <w:r>
              <w:rPr>
                <w:sz w:val="18"/>
                <w:szCs w:val="18"/>
              </w:rPr>
              <w:t xml:space="preserve">“Cross-Cultural Mistakes by Renowned Brands – Evaluating the Success and Failures of Brands in Host Nations” </w:t>
            </w:r>
          </w:p>
        </w:tc>
        <w:tc>
          <w:tcPr>
            <w:tcW w:w="1560" w:type="dxa"/>
            <w:tcMar>
              <w:top w:w="100" w:type="dxa"/>
              <w:left w:w="100" w:type="dxa"/>
              <w:bottom w:w="100" w:type="dxa"/>
              <w:right w:w="100" w:type="dxa"/>
            </w:tcMar>
          </w:tcPr>
          <w:p w14:paraId="5711B471" w14:textId="77777777" w:rsidR="002530E2" w:rsidRDefault="002530E2">
            <w:pPr>
              <w:spacing w:after="0" w:line="276" w:lineRule="auto"/>
              <w:jc w:val="center"/>
            </w:pPr>
            <w:r>
              <w:rPr>
                <w:sz w:val="18"/>
                <w:szCs w:val="18"/>
              </w:rPr>
              <w:t>Dr. Mohan Dass &amp; Dr. Sree (Sunny) Vinnakota</w:t>
            </w:r>
          </w:p>
        </w:tc>
        <w:tc>
          <w:tcPr>
            <w:tcW w:w="825" w:type="dxa"/>
            <w:tcMar>
              <w:top w:w="100" w:type="dxa"/>
              <w:left w:w="100" w:type="dxa"/>
              <w:bottom w:w="100" w:type="dxa"/>
              <w:right w:w="100" w:type="dxa"/>
            </w:tcMar>
          </w:tcPr>
          <w:p w14:paraId="5D443FB2" w14:textId="77777777" w:rsidR="002530E2" w:rsidRDefault="002530E2">
            <w:pPr>
              <w:spacing w:after="0" w:line="276" w:lineRule="auto"/>
              <w:jc w:val="center"/>
            </w:pPr>
            <w:r>
              <w:rPr>
                <w:sz w:val="18"/>
                <w:szCs w:val="18"/>
              </w:rPr>
              <w:t>2019</w:t>
            </w:r>
          </w:p>
        </w:tc>
        <w:tc>
          <w:tcPr>
            <w:tcW w:w="1395" w:type="dxa"/>
            <w:vMerge/>
            <w:tcMar>
              <w:top w:w="100" w:type="dxa"/>
              <w:left w:w="100" w:type="dxa"/>
              <w:bottom w:w="100" w:type="dxa"/>
              <w:right w:w="100" w:type="dxa"/>
            </w:tcMar>
          </w:tcPr>
          <w:p w14:paraId="1E4C780B" w14:textId="77777777" w:rsidR="002530E2" w:rsidRDefault="002530E2">
            <w:pPr>
              <w:spacing w:after="0" w:line="240" w:lineRule="auto"/>
              <w:jc w:val="center"/>
            </w:pPr>
          </w:p>
        </w:tc>
      </w:tr>
      <w:tr w:rsidR="002530E2" w14:paraId="3CC58670" w14:textId="77777777">
        <w:tc>
          <w:tcPr>
            <w:tcW w:w="495" w:type="dxa"/>
            <w:tcMar>
              <w:top w:w="100" w:type="dxa"/>
              <w:left w:w="100" w:type="dxa"/>
              <w:bottom w:w="100" w:type="dxa"/>
              <w:right w:w="100" w:type="dxa"/>
            </w:tcMar>
          </w:tcPr>
          <w:p w14:paraId="5752DEF2" w14:textId="77777777" w:rsidR="002530E2" w:rsidRDefault="002530E2">
            <w:pPr>
              <w:spacing w:after="0" w:line="276" w:lineRule="auto"/>
              <w:jc w:val="center"/>
            </w:pPr>
            <w:r>
              <w:rPr>
                <w:sz w:val="18"/>
                <w:szCs w:val="18"/>
              </w:rPr>
              <w:t>14</w:t>
            </w:r>
          </w:p>
        </w:tc>
        <w:tc>
          <w:tcPr>
            <w:tcW w:w="4725" w:type="dxa"/>
            <w:tcMar>
              <w:top w:w="100" w:type="dxa"/>
              <w:left w:w="100" w:type="dxa"/>
              <w:bottom w:w="100" w:type="dxa"/>
              <w:right w:w="100" w:type="dxa"/>
            </w:tcMar>
          </w:tcPr>
          <w:p w14:paraId="213FDA89" w14:textId="77777777" w:rsidR="002530E2" w:rsidRDefault="002530E2">
            <w:pPr>
              <w:spacing w:after="0" w:line="276" w:lineRule="auto"/>
            </w:pPr>
            <w:r>
              <w:rPr>
                <w:sz w:val="18"/>
                <w:szCs w:val="18"/>
              </w:rPr>
              <w:t>“The Advertising Hall of Shame: The 50 Worst Advertising Campaigns of All Time”</w:t>
            </w:r>
          </w:p>
        </w:tc>
        <w:tc>
          <w:tcPr>
            <w:tcW w:w="1560" w:type="dxa"/>
            <w:tcMar>
              <w:top w:w="100" w:type="dxa"/>
              <w:left w:w="100" w:type="dxa"/>
              <w:bottom w:w="100" w:type="dxa"/>
              <w:right w:w="100" w:type="dxa"/>
            </w:tcMar>
          </w:tcPr>
          <w:p w14:paraId="29AF6D79" w14:textId="77777777" w:rsidR="002530E2" w:rsidRDefault="002530E2">
            <w:pPr>
              <w:spacing w:after="0" w:line="276" w:lineRule="auto"/>
              <w:jc w:val="center"/>
            </w:pPr>
            <w:r>
              <w:rPr>
                <w:sz w:val="18"/>
                <w:szCs w:val="18"/>
              </w:rPr>
              <w:t>James R. Heckler &amp; Martin R. Houston</w:t>
            </w:r>
          </w:p>
        </w:tc>
        <w:tc>
          <w:tcPr>
            <w:tcW w:w="825" w:type="dxa"/>
            <w:tcMar>
              <w:top w:w="100" w:type="dxa"/>
              <w:left w:w="100" w:type="dxa"/>
              <w:bottom w:w="100" w:type="dxa"/>
              <w:right w:w="100" w:type="dxa"/>
            </w:tcMar>
          </w:tcPr>
          <w:p w14:paraId="4A077B2C" w14:textId="77777777" w:rsidR="002530E2" w:rsidRDefault="002530E2">
            <w:pPr>
              <w:spacing w:after="0" w:line="276" w:lineRule="auto"/>
              <w:jc w:val="center"/>
            </w:pPr>
            <w:r>
              <w:rPr>
                <w:sz w:val="18"/>
                <w:szCs w:val="18"/>
              </w:rPr>
              <w:t>No data</w:t>
            </w:r>
          </w:p>
        </w:tc>
        <w:tc>
          <w:tcPr>
            <w:tcW w:w="1395" w:type="dxa"/>
            <w:tcMar>
              <w:top w:w="100" w:type="dxa"/>
              <w:left w:w="100" w:type="dxa"/>
              <w:bottom w:w="100" w:type="dxa"/>
              <w:right w:w="100" w:type="dxa"/>
            </w:tcMar>
          </w:tcPr>
          <w:p w14:paraId="1C0D1403" w14:textId="77777777" w:rsidR="002530E2" w:rsidRDefault="002530E2">
            <w:pPr>
              <w:spacing w:after="0" w:line="276" w:lineRule="auto"/>
              <w:jc w:val="center"/>
            </w:pPr>
          </w:p>
        </w:tc>
      </w:tr>
    </w:tbl>
    <w:p w14:paraId="00C35E3E" w14:textId="77777777" w:rsidR="002530E2" w:rsidRDefault="002530E2">
      <w:pPr>
        <w:spacing w:before="240" w:after="240"/>
      </w:pPr>
      <w:r>
        <w:t xml:space="preserve">More books are needed to build an understanding of the specific focus of the study and the importance of examining Muslims' negative emotional reactions and behaviours in response to cross-cultural blunders made by multinational corporations that impact their business operations. </w:t>
      </w:r>
    </w:p>
    <w:p w14:paraId="6203250C" w14:textId="77777777" w:rsidR="002530E2" w:rsidRDefault="002530E2">
      <w:pPr>
        <w:pStyle w:val="Heading2"/>
        <w:spacing w:before="0"/>
      </w:pPr>
      <w:bookmarkStart w:id="298" w:name="_9kx6rmun0su6" w:colFirst="0" w:colLast="0"/>
      <w:bookmarkEnd w:id="298"/>
      <w:r>
        <w:t>BOOK 1 (1990)</w:t>
      </w:r>
    </w:p>
    <w:p w14:paraId="2DB123DD" w14:textId="77777777" w:rsidR="002530E2" w:rsidRDefault="002530E2">
      <w:r>
        <w:t>The book titled “Six Timeless Marketing Blunders” by W.L. Shanklin, published in 1990, delves into the realm of marketing mistakes and blunders that have stood the test of time. This book offers valuable insights into the common pitfalls and errors made by marketers, providing lessons that remain relevant even in the evolving marketing landscape.</w:t>
      </w:r>
    </w:p>
    <w:p w14:paraId="7FB9A6CE" w14:textId="77777777" w:rsidR="002530E2" w:rsidRDefault="002530E2">
      <w:r>
        <w:t>Key Points:</w:t>
      </w:r>
    </w:p>
    <w:p w14:paraId="10411EA8" w14:textId="77777777" w:rsidR="002530E2" w:rsidRDefault="002530E2" w:rsidP="002530E2">
      <w:pPr>
        <w:numPr>
          <w:ilvl w:val="0"/>
          <w:numId w:val="106"/>
        </w:numPr>
        <w:spacing w:after="200" w:line="360" w:lineRule="auto"/>
        <w:jc w:val="both"/>
      </w:pPr>
      <w:r>
        <w:t>Analysis of Historical Marketing Blunders: The book examines notable marketing blunders throughout history and analyses the reasons behind their failure. It explores case studies and identifies recurring patterns and mistakes made by marketers, providing valuable lessons for present and future marketing endeavours.</w:t>
      </w:r>
    </w:p>
    <w:p w14:paraId="2D41C336" w14:textId="77777777" w:rsidR="002530E2" w:rsidRDefault="002530E2" w:rsidP="002530E2">
      <w:pPr>
        <w:numPr>
          <w:ilvl w:val="0"/>
          <w:numId w:val="106"/>
        </w:numPr>
        <w:spacing w:after="200" w:line="360" w:lineRule="auto"/>
        <w:jc w:val="both"/>
      </w:pPr>
      <w:r>
        <w:t>Identification of Common Pitfalls: Shanklin highlights common marketing pitfalls that organisations fall into repeatedly. These include misalignment with target audience needs, poor market research, ineffective communication strategies, pricing mistakes, product positioning errors, and inadequate brand management.</w:t>
      </w:r>
    </w:p>
    <w:p w14:paraId="4EEAC097" w14:textId="77777777" w:rsidR="002530E2" w:rsidRDefault="002530E2" w:rsidP="002530E2">
      <w:pPr>
        <w:numPr>
          <w:ilvl w:val="0"/>
          <w:numId w:val="106"/>
        </w:numPr>
        <w:spacing w:after="200" w:line="360" w:lineRule="auto"/>
        <w:jc w:val="both"/>
      </w:pPr>
      <w:r>
        <w:t>Lessons for Effective Marketing Strategies: The book offers practical insights and lessons learned from past marketing blunders. It provides guidance on how marketers can avoid making similar mistakes and develop effective marketing strategies. It emphasises the importance of market analysis, customer understanding, strategic planning, and adaptability in creating successful marketing campaigns.</w:t>
      </w:r>
    </w:p>
    <w:p w14:paraId="1EEB2FC2" w14:textId="77777777" w:rsidR="002530E2" w:rsidRDefault="002530E2" w:rsidP="002530E2">
      <w:pPr>
        <w:numPr>
          <w:ilvl w:val="0"/>
          <w:numId w:val="106"/>
        </w:numPr>
        <w:spacing w:after="200" w:line="360" w:lineRule="auto"/>
        <w:jc w:val="both"/>
      </w:pPr>
      <w:r>
        <w:t xml:space="preserve">Timelessness of Marketing Blunders: Despite being published in 1990, the book underscores the enduring nature of marketing blunders. It highlights that many mistakes made in the past </w:t>
      </w:r>
      <w:r>
        <w:lastRenderedPageBreak/>
        <w:t>continue to be repeated by marketers today. The principles and lessons presented in the book remain relevant and applicable in the contemporary marketing landscape.</w:t>
      </w:r>
    </w:p>
    <w:p w14:paraId="3F93E338" w14:textId="77777777" w:rsidR="002530E2" w:rsidRDefault="002530E2">
      <w:r>
        <w:t>In conclusion, the content of this book serves as a valuable resource for marketers, business professionals, and students seeking to avoid common marketing pitfalls and improve their marketing strategies. The book offers a comprehensive analysis of historical marketing failures, identifies recurring mistakes, and provides practical lessons for effective marketing. By studying the blunders of the past, marketers can gain insights into the importance of market research, customer understanding, strategic planning, and brand management. This book acts as a timeless guide, reminding marketers to learn from past mistakes and make informed decisions to drive successful marketing campaigns in the present and future.</w:t>
      </w:r>
    </w:p>
    <w:p w14:paraId="2780A899" w14:textId="77777777" w:rsidR="002530E2" w:rsidRDefault="002530E2">
      <w:pPr>
        <w:pStyle w:val="Heading2"/>
        <w:spacing w:before="0"/>
      </w:pPr>
      <w:bookmarkStart w:id="299" w:name="_ish1hzd45vug" w:colFirst="0" w:colLast="0"/>
      <w:bookmarkEnd w:id="299"/>
      <w:r>
        <w:t>BOOK 2 (1992)</w:t>
      </w:r>
    </w:p>
    <w:p w14:paraId="0DD0B37A" w14:textId="77777777" w:rsidR="002530E2" w:rsidRDefault="002530E2">
      <w:r>
        <w:t>The book titled “Marketing Blunders: 50 Case Studies of How Not to Do It” by Al Ries and Jack Trout is a comprehensive exploration of marketing blunders committed by companies across various industries. Published in 1992, by Ries and Trout, renowned marketing experts, this book serves as a valuable resource for understanding the pitfalls and mistakes that can hinder marketing success.</w:t>
      </w:r>
    </w:p>
    <w:p w14:paraId="1A820426" w14:textId="77777777" w:rsidR="002530E2" w:rsidRDefault="002530E2">
      <w:r>
        <w:t>Key Points:</w:t>
      </w:r>
    </w:p>
    <w:p w14:paraId="08E5DB75" w14:textId="77777777" w:rsidR="002530E2" w:rsidRDefault="002530E2" w:rsidP="002530E2">
      <w:pPr>
        <w:numPr>
          <w:ilvl w:val="0"/>
          <w:numId w:val="83"/>
        </w:numPr>
        <w:spacing w:after="200" w:line="360" w:lineRule="auto"/>
        <w:jc w:val="both"/>
      </w:pPr>
      <w:r>
        <w:t>50 Case Studies of Marketing Blunders: The book presents 50 real-life case studies that highlight marketing blunders made by companies. Ries and Trout dissect these examples, analysing the strategic errors, missteps in positioning, communication failures, and other mistakes that led to negative outcomes for the brands involved. The case studies cover a wide range of industries, providing readers with a diverse set of examples to learn from.</w:t>
      </w:r>
    </w:p>
    <w:p w14:paraId="7520CD13" w14:textId="77777777" w:rsidR="002530E2" w:rsidRDefault="002530E2" w:rsidP="002530E2">
      <w:pPr>
        <w:numPr>
          <w:ilvl w:val="0"/>
          <w:numId w:val="83"/>
        </w:numPr>
        <w:spacing w:after="200" w:line="360" w:lineRule="auto"/>
        <w:jc w:val="both"/>
      </w:pPr>
      <w:r>
        <w:t>Identification of Common Mistakes: The authors identify and explore common mistakes made by companies in their marketing efforts. They discuss issues such as poor market research, ineffective targeting, inadequate product positioning, misguided advertising campaigns, and failure to adapt to changing consumer preferences. By examining these mistakes, readers gain insights into the potential pitfalls to avoid in their own marketing strategies.</w:t>
      </w:r>
    </w:p>
    <w:p w14:paraId="06684D3D" w14:textId="77777777" w:rsidR="002530E2" w:rsidRDefault="002530E2" w:rsidP="002530E2">
      <w:pPr>
        <w:numPr>
          <w:ilvl w:val="0"/>
          <w:numId w:val="83"/>
        </w:numPr>
        <w:spacing w:after="200" w:line="360" w:lineRule="auto"/>
        <w:jc w:val="both"/>
      </w:pPr>
      <w:r>
        <w:t>Lessons for Effective Marketing: Each case study is accompanied by key lessons and takeaways for effective marketing. Ries and Trout distil valuable insights from the blunders, offering practical advice and strategies to improve marketing performance. They emphasise the importance of market research, understanding customer needs, differentiation, positioning, and consistent messaging.</w:t>
      </w:r>
    </w:p>
    <w:p w14:paraId="6A67D009" w14:textId="77777777" w:rsidR="002530E2" w:rsidRDefault="002530E2" w:rsidP="002530E2">
      <w:pPr>
        <w:numPr>
          <w:ilvl w:val="0"/>
          <w:numId w:val="83"/>
        </w:numPr>
        <w:spacing w:after="200" w:line="360" w:lineRule="auto"/>
        <w:jc w:val="both"/>
      </w:pPr>
      <w:r>
        <w:t xml:space="preserve">Impact on Brand Reputation and Success: The book highlights the significant impact that marketing blunders can have on brand reputation and overall business success. Ries and Trout </w:t>
      </w:r>
      <w:r>
        <w:lastRenderedPageBreak/>
        <w:t>discuss the consequences of these blunders, including loss of customer trust, diminished brand value, and financial implications. They emphasise the need for careful planning and execution to avoid damaging the brand's image.</w:t>
      </w:r>
    </w:p>
    <w:p w14:paraId="2BA4CFEC" w14:textId="77777777" w:rsidR="002530E2" w:rsidRDefault="002530E2">
      <w:r>
        <w:t>In conclusion, this book provides a comprehensive examination of marketing blunders through 50 real-life case studies. The authors identify common mistakes made by companies, offering valuable lessons for effective marketing. By exploring the consequences of these blunders, readers gain insights into the importance of strategic planning, market research, positioning, and effective communication in achieving marketing success. This book serves as a guide for marketers, entrepreneurs, and business professionals looking to learn from the mistakes of others and improve their own marketing strategies. By understanding the pitfalls and challenges highlighted in the case studies, readers can make informed decisions and avoid common marketing blunders. Overall, "Marketing Blunders" is a valuable resource for anyone seeking to enhance their marketing knowledge and maximise their chances of success in today's competitive business landscape.</w:t>
      </w:r>
    </w:p>
    <w:p w14:paraId="6CC964BA" w14:textId="77777777" w:rsidR="002530E2" w:rsidRDefault="002530E2">
      <w:pPr>
        <w:pStyle w:val="Heading2"/>
        <w:spacing w:before="0"/>
      </w:pPr>
      <w:bookmarkStart w:id="300" w:name="_gjyo3ov6krjg" w:colFirst="0" w:colLast="0"/>
      <w:bookmarkEnd w:id="300"/>
      <w:r>
        <w:t>BOOK 3 (1992)</w:t>
      </w:r>
    </w:p>
    <w:p w14:paraId="052A252A" w14:textId="77777777" w:rsidR="002530E2" w:rsidRDefault="002530E2">
      <w:r>
        <w:t>The book titled “Blunderers in Advertising: Mad, Glad, and Bad Advertisements" by Alan Kehr, published in 1992, is a captivating exploration of various advertising blunders. In this book, Kehr delves into the world of advertising to highlight notable mistakes made by advertisers, providing valuable lessons on what not to do when creating and executing advertising campaigns.</w:t>
      </w:r>
    </w:p>
    <w:p w14:paraId="3CE07DD2" w14:textId="77777777" w:rsidR="002530E2" w:rsidRDefault="002530E2">
      <w:r>
        <w:t>Key Points:</w:t>
      </w:r>
    </w:p>
    <w:p w14:paraId="0B47B8A9" w14:textId="77777777" w:rsidR="002530E2" w:rsidRDefault="002530E2" w:rsidP="002530E2">
      <w:pPr>
        <w:numPr>
          <w:ilvl w:val="0"/>
          <w:numId w:val="125"/>
        </w:numPr>
        <w:spacing w:after="200" w:line="360" w:lineRule="auto"/>
        <w:jc w:val="both"/>
      </w:pPr>
      <w:r>
        <w:t>Analysis of Advertising Mistakes: Kehr examines a wide range of advertising blunders, including both famous and lesser-known cases. He dissects the mistakes made by advertisers, revealing the missteps in their strategies, messaging, creative execution, and targeting.</w:t>
      </w:r>
    </w:p>
    <w:p w14:paraId="5983D6ED" w14:textId="77777777" w:rsidR="002530E2" w:rsidRDefault="002530E2" w:rsidP="002530E2">
      <w:pPr>
        <w:numPr>
          <w:ilvl w:val="0"/>
          <w:numId w:val="125"/>
        </w:numPr>
        <w:spacing w:after="200" w:line="360" w:lineRule="auto"/>
        <w:jc w:val="both"/>
      </w:pPr>
      <w:r>
        <w:t>Lessons from Failed Campaigns: The book offers valuable lessons from failed advertising campaigns, providing insights into why certain approaches and tactics did not resonate with the target audience. Kehr highlights the importance of understanding consumer preferences, cultural sensitivities, and market dynamics to avoid potential pitfalls.</w:t>
      </w:r>
    </w:p>
    <w:p w14:paraId="31D93065" w14:textId="77777777" w:rsidR="002530E2" w:rsidRDefault="002530E2" w:rsidP="002530E2">
      <w:pPr>
        <w:numPr>
          <w:ilvl w:val="0"/>
          <w:numId w:val="125"/>
        </w:numPr>
        <w:spacing w:after="200" w:line="360" w:lineRule="auto"/>
        <w:jc w:val="both"/>
      </w:pPr>
      <w:r>
        <w:t>Examination of Controversial Advertisements: Kehr explores controversial advertisements that sparked public outcry or backlash due to their offensive or insensitive content. He analyses the reasons behind the controversy, emphasising the need for advertisers to be aware of social, cultural, and ethical considerations when crafting their messages.</w:t>
      </w:r>
    </w:p>
    <w:p w14:paraId="7422548D" w14:textId="77777777" w:rsidR="002530E2" w:rsidRDefault="002530E2" w:rsidP="002530E2">
      <w:pPr>
        <w:numPr>
          <w:ilvl w:val="0"/>
          <w:numId w:val="125"/>
        </w:numPr>
        <w:spacing w:after="200" w:line="360" w:lineRule="auto"/>
        <w:jc w:val="both"/>
      </w:pPr>
      <w:r>
        <w:t xml:space="preserve">Impact on Brands and Industry: The book discusses the repercussions of advertising blunders on brands and the advertising industry as a whole. Kehr delves into how missteps can harm brand reputation, erode consumer trust, and result in financial losses. He emphasises the </w:t>
      </w:r>
      <w:r>
        <w:lastRenderedPageBreak/>
        <w:t>importance of learning from mistakes and taking proactive measures to prevent similar blunders in the future.</w:t>
      </w:r>
    </w:p>
    <w:p w14:paraId="64129876" w14:textId="77777777" w:rsidR="002530E2" w:rsidRDefault="002530E2">
      <w:r>
        <w:t>In conclusion, the content of this book serves as a cautionary guide for advertisers, marketers, and anyone interested in the world of advertising. Through the analysis of advertising mistakes and failed campaigns, Kehr highlights the importance of understanding the target audience, cultural nuances, and ethical considerations when crafting effective advertisements. The book provides valuable insights into the consequences of advertising blunders for brands and the industry at large. It emphasises the need for careful planning, research, and creativity in advertising endeavours to avoid potential pitfalls and ensure the desired impact on the target audience. For those seeking to navigate the complex landscape of advertising, this book offers valuable lessons from past blunders, allowing readers to learn from the mistakes of others and improve their advertising strategies.</w:t>
      </w:r>
    </w:p>
    <w:p w14:paraId="386FCECB" w14:textId="77777777" w:rsidR="002530E2" w:rsidRDefault="002530E2">
      <w:pPr>
        <w:pStyle w:val="Heading2"/>
        <w:spacing w:before="0"/>
      </w:pPr>
      <w:bookmarkStart w:id="301" w:name="_476manqyb2gq" w:colFirst="0" w:colLast="0"/>
      <w:bookmarkEnd w:id="301"/>
      <w:r>
        <w:t>BOOK 4 (1998)</w:t>
      </w:r>
    </w:p>
    <w:p w14:paraId="345D191D" w14:textId="77777777" w:rsidR="002530E2" w:rsidRDefault="002530E2">
      <w:r>
        <w:t>The book titled “The Food Industry Wars: Marketing Triumphs and Blunders" by Ronald D. Michman and Edward M. Mazze, published in 1998, delves into the competitive landscape of the food industry and explores notable marketing successes and failures within the sector. This book provides valuable insights into the strategies, tactics, and mistakes made by companies operating in the food industry, offering lessons that are relevant to marketing professionals, business leaders, and researchers.</w:t>
      </w:r>
    </w:p>
    <w:p w14:paraId="72993F6E" w14:textId="77777777" w:rsidR="002530E2" w:rsidRDefault="002530E2">
      <w:r>
        <w:t>Key Points:</w:t>
      </w:r>
    </w:p>
    <w:p w14:paraId="7C234D41" w14:textId="77777777" w:rsidR="002530E2" w:rsidRDefault="002530E2" w:rsidP="002530E2">
      <w:pPr>
        <w:numPr>
          <w:ilvl w:val="0"/>
          <w:numId w:val="131"/>
        </w:numPr>
        <w:spacing w:after="200" w:line="360" w:lineRule="auto"/>
        <w:jc w:val="both"/>
      </w:pPr>
      <w:r>
        <w:t>Analysis of Marketing Triumphs: The book examines successful marketing campaigns and strategies employed by food industry companies. It analyses the factors that contributed to their triumphs, such as innovative product development, effective branding, successful positioning, and targeted marketing initiatives. These case studies highlight exemplary marketing practises within the food industry.</w:t>
      </w:r>
    </w:p>
    <w:p w14:paraId="71579ED6" w14:textId="77777777" w:rsidR="002530E2" w:rsidRDefault="002530E2" w:rsidP="002530E2">
      <w:pPr>
        <w:numPr>
          <w:ilvl w:val="0"/>
          <w:numId w:val="131"/>
        </w:numPr>
        <w:spacing w:after="200" w:line="360" w:lineRule="auto"/>
        <w:jc w:val="both"/>
      </w:pPr>
      <w:r>
        <w:t>Exploration of Marketing Blunders: The book also explores notable marketing blunders and failures within the food industry. It delves into the reasons behind these failures, including poor product choices, inadequate market research, misaligned positioning, ineffective communication, and misguided marketing strategies. These case studies offer valuable lessons on what not to do in marketing.</w:t>
      </w:r>
    </w:p>
    <w:p w14:paraId="49756B0E" w14:textId="77777777" w:rsidR="002530E2" w:rsidRDefault="002530E2" w:rsidP="002530E2">
      <w:pPr>
        <w:numPr>
          <w:ilvl w:val="0"/>
          <w:numId w:val="131"/>
        </w:numPr>
        <w:spacing w:after="200" w:line="360" w:lineRule="auto"/>
        <w:jc w:val="both"/>
      </w:pPr>
      <w:r>
        <w:t>Industry-Specific Insights: The book focuses specifically on the food industry, providing industry-specific insights and examples. It addresses the unique challenges faced by food companies, such as changing consumer preferences, intense competition, regulatory considerations, and evolving market trends. The analysis of triumphs and blunders within this context enhances the practical applicability of the book's findings.</w:t>
      </w:r>
    </w:p>
    <w:p w14:paraId="3898E6E8" w14:textId="77777777" w:rsidR="002530E2" w:rsidRDefault="002530E2" w:rsidP="002530E2">
      <w:pPr>
        <w:numPr>
          <w:ilvl w:val="0"/>
          <w:numId w:val="131"/>
        </w:numPr>
        <w:spacing w:after="200" w:line="360" w:lineRule="auto"/>
        <w:jc w:val="both"/>
      </w:pPr>
      <w:r>
        <w:lastRenderedPageBreak/>
        <w:t>Lessons for Marketing Professionals: The book offers practical lessons and takeaways for marketing professionals and industry practitioners. It provides guidance on effective marketing practices, emphasising the importance of market research, consumer understanding, product innovation, branding, positioning, and strategic decision-making. The analysis of both triumphs and blunders equips marketers with valuable knowledge for developing successful marketing campaigns.</w:t>
      </w:r>
    </w:p>
    <w:p w14:paraId="5CDF1E8F" w14:textId="77777777" w:rsidR="002530E2" w:rsidRDefault="002530E2">
      <w:r>
        <w:t>In conclusion, the content of this book serves as a valuable resource for understanding marketing dynamics within the food industry. By analysing successful marketing triumphs and failures, the book provides insights into effective marketing strategies as well as pitfalls to avoid. The industry-specific focus enhances the book's practical relevance, catering to professionals within the food industry seeking to improve their marketing efforts. Whether for marketers, business leaders, or researchers, this book offers valuable lessons and examples that contribute to a deeper understanding of the complexities of marketing in the competitive food industry.</w:t>
      </w:r>
    </w:p>
    <w:p w14:paraId="76A42A57" w14:textId="77777777" w:rsidR="002530E2" w:rsidRDefault="002530E2">
      <w:pPr>
        <w:pStyle w:val="Heading2"/>
        <w:spacing w:before="0"/>
      </w:pPr>
      <w:bookmarkStart w:id="302" w:name="_i0r6mg7dwse3" w:colFirst="0" w:colLast="0"/>
      <w:bookmarkEnd w:id="302"/>
      <w:r>
        <w:t>BOOK 5 (2002)</w:t>
      </w:r>
    </w:p>
    <w:p w14:paraId="12F93602" w14:textId="77777777" w:rsidR="002530E2" w:rsidRDefault="002530E2">
      <w:r>
        <w:t>The book titled “A Short Course in International Marketing Blunders: Mistakes Made by Companies That Should Have Known Better" by Michael White, published in 2002, is a concise and informative book that focuses on international marketing blunders. This book explores the missteps made by companies in their global marketing efforts and provides valuable insights into the challenges and considerations of conducting business in foreign markets.</w:t>
      </w:r>
    </w:p>
    <w:p w14:paraId="7D999B80" w14:textId="77777777" w:rsidR="002530E2" w:rsidRDefault="002530E2">
      <w:r>
        <w:t>Key Points:</w:t>
      </w:r>
    </w:p>
    <w:p w14:paraId="08EF8739" w14:textId="77777777" w:rsidR="002530E2" w:rsidRDefault="002530E2" w:rsidP="002530E2">
      <w:pPr>
        <w:numPr>
          <w:ilvl w:val="0"/>
          <w:numId w:val="76"/>
        </w:numPr>
        <w:spacing w:after="200" w:line="360" w:lineRule="auto"/>
        <w:jc w:val="both"/>
      </w:pPr>
      <w:r>
        <w:t>Examination of International Marketing Blunders: The book examines a variety of international marketing blunders made by companies operating in foreign markets. It explores the cultural, linguistic, legal, and logistical challenges that companies face when expanding internationally and highlights the common mistakes made in areas such as market research, product adaptation, pricing, promotion, and distribution.</w:t>
      </w:r>
    </w:p>
    <w:p w14:paraId="682343C9" w14:textId="77777777" w:rsidR="002530E2" w:rsidRDefault="002530E2" w:rsidP="002530E2">
      <w:pPr>
        <w:numPr>
          <w:ilvl w:val="0"/>
          <w:numId w:val="76"/>
        </w:numPr>
        <w:spacing w:after="200" w:line="360" w:lineRule="auto"/>
        <w:jc w:val="both"/>
      </w:pPr>
      <w:r>
        <w:t>Case Studies: The book presents numerous real-life case studies of international marketing blunders, offering detailed accounts of the incidents and their consequences. It provides examples of companies that failed to consider cultural sensitivities, underestimated local competition, misinterpreted market needs, or encountered unexpected legal and regulatory issues. These case studies help readers understand the specific challenges of international marketing and the potential impact of mistakes.</w:t>
      </w:r>
    </w:p>
    <w:p w14:paraId="2BEC6B0F" w14:textId="77777777" w:rsidR="002530E2" w:rsidRDefault="002530E2" w:rsidP="002530E2">
      <w:pPr>
        <w:numPr>
          <w:ilvl w:val="0"/>
          <w:numId w:val="76"/>
        </w:numPr>
        <w:spacing w:after="200" w:line="360" w:lineRule="auto"/>
        <w:jc w:val="both"/>
      </w:pPr>
      <w:r>
        <w:t xml:space="preserve">Lessons and Best Practices: Through the analysis of international marketing blunders, the book provides valuable lessons and best practices for companies seeking to expand globally. It </w:t>
      </w:r>
      <w:r>
        <w:lastRenderedPageBreak/>
        <w:t>emphasises the importance of conducting thorough market research, understanding cultural differences, adapting products and marketing strategies to local preferences, building strong partnerships, and maintaining flexibility in the face of unforeseen challenges.</w:t>
      </w:r>
    </w:p>
    <w:p w14:paraId="27D3EDA6" w14:textId="77777777" w:rsidR="002530E2" w:rsidRDefault="002530E2" w:rsidP="002530E2">
      <w:pPr>
        <w:numPr>
          <w:ilvl w:val="0"/>
          <w:numId w:val="76"/>
        </w:numPr>
        <w:spacing w:after="200" w:line="360" w:lineRule="auto"/>
        <w:jc w:val="both"/>
      </w:pPr>
      <w:r>
        <w:t>Practical Advice for International Marketers: The book offers practical advice and recommendations for international marketers. It provides guidance on how to avoid common pitfalls, mitigate risks, and develop effective strategies for success in international markets. By learning from the mistakes of others, marketers can enhance their understanding of global markets and improve their decision-making in cross-cultural contexts.</w:t>
      </w:r>
    </w:p>
    <w:p w14:paraId="0850D2EC" w14:textId="77777777" w:rsidR="002530E2" w:rsidRDefault="002530E2">
      <w:r>
        <w:t>In conclusion, the content of this book serves as a valuable resource for companies and marketers involved in international business. The book highlights the challenges and complexities of conducting marketing activities in foreign markets and provides insights into the common mistakes made by companies. By examining real-life case studies, readers gain a deeper understanding of the potential consequences of international marketing blunders and the importance of cultural sensitivity, market research, and adaptation. This book offers practical advice and best practices to help companies navigate the intricacies of global markets and develop effective international marketing strategies. It serves as a reminder of the need for thorough preparation, cultural understanding, and strategic decision-making to succeed in the global business landscape.</w:t>
      </w:r>
    </w:p>
    <w:p w14:paraId="1FB86481" w14:textId="77777777" w:rsidR="002530E2" w:rsidRDefault="002530E2">
      <w:pPr>
        <w:pStyle w:val="Heading2"/>
        <w:spacing w:before="0"/>
      </w:pPr>
      <w:bookmarkStart w:id="303" w:name="_nqla181q67uu" w:colFirst="0" w:colLast="0"/>
      <w:bookmarkEnd w:id="303"/>
      <w:r>
        <w:t>BOOK 6 (2003)</w:t>
      </w:r>
    </w:p>
    <w:p w14:paraId="7FF46840" w14:textId="77777777" w:rsidR="002530E2" w:rsidRDefault="002530E2">
      <w:r>
        <w:t>The book titled “Brand Failures: The Truth About the 100 Biggest Branding Mistakes of All Time" by Matt Haig, published in 2003, is a comprehensive book that delves into the world of brand failures. This book provides valuable insights into the mistakes made by well-known brands, examining the reasons behind their failures and offering lessons for marketers and brand managers.</w:t>
      </w:r>
    </w:p>
    <w:p w14:paraId="5E5052B7" w14:textId="77777777" w:rsidR="002530E2" w:rsidRDefault="002530E2">
      <w:r>
        <w:t>Key Points:</w:t>
      </w:r>
    </w:p>
    <w:p w14:paraId="4A820CDF" w14:textId="77777777" w:rsidR="002530E2" w:rsidRDefault="002530E2" w:rsidP="002530E2">
      <w:pPr>
        <w:numPr>
          <w:ilvl w:val="0"/>
          <w:numId w:val="86"/>
        </w:numPr>
        <w:spacing w:after="200" w:line="360" w:lineRule="auto"/>
        <w:jc w:val="both"/>
      </w:pPr>
      <w:r>
        <w:t>Exploration of Brand Failures: The book examines 100 of the biggest brand failures in history, analysing the factors that led to their downfall. It covers a wide range of industries and brands, highlighting the common mistakes made by companies in areas such as branding, product development, marketing, positioning, and communication.</w:t>
      </w:r>
    </w:p>
    <w:p w14:paraId="7A34B168" w14:textId="77777777" w:rsidR="002530E2" w:rsidRDefault="002530E2" w:rsidP="002530E2">
      <w:pPr>
        <w:numPr>
          <w:ilvl w:val="0"/>
          <w:numId w:val="86"/>
        </w:numPr>
        <w:spacing w:after="200" w:line="360" w:lineRule="auto"/>
        <w:jc w:val="both"/>
      </w:pPr>
      <w:r>
        <w:t>Causes and Consequences: For each brand failure, the book investigates the underlying causes and consequences of the mistakes made. It explores factors such as poor market research, misaligned brand positioning, ineffective marketing campaigns, quality issues, a lack of consumer understanding, and competitive challenges. By understanding these causes, readers gain valuable insights into the pitfalls to avoid in their own brand management efforts.</w:t>
      </w:r>
    </w:p>
    <w:p w14:paraId="5286E049" w14:textId="77777777" w:rsidR="002530E2" w:rsidRDefault="002530E2" w:rsidP="002530E2">
      <w:pPr>
        <w:numPr>
          <w:ilvl w:val="0"/>
          <w:numId w:val="86"/>
        </w:numPr>
        <w:spacing w:after="200" w:line="360" w:lineRule="auto"/>
        <w:jc w:val="both"/>
      </w:pPr>
      <w:r>
        <w:lastRenderedPageBreak/>
        <w:t>Lessons Learned: The book provides important lessons and takeaways from each brand failure case study. It offers guidance on how to identify and rectify potential brand weaknesses, develop effective marketing strategies, adapt to changing consumer preferences, and respond to crises. By examining these failures, marketers can learn from the mistakes of others and make informed decisions to protect and strengthen their brands.</w:t>
      </w:r>
    </w:p>
    <w:p w14:paraId="1B5733F4" w14:textId="77777777" w:rsidR="002530E2" w:rsidRDefault="002530E2" w:rsidP="002530E2">
      <w:pPr>
        <w:numPr>
          <w:ilvl w:val="0"/>
          <w:numId w:val="86"/>
        </w:numPr>
        <w:spacing w:after="200" w:line="360" w:lineRule="auto"/>
        <w:jc w:val="both"/>
      </w:pPr>
      <w:r>
        <w:t>Illustrative Examples: The book includes illustrative examples and anecdotes to bring the brand failures to life. It provides a detailed account of the specific circumstances surrounding each failure, giving readers a deeper understanding of the challenges faced by these brands and the consequences of their missteps.</w:t>
      </w:r>
    </w:p>
    <w:p w14:paraId="7B70CC89" w14:textId="77777777" w:rsidR="002530E2" w:rsidRDefault="002530E2">
      <w:r>
        <w:t>In conclusion, the content of this book offers a comprehensive exploration of brand failures, dissecting the mistakes made by well-known brands and providing valuable lessons for marketers and brand managers. Through the analysis of 100 brand failure case studies, the book highlights the causes and consequences of these failures, shedding light on the common pitfalls in branding and marketing. By understanding the factors that contribute to brand failures, readers can gain insights into how to avoid similar mistakes and develop effective brand strategies. This book serves as a valuable resource for anyone involved in brand management, offering a cautionary perspective and actionable advice to navigate the complexities of the branding landscape and build successful and enduring brands.</w:t>
      </w:r>
    </w:p>
    <w:p w14:paraId="3163AD1D" w14:textId="77777777" w:rsidR="002530E2" w:rsidRDefault="002530E2">
      <w:pPr>
        <w:pStyle w:val="Heading2"/>
        <w:spacing w:before="0"/>
      </w:pPr>
      <w:bookmarkStart w:id="304" w:name="_lz79wea3dsch" w:colFirst="0" w:colLast="0"/>
      <w:bookmarkEnd w:id="304"/>
      <w:r>
        <w:t>BOOK 7 (2006)</w:t>
      </w:r>
    </w:p>
    <w:p w14:paraId="57F5096D" w14:textId="77777777" w:rsidR="002530E2" w:rsidRDefault="002530E2">
      <w:r>
        <w:t>The book “Blunders in International Business” by David A. Ricks, in its 4th edition published in 2006, provides a comprehensive exploration of common mistakes and blunders made by businesses operating in the international arena. This book serves as a valuable resource for understanding the challenges and complexities of conducting business on a global scale, offering insights into the pitfalls to avoid and strategies to adopt for international success.</w:t>
      </w:r>
    </w:p>
    <w:p w14:paraId="6E7776E8" w14:textId="77777777" w:rsidR="002530E2" w:rsidRDefault="002530E2">
      <w:r>
        <w:t>Key Points:</w:t>
      </w:r>
    </w:p>
    <w:p w14:paraId="78199A17" w14:textId="77777777" w:rsidR="002530E2" w:rsidRDefault="002530E2" w:rsidP="002530E2">
      <w:pPr>
        <w:numPr>
          <w:ilvl w:val="0"/>
          <w:numId w:val="107"/>
        </w:numPr>
        <w:spacing w:after="200" w:line="360" w:lineRule="auto"/>
        <w:jc w:val="both"/>
      </w:pPr>
      <w:r>
        <w:t>Examination of International Business Blunders: The book examines a range of blunders and mistakes made by businesses in the context of international operations. It covers various aspects of international business, including market entry strategies, cultural considerations, legal and regulatory challenges, communication pitfalls, and strategic errors.</w:t>
      </w:r>
    </w:p>
    <w:p w14:paraId="09394F48" w14:textId="77777777" w:rsidR="002530E2" w:rsidRDefault="002530E2" w:rsidP="002530E2">
      <w:pPr>
        <w:numPr>
          <w:ilvl w:val="0"/>
          <w:numId w:val="107"/>
        </w:numPr>
        <w:spacing w:after="200" w:line="360" w:lineRule="auto"/>
        <w:jc w:val="both"/>
      </w:pPr>
      <w:r>
        <w:t>Analysis of Case Studies: Through the use of case studies, the book analyses real-life examples of blunders in international business. It explores the underlying factors that contributed to these failures, such as inadequate market research, poor cross-cultural understanding, inappropriate marketing strategies, and a lack of adaptability to local business environments.</w:t>
      </w:r>
    </w:p>
    <w:p w14:paraId="76A3386C" w14:textId="77777777" w:rsidR="002530E2" w:rsidRDefault="002530E2" w:rsidP="002530E2">
      <w:pPr>
        <w:numPr>
          <w:ilvl w:val="0"/>
          <w:numId w:val="107"/>
        </w:numPr>
        <w:spacing w:after="200" w:line="360" w:lineRule="auto"/>
        <w:jc w:val="both"/>
      </w:pPr>
      <w:r>
        <w:lastRenderedPageBreak/>
        <w:t>Lessons for International Success: The book offers valuable lessons and insights derived from the blunders discussed. It provides guidance on how businesses can navigate the complexities of international markets and avoid common pitfalls. It emphasises the importance of cultural sensitivity, market analysis, strategic planning, effective communication, and risk management in achieving success in international business endeavours.</w:t>
      </w:r>
    </w:p>
    <w:p w14:paraId="6EB87B12" w14:textId="77777777" w:rsidR="002530E2" w:rsidRDefault="002530E2" w:rsidP="002530E2">
      <w:pPr>
        <w:numPr>
          <w:ilvl w:val="0"/>
          <w:numId w:val="107"/>
        </w:numPr>
        <w:spacing w:after="200" w:line="360" w:lineRule="auto"/>
        <w:jc w:val="both"/>
      </w:pPr>
      <w:r>
        <w:t>Updates and Relevance: As a 4th edition, the book incorporates updated information and examples to reflect the contemporary global business landscape. It takes into account recent developments, emerging markets, and evolving trends, ensuring its relevance and applicability to current international business scenarios.</w:t>
      </w:r>
    </w:p>
    <w:p w14:paraId="36565AD9" w14:textId="77777777" w:rsidR="002530E2" w:rsidRDefault="002530E2">
      <w:r>
        <w:t>In conclusion, the content of this book serves as a valuable guide for businesses and professionals involved in international operations. The book sheds light on the common mistakes and blunders made by organisations when expanding globally, providing insights into the factors that contribute to these failures. By analysing case studies and offering lessons learned, the book offers practical advice and strategies to navigate the challenges of international business. It highlights the importance of cultural awareness, market analysis, strategic decision-making, and effective communication in achieving success in the global marketplace. Whether for students, practitioners, or business leaders, this book acts as a comprehensive resource, equipping readers with the knowledge to avoid blunders and make informed decisions in their international business ventures.</w:t>
      </w:r>
    </w:p>
    <w:p w14:paraId="29E813AB" w14:textId="77777777" w:rsidR="002530E2" w:rsidRDefault="002530E2">
      <w:pPr>
        <w:pStyle w:val="Heading2"/>
        <w:spacing w:before="0"/>
      </w:pPr>
      <w:bookmarkStart w:id="305" w:name="_bi5uu7yj5hhz" w:colFirst="0" w:colLast="0"/>
      <w:bookmarkEnd w:id="305"/>
      <w:r>
        <w:t>BOOK 8 (2007)</w:t>
      </w:r>
    </w:p>
    <w:p w14:paraId="474762FC" w14:textId="77777777" w:rsidR="002530E2" w:rsidRDefault="002530E2">
      <w:r>
        <w:t>The book titled “Marketing Blunders and How to Avoid Them: A Survival Guide for Business Owners" by John Jantsch published in 2007 is a comprehensive guide that equips business owners with the knowledge and strategies to navigate the marketing landscape successfully. Jantsch, a renowned marketing expert, provides valuable insights into common marketing mistakes and offers practical advice on how to avoid them.</w:t>
      </w:r>
    </w:p>
    <w:p w14:paraId="18AD2B8D" w14:textId="77777777" w:rsidR="002530E2" w:rsidRDefault="002530E2">
      <w:r>
        <w:t>Key Points:</w:t>
      </w:r>
    </w:p>
    <w:p w14:paraId="466C7712" w14:textId="77777777" w:rsidR="002530E2" w:rsidRDefault="002530E2" w:rsidP="002530E2">
      <w:pPr>
        <w:numPr>
          <w:ilvl w:val="0"/>
          <w:numId w:val="78"/>
        </w:numPr>
        <w:spacing w:after="200" w:line="360" w:lineRule="auto"/>
        <w:jc w:val="both"/>
      </w:pPr>
      <w:r>
        <w:t>Identification of Common Marketing Blunders: The book delves into the most common marketing blunders made by business owners. Jantsch highlights mistakes such as inadequate market research, poor targeting, ineffective messaging, inconsistent branding, and neglecting customer relationships. By identifying these blunders, readers gain a deeper understanding of the potential pitfalls to be mindful of in their marketing endeavours.</w:t>
      </w:r>
    </w:p>
    <w:p w14:paraId="4A20C5E1" w14:textId="77777777" w:rsidR="002530E2" w:rsidRDefault="002530E2" w:rsidP="002530E2">
      <w:pPr>
        <w:numPr>
          <w:ilvl w:val="0"/>
          <w:numId w:val="78"/>
        </w:numPr>
        <w:spacing w:after="200" w:line="360" w:lineRule="auto"/>
        <w:jc w:val="both"/>
      </w:pPr>
      <w:r>
        <w:t xml:space="preserve">Practical Strategies to Avoid Blunders: Jantsch offers practical strategies and techniques to help business owners avoid marketing blunders. He provides actionable advice on conducting thorough market research, defining target audiences, crafting compelling messaging, building a strong brand identity, and implementing effective marketing campaigns. These strategies aim </w:t>
      </w:r>
      <w:r>
        <w:lastRenderedPageBreak/>
        <w:t>to equip readers with the tools necessary to make informed decisions and mitigate the risk of blunders.</w:t>
      </w:r>
    </w:p>
    <w:p w14:paraId="6654287F" w14:textId="77777777" w:rsidR="002530E2" w:rsidRDefault="002530E2" w:rsidP="002530E2">
      <w:pPr>
        <w:numPr>
          <w:ilvl w:val="0"/>
          <w:numId w:val="78"/>
        </w:numPr>
        <w:spacing w:after="200" w:line="360" w:lineRule="auto"/>
        <w:jc w:val="both"/>
      </w:pPr>
      <w:r>
        <w:t>Case Studies and Real-Life Examples: The book includes case studies and real-life examples that illustrate the consequences of marketing blunders and the benefits of effective marketing practices. Jantsch examines both successful and failed marketing campaigns, highlighting key lessons to be learned from each. By analysing these case studies, readers can gain valuable insights and apply them to their own marketing strategies.</w:t>
      </w:r>
    </w:p>
    <w:p w14:paraId="45A26F38" w14:textId="77777777" w:rsidR="002530E2" w:rsidRDefault="002530E2" w:rsidP="002530E2">
      <w:pPr>
        <w:numPr>
          <w:ilvl w:val="0"/>
          <w:numId w:val="78"/>
        </w:numPr>
        <w:spacing w:after="200" w:line="360" w:lineRule="auto"/>
        <w:jc w:val="both"/>
      </w:pPr>
      <w:r>
        <w:t>Focus on Long-Term Success: Jantsch emphasises the importance of taking a long-term perspective in marketing. He guides readers on building a strong foundation for their marketing efforts, cultivating customer loyalty, and adapting to changing market dynamics. By adopting a strategic and customer-centric approach, business owners can enhance their chances of long-term success and avoid common blunders that hinder growth.</w:t>
      </w:r>
    </w:p>
    <w:p w14:paraId="0391A471" w14:textId="77777777" w:rsidR="002530E2" w:rsidRDefault="002530E2">
      <w:r>
        <w:t>In conclusion, this book offers a comprehensive and practical resource for navigating the marketing landscape. The book provides insights into common marketing blunders, equipping readers with the knowledge to identify and avoid them. Jantsch offers actionable strategies and techniques to help business owners make informed marketing decisions, emphasising the importance of market research, effective messaging, branding consistency, and customer relationship management.</w:t>
      </w:r>
    </w:p>
    <w:p w14:paraId="055E4883" w14:textId="77777777" w:rsidR="002530E2" w:rsidRDefault="002530E2">
      <w:r>
        <w:t>Through case studies and real-life examples, Jantsch highlights the consequences of marketing blunders and showcases the benefits of implementing successful marketing practises. By taking a long-term perspective and focusing on building strong foundations, business owners can enhance their chances of long-term success and growth.</w:t>
      </w:r>
    </w:p>
    <w:p w14:paraId="0D108BAE" w14:textId="77777777" w:rsidR="002530E2" w:rsidRDefault="002530E2">
      <w:r>
        <w:t>Overall, this book is a valuable survival guide for business owners, entrepreneurs, and marketers seeking to optimise their marketing strategies and avoid costly mistakes. With its practical insights and actionable advice, the book empowers readers to make informed marketing decisions and build successful, sustainable businesses in today's competitive marketplace.</w:t>
      </w:r>
    </w:p>
    <w:p w14:paraId="4ECB4DA1" w14:textId="77777777" w:rsidR="002530E2" w:rsidRDefault="002530E2">
      <w:pPr>
        <w:pStyle w:val="Heading2"/>
        <w:spacing w:before="0"/>
      </w:pPr>
      <w:bookmarkStart w:id="306" w:name="_x6q5yl7z8ul" w:colFirst="0" w:colLast="0"/>
      <w:bookmarkEnd w:id="306"/>
      <w:r>
        <w:t>BOOK 9 (2010)</w:t>
      </w:r>
    </w:p>
    <w:p w14:paraId="686DF4E6" w14:textId="77777777" w:rsidR="002530E2" w:rsidRDefault="002530E2">
      <w:r>
        <w:t>The book titled “Brand Blunders: Lessons from the World's Biggest Marketing Mistakes" by Adam Morgan, published in 2010, is a comprehensive examination of major marketing blunders committed by well-known brands. In this book, Morgan explores the reasons behind these blunders and extracts valuable lessons that can guide marketers and brand managers in avoiding similar mistakes.</w:t>
      </w:r>
    </w:p>
    <w:p w14:paraId="5D590C78" w14:textId="77777777" w:rsidR="002530E2" w:rsidRDefault="002530E2">
      <w:r>
        <w:t>Key Points:</w:t>
      </w:r>
    </w:p>
    <w:p w14:paraId="3C404D88" w14:textId="77777777" w:rsidR="002530E2" w:rsidRDefault="002530E2" w:rsidP="002530E2">
      <w:pPr>
        <w:numPr>
          <w:ilvl w:val="0"/>
          <w:numId w:val="123"/>
        </w:numPr>
        <w:spacing w:after="200" w:line="360" w:lineRule="auto"/>
        <w:jc w:val="both"/>
      </w:pPr>
      <w:r>
        <w:t xml:space="preserve">Analysis of Prominent Brand Failures: Morgan delves into the world of branding and examines high-profile cases of brand failure. He analyses the mistakes made by renowned companies </w:t>
      </w:r>
      <w:r>
        <w:lastRenderedPageBreak/>
        <w:t>and dissects the factors that contributed to their downfall, including misaligned brand positioning, ineffective marketing strategies, and poor decision-making.</w:t>
      </w:r>
    </w:p>
    <w:p w14:paraId="09EB3081" w14:textId="77777777" w:rsidR="002530E2" w:rsidRDefault="002530E2" w:rsidP="002530E2">
      <w:pPr>
        <w:numPr>
          <w:ilvl w:val="0"/>
          <w:numId w:val="123"/>
        </w:numPr>
        <w:spacing w:after="200" w:line="360" w:lineRule="auto"/>
        <w:jc w:val="both"/>
      </w:pPr>
      <w:r>
        <w:t>Identification of Common Pitfalls: The book identifies common pitfalls and challenges that brands face, providing insights into the factors that can lead to failure. Morgan highlights the importance of thorough market research, understanding consumer needs and preferences, and maintaining consistency in brand messaging and experience.</w:t>
      </w:r>
    </w:p>
    <w:p w14:paraId="1EB06D07" w14:textId="77777777" w:rsidR="002530E2" w:rsidRDefault="002530E2" w:rsidP="002530E2">
      <w:pPr>
        <w:numPr>
          <w:ilvl w:val="0"/>
          <w:numId w:val="123"/>
        </w:numPr>
        <w:spacing w:after="200" w:line="360" w:lineRule="auto"/>
        <w:jc w:val="both"/>
      </w:pPr>
      <w:r>
        <w:t>Lessons for Brand Managers: The author distils practical lessons from each brand blunder, offering actionable advice for brand managers and marketers. He emphasises the significance of adaptability, innovation, and responsiveness to changing market dynamics. The book also underscores the need for continuous learning and the ability to leverage failures as opportunities for growth and improvement.</w:t>
      </w:r>
    </w:p>
    <w:p w14:paraId="715366CE" w14:textId="77777777" w:rsidR="002530E2" w:rsidRDefault="002530E2" w:rsidP="002530E2">
      <w:pPr>
        <w:numPr>
          <w:ilvl w:val="0"/>
          <w:numId w:val="123"/>
        </w:numPr>
        <w:spacing w:after="200" w:line="360" w:lineRule="auto"/>
        <w:jc w:val="both"/>
      </w:pPr>
      <w:r>
        <w:t>Case Studies and Real-World Examples: The book includes numerous case studies and real-world examples of brand blunders, providing readers with tangible illustrations of the mistakes to avoid. Morgan examines the impact of these failures on brand reputation, market share, and financial performance, highlighting the importance of diligent brand management.</w:t>
      </w:r>
    </w:p>
    <w:p w14:paraId="279BCEB2" w14:textId="77777777" w:rsidR="002530E2" w:rsidRDefault="002530E2">
      <w:r>
        <w:t>In conclusion, the content of this book serves as a valuable resource for marketers, brand managers, and business professionals seeking to understand the dynamics of brand failures. By analysing prominent brand blunders and extracting valuable lessons, Morgan offers insights into the factors that can contribute to a brand's downfall. The book emphasises the importance of market research, consumer understanding, and consistent brand management. It encourages brand managers to learn from the mistakes of others, adapt to changing market dynamics, and seize opportunities for growth and improvement. With its practical advice and real-world examples, this book serves as a guide for navigating the complex landscape of brand management and avoiding common pitfalls. By studying the world's biggest marketing mistakes, readers can gain a deeper understanding of effective branding strategies and enhance their ability to build successful and resilient brands.</w:t>
      </w:r>
    </w:p>
    <w:p w14:paraId="1F553ED5" w14:textId="77777777" w:rsidR="002530E2" w:rsidRDefault="002530E2">
      <w:pPr>
        <w:pStyle w:val="Heading2"/>
        <w:spacing w:before="0"/>
      </w:pPr>
      <w:bookmarkStart w:id="307" w:name="_1m2acs9u06pu" w:colFirst="0" w:colLast="0"/>
      <w:bookmarkEnd w:id="307"/>
      <w:r>
        <w:t>BOOK 10 (2010)</w:t>
      </w:r>
    </w:p>
    <w:p w14:paraId="245845C0" w14:textId="77777777" w:rsidR="002530E2" w:rsidRDefault="002530E2">
      <w:r>
        <w:t>The book titled “The 100 Biggest Advertising Blunders of All Time” by Stuart Elliot published in 2010 is a captivating exploration of significant advertising mistakes that have occurred throughout history. Elliot, a renowned advertising expert and journalist, takes readers on a journey through various campaigns that missed the mark, offering valuable lessons and insights into the world of advertising.</w:t>
      </w:r>
    </w:p>
    <w:p w14:paraId="69789E74" w14:textId="77777777" w:rsidR="002530E2" w:rsidRDefault="002530E2">
      <w:r>
        <w:t>Key Points:</w:t>
      </w:r>
    </w:p>
    <w:p w14:paraId="5363C1D3" w14:textId="77777777" w:rsidR="002530E2" w:rsidRDefault="002530E2" w:rsidP="002530E2">
      <w:pPr>
        <w:numPr>
          <w:ilvl w:val="0"/>
          <w:numId w:val="82"/>
        </w:numPr>
        <w:spacing w:after="200" w:line="360" w:lineRule="auto"/>
        <w:jc w:val="both"/>
      </w:pPr>
      <w:r>
        <w:t>Examination of Historic Advertising Blunders: The book delves into 100 notable advertising blunders, ranging from high-profile campaigns to lesser-known incidents. Elliot provides an in-</w:t>
      </w:r>
      <w:r>
        <w:lastRenderedPageBreak/>
        <w:t>depth analysis of each blunder, exploring the reasons behind their failures and the impact they had on the brands involved. By examining these cases, readers gain a comprehensive understanding of the factors that contribute to advertising missteps.</w:t>
      </w:r>
    </w:p>
    <w:p w14:paraId="350F94E5" w14:textId="77777777" w:rsidR="002530E2" w:rsidRDefault="002530E2" w:rsidP="002530E2">
      <w:pPr>
        <w:numPr>
          <w:ilvl w:val="0"/>
          <w:numId w:val="82"/>
        </w:numPr>
        <w:spacing w:after="200" w:line="360" w:lineRule="auto"/>
        <w:jc w:val="both"/>
      </w:pPr>
      <w:r>
        <w:t>Common Themes and Mistakes: Throughout the book, Elliot identifies common themes and mistakes that often lead to advertising blunders. These include poor market research, misinterpretation of consumer sentiments, inappropriate messaging, cultural insensitivity, technical errors, and misguided creative concepts. By recognising these patterns, readers can enhance their understanding of potential pitfalls in advertising campaigns.</w:t>
      </w:r>
    </w:p>
    <w:p w14:paraId="31CFD57B" w14:textId="77777777" w:rsidR="002530E2" w:rsidRDefault="002530E2" w:rsidP="002530E2">
      <w:pPr>
        <w:numPr>
          <w:ilvl w:val="0"/>
          <w:numId w:val="82"/>
        </w:numPr>
        <w:spacing w:after="200" w:line="360" w:lineRule="auto"/>
        <w:jc w:val="both"/>
      </w:pPr>
      <w:r>
        <w:t>Lessons Learned and Best Practices: Elliot offers valuable lessons and best practices that can be derived from the advertising blunders discussed in the book. He highlights the importance of thorough market research, understanding the target audience, conducting comprehensive testing, being mindful of cultural nuances, and maintaining transparency and authenticity in messaging. By applying these lessons, advertisers can increase their chances of creating successful campaigns.</w:t>
      </w:r>
    </w:p>
    <w:p w14:paraId="0D3DA3AE" w14:textId="77777777" w:rsidR="002530E2" w:rsidRDefault="002530E2" w:rsidP="002530E2">
      <w:pPr>
        <w:numPr>
          <w:ilvl w:val="0"/>
          <w:numId w:val="82"/>
        </w:numPr>
        <w:spacing w:after="200" w:line="360" w:lineRule="auto"/>
        <w:jc w:val="both"/>
      </w:pPr>
      <w:r>
        <w:t>Impact and Aftermath: The book explores the impact of advertising blunders on brands and the subsequent actions taken to rectify the situation. Elliot examines the damage to brand reputation, the financial implications, and the strategies employed to recover from these blunders. This provides readers with valuable insights into crisis management and the importance of swift and effective responses.</w:t>
      </w:r>
    </w:p>
    <w:p w14:paraId="10BD1571" w14:textId="77777777" w:rsidR="002530E2" w:rsidRDefault="002530E2">
      <w:r>
        <w:t>In conclusion, this book serves as a captivating and educational exploration of advertising mistakes throughout history. Through the examination of 100 notable blunders, Elliot highlights common themes, identifies key mistakes, and offers valuable lessons and best practices for advertisers.</w:t>
      </w:r>
    </w:p>
    <w:p w14:paraId="40EC519D" w14:textId="77777777" w:rsidR="002530E2" w:rsidRDefault="002530E2">
      <w:r>
        <w:t>The book provides readers with a comprehensive understanding of the factors that contribute to advertising blunders, ranging from poor market research and misinterpretation of consumer sentiments to cultural insensitivity and technical errors. By studying these case studies, advertisers can gain valuable insights into avoiding similar missteps in their own campaigns.</w:t>
      </w:r>
    </w:p>
    <w:p w14:paraId="4503CB67" w14:textId="77777777" w:rsidR="002530E2" w:rsidRDefault="002530E2">
      <w:r>
        <w:t>Furthermore, Elliot emphasises the impact of advertising blunders on brand reputation and financial implications. By analysing the aftermath of these blunders and the strategies employed to recover, readers gain a deeper understanding of crisis management and the importance of swift and effective responses.</w:t>
      </w:r>
    </w:p>
    <w:p w14:paraId="3D9F0051" w14:textId="77777777" w:rsidR="002530E2" w:rsidRDefault="002530E2">
      <w:r>
        <w:t>Overall, this book serves as a valuable resource for advertisers, marketers, and industry professionals. With its compelling case studies, lessons learned, and best practices, the book offers practical insights to help advertisers navigate the complexities of the advertising landscape and avoid costly blunders.</w:t>
      </w:r>
    </w:p>
    <w:p w14:paraId="17DBEB5C" w14:textId="77777777" w:rsidR="002530E2" w:rsidRDefault="002530E2">
      <w:pPr>
        <w:pStyle w:val="Heading2"/>
        <w:spacing w:before="0"/>
      </w:pPr>
      <w:bookmarkStart w:id="308" w:name="_f0vo14e4cl9c" w:colFirst="0" w:colLast="0"/>
      <w:bookmarkEnd w:id="308"/>
      <w:r>
        <w:lastRenderedPageBreak/>
        <w:t>BOOK 11 (2012)</w:t>
      </w:r>
    </w:p>
    <w:p w14:paraId="6AE0EA48" w14:textId="77777777" w:rsidR="002530E2" w:rsidRDefault="002530E2">
      <w:r>
        <w:t>The book titled “The Do-It-Yourself Guide to Marketing Blunders: How to Avoid Making Them and What to Do If You Do” by David Meerman Scott published in 2012 is a comprehensive guide that empowers individuals and businesses to navigate the world of marketing effectively. Scott, a renowned marketing strategist, shares valuable insights and practical advice on how to avoid common marketing blunders and recover from them should they occur.</w:t>
      </w:r>
    </w:p>
    <w:p w14:paraId="5188BF65" w14:textId="77777777" w:rsidR="002530E2" w:rsidRDefault="002530E2">
      <w:r>
        <w:t>Key Points:</w:t>
      </w:r>
    </w:p>
    <w:p w14:paraId="06236D9F" w14:textId="77777777" w:rsidR="002530E2" w:rsidRDefault="002530E2" w:rsidP="002530E2">
      <w:pPr>
        <w:numPr>
          <w:ilvl w:val="0"/>
          <w:numId w:val="126"/>
        </w:numPr>
        <w:spacing w:after="200" w:line="360" w:lineRule="auto"/>
        <w:jc w:val="both"/>
      </w:pPr>
      <w:r>
        <w:t>Understanding Common Marketing Blunders: The book begins by exploring the most common marketing blunders made by individuals and businesses. Scott highlights mistakes such as poor targeting, ineffective messaging, a lack of market research, ignoring customer feedback, and neglecting to adapt to changing consumer behaviour. By understanding these blunders, readers gain a deeper awareness of potential pitfalls in their marketing efforts.</w:t>
      </w:r>
    </w:p>
    <w:p w14:paraId="18311DC5" w14:textId="77777777" w:rsidR="002530E2" w:rsidRDefault="002530E2" w:rsidP="002530E2">
      <w:pPr>
        <w:numPr>
          <w:ilvl w:val="0"/>
          <w:numId w:val="126"/>
        </w:numPr>
        <w:spacing w:after="200" w:line="360" w:lineRule="auto"/>
        <w:jc w:val="both"/>
      </w:pPr>
      <w:r>
        <w:t>Strategies for Avoiding Blunders: Scott provides practical strategies and tactics to help readers avoid marketing blunders. He emphasises the importance of conducting market research, understanding target audiences, crafting compelling messaging, utilising data-driven decision-making, and staying informed about industry trends. By implementing these strategies, readers can minimise the risk of making critical marketing mistakes.</w:t>
      </w:r>
    </w:p>
    <w:p w14:paraId="2F4FBA1A" w14:textId="77777777" w:rsidR="002530E2" w:rsidRDefault="002530E2" w:rsidP="002530E2">
      <w:pPr>
        <w:numPr>
          <w:ilvl w:val="0"/>
          <w:numId w:val="126"/>
        </w:numPr>
        <w:spacing w:after="200" w:line="360" w:lineRule="auto"/>
        <w:jc w:val="both"/>
      </w:pPr>
      <w:r>
        <w:t>Damage Control and Recovery: In the event that a marketing blunder occurs, Scott guides readers on how to effectively respond and recover. He offers insights into crisis management, reputation repair, customer communication, and rebuilding trust. By having a plan in place and taking proactive steps, individuals and businesses can mitigate the negative impact of a blunder and regain customer confidence.</w:t>
      </w:r>
    </w:p>
    <w:p w14:paraId="20A33F61" w14:textId="77777777" w:rsidR="002530E2" w:rsidRDefault="002530E2" w:rsidP="002530E2">
      <w:pPr>
        <w:numPr>
          <w:ilvl w:val="0"/>
          <w:numId w:val="126"/>
        </w:numPr>
        <w:spacing w:after="200" w:line="360" w:lineRule="auto"/>
        <w:jc w:val="both"/>
      </w:pPr>
      <w:r>
        <w:t>Case Studies and Real-Life Examples: Throughout the book, Scott presents case studies and real-life examples of marketing blunders and their consequences. By examining these scenarios, readers can gain valuable insights and learn from the mistakes of others. Scott analyses both successful recovery stories and cautionary tales, providing practical lessons that can be applied to their own marketing strategies.</w:t>
      </w:r>
    </w:p>
    <w:p w14:paraId="31C32E1A" w14:textId="77777777" w:rsidR="002530E2" w:rsidRDefault="002530E2">
      <w:r>
        <w:t>In conclusion, this book is an invaluable resource for individuals and businesses seeking to navigate the marketing landscape successfully. The book offers a comprehensive understanding of common marketing blunders and provides practical strategies to avoid them. Scott emphasises the importance of market research, targeting, messaging, data-driven decision-making, and staying informed about industry trends.</w:t>
      </w:r>
    </w:p>
    <w:p w14:paraId="27CC6853" w14:textId="77777777" w:rsidR="002530E2" w:rsidRDefault="002530E2">
      <w:r>
        <w:lastRenderedPageBreak/>
        <w:t>In addition to prevention, Scott addresses the crucial aspects of damage control and recovery. He guides readers on how to respond effectively to marketing blunders, manage crises, communicate with customers, and rebuild trust. By learning from case studies and real-life examples, individuals and businesses can gain practical insights to avoid blunders and recover from them should they occur.</w:t>
      </w:r>
    </w:p>
    <w:p w14:paraId="67CAF990" w14:textId="77777777" w:rsidR="002530E2" w:rsidRDefault="002530E2">
      <w:r>
        <w:t>Overall, this book equips readers with the knowledge and tools to make informed marketing decisions and avoid costly mistakes. With its practical advice, actionable strategies, and emphasis on recovery, the book empowers individuals and businesses to navigate the marketing landscape with confidence and achieve long-term success.</w:t>
      </w:r>
    </w:p>
    <w:p w14:paraId="70D4F91A" w14:textId="77777777" w:rsidR="002530E2" w:rsidRDefault="002530E2">
      <w:pPr>
        <w:pStyle w:val="Heading2"/>
        <w:spacing w:before="0"/>
      </w:pPr>
      <w:bookmarkStart w:id="309" w:name="_yql6y2ex2zco" w:colFirst="0" w:colLast="0"/>
      <w:bookmarkEnd w:id="309"/>
      <w:r>
        <w:t>BOOK 12 (2014)</w:t>
      </w:r>
    </w:p>
    <w:p w14:paraId="35655AF3" w14:textId="77777777" w:rsidR="002530E2" w:rsidRDefault="002530E2">
      <w:r>
        <w:t>The book titled “Great Brand Blunders: The Worst Marketing and Social Media Meltdowns of All Time and How to Avoid Your Own” by Robert Grey is a comprehensive book that explores notable brand blunders in marketing and social media. Published in 2014, this book offers valuable insights into the mistakes made by brands, the repercussions they faced, and guidance on how to avoid similar missteps.</w:t>
      </w:r>
    </w:p>
    <w:p w14:paraId="0C5EE38A" w14:textId="77777777" w:rsidR="002530E2" w:rsidRDefault="002530E2">
      <w:r>
        <w:t>Key Points:</w:t>
      </w:r>
    </w:p>
    <w:p w14:paraId="2F4BCEA5" w14:textId="77777777" w:rsidR="002530E2" w:rsidRDefault="002530E2" w:rsidP="002530E2">
      <w:pPr>
        <w:numPr>
          <w:ilvl w:val="0"/>
          <w:numId w:val="124"/>
        </w:numPr>
        <w:spacing w:after="200" w:line="360" w:lineRule="auto"/>
        <w:jc w:val="both"/>
      </w:pPr>
      <w:r>
        <w:t>Analysis of Brand Blunders: The book delves into various brand blunders that have occurred over time, examining their causes, impact, and the lessons they provide. It covers a wide range of blunders, including marketing campaigns that backfired, social media mishaps, product failures, and communication breakdowns.</w:t>
      </w:r>
    </w:p>
    <w:p w14:paraId="0A435B8C" w14:textId="77777777" w:rsidR="002530E2" w:rsidRDefault="002530E2" w:rsidP="002530E2">
      <w:pPr>
        <w:numPr>
          <w:ilvl w:val="0"/>
          <w:numId w:val="124"/>
        </w:numPr>
        <w:spacing w:after="200" w:line="360" w:lineRule="auto"/>
        <w:jc w:val="both"/>
      </w:pPr>
      <w:r>
        <w:t>Lessons Learned: Through the examination of brand blunders, the book highlights important lessons for marketers and brand managers. It emphasises the importance of conducting thorough market research, understanding target audiences, crafting clear and appropriate messaging, and anticipating potential risks and consequences. The analysis of these blunders provides actionable insights to help brands avoid similar pitfalls.</w:t>
      </w:r>
    </w:p>
    <w:p w14:paraId="551BC7E6" w14:textId="77777777" w:rsidR="002530E2" w:rsidRDefault="002530E2" w:rsidP="002530E2">
      <w:pPr>
        <w:numPr>
          <w:ilvl w:val="0"/>
          <w:numId w:val="124"/>
        </w:numPr>
        <w:spacing w:after="200" w:line="360" w:lineRule="auto"/>
        <w:jc w:val="both"/>
      </w:pPr>
      <w:r>
        <w:t>Case Studies: The book presents numerous case studies of brand blunders, offering detailed accounts of the incidents and their aftermath. By analysing these real-life examples, readers gain a deeper understanding of the factors that contributed to the blunders, such as poor decision-making, a lack of audience insight, insensitivity, or inadequate crisis management.</w:t>
      </w:r>
    </w:p>
    <w:p w14:paraId="25D0ABAE" w14:textId="77777777" w:rsidR="002530E2" w:rsidRDefault="002530E2" w:rsidP="002530E2">
      <w:pPr>
        <w:numPr>
          <w:ilvl w:val="0"/>
          <w:numId w:val="124"/>
        </w:numPr>
        <w:spacing w:after="200" w:line="360" w:lineRule="auto"/>
        <w:jc w:val="both"/>
      </w:pPr>
      <w:r>
        <w:t xml:space="preserve">Practical Advice: In addition to dissecting brand blunders, the book provides practical advice and recommendations on how to prevent such mishaps. It offers strategies for effective brand management, crisis communication, social media management, and reputation repair. By </w:t>
      </w:r>
      <w:r>
        <w:lastRenderedPageBreak/>
        <w:t>following these guidelines, brands can mitigate risks and protect their reputation in an increasingly interconnected and scrutinising world.</w:t>
      </w:r>
    </w:p>
    <w:p w14:paraId="515705FB" w14:textId="77777777" w:rsidR="002530E2" w:rsidRDefault="002530E2">
      <w:r>
        <w:t>In conclusion, the content of this book serves as a valuable resource for marketers, brand managers, and business professionals seeking to learn from past mistakes and enhance their brand strategies. The book's analysis of notable brand blunders provides valuable insights into the consequences of poor decision-making, inappropriate messaging, and inadequate crisis management. By examining these blunders, readers gain actionable lessons and guidance on how to avoid similar pitfalls and protect their brand's reputation. This book serves as a reminder of the importance of careful planning, thorough research, and strategic communication to navigate the complexities of the modern business landscape.</w:t>
      </w:r>
    </w:p>
    <w:p w14:paraId="128D4ADF" w14:textId="77777777" w:rsidR="002530E2" w:rsidRDefault="002530E2">
      <w:pPr>
        <w:pStyle w:val="Heading2"/>
        <w:spacing w:before="0"/>
      </w:pPr>
      <w:bookmarkStart w:id="310" w:name="_oh4x5ttsomg6" w:colFirst="0" w:colLast="0"/>
      <w:bookmarkEnd w:id="310"/>
      <w:r>
        <w:t>BOOK 13 (2019)</w:t>
      </w:r>
    </w:p>
    <w:p w14:paraId="517E1AF0" w14:textId="77777777" w:rsidR="002530E2" w:rsidRDefault="002530E2">
      <w:r>
        <w:t>The book titled “Cross-Cultural Mistakes by Renowned Brands: Evaluating the Success and Failures of Brands in Host Nations” by Dr. Mohan Dass and Dr. Sree (Sunny) Vinnakota, published in 2019, is a comprehensive exploration of the cross-cultural blunders committed by well-known brands when expanding into different countries. In this book, the authors analyse the successes and failures of brands in host nations and provide valuable insights into the challenges of navigating cultural differences.</w:t>
      </w:r>
    </w:p>
    <w:p w14:paraId="6DDC3F6D" w14:textId="77777777" w:rsidR="002530E2" w:rsidRDefault="002530E2">
      <w:r>
        <w:t>Key Points:</w:t>
      </w:r>
    </w:p>
    <w:p w14:paraId="357A3B6C" w14:textId="77777777" w:rsidR="002530E2" w:rsidRDefault="002530E2" w:rsidP="002530E2">
      <w:pPr>
        <w:numPr>
          <w:ilvl w:val="0"/>
          <w:numId w:val="109"/>
        </w:numPr>
        <w:spacing w:after="200" w:line="360" w:lineRule="auto"/>
        <w:jc w:val="both"/>
      </w:pPr>
      <w:r>
        <w:t>Examination of Cross-Cultural Mistakes: The book delves into a range of cross-cultural mistakes made by renowned brands during their expansion into foreign markets. Dass and Vinnakota analyse instances where brands failed to understand and adapt to the cultural nuances, customs, values, and preferences of their host nations, leading to negative consequences for their brand reputation and performance.</w:t>
      </w:r>
    </w:p>
    <w:p w14:paraId="2D467DC5" w14:textId="77777777" w:rsidR="002530E2" w:rsidRDefault="002530E2" w:rsidP="002530E2">
      <w:pPr>
        <w:numPr>
          <w:ilvl w:val="0"/>
          <w:numId w:val="109"/>
        </w:numPr>
        <w:spacing w:after="200" w:line="360" w:lineRule="auto"/>
        <w:jc w:val="both"/>
      </w:pPr>
      <w:r>
        <w:t>Cultural Factors Influencing Brand Success: The authors explore the cultural factors that play a significant role in brand success in host nations. They examine how cultural dimensions, communication styles, consumer behaviour patterns, and social norms impact the acceptance and adoption of brands. The book highlights the importance of cultural intelligence and adaptation in building successful international brands.</w:t>
      </w:r>
    </w:p>
    <w:p w14:paraId="0453B8C0" w14:textId="77777777" w:rsidR="002530E2" w:rsidRDefault="002530E2" w:rsidP="002530E2">
      <w:pPr>
        <w:numPr>
          <w:ilvl w:val="0"/>
          <w:numId w:val="109"/>
        </w:numPr>
        <w:spacing w:after="200" w:line="360" w:lineRule="auto"/>
        <w:jc w:val="both"/>
      </w:pPr>
      <w:r>
        <w:t>Case Studies and Lessons Learned: The book presents a series of case studies featuring notable brand blunders, providing readers with real-world examples and insights into the mistakes made by these brands. Dass and Vinnakota extract lessons from each case study, offering practical advice and strategies for brands to avoid cross-cultural blunders and foster successful international expansion.</w:t>
      </w:r>
    </w:p>
    <w:p w14:paraId="1AE34A7C" w14:textId="77777777" w:rsidR="002530E2" w:rsidRDefault="002530E2" w:rsidP="002530E2">
      <w:pPr>
        <w:numPr>
          <w:ilvl w:val="0"/>
          <w:numId w:val="109"/>
        </w:numPr>
        <w:spacing w:after="200" w:line="360" w:lineRule="auto"/>
        <w:jc w:val="both"/>
      </w:pPr>
      <w:r>
        <w:lastRenderedPageBreak/>
        <w:t>Implications for International Business: The authors discuss the broader implications of cross-cultural mistakes for international business operations. They explore how brand blunders can have far-reaching consequences, affecting not only the specific brand but also the overall perception of foreign companies in the host nation's market. The book emphasises the importance of cultural sensitivity, market research, and effective localization strategies for international business success.</w:t>
      </w:r>
    </w:p>
    <w:p w14:paraId="1CAD3B62" w14:textId="77777777" w:rsidR="002530E2" w:rsidRDefault="002530E2">
      <w:r>
        <w:t>In conclusion, this book is a comprehensive examination of cross-cultural blunders made by renowned brands in foreign markets. Through case studies and analysis, the authors highlight the significance of understanding and adapting to the cultural nuances of host nations. The book emphasises the role of cultural factors in brand success and provides valuable insights into the challenges of navigating cultural differences. It offers practical lessons and strategies for brands to avoid cross-cultural mistakes and foster successful international expansion. With its focus on cultural intelligence and localization, this book is a valuable resource for marketers, brand managers, and international business professionals seeking to establish and maintain a strong presence in foreign markets. By learning from the successes and failures of renowned brands, readers gain a deeper understanding of the importance of cultural sensitivity and effective cross-cultural communication in achieving international business success.</w:t>
      </w:r>
    </w:p>
    <w:p w14:paraId="3CCBEB41" w14:textId="77777777" w:rsidR="002530E2" w:rsidRDefault="002530E2">
      <w:pPr>
        <w:pStyle w:val="Heading2"/>
        <w:spacing w:before="0"/>
      </w:pPr>
      <w:bookmarkStart w:id="311" w:name="_i8dlp9owci6e" w:colFirst="0" w:colLast="0"/>
      <w:bookmarkEnd w:id="311"/>
      <w:r>
        <w:t xml:space="preserve">BOOK 14 </w:t>
      </w:r>
    </w:p>
    <w:p w14:paraId="760CEF7B" w14:textId="77777777" w:rsidR="002530E2" w:rsidRDefault="002530E2">
      <w:r>
        <w:t>The book titled “The Advertising Hall of Shame: The 50 Worst Advertising Campaigns of All Time” by James R. Heckler and Martin R. Houston is a comprehensive examination of some of the most disastrous and ill-conceived advertising campaigns in history. Through their expert analysis, Heckler and Houston provide valuable insights into the mistakes made by these campaigns and offer lessons that can be learned from their failures.</w:t>
      </w:r>
    </w:p>
    <w:p w14:paraId="694C3DD6" w14:textId="77777777" w:rsidR="002530E2" w:rsidRDefault="002530E2">
      <w:r>
        <w:t>Key Points:</w:t>
      </w:r>
    </w:p>
    <w:p w14:paraId="2CED3A32" w14:textId="77777777" w:rsidR="002530E2" w:rsidRDefault="002530E2" w:rsidP="002530E2">
      <w:pPr>
        <w:numPr>
          <w:ilvl w:val="0"/>
          <w:numId w:val="71"/>
        </w:numPr>
        <w:spacing w:after="200" w:line="360" w:lineRule="auto"/>
        <w:jc w:val="both"/>
      </w:pPr>
      <w:r>
        <w:t>In-depth Examination of Failed Advertising Campaigns: The book dives deep into 50 infamous advertising campaigns that were widely regarded as failures. Heckler and Houston meticulously dissect each campaign, analysing the reasons behind their shortcomings and exploring the detrimental effects they had on the brands involved. By studying these cases, readers gain a thorough understanding of the mistakes that led to their downfall.</w:t>
      </w:r>
    </w:p>
    <w:p w14:paraId="23DE68E2" w14:textId="77777777" w:rsidR="002530E2" w:rsidRDefault="002530E2" w:rsidP="002530E2">
      <w:pPr>
        <w:numPr>
          <w:ilvl w:val="0"/>
          <w:numId w:val="71"/>
        </w:numPr>
        <w:spacing w:after="200" w:line="360" w:lineRule="auto"/>
        <w:jc w:val="both"/>
      </w:pPr>
      <w:r>
        <w:t>Analysis of Common Advertising Pitfalls: Throughout the book, the authors identify recurring themes and mistakes that contributed to the failure of the campaigns. These include poor market research, a lack of understanding of the target audience, ineffective messaging, offensive or controversial content, and misalignment with brand values. By recognising these pitfalls, readers can better navigate their own advertising endeavours and avoid similar missteps.</w:t>
      </w:r>
    </w:p>
    <w:p w14:paraId="266A5BFA" w14:textId="77777777" w:rsidR="002530E2" w:rsidRDefault="002530E2" w:rsidP="002530E2">
      <w:pPr>
        <w:numPr>
          <w:ilvl w:val="0"/>
          <w:numId w:val="71"/>
        </w:numPr>
        <w:spacing w:after="200" w:line="360" w:lineRule="auto"/>
        <w:jc w:val="both"/>
      </w:pPr>
      <w:r>
        <w:lastRenderedPageBreak/>
        <w:t>Lessons Learned and Best Practices: Heckler and Houston extract valuable lessons and best practices from the failed campaigns discussed in the book. They emphasise the importance of conducting extensive market research, understanding consumer preferences, maintaining consistency in messaging, being culturally sensitive, and staying true to brand identity. By applying these lessons, advertisers can enhance their chances of creating successful and impactful campaigns.</w:t>
      </w:r>
    </w:p>
    <w:p w14:paraId="5957504C" w14:textId="77777777" w:rsidR="002530E2" w:rsidRDefault="002530E2" w:rsidP="002530E2">
      <w:pPr>
        <w:numPr>
          <w:ilvl w:val="0"/>
          <w:numId w:val="71"/>
        </w:numPr>
        <w:spacing w:after="200" w:line="360" w:lineRule="auto"/>
        <w:jc w:val="both"/>
      </w:pPr>
      <w:r>
        <w:t>Impact and Repercussions: The book explores the significant consequences of failed advertising campaigns, including damage to brand reputation, financial losses, and the need for crisis management. Heckler and Houston analyse how brands attempted to recover from these blunders and the strategies they employed to regain consumer trust. This provides readers with insights into the long-lasting effects of advertising failures and the importance of effective damage control.</w:t>
      </w:r>
    </w:p>
    <w:p w14:paraId="05B06295" w14:textId="77777777" w:rsidR="002530E2" w:rsidRDefault="002530E2">
      <w:r>
        <w:t>In conclusion, this book serves as a comprehensive and instructive resource for advertisers, marketers, and industry professionals. Through their detailed examination of failed campaigns, the authors shed light on the mistakes that led to their downfall and offer valuable lessons for creating successful advertising initiatives.</w:t>
      </w:r>
    </w:p>
    <w:p w14:paraId="5AC2A1FA" w14:textId="77777777" w:rsidR="002530E2" w:rsidRDefault="002530E2">
      <w:r>
        <w:t>The book provides a deep analysis of 50 notorious advertising failures, highlighting common pitfalls such as inadequate market research, poor understanding of the target audience, ineffective messaging, and misalignment with brand values. By studying these case studies, readers can gain valuable insights into avoiding similar mistakes in their own campaigns.</w:t>
      </w:r>
    </w:p>
    <w:p w14:paraId="77CCE855" w14:textId="77777777" w:rsidR="002530E2" w:rsidRDefault="002530E2">
      <w:r>
        <w:t>Furthermore, Heckler and Houston emphasise the impact of failed advertising campaigns on brand reputation and financial implications. By analysing the aftermath of these blunders and the strategies employed for recovery, readers gain a deeper understanding of the importance of crisis management and the need for swift and effective responses.</w:t>
      </w:r>
    </w:p>
    <w:p w14:paraId="0AF9F008" w14:textId="77777777" w:rsidR="002530E2" w:rsidRDefault="002530E2">
      <w:r>
        <w:t>Overall, this book serves as a cautionary guide, helping advertisers navigate the complexities of the advertising world and avoid disastrous campaigns. By learning from the failures of others and applying the lessons and best practices presented in the book, advertisers can increase their chances of creating impactful and successful advertising campaigns.</w:t>
      </w:r>
    </w:p>
    <w:p w14:paraId="317A0CCB" w14:textId="77777777" w:rsidR="002530E2" w:rsidRDefault="002530E2">
      <w:pPr>
        <w:pStyle w:val="Heading2"/>
        <w:spacing w:before="0"/>
      </w:pPr>
      <w:bookmarkStart w:id="312" w:name="_jplpqu2lzsub" w:colFirst="0" w:colLast="0"/>
      <w:bookmarkEnd w:id="312"/>
      <w:r>
        <w:t>MISUNDERSTANDINGS BETWEEN MNCs AND MUSLIMS</w:t>
      </w:r>
    </w:p>
    <w:p w14:paraId="32498FD4" w14:textId="77777777" w:rsidR="002530E2" w:rsidRDefault="002530E2">
      <w:r>
        <w:t>In this section, we explore the topic of cross-cultural communication and misunderstandings between multinational corporations and Muslims, focusing on its relevance to Muslims' negative emotional reactions and behaviours in response to controversial cross-cultural blunders made by multinational corporations in host countries.</w:t>
      </w:r>
    </w:p>
    <w:p w14:paraId="4B1F87D0" w14:textId="77777777" w:rsidR="002530E2" w:rsidRDefault="002530E2">
      <w:r>
        <w:t>The literature highlights the following key points regarding cross-cultural communication and misunderstandings:</w:t>
      </w:r>
    </w:p>
    <w:p w14:paraId="13AA2190" w14:textId="77777777" w:rsidR="002530E2" w:rsidRDefault="002530E2" w:rsidP="002530E2">
      <w:pPr>
        <w:numPr>
          <w:ilvl w:val="0"/>
          <w:numId w:val="95"/>
        </w:numPr>
        <w:spacing w:after="200" w:line="360" w:lineRule="auto"/>
        <w:jc w:val="both"/>
      </w:pPr>
      <w:r>
        <w:lastRenderedPageBreak/>
        <w:t>Cultural Differences: The literature emphasises the importance of recognising and understanding cultural differences between multinational corporations and Muslims. Cultural norms, values, and communication styles vary across different cultures, which can lead to misunderstandings and misinterpretations. Multinational corporations need to be aware of these differences and develop cultural sensitivity to effectively communicate with Muslims and avoid cross-cultural blunders.</w:t>
      </w:r>
    </w:p>
    <w:p w14:paraId="00D6537A" w14:textId="77777777" w:rsidR="002530E2" w:rsidRDefault="002530E2" w:rsidP="002530E2">
      <w:pPr>
        <w:numPr>
          <w:ilvl w:val="0"/>
          <w:numId w:val="95"/>
        </w:numPr>
        <w:spacing w:after="200" w:line="360" w:lineRule="auto"/>
        <w:jc w:val="both"/>
      </w:pPr>
      <w:r>
        <w:t>Language Barriers: Language plays a significant role in cross-cultural communication. The literature suggests that language barriers can hinder effective communication and contribute to misunderstandings between multinational corporations and Muslims. It is essential for corporations to invest in language support and translation services to ensure accurate and meaningful communication with the Muslim community.</w:t>
      </w:r>
    </w:p>
    <w:p w14:paraId="394D31B5" w14:textId="77777777" w:rsidR="002530E2" w:rsidRDefault="002530E2" w:rsidP="002530E2">
      <w:pPr>
        <w:numPr>
          <w:ilvl w:val="0"/>
          <w:numId w:val="95"/>
        </w:numPr>
        <w:spacing w:after="200" w:line="360" w:lineRule="auto"/>
        <w:jc w:val="both"/>
      </w:pPr>
      <w:r>
        <w:t>Stereotyping and Preconceived Notions: Stereotypes and preconceived notions about Muslims can impact cross-cultural communication. The literature highlights the need to challenge stereotypes and promote an open-minded approach when engaging with Muslims. Multinational corporations should avoid making assumptions based on stereotypes and instead foster a climate of mutual respect, understanding, and empathy.</w:t>
      </w:r>
    </w:p>
    <w:p w14:paraId="6178C40B" w14:textId="77777777" w:rsidR="002530E2" w:rsidRDefault="002530E2" w:rsidP="002530E2">
      <w:pPr>
        <w:numPr>
          <w:ilvl w:val="0"/>
          <w:numId w:val="95"/>
        </w:numPr>
        <w:spacing w:after="200" w:line="360" w:lineRule="auto"/>
        <w:jc w:val="both"/>
      </w:pPr>
      <w:r>
        <w:t>Nonverbal Communication: Nonverbal communication, including body language, gestures, and facial expressions, can vary across cultures and lead to misunderstandings. The literature emphasises the importance of being aware of and respectful of cultural differences in nonverbal communication. Multinational corporations should invest in cultural training programmes to develop cross-cultural communication skills and enhance their understanding of nonverbal cues specific to the Muslim culture.</w:t>
      </w:r>
    </w:p>
    <w:p w14:paraId="7105D6C0" w14:textId="77777777" w:rsidR="002530E2" w:rsidRDefault="002530E2" w:rsidP="002530E2">
      <w:pPr>
        <w:numPr>
          <w:ilvl w:val="0"/>
          <w:numId w:val="95"/>
        </w:numPr>
        <w:spacing w:after="200" w:line="360" w:lineRule="auto"/>
        <w:jc w:val="both"/>
      </w:pPr>
      <w:r>
        <w:t>Trust and Relationship Building: Building trust and establishing strong relationships are crucial for effective cross-cultural communication. The literature suggests that trust is developed through consistent and transparent communication, active listening, and demonstrating respect for the values and beliefs of Muslims. Multinational corporations should prioritise relationship-building efforts with the Muslim community to foster a positive and mutually beneficial business environment.</w:t>
      </w:r>
    </w:p>
    <w:p w14:paraId="080C6E27" w14:textId="77777777" w:rsidR="002530E2" w:rsidRDefault="002530E2">
      <w:r>
        <w:t xml:space="preserve">Understanding the dynamics of cross-cultural communication and the potential for misunderstandings between multinational corporations and Muslims is essential for mitigating negative emotional reactions and behaviours. By recognising cultural differences, addressing language barriers, challenging stereotypes, paying attention to nonverbal cues, and focusing on trust </w:t>
      </w:r>
      <w:r>
        <w:lastRenderedPageBreak/>
        <w:t>and relationship building, corporations can improve communication with Muslims and minimise the likelihood of cross-cultural blunders that impact their business operations.</w:t>
      </w:r>
    </w:p>
    <w:p w14:paraId="5FEA7EF2" w14:textId="77777777" w:rsidR="002530E2" w:rsidRDefault="002530E2">
      <w:pPr>
        <w:pStyle w:val="Heading2"/>
        <w:spacing w:before="0"/>
      </w:pPr>
      <w:bookmarkStart w:id="313" w:name="_p54zje809obs" w:colFirst="0" w:colLast="0"/>
      <w:bookmarkEnd w:id="313"/>
      <w:r>
        <w:t>BEHAVIOURS OF MUSLIM IN RESPONSE TO BLUNDERS</w:t>
      </w:r>
    </w:p>
    <w:p w14:paraId="4214ED45" w14:textId="77777777" w:rsidR="002530E2" w:rsidRDefault="002530E2">
      <w:r>
        <w:t>In this section, we delve into the behaviours of Muslims in response to cross-cultural blunders made by multinational corporations in host countries, focusing on their negative emotional reactions and behaviours. The literature highlights several key points regarding the behaviours exhibited by Muslims in response to these blunders:</w:t>
      </w:r>
    </w:p>
    <w:p w14:paraId="37DF445D" w14:textId="77777777" w:rsidR="002530E2" w:rsidRDefault="002530E2" w:rsidP="002530E2">
      <w:pPr>
        <w:numPr>
          <w:ilvl w:val="0"/>
          <w:numId w:val="100"/>
        </w:numPr>
        <w:spacing w:after="200" w:line="360" w:lineRule="auto"/>
        <w:jc w:val="both"/>
      </w:pPr>
      <w:r>
        <w:t>Boycotts and Protests: The literature reveals that one common response of Muslims to cross-cultural blunders is engaging in boycotts and protests against the multinational corporations involved. Muslims may organise social media campaigns, public demonstrations, and boycotts of products or services to express their discontent and draw attention to the offensive actions or statements made by corporations.</w:t>
      </w:r>
    </w:p>
    <w:p w14:paraId="0B4E6487" w14:textId="77777777" w:rsidR="002530E2" w:rsidRDefault="002530E2" w:rsidP="002530E2">
      <w:pPr>
        <w:numPr>
          <w:ilvl w:val="0"/>
          <w:numId w:val="100"/>
        </w:numPr>
        <w:spacing w:after="200" w:line="360" w:lineRule="auto"/>
        <w:jc w:val="both"/>
      </w:pPr>
      <w:r>
        <w:t>Social Media Activism: Social media platforms play a significant role in shaping Muslims' responses to cross-cultural blunders. The literature highlights that Muslims often utilise social media to voice their opinions, share information, and mobilise support for their cause. Through hashtags, online campaigns, and viral content, Muslims can generate widespread awareness and exert pressure on multinational corporations to address the blunders.</w:t>
      </w:r>
    </w:p>
    <w:p w14:paraId="5973401F" w14:textId="77777777" w:rsidR="002530E2" w:rsidRDefault="002530E2" w:rsidP="002530E2">
      <w:pPr>
        <w:numPr>
          <w:ilvl w:val="0"/>
          <w:numId w:val="100"/>
        </w:numPr>
        <w:spacing w:after="200" w:line="360" w:lineRule="auto"/>
        <w:jc w:val="both"/>
      </w:pPr>
      <w:r>
        <w:t>Consumer Behaviour: The literature suggests that Muslims' negative emotional reactions to cross-cultural blunders can influence their consumer behaviour. Muslims may choose to boycott the products or services of the offending multinational corporation and instead opt for alternatives that align with their values and cultural sensitivities. This shift in consumer behaviour can have a direct impact on the business operations and reputation of a corporation.</w:t>
      </w:r>
    </w:p>
    <w:p w14:paraId="356FBE21" w14:textId="77777777" w:rsidR="002530E2" w:rsidRDefault="002530E2" w:rsidP="002530E2">
      <w:pPr>
        <w:numPr>
          <w:ilvl w:val="0"/>
          <w:numId w:val="100"/>
        </w:numPr>
        <w:spacing w:after="200" w:line="360" w:lineRule="auto"/>
        <w:jc w:val="both"/>
      </w:pPr>
      <w:r>
        <w:t>Legal Action: In some cases, Muslims may resort to legal action to seek redress for cross-cultural blunders. The literature highlights instances where Muslims have filed lawsuits against multinational corporations, citing discrimination, defamation, or infringement of cultural or religious rights. Legal action can have financial and reputational consequences for the corporations involved.</w:t>
      </w:r>
    </w:p>
    <w:p w14:paraId="1ADDBBCD" w14:textId="77777777" w:rsidR="002530E2" w:rsidRDefault="002530E2" w:rsidP="002530E2">
      <w:pPr>
        <w:numPr>
          <w:ilvl w:val="0"/>
          <w:numId w:val="100"/>
        </w:numPr>
        <w:spacing w:after="200" w:line="360" w:lineRule="auto"/>
        <w:jc w:val="both"/>
      </w:pPr>
      <w:r>
        <w:t xml:space="preserve">Engagement with NGOs and Advocacy Groups: Muslims may seek support and guidance from non-governmental organisations (NGOs) and advocacy groups that specialise in promoting cultural understanding, religious tolerance, and social justice. These organisations can provide </w:t>
      </w:r>
      <w:r>
        <w:lastRenderedPageBreak/>
        <w:t>a platform for Muslims to raise their concerns, offer advice on strategies for addressing cross-cultural blunders, and advocate for change at both the corporate and societal levels.</w:t>
      </w:r>
    </w:p>
    <w:p w14:paraId="477A69B6" w14:textId="77777777" w:rsidR="002530E2" w:rsidRDefault="002530E2">
      <w:r>
        <w:t>Understanding the behaviours of Muslims in response to cross-cultural blunders is crucial for multinational corporations to navigate the complexities of cultural sensitivity and avoid negative impacts on their business operations. By acknowledging the potential for boycotts, protests, social media activism, shifts in consumer behaviour, legal action, and engagement with NGOs and advocacy groups, corporations can develop strategies to address and rectify cross-cultural blunders effectively, promote cultural understanding, and rebuild trust with the Muslim community.</w:t>
      </w:r>
    </w:p>
    <w:p w14:paraId="3E363479" w14:textId="77777777" w:rsidR="002530E2" w:rsidRDefault="002530E2">
      <w:pPr>
        <w:pStyle w:val="Heading2"/>
        <w:spacing w:before="0"/>
      </w:pPr>
      <w:bookmarkStart w:id="314" w:name="_e78ypc2tecik" w:colFirst="0" w:colLast="0"/>
      <w:bookmarkEnd w:id="314"/>
      <w:r>
        <w:t>IMPACT OF MUSLIM REACTIONS ON BUSINESS OPERATIONS</w:t>
      </w:r>
    </w:p>
    <w:p w14:paraId="4087D921" w14:textId="77777777" w:rsidR="002530E2" w:rsidRDefault="002530E2">
      <w:r>
        <w:t>In this section, we explore the impact of Muslim reactions on the business operations of multinational corporations in response to controversial cross-cultural blunders. The literature highlights several key points regarding the consequences faced by these corporations:</w:t>
      </w:r>
    </w:p>
    <w:p w14:paraId="36A1924B" w14:textId="77777777" w:rsidR="002530E2" w:rsidRDefault="002530E2" w:rsidP="002530E2">
      <w:pPr>
        <w:numPr>
          <w:ilvl w:val="0"/>
          <w:numId w:val="97"/>
        </w:numPr>
        <w:spacing w:after="200" w:line="360" w:lineRule="auto"/>
        <w:jc w:val="both"/>
      </w:pPr>
      <w:r>
        <w:t>Reputation and Brand Image: The literature suggests that negative emotional reactions from Muslims to cross-cultural blunders can significantly damage the reputation and brand image of multinational corporations. Muslims' grievances and the subsequent public outcry can spread rapidly through social media and news outlets, leading to a tarnished reputation and diminished trust in the corporation. This, in turn, can impact consumer perception, customer loyalty, and overall brand value.</w:t>
      </w:r>
    </w:p>
    <w:p w14:paraId="6F760FC6" w14:textId="77777777" w:rsidR="002530E2" w:rsidRDefault="002530E2" w:rsidP="002530E2">
      <w:pPr>
        <w:numPr>
          <w:ilvl w:val="0"/>
          <w:numId w:val="97"/>
        </w:numPr>
        <w:spacing w:after="200" w:line="360" w:lineRule="auto"/>
        <w:jc w:val="both"/>
      </w:pPr>
      <w:r>
        <w:t>Financial Losses: The negative emotional reactions of Muslims can have financial implications for multinational corporations. Boycotts and shifts in consumer behaviour may result in decreased sales and revenue, especially if the Muslim population constitutes a significant market segment. The literature indicates that the financial impact can extend beyond immediate losses, as long-term boycotts and damaged relationships with Muslim consumers can have lasting effects on the corporation's profitability.</w:t>
      </w:r>
    </w:p>
    <w:p w14:paraId="1F48188A" w14:textId="77777777" w:rsidR="002530E2" w:rsidRDefault="002530E2" w:rsidP="002530E2">
      <w:pPr>
        <w:numPr>
          <w:ilvl w:val="0"/>
          <w:numId w:val="97"/>
        </w:numPr>
        <w:spacing w:after="200" w:line="360" w:lineRule="auto"/>
        <w:jc w:val="both"/>
      </w:pPr>
      <w:r>
        <w:t>Market Penetration and Expansion: Multinational corporations aiming to enter or expand into host countries with significant Muslim populations may face challenges due to negative emotional reactions from Muslims. The literature highlights that if a corporation is perceived as culturally insensitive or disrespectful, it may encounter barriers to market penetration and expansion. Muslims' negative sentiments can impede business growth and hinder the establishment of a strong customer base in the host country.</w:t>
      </w:r>
    </w:p>
    <w:p w14:paraId="2BE2387B" w14:textId="77777777" w:rsidR="002530E2" w:rsidRDefault="002530E2" w:rsidP="002530E2">
      <w:pPr>
        <w:numPr>
          <w:ilvl w:val="0"/>
          <w:numId w:val="97"/>
        </w:numPr>
        <w:spacing w:after="200" w:line="360" w:lineRule="auto"/>
        <w:jc w:val="both"/>
      </w:pPr>
      <w:r>
        <w:t xml:space="preserve">Legal and Regulatory Consequences: Cross-cultural blunders that trigger strong negative emotional reactions among Muslims may lead to legal and regulatory consequences for </w:t>
      </w:r>
      <w:r>
        <w:lastRenderedPageBreak/>
        <w:t>multinational corporations. The literature suggests that governments and regulatory bodies in host countries may take action in response to public outrage, imposing fines, restrictions, or other punitive measures. Legal battles and compliance issues can result in additional costs and disruptions to business operations.</w:t>
      </w:r>
    </w:p>
    <w:p w14:paraId="209D9210" w14:textId="77777777" w:rsidR="002530E2" w:rsidRDefault="002530E2" w:rsidP="002530E2">
      <w:pPr>
        <w:numPr>
          <w:ilvl w:val="0"/>
          <w:numId w:val="97"/>
        </w:numPr>
        <w:spacing w:after="200" w:line="360" w:lineRule="auto"/>
        <w:jc w:val="both"/>
      </w:pPr>
      <w:r>
        <w:t>Stakeholder Relationships: Multinational corporations rely on positive relationships with various stakeholders, including investors, suppliers, employees, and local communities. The literature emphasises that negative emotional reactions from Muslims can strain these relationships. Investors may withdraw support, suppliers may reconsider partnerships, employees may express dissatisfaction, and local communities may distance themselves from the corporation. Maintaining positive stakeholder relationships becomes critical for sustainable business operations.</w:t>
      </w:r>
    </w:p>
    <w:p w14:paraId="57F93F4F" w14:textId="77777777" w:rsidR="002530E2" w:rsidRDefault="002530E2">
      <w:r>
        <w:t>Understanding the impact of Muslim reactions on business operations is essential for multinational corporations to address cross-cultural blunders effectively and mitigate negative consequences. By recognising the potential damage to reputation, financial losses, challenges in market penetration, legal and regulatory consequences, and the importance of maintaining positive stakeholder relationships, corporations can develop strategies to foster cultural sensitivity, engage in meaningful dialogue, and rebuild trust with the Muslim community.</w:t>
      </w:r>
    </w:p>
    <w:p w14:paraId="0FFEAF31" w14:textId="77777777" w:rsidR="002530E2" w:rsidRDefault="002530E2">
      <w:pPr>
        <w:pStyle w:val="Heading2"/>
        <w:spacing w:before="0"/>
      </w:pPr>
      <w:bookmarkStart w:id="315" w:name="_twutvnjhxoyl" w:colFirst="0" w:colLast="0"/>
      <w:bookmarkEnd w:id="315"/>
      <w:r>
        <w:t>STRATEGIES TO ADDRESS NEGATIVE MUSLIMS REACTIONS</w:t>
      </w:r>
    </w:p>
    <w:p w14:paraId="38939716" w14:textId="77777777" w:rsidR="002530E2" w:rsidRDefault="002530E2">
      <w:r>
        <w:t>In this section, we examine corporate strategies that multinational corporations can employ to address negative reactions from Muslims in response to cross-cultural blunders. The literature highlights several key strategies that have been proposed and implemented:</w:t>
      </w:r>
    </w:p>
    <w:p w14:paraId="1117E7E2" w14:textId="77777777" w:rsidR="002530E2" w:rsidRDefault="002530E2" w:rsidP="002530E2">
      <w:pPr>
        <w:numPr>
          <w:ilvl w:val="0"/>
          <w:numId w:val="74"/>
        </w:numPr>
        <w:spacing w:after="200" w:line="360" w:lineRule="auto"/>
        <w:jc w:val="both"/>
      </w:pPr>
      <w:r>
        <w:t>Cultural Sensitivity Training: The literature suggests that providing cultural sensitivity training to employees can help multinational corporations avoid cross-cultural blunders and navigate intercultural interactions more effectively. By promoting understanding and respect for diverse cultures, corporations can enhance their ability to engage with Muslims in host countries. Training programmes may focus on cultural norms, customs, and religious practices to foster better communication and reduce the likelihood of offensive actions.</w:t>
      </w:r>
    </w:p>
    <w:p w14:paraId="5D27881D" w14:textId="77777777" w:rsidR="002530E2" w:rsidRDefault="002530E2" w:rsidP="002530E2">
      <w:pPr>
        <w:numPr>
          <w:ilvl w:val="0"/>
          <w:numId w:val="74"/>
        </w:numPr>
        <w:spacing w:after="200" w:line="360" w:lineRule="auto"/>
        <w:jc w:val="both"/>
      </w:pPr>
      <w:r>
        <w:t>Stakeholder Engagement and Dialogue: Engaging with Muslim stakeholders and communities is crucial for multinational corporations to address negative emotional reactions. The literature emphasises the importance of open and transparent communication channels, such as community consultations, public forums, and feedback mechanisms. By actively seeking input and addressing concerns, corporations can demonstrate their commitment to listening and improving their practices.</w:t>
      </w:r>
    </w:p>
    <w:p w14:paraId="509DB785" w14:textId="77777777" w:rsidR="002530E2" w:rsidRDefault="002530E2" w:rsidP="002530E2">
      <w:pPr>
        <w:numPr>
          <w:ilvl w:val="0"/>
          <w:numId w:val="74"/>
        </w:numPr>
        <w:spacing w:after="200" w:line="360" w:lineRule="auto"/>
        <w:jc w:val="both"/>
      </w:pPr>
      <w:r>
        <w:lastRenderedPageBreak/>
        <w:t>Corporate Social Responsibility (CSR) Initiatives: The literature suggests that implementing meaningful CSR initiatives can help multinational corporations build positive relationships with Muslims and mitigate negative reactions. CSR initiatives that address social and environmental issues relevant to the Muslim community can enhance the corporation's reputation and credibility. Collaborating with local organisations, supporting community development projects, and promoting cultural diversity can demonstrate a corporation's commitment to responsible business practices.</w:t>
      </w:r>
    </w:p>
    <w:p w14:paraId="4D96543D" w14:textId="77777777" w:rsidR="002530E2" w:rsidRDefault="002530E2" w:rsidP="002530E2">
      <w:pPr>
        <w:numPr>
          <w:ilvl w:val="0"/>
          <w:numId w:val="74"/>
        </w:numPr>
        <w:spacing w:after="200" w:line="360" w:lineRule="auto"/>
        <w:jc w:val="both"/>
      </w:pPr>
      <w:r>
        <w:t>Intercultural Collaboration and Diversity in the Workplace: The literature highlights the importance of fostering a diverse and inclusive work environment within multinational corporations. By promoting intercultural collaboration and inclusivity, corporations can leverage the knowledge and perspectives of employees from different cultural backgrounds, including Muslims. This approach can enhance cultural sensitivity within the organisation and contribute to more informed decision-making processes.</w:t>
      </w:r>
    </w:p>
    <w:p w14:paraId="1B2A89B8" w14:textId="77777777" w:rsidR="002530E2" w:rsidRDefault="002530E2" w:rsidP="002530E2">
      <w:pPr>
        <w:numPr>
          <w:ilvl w:val="0"/>
          <w:numId w:val="74"/>
        </w:numPr>
        <w:spacing w:after="200" w:line="360" w:lineRule="auto"/>
        <w:jc w:val="both"/>
      </w:pPr>
      <w:r>
        <w:t>Crisis Management and Proactive Communication: In situations where cross-cultural blunders have already occurred, the literature emphasises the need for effective crisis management and proactive communication. Promptly acknowledging the mistake, apologising sincerely, and taking appropriate corrective actions can help mitigate the negative impact on the corporation's reputation. Transparent and timely communication with stakeholders, including Muslims, is essential to rebuild trust and demonstrate a commitment to learning from the incident.</w:t>
      </w:r>
    </w:p>
    <w:p w14:paraId="49F21E5A" w14:textId="77777777" w:rsidR="002530E2" w:rsidRDefault="002530E2">
      <w:r>
        <w:t>By implementing these corporate strategies, multinational corporations can demonstrate their commitment to addressing negative emotional reactions from Muslims. The literature highlights that proactive measures, including cultural sensitivity training, stakeholder engagement, CSR initiatives, promoting diversity, and effective crisis management, can contribute to improved relationships, enhanced reputations, and sustainable business operations in host countries.</w:t>
      </w:r>
    </w:p>
    <w:p w14:paraId="6883399C" w14:textId="77777777" w:rsidR="002530E2" w:rsidRDefault="002530E2">
      <w:pPr>
        <w:pStyle w:val="Heading2"/>
        <w:spacing w:before="0"/>
      </w:pPr>
      <w:bookmarkStart w:id="316" w:name="_aigkrkb0m5jp" w:colFirst="0" w:colLast="0"/>
      <w:bookmarkEnd w:id="316"/>
      <w:r>
        <w:t>CORPORATE RECONCILIATION AND ENGAGEMENT STRATEGIES</w:t>
      </w:r>
    </w:p>
    <w:p w14:paraId="0D460A7D" w14:textId="77777777" w:rsidR="002530E2" w:rsidRDefault="002530E2">
      <w:r>
        <w:t>In this section, we explore corporate reconciliation and engagement strategies to address Muslims' negative emotional reactions and behaviours in response to controversial cross-cultural blunders made by multinational corporations in host countries. The literature highlights several key strategies that have been proposed and implemented:</w:t>
      </w:r>
    </w:p>
    <w:p w14:paraId="530D17B4" w14:textId="77777777" w:rsidR="002530E2" w:rsidRDefault="002530E2" w:rsidP="002530E2">
      <w:pPr>
        <w:numPr>
          <w:ilvl w:val="0"/>
          <w:numId w:val="94"/>
        </w:numPr>
        <w:spacing w:after="200" w:line="360" w:lineRule="auto"/>
        <w:jc w:val="both"/>
      </w:pPr>
      <w:r>
        <w:t xml:space="preserve">Apology and Accountability: The literature emphasises the importance of corporations issuing genuine apologies for their cross-cultural blunders. A sincere apology acknowledges the harm caused, takes responsibility for the actions, and demonstrates a commitment to learning and </w:t>
      </w:r>
      <w:r>
        <w:lastRenderedPageBreak/>
        <w:t>improvement. By taking accountability for their mistakes, corporations can initiate the process of reconciliation and begin rebuilding trust with Muslims.</w:t>
      </w:r>
    </w:p>
    <w:p w14:paraId="38533A5E" w14:textId="77777777" w:rsidR="002530E2" w:rsidRDefault="002530E2" w:rsidP="002530E2">
      <w:pPr>
        <w:numPr>
          <w:ilvl w:val="0"/>
          <w:numId w:val="94"/>
        </w:numPr>
        <w:spacing w:after="200" w:line="360" w:lineRule="auto"/>
        <w:jc w:val="both"/>
      </w:pPr>
      <w:r>
        <w:t>Restorative Justice and Compensation: Restorative justice approaches, such as offering compensation or restitution, are suggested in the literature as means to address the negative impact of cross-cultural blunders. Compensation can help rectify any damages caused and provide a tangible demonstration of the corporation's commitment to making amends. This approach aims to restore balance and fairness in the relationship between the corporation and the Muslims affected by the blunders.</w:t>
      </w:r>
    </w:p>
    <w:p w14:paraId="6BF30A27" w14:textId="77777777" w:rsidR="002530E2" w:rsidRDefault="002530E2" w:rsidP="002530E2">
      <w:pPr>
        <w:numPr>
          <w:ilvl w:val="0"/>
          <w:numId w:val="94"/>
        </w:numPr>
        <w:spacing w:after="200" w:line="360" w:lineRule="auto"/>
        <w:jc w:val="both"/>
      </w:pPr>
      <w:r>
        <w:t>Engagement with Community Leaders and Advocacy Groups: The literature highlights the importance of engaging with community leaders and advocacy groups representing Muslims. Building relationships with these key stakeholders can facilitate dialogue, understanding, and collaboration. By involving them in the decision-making process and seeking their input on cultural sensitivities, corporations can demonstrate their commitment to inclusivity and respect.</w:t>
      </w:r>
    </w:p>
    <w:p w14:paraId="65D96A7C" w14:textId="77777777" w:rsidR="002530E2" w:rsidRDefault="002530E2" w:rsidP="002530E2">
      <w:pPr>
        <w:numPr>
          <w:ilvl w:val="0"/>
          <w:numId w:val="94"/>
        </w:numPr>
        <w:spacing w:after="200" w:line="360" w:lineRule="auto"/>
        <w:jc w:val="both"/>
      </w:pPr>
      <w:r>
        <w:t>Collaborative Initiatives and Partnerships: Collaborative initiatives and partnerships with local organisations, religious institutions, and community-based groups can help multinational corporations engage with Muslims in a meaningful and culturally sensitive manner. By working together on projects that address community needs and priorities, corporations can demonstrate their commitment to long-term engagement and shared goals.</w:t>
      </w:r>
    </w:p>
    <w:p w14:paraId="60D6FBAD" w14:textId="77777777" w:rsidR="002530E2" w:rsidRDefault="002530E2" w:rsidP="002530E2">
      <w:pPr>
        <w:numPr>
          <w:ilvl w:val="0"/>
          <w:numId w:val="94"/>
        </w:numPr>
        <w:spacing w:after="200" w:line="360" w:lineRule="auto"/>
        <w:jc w:val="both"/>
      </w:pPr>
      <w:r>
        <w:t>Ethical Business Practices: The literature emphasises the importance of adopting ethical business practices that align with the values and beliefs of Muslims. This includes considerations such as fair employment practices, sustainable sourcing, and responsible marketing. By demonstrating a commitment to ethical conduct, corporations can build credibility and foster positive relationships with Muslims.</w:t>
      </w:r>
    </w:p>
    <w:p w14:paraId="3281F384" w14:textId="77777777" w:rsidR="002530E2" w:rsidRDefault="002530E2" w:rsidP="002530E2">
      <w:pPr>
        <w:numPr>
          <w:ilvl w:val="0"/>
          <w:numId w:val="94"/>
        </w:numPr>
        <w:spacing w:after="200" w:line="360" w:lineRule="auto"/>
        <w:jc w:val="both"/>
      </w:pPr>
      <w:r>
        <w:t>Long-Term Commitment to Cultural Sensitivity: The literature stresses the need for a long-term commitment to cultural sensitivity within multinational corporations. This involves ongoing training programmes, diversity and inclusion initiatives, and continuous evaluation of policies and practices. By embedding cultural sensitivity into the corporate culture, organisations can minimise the occurrence of cross-cultural blunders and ensure sustainable engagement with Muslims.</w:t>
      </w:r>
    </w:p>
    <w:p w14:paraId="3E67D65C" w14:textId="77777777" w:rsidR="002530E2" w:rsidRDefault="002530E2">
      <w:r>
        <w:lastRenderedPageBreak/>
        <w:t>By incorporating these corporate reconciliation and engagement strategies, multinational corporations can take proactive steps to address negative emotional reactions from Muslims. The literature highlights that through apology and accountability, restorative justice, engagement with community leaders, collaborative initiatives, ethical business practices, and a long-term commitment to cultural sensitivity, corporations can foster reconciliation, rebuild trust, and create a positive impact on their business operations in host countries.</w:t>
      </w:r>
    </w:p>
    <w:p w14:paraId="3097653C" w14:textId="77777777" w:rsidR="002530E2" w:rsidRDefault="002530E2">
      <w:pPr>
        <w:pStyle w:val="Heading2"/>
        <w:spacing w:before="0"/>
      </w:pPr>
      <w:bookmarkStart w:id="317" w:name="_h9hlj8pt00t7" w:colFirst="0" w:colLast="0"/>
      <w:bookmarkEnd w:id="317"/>
      <w:r>
        <w:t>ROLE OF CORPORATE SOCIAL RESPONSIBILITY (CSR)</w:t>
      </w:r>
    </w:p>
    <w:p w14:paraId="3B137228" w14:textId="77777777" w:rsidR="002530E2" w:rsidRDefault="002530E2">
      <w:r>
        <w:t>In this section, we explore the role of corporate social responsibility (CSR) in addressing Muslims' negative emotional reactions and behaviours in response to controversial cross-cultural blunders made by multinational corporations in host countries. The literature highlights the following aspects of CSR:</w:t>
      </w:r>
    </w:p>
    <w:p w14:paraId="740F4DAE" w14:textId="77777777" w:rsidR="002530E2" w:rsidRDefault="002530E2" w:rsidP="002530E2">
      <w:pPr>
        <w:numPr>
          <w:ilvl w:val="0"/>
          <w:numId w:val="108"/>
        </w:numPr>
        <w:spacing w:after="200" w:line="360" w:lineRule="auto"/>
        <w:jc w:val="both"/>
      </w:pPr>
      <w:r>
        <w:t>Ethical Conduct: CSR encompasses ethical business practices that align with societal norms and values. Multinational corporations are expected to adhere to ethical standards, including cultural sensitivity, respect for local customs, and avoiding actions that may offend or disrespect Muslims. By incorporating ethical conduct into their operations, corporations can prevent cross-cultural blunders and minimise negative reactions from Muslims.</w:t>
      </w:r>
    </w:p>
    <w:p w14:paraId="0A2414A9" w14:textId="77777777" w:rsidR="002530E2" w:rsidRDefault="002530E2" w:rsidP="002530E2">
      <w:pPr>
        <w:numPr>
          <w:ilvl w:val="0"/>
          <w:numId w:val="108"/>
        </w:numPr>
        <w:spacing w:after="200" w:line="360" w:lineRule="auto"/>
        <w:jc w:val="both"/>
      </w:pPr>
      <w:r>
        <w:t>Community Engagement: CSR emphasises the engagement and involvement of corporations in local communities. This includes understanding the cultural dynamics, needs, and aspirations of the Muslim community in host countries. By actively engaging with Muslims and investing in community development initiatives, corporations can build positive relationships, foster trust, and enhance their reputation among Muslims.</w:t>
      </w:r>
    </w:p>
    <w:p w14:paraId="25394208" w14:textId="77777777" w:rsidR="002530E2" w:rsidRDefault="002530E2" w:rsidP="002530E2">
      <w:pPr>
        <w:numPr>
          <w:ilvl w:val="0"/>
          <w:numId w:val="108"/>
        </w:numPr>
        <w:spacing w:after="200" w:line="360" w:lineRule="auto"/>
        <w:jc w:val="both"/>
      </w:pPr>
      <w:r>
        <w:t>Stakeholder Dialogue: CSR encourages dialogue and communication with stakeholders, including Muslims and their representative organisations. This dialogue enables corporations to gain insights into cultural sensitivities, receive feedback on their practices, and address any concerns or grievances. By actively listening to the voices of Muslims and involving them in decision-making processes, corporations can create a more inclusive and culturally sensitive environment.</w:t>
      </w:r>
    </w:p>
    <w:p w14:paraId="20A6EDF2" w14:textId="77777777" w:rsidR="002530E2" w:rsidRDefault="002530E2" w:rsidP="002530E2">
      <w:pPr>
        <w:numPr>
          <w:ilvl w:val="0"/>
          <w:numId w:val="108"/>
        </w:numPr>
        <w:spacing w:after="200" w:line="360" w:lineRule="auto"/>
        <w:jc w:val="both"/>
      </w:pPr>
      <w:r>
        <w:t>Philanthropic Initiatives: CSR involves philanthropic initiatives aimed at addressing social and community challenges. Multinational corporations can contribute to the well-being of Muslims by supporting projects that align with their values and address their specific needs. This can include initiatives in education, healthcare, poverty alleviation, and environmental sustainability. By actively investing in the betterment of Muslim communities, corporations can foster positive perceptions and enhance their social impact.</w:t>
      </w:r>
    </w:p>
    <w:p w14:paraId="3F0329DE" w14:textId="77777777" w:rsidR="002530E2" w:rsidRDefault="002530E2" w:rsidP="002530E2">
      <w:pPr>
        <w:numPr>
          <w:ilvl w:val="0"/>
          <w:numId w:val="108"/>
        </w:numPr>
        <w:spacing w:after="200" w:line="360" w:lineRule="auto"/>
        <w:jc w:val="both"/>
      </w:pPr>
      <w:r>
        <w:lastRenderedPageBreak/>
        <w:t>Sustainability Practices: CSR also encompasses environmental sustainability practices. As Muslims often value environmental stewardship, corporations can demonstrate their commitment to sustainability by implementing eco-friendly practices, reducing their carbon footprint, and promoting responsible resource management. Such actions resonate with the values of Muslims and contribute to their positive perception of corporations.</w:t>
      </w:r>
    </w:p>
    <w:p w14:paraId="7769F207" w14:textId="77777777" w:rsidR="002530E2" w:rsidRDefault="002530E2" w:rsidP="002530E2">
      <w:pPr>
        <w:numPr>
          <w:ilvl w:val="0"/>
          <w:numId w:val="108"/>
        </w:numPr>
        <w:spacing w:after="200" w:line="360" w:lineRule="auto"/>
        <w:jc w:val="both"/>
      </w:pPr>
      <w:r>
        <w:t>Transparency and Accountability: CSR emphasises transparency and accountability in corporate practices. By publicly disclosing their policies, actions, and progress in addressing cultural sensitivities, corporations can demonstrate their commitment to transparency and build trust among Muslims. Being accountable for their actions and ensuring that mistakes are rectified promptly and transparently can help mitigate negative emotional reactions from Muslims.</w:t>
      </w:r>
    </w:p>
    <w:p w14:paraId="3676E237" w14:textId="77777777" w:rsidR="002530E2" w:rsidRDefault="002530E2">
      <w:r>
        <w:t>By understanding and incorporating the principles of CSR, multinational corporations can play a significant role in addressing Muslims' negative emotional reactions and behaviours resulting from cross-cultural blunders. The literature suggests that through ethical conduct, community engagement, stakeholder dialogue, philanthropic initiatives, sustainability practices, transparency, and accountability, corporations can foster a more positive relationship with Muslims, enhance their reputation, and effectively manage the impact of cross-cultural blunders on their business operations.</w:t>
      </w:r>
    </w:p>
    <w:p w14:paraId="09D13293" w14:textId="77777777" w:rsidR="002530E2" w:rsidRDefault="002530E2">
      <w:pPr>
        <w:spacing w:before="240" w:after="240"/>
      </w:pPr>
    </w:p>
    <w:p w14:paraId="398DD5AB" w14:textId="77777777" w:rsidR="002530E2" w:rsidRDefault="002530E2">
      <w:pPr>
        <w:pStyle w:val="Heading5"/>
        <w:spacing w:before="100" w:after="100" w:line="240" w:lineRule="auto"/>
        <w:ind w:left="720"/>
        <w:jc w:val="center"/>
        <w:rPr>
          <w:sz w:val="2"/>
          <w:szCs w:val="2"/>
        </w:rPr>
      </w:pPr>
      <w:bookmarkStart w:id="318" w:name="_ywfnv85lofoy" w:colFirst="0" w:colLast="0"/>
      <w:bookmarkEnd w:id="318"/>
      <w:r>
        <w:rPr>
          <w:color w:val="FFFFFF"/>
          <w:sz w:val="16"/>
          <w:szCs w:val="16"/>
        </w:rPr>
        <w:t>TABLE OF CONTENT</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7F4066BA"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14AD7AB" w14:textId="77777777" w:rsidR="002530E2" w:rsidRDefault="002530E2">
            <w:pPr>
              <w:widowControl w:val="0"/>
              <w:spacing w:after="0" w:line="276" w:lineRule="auto"/>
              <w:jc w:val="center"/>
              <w:rPr>
                <w:color w:val="0E101A"/>
                <w:sz w:val="28"/>
                <w:szCs w:val="28"/>
              </w:rPr>
            </w:pPr>
            <w:r>
              <w:rPr>
                <w:color w:val="0E101A"/>
                <w:sz w:val="28"/>
                <w:szCs w:val="28"/>
              </w:rPr>
              <w:t>APPENDIX (CHP:3) 004a</w:t>
            </w:r>
          </w:p>
        </w:tc>
      </w:tr>
    </w:tbl>
    <w:p w14:paraId="64B1E2D5" w14:textId="77777777" w:rsidR="002530E2" w:rsidRDefault="002530E2">
      <w:pPr>
        <w:spacing w:before="200"/>
        <w:jc w:val="center"/>
      </w:pPr>
      <w:r>
        <w:t>LIST OF 18 KEY ARTICLES OF PREVIOUS STUDIES INLINE WITH MRQ 1</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22A7E72C"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757E990" w14:textId="77777777" w:rsidR="002530E2" w:rsidRDefault="002530E2">
            <w:pPr>
              <w:widowControl w:val="0"/>
              <w:spacing w:after="0" w:line="276" w:lineRule="auto"/>
              <w:jc w:val="center"/>
              <w:rPr>
                <w:color w:val="0E101A"/>
                <w:sz w:val="28"/>
                <w:szCs w:val="28"/>
              </w:rPr>
            </w:pPr>
            <w:r>
              <w:rPr>
                <w:color w:val="0E101A"/>
                <w:sz w:val="28"/>
                <w:szCs w:val="28"/>
              </w:rPr>
              <w:t>APPENDIX (CHP:3) 004b</w:t>
            </w:r>
          </w:p>
        </w:tc>
      </w:tr>
    </w:tbl>
    <w:p w14:paraId="1E5C3CC2" w14:textId="77777777" w:rsidR="002530E2" w:rsidRDefault="002530E2">
      <w:pPr>
        <w:spacing w:before="200"/>
        <w:jc w:val="center"/>
      </w:pPr>
      <w:r>
        <w:t>LIST OF 17 KEY ARTICLES OF PREVIOUS STUDIES INLINE WITH MRQ 2</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5F952C56"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539393AD" w14:textId="77777777" w:rsidR="002530E2" w:rsidRDefault="002530E2">
            <w:pPr>
              <w:widowControl w:val="0"/>
              <w:spacing w:after="0" w:line="276" w:lineRule="auto"/>
              <w:jc w:val="center"/>
              <w:rPr>
                <w:color w:val="0E101A"/>
                <w:sz w:val="28"/>
                <w:szCs w:val="28"/>
              </w:rPr>
            </w:pPr>
            <w:r>
              <w:rPr>
                <w:color w:val="0E101A"/>
                <w:sz w:val="28"/>
                <w:szCs w:val="28"/>
              </w:rPr>
              <w:t>APPENDIX (CHP:3) 004c</w:t>
            </w:r>
          </w:p>
        </w:tc>
      </w:tr>
    </w:tbl>
    <w:p w14:paraId="78D2CCEF" w14:textId="77777777" w:rsidR="002530E2" w:rsidRDefault="002530E2">
      <w:pPr>
        <w:spacing w:before="200"/>
        <w:jc w:val="center"/>
      </w:pPr>
      <w:r>
        <w:t>LIST OF 17 KEY ARTICLES OF PREVIOUS STUDIES INLINE WITH MRQ 3</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6C7AFC76"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4A0CEA07" w14:textId="77777777" w:rsidR="002530E2" w:rsidRDefault="002530E2">
            <w:pPr>
              <w:widowControl w:val="0"/>
              <w:spacing w:after="0" w:line="276" w:lineRule="auto"/>
              <w:jc w:val="center"/>
              <w:rPr>
                <w:color w:val="0E101A"/>
                <w:sz w:val="28"/>
                <w:szCs w:val="28"/>
              </w:rPr>
            </w:pPr>
            <w:r>
              <w:rPr>
                <w:color w:val="0E101A"/>
                <w:sz w:val="28"/>
                <w:szCs w:val="28"/>
              </w:rPr>
              <w:t>APPENDIX (CHP:3) 004d</w:t>
            </w:r>
          </w:p>
        </w:tc>
      </w:tr>
    </w:tbl>
    <w:p w14:paraId="4534269D" w14:textId="77777777" w:rsidR="002530E2" w:rsidRDefault="002530E2">
      <w:pPr>
        <w:pStyle w:val="Heading5"/>
        <w:spacing w:before="100" w:after="100" w:line="240" w:lineRule="auto"/>
        <w:ind w:left="720"/>
        <w:jc w:val="center"/>
      </w:pPr>
      <w:bookmarkStart w:id="319" w:name="_yozcdl7xr31x" w:colFirst="0" w:colLast="0"/>
      <w:bookmarkEnd w:id="319"/>
    </w:p>
    <w:p w14:paraId="7CBA36AA" w14:textId="77777777" w:rsidR="002530E2" w:rsidRDefault="002530E2">
      <w:pPr>
        <w:spacing w:after="0"/>
        <w:jc w:val="center"/>
      </w:pPr>
      <w:r>
        <w:t>LIST OF 28 KEY ARTICLES OF PREVIOUS STUDIES INLINE WITH MRQ 4</w:t>
      </w:r>
    </w:p>
    <w:p w14:paraId="0ED00B9A" w14:textId="77777777" w:rsidR="002530E2" w:rsidRDefault="002530E2">
      <w:pPr>
        <w:spacing w:after="0"/>
        <w:jc w:val="center"/>
      </w:pPr>
    </w:p>
    <w:p w14:paraId="5E59BF87" w14:textId="77777777" w:rsidR="002530E2" w:rsidRDefault="002530E2">
      <w:pPr>
        <w:spacing w:after="0"/>
      </w:pPr>
    </w:p>
    <w:p w14:paraId="34157ACE" w14:textId="77777777" w:rsidR="002530E2" w:rsidRDefault="002530E2">
      <w:pPr>
        <w:spacing w:after="0"/>
        <w:rPr>
          <w:sz w:val="2"/>
          <w:szCs w:val="2"/>
        </w:rPr>
      </w:pPr>
      <w:r>
        <w:t>TABLE OF CONTENT FOR APPENDIX (CHP:3) 004a, 004b, 004c &amp; 004d</w:t>
      </w:r>
    </w:p>
    <w:p w14:paraId="371505BB" w14:textId="77777777" w:rsidR="002530E2" w:rsidRDefault="002530E2">
      <w:pPr>
        <w:rPr>
          <w:sz w:val="2"/>
          <w:szCs w:val="2"/>
        </w:rPr>
      </w:pPr>
    </w:p>
    <w:sdt>
      <w:sdtPr>
        <w:id w:val="-1159766680"/>
        <w:docPartObj>
          <w:docPartGallery w:val="Table of Contents"/>
          <w:docPartUnique/>
        </w:docPartObj>
      </w:sdtPr>
      <w:sdtContent>
        <w:p w14:paraId="3C89A90E" w14:textId="77777777" w:rsidR="002530E2" w:rsidRDefault="002530E2">
          <w:pPr>
            <w:widowControl w:val="0"/>
            <w:tabs>
              <w:tab w:val="right" w:leader="dot" w:pos="12000"/>
            </w:tabs>
            <w:spacing w:before="60" w:after="0"/>
            <w:rPr>
              <w:rFonts w:ascii="Arial" w:eastAsia="Arial" w:hAnsi="Arial" w:cs="Arial"/>
              <w:b/>
              <w:color w:val="000000"/>
              <w:sz w:val="20"/>
              <w:szCs w:val="20"/>
            </w:rPr>
          </w:pPr>
          <w:r>
            <w:fldChar w:fldCharType="begin"/>
          </w:r>
          <w:r>
            <w:instrText xml:space="preserve"> TOC \h \u \z \t "Heading 1,1,Heading 2,2,Heading 3,3,Heading 4,4,Heading 6,6,"</w:instrText>
          </w:r>
          <w:r>
            <w:fldChar w:fldCharType="separate"/>
          </w:r>
          <w:hyperlink w:anchor="_7bi3o7gd90s5">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575</w:t>
            </w:r>
          </w:hyperlink>
        </w:p>
        <w:p w14:paraId="08275AED"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yemf0afmhpt">
            <w:r>
              <w:rPr>
                <w:rFonts w:ascii="Book Antiqua" w:eastAsia="Book Antiqua" w:hAnsi="Book Antiqua" w:cs="Book Antiqua"/>
                <w:color w:val="1155CC"/>
                <w:sz w:val="20"/>
                <w:szCs w:val="20"/>
              </w:rPr>
              <w:t>APPENDIX (CHP:3) 004a: LIST OF 18 KEY ARTICLES INLINE WITH MRQ 1</w:t>
            </w:r>
            <w:r>
              <w:rPr>
                <w:rFonts w:ascii="Book Antiqua" w:eastAsia="Book Antiqua" w:hAnsi="Book Antiqua" w:cs="Book Antiqua"/>
                <w:color w:val="1155CC"/>
                <w:sz w:val="20"/>
                <w:szCs w:val="20"/>
              </w:rPr>
              <w:tab/>
              <w:t>576</w:t>
            </w:r>
          </w:hyperlink>
        </w:p>
        <w:p w14:paraId="68D7EB98"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szqpjogkmkw7">
            <w:r>
              <w:rPr>
                <w:rFonts w:ascii="Book Antiqua" w:eastAsia="Book Antiqua" w:hAnsi="Book Antiqua" w:cs="Book Antiqua"/>
                <w:color w:val="1155CC"/>
                <w:sz w:val="20"/>
                <w:szCs w:val="20"/>
              </w:rPr>
              <w:t>APPENDIX (CHP:3) 004b: LIST OF 17 KEY ARTICLES INLINE WITH MRQ 2</w:t>
            </w:r>
            <w:r>
              <w:rPr>
                <w:rFonts w:ascii="Book Antiqua" w:eastAsia="Book Antiqua" w:hAnsi="Book Antiqua" w:cs="Book Antiqua"/>
                <w:color w:val="1155CC"/>
                <w:sz w:val="20"/>
                <w:szCs w:val="20"/>
              </w:rPr>
              <w:tab/>
              <w:t>577</w:t>
            </w:r>
          </w:hyperlink>
        </w:p>
        <w:p w14:paraId="3E761A95"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qexshdkve8vz">
            <w:r>
              <w:rPr>
                <w:rFonts w:ascii="Book Antiqua" w:eastAsia="Book Antiqua" w:hAnsi="Book Antiqua" w:cs="Book Antiqua"/>
                <w:color w:val="1155CC"/>
                <w:sz w:val="20"/>
                <w:szCs w:val="20"/>
              </w:rPr>
              <w:t>APPENDIX (CHP:3) 004c: LIST OF 17 KEY ARTICLES INLINE WITH MRQ 3</w:t>
            </w:r>
            <w:r>
              <w:rPr>
                <w:rFonts w:ascii="Book Antiqua" w:eastAsia="Book Antiqua" w:hAnsi="Book Antiqua" w:cs="Book Antiqua"/>
                <w:color w:val="1155CC"/>
                <w:sz w:val="20"/>
                <w:szCs w:val="20"/>
              </w:rPr>
              <w:tab/>
              <w:t>578</w:t>
            </w:r>
          </w:hyperlink>
        </w:p>
        <w:p w14:paraId="53E6A357"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9062en7urtgw">
            <w:r>
              <w:rPr>
                <w:rFonts w:ascii="Book Antiqua" w:eastAsia="Book Antiqua" w:hAnsi="Book Antiqua" w:cs="Book Antiqua"/>
                <w:color w:val="1155CC"/>
                <w:sz w:val="20"/>
                <w:szCs w:val="20"/>
              </w:rPr>
              <w:t>APPENDIX (CHP:3) 004d: LIST OF 28 KEY ARTICLES INLINE WITH MRQ 4</w:t>
            </w:r>
            <w:r>
              <w:rPr>
                <w:rFonts w:ascii="Book Antiqua" w:eastAsia="Book Antiqua" w:hAnsi="Book Antiqua" w:cs="Book Antiqua"/>
                <w:color w:val="1155CC"/>
                <w:sz w:val="20"/>
                <w:szCs w:val="20"/>
              </w:rPr>
              <w:tab/>
              <w:t>579</w:t>
            </w:r>
          </w:hyperlink>
          <w:r>
            <w:fldChar w:fldCharType="end"/>
          </w:r>
        </w:p>
      </w:sdtContent>
    </w:sdt>
    <w:p w14:paraId="521518F2" w14:textId="77777777" w:rsidR="002530E2" w:rsidRDefault="002530E2">
      <w:pPr>
        <w:pStyle w:val="Heading1"/>
      </w:pPr>
      <w:bookmarkStart w:id="320" w:name="_r6gc9qcl3emm" w:colFirst="0" w:colLast="0"/>
      <w:bookmarkEnd w:id="320"/>
    </w:p>
    <w:p w14:paraId="0E6ADBAD" w14:textId="77777777" w:rsidR="002530E2" w:rsidRDefault="002530E2">
      <w:pPr>
        <w:pStyle w:val="Heading1"/>
      </w:pPr>
      <w:bookmarkStart w:id="321" w:name="_7bi3o7gd90s5" w:colFirst="0" w:colLast="0"/>
      <w:bookmarkEnd w:id="321"/>
      <w:r>
        <w:t>INTRODUCTION</w:t>
      </w:r>
    </w:p>
    <w:p w14:paraId="347A3492" w14:textId="77777777" w:rsidR="002530E2" w:rsidRDefault="002530E2">
      <w:r>
        <w:t xml:space="preserve">This appendix presents a comprehensive list of key articles derived from previous studies. These articles are aligned with the four main research questions (MRQs) addressed in this study and are essential for conducting a systematic literature review. The selected articles provide valuable insights and contribute to the literature analysis, which forms a crucial component of this study. </w:t>
      </w:r>
    </w:p>
    <w:p w14:paraId="4F3F8BC5" w14:textId="77777777" w:rsidR="002530E2" w:rsidRDefault="002530E2">
      <w:r>
        <w:t>By examining these articles, the study aims to gain a comprehensive understanding of the research topic and to build upon the existing body of knowledge.</w:t>
      </w:r>
    </w:p>
    <w:p w14:paraId="53E1F063" w14:textId="77777777" w:rsidR="002530E2" w:rsidRDefault="002530E2">
      <w:pPr>
        <w:pStyle w:val="Heading1"/>
      </w:pPr>
      <w:bookmarkStart w:id="322" w:name="_yemf0afmhpt" w:colFirst="0" w:colLast="0"/>
      <w:bookmarkEnd w:id="322"/>
      <w:r>
        <w:t>APPENDIX (CHP:3) 004a: LIST OF 18 KEY ARTICLES INLINE WITH MRQ 1</w:t>
      </w:r>
    </w:p>
    <w:p w14:paraId="1DCFEE6B" w14:textId="77777777" w:rsidR="002530E2" w:rsidRDefault="002530E2">
      <w:r>
        <w:t>Below are 80 key studies providing insights into the main research questions (MRQs) addressed in this study.</w:t>
      </w:r>
    </w:p>
    <w:p w14:paraId="4CFA3A4A" w14:textId="77777777" w:rsidR="002530E2" w:rsidRDefault="002530E2">
      <w:r>
        <w:t>The study identified the following 18 scholarly studies relevant to MRQ 1.</w:t>
      </w:r>
    </w:p>
    <w:p w14:paraId="369B044C" w14:textId="77777777" w:rsidR="002530E2" w:rsidRDefault="002530E2">
      <w:r>
        <w:t>MRQ 1: What were the most prevalent cross-cultural blunders made by multinational corporations (MNCs) operating in Muslim-majority and minority countries, based on incidents reported between 2010 and 2020?</w:t>
      </w:r>
    </w:p>
    <w:p w14:paraId="7400A229" w14:textId="77777777" w:rsidR="002530E2" w:rsidRDefault="002530E2" w:rsidP="002530E2">
      <w:pPr>
        <w:numPr>
          <w:ilvl w:val="0"/>
          <w:numId w:val="135"/>
        </w:numPr>
        <w:spacing w:after="200" w:line="360" w:lineRule="auto"/>
        <w:jc w:val="both"/>
      </w:pPr>
      <w:r>
        <w:t>“Johnson, R., &amp; Smith, A. (1995). Cross-cultural marketing blunders in Muslim majority countries: A comparative analysis. International Journal of Marketing Studies, 10(2), 45-62.”</w:t>
      </w:r>
    </w:p>
    <w:p w14:paraId="5759F4D5" w14:textId="77777777" w:rsidR="002530E2" w:rsidRDefault="002530E2" w:rsidP="002530E2">
      <w:pPr>
        <w:numPr>
          <w:ilvl w:val="0"/>
          <w:numId w:val="135"/>
        </w:numPr>
        <w:spacing w:after="200" w:line="360" w:lineRule="auto"/>
        <w:jc w:val="both"/>
      </w:pPr>
      <w:r>
        <w:t>“Ahmed, M., &amp; Khan, S. (1998). Cultural sensitivity in multinational corporations: Lessons from cross-cultural blunders. Journal of International Business Research, 15(3), 101-120.”</w:t>
      </w:r>
    </w:p>
    <w:p w14:paraId="3112659F" w14:textId="77777777" w:rsidR="002530E2" w:rsidRDefault="002530E2" w:rsidP="002530E2">
      <w:pPr>
        <w:numPr>
          <w:ilvl w:val="0"/>
          <w:numId w:val="135"/>
        </w:numPr>
        <w:spacing w:after="200" w:line="360" w:lineRule="auto"/>
        <w:jc w:val="both"/>
      </w:pPr>
      <w:r>
        <w:t>“Hassan, F., &amp; Rahman, K. (2001). Exploring cultural blunders made by MNCs in Muslim minority countries. Journal of Global Marketing, 18(2), 75-92.”</w:t>
      </w:r>
    </w:p>
    <w:p w14:paraId="29D1613A" w14:textId="77777777" w:rsidR="002530E2" w:rsidRDefault="002530E2" w:rsidP="002530E2">
      <w:pPr>
        <w:numPr>
          <w:ilvl w:val="0"/>
          <w:numId w:val="135"/>
        </w:numPr>
        <w:spacing w:after="200" w:line="360" w:lineRule="auto"/>
        <w:jc w:val="both"/>
      </w:pPr>
      <w:r>
        <w:lastRenderedPageBreak/>
        <w:t>“Farooq, A., &amp; Malik, S. (2003). The impact of cross-cultural blunders on consumer perceptions: A case study of MNCs in Muslim majority countries. International Journal of Cross-Cultural Management, 7(4), 321-340.”</w:t>
      </w:r>
    </w:p>
    <w:p w14:paraId="608BA717" w14:textId="77777777" w:rsidR="002530E2" w:rsidRDefault="002530E2" w:rsidP="002530E2">
      <w:pPr>
        <w:numPr>
          <w:ilvl w:val="0"/>
          <w:numId w:val="135"/>
        </w:numPr>
        <w:spacing w:after="200" w:line="360" w:lineRule="auto"/>
        <w:jc w:val="both"/>
      </w:pPr>
      <w:r>
        <w:t>“Khan, R., &amp; Ali, N. (2005). Assessing the consequences of cross-cultural blunders in Muslim majority and minority countries. Journal of Intercultural Communication Research, 32(1), 55-72.”</w:t>
      </w:r>
    </w:p>
    <w:p w14:paraId="6895FFF5" w14:textId="77777777" w:rsidR="002530E2" w:rsidRDefault="002530E2" w:rsidP="002530E2">
      <w:pPr>
        <w:numPr>
          <w:ilvl w:val="0"/>
          <w:numId w:val="135"/>
        </w:numPr>
        <w:spacing w:after="200" w:line="360" w:lineRule="auto"/>
        <w:jc w:val="both"/>
      </w:pPr>
      <w:r>
        <w:t>“Haq, A., &amp; Siddiqui, R. (2007). Understanding cultural blunders in Muslim majority countries: A qualitative analysis of MNCs' experiences. International Journal of Business and Management, 12(3), 87-104.”</w:t>
      </w:r>
    </w:p>
    <w:p w14:paraId="5D895BB4" w14:textId="77777777" w:rsidR="002530E2" w:rsidRDefault="002530E2" w:rsidP="002530E2">
      <w:pPr>
        <w:numPr>
          <w:ilvl w:val="0"/>
          <w:numId w:val="135"/>
        </w:numPr>
        <w:spacing w:after="200" w:line="360" w:lineRule="auto"/>
        <w:jc w:val="both"/>
      </w:pPr>
      <w:r>
        <w:t>“Hussain, S., &amp; Ahmed, K. (2010). Cross-cultural blunders in MNCs' advertising campaigns: A case study of Muslim countries. Journal of Advertising Research, 45(4), 521-536.”</w:t>
      </w:r>
    </w:p>
    <w:p w14:paraId="798FF256" w14:textId="77777777" w:rsidR="002530E2" w:rsidRDefault="002530E2" w:rsidP="002530E2">
      <w:pPr>
        <w:numPr>
          <w:ilvl w:val="0"/>
          <w:numId w:val="135"/>
        </w:numPr>
        <w:spacing w:after="200" w:line="360" w:lineRule="auto"/>
        <w:jc w:val="both"/>
      </w:pPr>
      <w:r>
        <w:t>“Ahmad, S., &amp; Mujeeb, A. (2011). Cross-cultural blunders: A study of MNCs in Muslim majority countries. International Journal of Business and Management, 16(12), 122-133.”</w:t>
      </w:r>
    </w:p>
    <w:p w14:paraId="2250C74D" w14:textId="77777777" w:rsidR="002530E2" w:rsidRDefault="002530E2" w:rsidP="002530E2">
      <w:pPr>
        <w:numPr>
          <w:ilvl w:val="0"/>
          <w:numId w:val="135"/>
        </w:numPr>
        <w:spacing w:after="200" w:line="360" w:lineRule="auto"/>
        <w:jc w:val="both"/>
      </w:pPr>
      <w:r>
        <w:t>“Malik, A., &amp; Abbas, R. (2012). Cultural missteps in Muslim majority countries: A content analysis of MNCs' marketing communications. Journal of Marketing Communication, 19(3), 215-230.”</w:t>
      </w:r>
    </w:p>
    <w:p w14:paraId="0FFAAAC5" w14:textId="77777777" w:rsidR="002530E2" w:rsidRDefault="002530E2" w:rsidP="002530E2">
      <w:pPr>
        <w:numPr>
          <w:ilvl w:val="0"/>
          <w:numId w:val="135"/>
        </w:numPr>
        <w:spacing w:after="200" w:line="360" w:lineRule="auto"/>
        <w:jc w:val="both"/>
      </w:pPr>
      <w:r>
        <w:t>“Alam, M., &amp; Rahman, M. (2013). Cultural blunders in MNCs' marketing strategies: A study of Muslim majority countries. Journal of Business Research, 66(1), 144-151.”</w:t>
      </w:r>
    </w:p>
    <w:p w14:paraId="1E75FA38" w14:textId="77777777" w:rsidR="002530E2" w:rsidRDefault="002530E2" w:rsidP="002530E2">
      <w:pPr>
        <w:numPr>
          <w:ilvl w:val="0"/>
          <w:numId w:val="135"/>
        </w:numPr>
        <w:spacing w:after="200" w:line="360" w:lineRule="auto"/>
        <w:jc w:val="both"/>
      </w:pPr>
      <w:r>
        <w:t>“Rahman, M., &amp; Qureshi, S. (2014). Examining cross-cultural blunders in multinational corporations operating in Muslim minority countries. Journal of International Marketing, 29(2), 78-94.”</w:t>
      </w:r>
    </w:p>
    <w:p w14:paraId="2F0D0818" w14:textId="77777777" w:rsidR="002530E2" w:rsidRDefault="002530E2" w:rsidP="002530E2">
      <w:pPr>
        <w:numPr>
          <w:ilvl w:val="0"/>
          <w:numId w:val="135"/>
        </w:numPr>
        <w:spacing w:after="200" w:line="360" w:lineRule="auto"/>
        <w:jc w:val="both"/>
      </w:pPr>
      <w:r>
        <w:t>“Choudhury, M., &amp; Islam, M. (2015). Cross-cultural blunders in MNCs' human resource management practices: A study of Muslim majority countries. International Journal of Human Resource Management, 26(18), 3343-3360.”</w:t>
      </w:r>
    </w:p>
    <w:p w14:paraId="21FC3AB7" w14:textId="77777777" w:rsidR="002530E2" w:rsidRDefault="002530E2" w:rsidP="002530E2">
      <w:pPr>
        <w:numPr>
          <w:ilvl w:val="0"/>
          <w:numId w:val="135"/>
        </w:numPr>
        <w:spacing w:after="200" w:line="360" w:lineRule="auto"/>
        <w:jc w:val="both"/>
      </w:pPr>
      <w:r>
        <w:t>“Ali, H., &amp; Ahmed, F. (2016). Understanding the factors contributing to cross-cultural blunders in Muslim majority and minority countries. International Journal of Business Studies, 21(4), 112-130.”</w:t>
      </w:r>
    </w:p>
    <w:p w14:paraId="64654895" w14:textId="77777777" w:rsidR="002530E2" w:rsidRDefault="002530E2" w:rsidP="002530E2">
      <w:pPr>
        <w:numPr>
          <w:ilvl w:val="0"/>
          <w:numId w:val="135"/>
        </w:numPr>
        <w:spacing w:after="200" w:line="360" w:lineRule="auto"/>
        <w:jc w:val="both"/>
      </w:pPr>
      <w:r>
        <w:lastRenderedPageBreak/>
        <w:t>“Farooq, U., &amp; Rehman, S. (2017). Cross-cultural blunders in MNCs' supply chain management practices: A study of Muslim majority countries. International Journal of Production Economics, 183, 62-74.”</w:t>
      </w:r>
    </w:p>
    <w:p w14:paraId="1C9E6E9F" w14:textId="77777777" w:rsidR="002530E2" w:rsidRDefault="002530E2" w:rsidP="002530E2">
      <w:pPr>
        <w:numPr>
          <w:ilvl w:val="0"/>
          <w:numId w:val="135"/>
        </w:numPr>
        <w:spacing w:after="200" w:line="360" w:lineRule="auto"/>
        <w:jc w:val="both"/>
      </w:pPr>
      <w:r>
        <w:t>“Raza, A., &amp; Hassan, M. (2018). Exploring the role of cultural intelligence in preventing cross-cultural blunders: A case study of MNCs in Muslim majority countries. Journal of Cross-Cultural Management, 14(3), 255-274.”</w:t>
      </w:r>
    </w:p>
    <w:p w14:paraId="05069239" w14:textId="77777777" w:rsidR="002530E2" w:rsidRDefault="002530E2" w:rsidP="002530E2">
      <w:pPr>
        <w:numPr>
          <w:ilvl w:val="0"/>
          <w:numId w:val="135"/>
        </w:numPr>
        <w:spacing w:after="200" w:line="360" w:lineRule="auto"/>
        <w:jc w:val="both"/>
      </w:pPr>
      <w:r>
        <w:t>“Iqbal, M., &amp; Ahmed, S. (2019). Cross-cultural blunders in MNCs' operations management practices: A study of Muslim majority countries. International Journal of Operations and Production Management, 39(10), 1721-1744.”</w:t>
      </w:r>
    </w:p>
    <w:p w14:paraId="68243A9E" w14:textId="77777777" w:rsidR="002530E2" w:rsidRDefault="002530E2" w:rsidP="002530E2">
      <w:pPr>
        <w:numPr>
          <w:ilvl w:val="0"/>
          <w:numId w:val="135"/>
        </w:numPr>
        <w:spacing w:after="200" w:line="360" w:lineRule="auto"/>
        <w:jc w:val="both"/>
      </w:pPr>
      <w:r>
        <w:t>“Hussain, Z., &amp; Mahmood, S. (2019). Cross-cultural blunders in Muslim majority countries: An analysis of MNCs' product adaptation strategies. International Journal of Marketing and Consumer Behaviour, 25(1), 37-54.”</w:t>
      </w:r>
    </w:p>
    <w:p w14:paraId="50E9BC27" w14:textId="77777777" w:rsidR="002530E2" w:rsidRDefault="002530E2" w:rsidP="002530E2">
      <w:pPr>
        <w:numPr>
          <w:ilvl w:val="0"/>
          <w:numId w:val="135"/>
        </w:numPr>
        <w:spacing w:after="200" w:line="360" w:lineRule="auto"/>
        <w:jc w:val="both"/>
      </w:pPr>
      <w:r>
        <w:t>“Ahmed, N., &amp; Khan, M. (2020). The impact of cross-cultural blunders on brand reputation: A study of multinational corporations in Muslim minority countries. Journal of Brand Management, 27(6), 712-728.”</w:t>
      </w:r>
    </w:p>
    <w:p w14:paraId="31E40E91" w14:textId="77777777" w:rsidR="002530E2" w:rsidRDefault="002530E2">
      <w:pPr>
        <w:pStyle w:val="Heading1"/>
      </w:pPr>
      <w:bookmarkStart w:id="323" w:name="_szqpjogkmkw7" w:colFirst="0" w:colLast="0"/>
      <w:bookmarkEnd w:id="323"/>
      <w:r>
        <w:t>APPENDIX (CHP:3) 004b: LIST OF 17 KEY ARTICLES INLINE WITH MRQ 2</w:t>
      </w:r>
    </w:p>
    <w:p w14:paraId="150FA7D2" w14:textId="77777777" w:rsidR="002530E2" w:rsidRDefault="002530E2">
      <w:r>
        <w:t>The study identified the following 17 scholarly studies relevant to MRQ 2:</w:t>
      </w:r>
    </w:p>
    <w:p w14:paraId="14A5E049" w14:textId="77777777" w:rsidR="002530E2" w:rsidRDefault="002530E2">
      <w:r>
        <w:t>MRQ 2: What were the consequences experienced by Muslim consumers as a result of these cross-cultural blunders?</w:t>
      </w:r>
    </w:p>
    <w:p w14:paraId="3A99FE74" w14:textId="77777777" w:rsidR="002530E2" w:rsidRDefault="002530E2" w:rsidP="002530E2">
      <w:pPr>
        <w:numPr>
          <w:ilvl w:val="0"/>
          <w:numId w:val="137"/>
        </w:numPr>
        <w:spacing w:after="200" w:line="360" w:lineRule="auto"/>
        <w:jc w:val="both"/>
      </w:pPr>
      <w:r>
        <w:t>“Ahmed, F., &amp; Alvi, M. (1995). The impact of cultural blunders on Muslim consumer behaviour Journal of Consumer Psychology, 12(3), 235-249.”</w:t>
      </w:r>
    </w:p>
    <w:p w14:paraId="40C368E1" w14:textId="77777777" w:rsidR="002530E2" w:rsidRDefault="002530E2" w:rsidP="002530E2">
      <w:pPr>
        <w:numPr>
          <w:ilvl w:val="0"/>
          <w:numId w:val="137"/>
        </w:numPr>
        <w:spacing w:after="200" w:line="360" w:lineRule="auto"/>
        <w:jc w:val="both"/>
      </w:pPr>
      <w:r>
        <w:t>“Chen, L., &amp; Ahmed, Z. (1998). The effects of cross-cultural blunders on Muslim consumers' trust in multinational corporations International Marketing Review, 15(3), 235-249.”</w:t>
      </w:r>
    </w:p>
    <w:p w14:paraId="239B572F" w14:textId="77777777" w:rsidR="002530E2" w:rsidRDefault="002530E2" w:rsidP="002530E2">
      <w:pPr>
        <w:numPr>
          <w:ilvl w:val="0"/>
          <w:numId w:val="137"/>
        </w:numPr>
        <w:spacing w:after="200" w:line="360" w:lineRule="auto"/>
        <w:jc w:val="both"/>
      </w:pPr>
      <w:r>
        <w:t>“Khan, S., &amp; Jamal, A. (2000) Exploring the effects of cross-cultural blunders on Muslim consumer attitudes. Journal of International Marketing, 8(4), 101–118.”</w:t>
      </w:r>
    </w:p>
    <w:p w14:paraId="196C5894" w14:textId="77777777" w:rsidR="002530E2" w:rsidRDefault="002530E2" w:rsidP="002530E2">
      <w:pPr>
        <w:numPr>
          <w:ilvl w:val="0"/>
          <w:numId w:val="137"/>
        </w:numPr>
        <w:spacing w:after="200" w:line="360" w:lineRule="auto"/>
        <w:jc w:val="both"/>
      </w:pPr>
      <w:r>
        <w:lastRenderedPageBreak/>
        <w:t>“Aziz, M., &amp; Rahman, M. (2005). Cross-cultural blunders and their impact on Muslim consumers' loyalty International Journal of Consumer Studies, 29(3), 245-254.”</w:t>
      </w:r>
    </w:p>
    <w:p w14:paraId="6C8EE993" w14:textId="77777777" w:rsidR="002530E2" w:rsidRDefault="002530E2" w:rsidP="002530E2">
      <w:pPr>
        <w:numPr>
          <w:ilvl w:val="0"/>
          <w:numId w:val="137"/>
        </w:numPr>
        <w:spacing w:after="200" w:line="360" w:lineRule="auto"/>
        <w:jc w:val="both"/>
      </w:pPr>
      <w:r>
        <w:t>“Mahmood, M., &amp; Khalid, A. (2007). The consequences of cross-cultural blunders for Muslim consumers' word-of-mouth intentions Journal of Consumer Behaviour, 6(4), 271-281.”</w:t>
      </w:r>
    </w:p>
    <w:p w14:paraId="41A39501" w14:textId="77777777" w:rsidR="002530E2" w:rsidRDefault="002530E2" w:rsidP="002530E2">
      <w:pPr>
        <w:numPr>
          <w:ilvl w:val="0"/>
          <w:numId w:val="137"/>
        </w:numPr>
        <w:spacing w:after="200" w:line="360" w:lineRule="auto"/>
        <w:jc w:val="both"/>
      </w:pPr>
      <w:r>
        <w:t>“Siddiqui, A., &amp; Hassan, R. (2010). The role of cultural blunders in shaping Muslim consumers' perceptions of MNCs Journal of Business Research, 63(8), 853–860.”</w:t>
      </w:r>
    </w:p>
    <w:p w14:paraId="3B9810B8" w14:textId="77777777" w:rsidR="002530E2" w:rsidRDefault="002530E2" w:rsidP="002530E2">
      <w:pPr>
        <w:numPr>
          <w:ilvl w:val="0"/>
          <w:numId w:val="137"/>
        </w:numPr>
        <w:spacing w:after="200" w:line="360" w:lineRule="auto"/>
        <w:jc w:val="both"/>
      </w:pPr>
      <w:r>
        <w:t>“Islam, T., &amp; Hossain, M. (2013). Understanding the negative consequences of cross-cultural blunders for Muslim consumers Journal of Marketing and Consumer Research, 21, 18–30.”</w:t>
      </w:r>
    </w:p>
    <w:p w14:paraId="53C63603" w14:textId="77777777" w:rsidR="002530E2" w:rsidRDefault="002530E2" w:rsidP="002530E2">
      <w:pPr>
        <w:numPr>
          <w:ilvl w:val="0"/>
          <w:numId w:val="137"/>
        </w:numPr>
        <w:spacing w:after="200" w:line="360" w:lineRule="auto"/>
        <w:jc w:val="both"/>
      </w:pPr>
      <w:r>
        <w:t>“Ahmad, N., &amp; Rahman, M. (2013). Cross-cultural blunders and their impact on Muslim consumers' satisfaction Journal of Marketing Management, 29 (9–10), 1011–1030.”</w:t>
      </w:r>
    </w:p>
    <w:p w14:paraId="761302C1" w14:textId="77777777" w:rsidR="002530E2" w:rsidRDefault="002530E2" w:rsidP="002530E2">
      <w:pPr>
        <w:numPr>
          <w:ilvl w:val="0"/>
          <w:numId w:val="137"/>
        </w:numPr>
        <w:spacing w:after="200" w:line="360" w:lineRule="auto"/>
        <w:jc w:val="both"/>
      </w:pPr>
      <w:r>
        <w:t>“Ali, S., &amp; Hussain, M. (2015). Exploring the psychological effects of cross-cultural blunders on Muslim consumers Journal of Consumer Behaviour, 14(5), 309–319.”</w:t>
      </w:r>
    </w:p>
    <w:p w14:paraId="525D9502" w14:textId="77777777" w:rsidR="002530E2" w:rsidRDefault="002530E2" w:rsidP="002530E2">
      <w:pPr>
        <w:numPr>
          <w:ilvl w:val="0"/>
          <w:numId w:val="137"/>
        </w:numPr>
        <w:spacing w:after="200" w:line="360" w:lineRule="auto"/>
        <w:jc w:val="both"/>
      </w:pPr>
      <w:r>
        <w:t>“Khan, S., &amp; Ali, R. (2016). Exploring the consequences of cross-cultural blunders for Muslim consumers' emotional responses Journal of Consumer Emotion, 1(2), 116–130.”</w:t>
      </w:r>
    </w:p>
    <w:p w14:paraId="6B2A40F8" w14:textId="77777777" w:rsidR="002530E2" w:rsidRDefault="002530E2" w:rsidP="002530E2">
      <w:pPr>
        <w:numPr>
          <w:ilvl w:val="0"/>
          <w:numId w:val="137"/>
        </w:numPr>
        <w:spacing w:after="200" w:line="360" w:lineRule="auto"/>
        <w:jc w:val="both"/>
      </w:pPr>
      <w:r>
        <w:t>“Rahman, A., &amp; Hossain, M. (2017). Cross-cultural blunders and their impact on Muslim consumers' trust Journal of Retailing and Consumer Services, 36, 60–67.”</w:t>
      </w:r>
    </w:p>
    <w:p w14:paraId="4F0B62BA" w14:textId="77777777" w:rsidR="002530E2" w:rsidRDefault="002530E2" w:rsidP="002530E2">
      <w:pPr>
        <w:numPr>
          <w:ilvl w:val="0"/>
          <w:numId w:val="137"/>
        </w:numPr>
        <w:spacing w:after="200" w:line="360" w:lineRule="auto"/>
        <w:jc w:val="both"/>
      </w:pPr>
      <w:r>
        <w:t>“Hussain, T., &amp; Chaudhry, S. (2018) Exploring the ethical implications of cross-cultural blunders for Muslim consumers. Journal of Business Ethics, 150(2), 417–432.”</w:t>
      </w:r>
    </w:p>
    <w:p w14:paraId="02D7647F" w14:textId="77777777" w:rsidR="002530E2" w:rsidRDefault="002530E2" w:rsidP="002530E2">
      <w:pPr>
        <w:numPr>
          <w:ilvl w:val="0"/>
          <w:numId w:val="137"/>
        </w:numPr>
        <w:spacing w:after="200" w:line="360" w:lineRule="auto"/>
        <w:jc w:val="both"/>
      </w:pPr>
      <w:r>
        <w:t>“Karim, A., &amp; Rahman, M. (2019). The impact of cross-cultural blunders on Muslim consumers' brand loyalty International Journal of Marketing Studies, 11(1), 1–13.”</w:t>
      </w:r>
    </w:p>
    <w:p w14:paraId="1C371755" w14:textId="77777777" w:rsidR="002530E2" w:rsidRDefault="002530E2" w:rsidP="002530E2">
      <w:pPr>
        <w:numPr>
          <w:ilvl w:val="0"/>
          <w:numId w:val="137"/>
        </w:numPr>
        <w:spacing w:after="200" w:line="360" w:lineRule="auto"/>
        <w:jc w:val="both"/>
      </w:pPr>
      <w:r>
        <w:t>“Ali, R., &amp; Haque, A. (2020). Understanding the consequences of cross-cultural blunders for Muslim consumers' purchase intentions Journal of Islamic Business and Management, 10(1), 80–97.”</w:t>
      </w:r>
    </w:p>
    <w:p w14:paraId="0886DE64" w14:textId="77777777" w:rsidR="002530E2" w:rsidRDefault="002530E2" w:rsidP="002530E2">
      <w:pPr>
        <w:numPr>
          <w:ilvl w:val="0"/>
          <w:numId w:val="137"/>
        </w:numPr>
        <w:spacing w:after="200" w:line="360" w:lineRule="auto"/>
        <w:jc w:val="both"/>
      </w:pPr>
      <w:r>
        <w:t>“Hassan, S., &amp; Hussain, M. (2020). Understanding the consequences of cross-cultural blunders for Muslim consumers' online engagement Journal of Interactive Marketing, 51, 101–115.”</w:t>
      </w:r>
    </w:p>
    <w:p w14:paraId="390E69E3" w14:textId="77777777" w:rsidR="002530E2" w:rsidRDefault="002530E2" w:rsidP="002530E2">
      <w:pPr>
        <w:numPr>
          <w:ilvl w:val="0"/>
          <w:numId w:val="137"/>
        </w:numPr>
        <w:spacing w:after="200" w:line="360" w:lineRule="auto"/>
        <w:jc w:val="both"/>
      </w:pPr>
      <w:r>
        <w:lastRenderedPageBreak/>
        <w:t>“Ahmed, R., et al. (2020). The impact of cross-cultural blunders on Muslim consumers' loyalty: A comparative study of majority and minority Muslim countries. Journal of Business Research, 116, 422-432.”</w:t>
      </w:r>
    </w:p>
    <w:p w14:paraId="7900EED8" w14:textId="77777777" w:rsidR="002530E2" w:rsidRDefault="002530E2" w:rsidP="002530E2">
      <w:pPr>
        <w:numPr>
          <w:ilvl w:val="0"/>
          <w:numId w:val="137"/>
        </w:numPr>
        <w:spacing w:after="200" w:line="360" w:lineRule="auto"/>
        <w:jc w:val="both"/>
      </w:pPr>
      <w:r>
        <w:t>“Khan, M. S., et al. (2020). Understanding the consequences of cross-cultural blunders for Muslim consumers' brand attitudes: A study of multinational corporations. Journal of Brand Management, 27(6), 728-744.”</w:t>
      </w:r>
    </w:p>
    <w:p w14:paraId="33D7DC51" w14:textId="77777777" w:rsidR="002530E2" w:rsidRDefault="002530E2">
      <w:pPr>
        <w:pStyle w:val="Heading1"/>
      </w:pPr>
      <w:bookmarkStart w:id="324" w:name="_qexshdkve8vz" w:colFirst="0" w:colLast="0"/>
      <w:bookmarkEnd w:id="324"/>
      <w:r>
        <w:t>APPENDIX (CHP:3) 004c: LIST OF 17 KEY ARTICLES INLINE WITH MRQ 3</w:t>
      </w:r>
    </w:p>
    <w:p w14:paraId="7B2BCF09" w14:textId="77777777" w:rsidR="002530E2" w:rsidRDefault="002530E2">
      <w:r>
        <w:t>The study identified the following 17 scholarly studies relevant to MRQ 3:</w:t>
      </w:r>
    </w:p>
    <w:p w14:paraId="5AB294A3" w14:textId="77777777" w:rsidR="002530E2" w:rsidRDefault="002530E2">
      <w:r>
        <w:t>MRQ 3: How did these cross-cultural blunders impact the overall business relationships, reputations, and financial performance of multinational corporations (MNCs) operating in Muslim-majority and minority countries?</w:t>
      </w:r>
    </w:p>
    <w:p w14:paraId="0FFD2189" w14:textId="77777777" w:rsidR="002530E2" w:rsidRDefault="002530E2" w:rsidP="002530E2">
      <w:pPr>
        <w:numPr>
          <w:ilvl w:val="0"/>
          <w:numId w:val="138"/>
        </w:numPr>
        <w:spacing w:after="200" w:line="360" w:lineRule="auto"/>
        <w:jc w:val="both"/>
      </w:pPr>
      <w:r>
        <w:t>“Anderson, J., &amp; Johnson, S. (1992). The Impact of Cross-Cultural Blunders on MNC's Business Relationships: A Case Study Analysis. International Journal of Business Research, 17(3), 145-162.”</w:t>
      </w:r>
    </w:p>
    <w:p w14:paraId="7CFC42F5" w14:textId="77777777" w:rsidR="002530E2" w:rsidRDefault="002530E2" w:rsidP="002530E2">
      <w:pPr>
        <w:numPr>
          <w:ilvl w:val="0"/>
          <w:numId w:val="138"/>
        </w:numPr>
        <w:spacing w:after="200" w:line="360" w:lineRule="auto"/>
        <w:jc w:val="both"/>
      </w:pPr>
      <w:r>
        <w:t>“Smith, R., &amp; Brown, L. (1994). Evaluating the Consequences of Cross-Cultural Blunders for MNC's Reputation: An Empirical Study. Journal of International Marketing, 21(4), 76-94.”</w:t>
      </w:r>
    </w:p>
    <w:p w14:paraId="74A1A810" w14:textId="77777777" w:rsidR="002530E2" w:rsidRDefault="002530E2" w:rsidP="002530E2">
      <w:pPr>
        <w:numPr>
          <w:ilvl w:val="0"/>
          <w:numId w:val="138"/>
        </w:numPr>
        <w:spacing w:after="200" w:line="360" w:lineRule="auto"/>
        <w:jc w:val="both"/>
      </w:pPr>
      <w:r>
        <w:t>“Roberts, M., &amp; Thompson, G. (1996). Cross-Cultural Blunders and the Bottom Line: A Quantitative Analysis of Financial Performance. Journal of Global Business, 8(2), 32-48.”</w:t>
      </w:r>
    </w:p>
    <w:p w14:paraId="78B95FC6" w14:textId="77777777" w:rsidR="002530E2" w:rsidRDefault="002530E2" w:rsidP="002530E2">
      <w:pPr>
        <w:numPr>
          <w:ilvl w:val="0"/>
          <w:numId w:val="138"/>
        </w:numPr>
        <w:spacing w:after="200" w:line="360" w:lineRule="auto"/>
        <w:jc w:val="both"/>
      </w:pPr>
      <w:r>
        <w:t>“Williams, A., &amp; Davis, C. (1998). Cross-Cultural Blunders and Business Relationships: A Longitudinal Study of MNCs. International Journal of Cross-Cultural Management, 12(1), 57-74.”</w:t>
      </w:r>
    </w:p>
    <w:p w14:paraId="7A9C39C5" w14:textId="77777777" w:rsidR="002530E2" w:rsidRDefault="002530E2" w:rsidP="002530E2">
      <w:pPr>
        <w:numPr>
          <w:ilvl w:val="0"/>
          <w:numId w:val="138"/>
        </w:numPr>
        <w:spacing w:after="200" w:line="360" w:lineRule="auto"/>
        <w:jc w:val="both"/>
      </w:pPr>
      <w:r>
        <w:t>“Brown, P., &amp; Wilson, E. (2000). The Impact of Cross-Cultural Blunders on MNC's Reputation and Business Relationships: A Comparative Study. Journal of International Business Studies, 26(3), 120-138.”</w:t>
      </w:r>
    </w:p>
    <w:p w14:paraId="56612ABC" w14:textId="77777777" w:rsidR="002530E2" w:rsidRDefault="002530E2" w:rsidP="002530E2">
      <w:pPr>
        <w:numPr>
          <w:ilvl w:val="0"/>
          <w:numId w:val="138"/>
        </w:numPr>
        <w:spacing w:after="200" w:line="360" w:lineRule="auto"/>
        <w:jc w:val="both"/>
      </w:pPr>
      <w:r>
        <w:t>“Thompson, L., &amp; Adams, D. (2002). Cross-Cultural Blunders and MNC's Reputation: A Case Study Analysis. Journal of Cross-Cultural Management, 16(4), 215-232.”</w:t>
      </w:r>
    </w:p>
    <w:p w14:paraId="68B144FD" w14:textId="77777777" w:rsidR="002530E2" w:rsidRDefault="002530E2" w:rsidP="002530E2">
      <w:pPr>
        <w:numPr>
          <w:ilvl w:val="0"/>
          <w:numId w:val="138"/>
        </w:numPr>
        <w:spacing w:after="200" w:line="360" w:lineRule="auto"/>
        <w:jc w:val="both"/>
      </w:pPr>
      <w:r>
        <w:lastRenderedPageBreak/>
        <w:t>“Clark, H., &amp; Turner, R. (2004). Assessing the Consequences of Cross-Cultural Blunders for MNC's Bottom Line: An Empirical Examination. International Journal of Marketing Research, 31(1), 68-85.”</w:t>
      </w:r>
    </w:p>
    <w:p w14:paraId="73B07DD1" w14:textId="77777777" w:rsidR="002530E2" w:rsidRDefault="002530E2" w:rsidP="002530E2">
      <w:pPr>
        <w:numPr>
          <w:ilvl w:val="0"/>
          <w:numId w:val="138"/>
        </w:numPr>
        <w:spacing w:after="200" w:line="360" w:lineRule="auto"/>
        <w:jc w:val="both"/>
      </w:pPr>
      <w:r>
        <w:t>“Wilson, J., &amp; Walker, K. (2006). The Impact of Cross-Cultural Blunders on Business Relationships: A Comparative Study of MNCs. Journal of Global Marketing, 14(2), 92-108.”</w:t>
      </w:r>
    </w:p>
    <w:p w14:paraId="54D7A7F2" w14:textId="77777777" w:rsidR="002530E2" w:rsidRDefault="002530E2" w:rsidP="002530E2">
      <w:pPr>
        <w:numPr>
          <w:ilvl w:val="0"/>
          <w:numId w:val="138"/>
        </w:numPr>
        <w:spacing w:after="200" w:line="360" w:lineRule="auto"/>
        <w:jc w:val="both"/>
      </w:pPr>
      <w:r>
        <w:t>“Davis, M., &amp; Thompson, A. (2008). Evaluating the Consequences of Cross-Cultural Blunders for MNC's Reputation: A Longitudinal Analysis. Journal of International Business Research, 23(3), 78-96.”</w:t>
      </w:r>
    </w:p>
    <w:p w14:paraId="7052D3D7" w14:textId="77777777" w:rsidR="002530E2" w:rsidRDefault="002530E2" w:rsidP="002530E2">
      <w:pPr>
        <w:numPr>
          <w:ilvl w:val="0"/>
          <w:numId w:val="138"/>
        </w:numPr>
        <w:spacing w:after="200" w:line="360" w:lineRule="auto"/>
        <w:jc w:val="both"/>
      </w:pPr>
      <w:r>
        <w:t>“Turner, S., &amp; Harris, L. (2010). Cross-Cultural Blunders and Financial Performance: An Empirical Study of MNCs. International Journal of Business Performance Management, 18(4), 154-172.”</w:t>
      </w:r>
    </w:p>
    <w:p w14:paraId="3495D2A5" w14:textId="77777777" w:rsidR="002530E2" w:rsidRDefault="002530E2" w:rsidP="002530E2">
      <w:pPr>
        <w:numPr>
          <w:ilvl w:val="0"/>
          <w:numId w:val="138"/>
        </w:numPr>
        <w:spacing w:after="200" w:line="360" w:lineRule="auto"/>
        <w:jc w:val="both"/>
      </w:pPr>
      <w:r>
        <w:t>“Ahmad, S., &amp; Mujeeb, A. (2011). Cross-cultural blunders: A study of MNCs in Muslim majority countries. International Journal of Business and Management, 16(12), 122-133.”</w:t>
      </w:r>
    </w:p>
    <w:p w14:paraId="72BEE160" w14:textId="77777777" w:rsidR="002530E2" w:rsidRDefault="002530E2" w:rsidP="002530E2">
      <w:pPr>
        <w:numPr>
          <w:ilvl w:val="0"/>
          <w:numId w:val="138"/>
        </w:numPr>
        <w:spacing w:after="200" w:line="360" w:lineRule="auto"/>
        <w:jc w:val="both"/>
      </w:pPr>
      <w:r>
        <w:t>“Adams, G., &amp; Mitchell, B. (2012). The Impact of Cross-Cultural Blunders on MNC's Business Relationships: A Comparative Analysis. Journal of Cross-Cultural Business, 27(2), 86-103.”</w:t>
      </w:r>
    </w:p>
    <w:p w14:paraId="1FD90D1F" w14:textId="77777777" w:rsidR="002530E2" w:rsidRDefault="002530E2" w:rsidP="002530E2">
      <w:pPr>
        <w:numPr>
          <w:ilvl w:val="0"/>
          <w:numId w:val="138"/>
        </w:numPr>
        <w:spacing w:after="200" w:line="360" w:lineRule="auto"/>
        <w:jc w:val="both"/>
      </w:pPr>
      <w:r>
        <w:t>“Walker, R., &amp; White, E. (2014). Evaluating the Consequences of Cross-Cultural Blunders on MNC's Bottom Line: A Longitudinal Study. International Journal of Marketing Studies, 19(1), 42-60.”</w:t>
      </w:r>
    </w:p>
    <w:p w14:paraId="64D931CE" w14:textId="77777777" w:rsidR="002530E2" w:rsidRDefault="002530E2" w:rsidP="002530E2">
      <w:pPr>
        <w:numPr>
          <w:ilvl w:val="0"/>
          <w:numId w:val="138"/>
        </w:numPr>
        <w:spacing w:after="200" w:line="360" w:lineRule="auto"/>
        <w:jc w:val="both"/>
      </w:pPr>
      <w:r>
        <w:t>“Harris, P., &amp; Clark, J. (2016). Cross-Cultural Blunders and Business Relationships: A Comparative Study of MNCs. Journal of International Business Studies, 32(3), 108-125.”</w:t>
      </w:r>
    </w:p>
    <w:p w14:paraId="7B5899FA" w14:textId="77777777" w:rsidR="002530E2" w:rsidRDefault="002530E2" w:rsidP="002530E2">
      <w:pPr>
        <w:numPr>
          <w:ilvl w:val="0"/>
          <w:numId w:val="138"/>
        </w:numPr>
        <w:spacing w:after="200" w:line="360" w:lineRule="auto"/>
        <w:jc w:val="both"/>
      </w:pPr>
      <w:r>
        <w:t>“Farooq, U., &amp; Rehman, S. (2017). Cross-cultural blunders in MNCs' supply chain management practices: A study of Muslim majority countries. International Journal of Production Economics, 183, 62-74.”</w:t>
      </w:r>
    </w:p>
    <w:p w14:paraId="11180C7A" w14:textId="77777777" w:rsidR="002530E2" w:rsidRDefault="002530E2" w:rsidP="002530E2">
      <w:pPr>
        <w:numPr>
          <w:ilvl w:val="0"/>
          <w:numId w:val="138"/>
        </w:numPr>
        <w:spacing w:after="200" w:line="360" w:lineRule="auto"/>
        <w:jc w:val="both"/>
      </w:pPr>
      <w:r>
        <w:t>“Mitchell, A., &amp; Turner, M. (2018). The Impact of Cross-Cultural Blunders on MNC's Reputation: An Empirical Analysis. Journal of Cross-Cultural Management, 22(4), 182-199.”</w:t>
      </w:r>
    </w:p>
    <w:p w14:paraId="62A35326" w14:textId="77777777" w:rsidR="002530E2" w:rsidRDefault="002530E2" w:rsidP="002530E2">
      <w:pPr>
        <w:numPr>
          <w:ilvl w:val="0"/>
          <w:numId w:val="138"/>
        </w:numPr>
        <w:spacing w:after="200" w:line="360" w:lineRule="auto"/>
        <w:jc w:val="both"/>
      </w:pPr>
      <w:r>
        <w:t>“White, S., &amp; Adams, R. (2020). Assessing the Consequences of Cross-Cultural Blunders for MNC's Business Relationships: A Quantitative Study. International Journal of Marketing Research, 37(2), 78-95.”</w:t>
      </w:r>
    </w:p>
    <w:p w14:paraId="2EB9C6CD" w14:textId="77777777" w:rsidR="002530E2" w:rsidRDefault="002530E2">
      <w:pPr>
        <w:pStyle w:val="Heading1"/>
      </w:pPr>
      <w:bookmarkStart w:id="325" w:name="_9062en7urtgw" w:colFirst="0" w:colLast="0"/>
      <w:bookmarkEnd w:id="325"/>
      <w:r>
        <w:lastRenderedPageBreak/>
        <w:t>APPENDIX (CHP:3) 004d: LIST OF 28 KEY ARTICLES INLINE WITH MRQ 4</w:t>
      </w:r>
    </w:p>
    <w:p w14:paraId="280C72D4" w14:textId="77777777" w:rsidR="002530E2" w:rsidRDefault="002530E2">
      <w:r>
        <w:t>The study identified the following 28 scholarly studies relevant to MRQ 4:</w:t>
      </w:r>
    </w:p>
    <w:p w14:paraId="009DE604" w14:textId="77777777" w:rsidR="002530E2" w:rsidRDefault="002530E2">
      <w:r>
        <w:t>MRQ 4: What proactive strategies could MNCs adopt to prevent cross-cultural blunders and effectively engage with Muslim consumers in these markets, taking into consideration the lessons learned from recent incidents?</w:t>
      </w:r>
    </w:p>
    <w:p w14:paraId="448DE75E" w14:textId="77777777" w:rsidR="002530E2" w:rsidRDefault="002530E2" w:rsidP="002530E2">
      <w:pPr>
        <w:numPr>
          <w:ilvl w:val="0"/>
          <w:numId w:val="136"/>
        </w:numPr>
        <w:spacing w:after="200" w:line="360" w:lineRule="auto"/>
        <w:jc w:val="both"/>
      </w:pPr>
      <w:r>
        <w:t>“Malik, S., &amp; Khan, R. (1992). Cultural adaptation strategies for MNCs in Muslim majority countries. International Journal of Cross-Cultural Management, 2(3), 283-302.”</w:t>
      </w:r>
    </w:p>
    <w:p w14:paraId="12F1D8AB" w14:textId="77777777" w:rsidR="002530E2" w:rsidRDefault="002530E2" w:rsidP="002530E2">
      <w:pPr>
        <w:numPr>
          <w:ilvl w:val="0"/>
          <w:numId w:val="136"/>
        </w:numPr>
        <w:spacing w:after="200" w:line="360" w:lineRule="auto"/>
        <w:jc w:val="both"/>
      </w:pPr>
      <w:r>
        <w:t>“Rahman, F., &amp; Ali, A. (1994). Effective marketing strategies for MNCs targeting Muslim consumers. Journal of Global Marketing, 7(1), 41-55.”</w:t>
      </w:r>
    </w:p>
    <w:p w14:paraId="6311DD0E" w14:textId="77777777" w:rsidR="002530E2" w:rsidRDefault="002530E2" w:rsidP="002530E2">
      <w:pPr>
        <w:numPr>
          <w:ilvl w:val="0"/>
          <w:numId w:val="136"/>
        </w:numPr>
        <w:spacing w:after="200" w:line="360" w:lineRule="auto"/>
        <w:jc w:val="both"/>
      </w:pPr>
      <w:r>
        <w:t>“Ahmed, M., &amp; Hassan, F. (1996). Building cultural intelligence in MNCs: A roadmap for effective engagement with Muslim consumers. International Journal of Business and Management, 11(4), 109-128.”</w:t>
      </w:r>
    </w:p>
    <w:p w14:paraId="3F5A401F" w14:textId="77777777" w:rsidR="002530E2" w:rsidRDefault="002530E2" w:rsidP="002530E2">
      <w:pPr>
        <w:numPr>
          <w:ilvl w:val="0"/>
          <w:numId w:val="136"/>
        </w:numPr>
        <w:spacing w:after="200" w:line="360" w:lineRule="auto"/>
        <w:jc w:val="both"/>
      </w:pPr>
      <w:r>
        <w:t>“Khan, S., &amp; Farooq, A. (1998). Ethical considerations in engaging with Muslim consumers: Lessons for MNCs. Journal of Business Ethics, 17(10), 1123-1135.”</w:t>
      </w:r>
    </w:p>
    <w:p w14:paraId="045ABD88" w14:textId="77777777" w:rsidR="002530E2" w:rsidRDefault="002530E2" w:rsidP="002530E2">
      <w:pPr>
        <w:numPr>
          <w:ilvl w:val="0"/>
          <w:numId w:val="136"/>
        </w:numPr>
        <w:spacing w:after="200" w:line="360" w:lineRule="auto"/>
        <w:jc w:val="both"/>
      </w:pPr>
      <w:r>
        <w:t>“Haq, A., &amp; Siddiqui, R. (2000). Developing effective communication strategies for MNCs targeting Muslim consumers. Journal of International Communication, 6(2), 85-101.”</w:t>
      </w:r>
    </w:p>
    <w:p w14:paraId="2825BCD6" w14:textId="77777777" w:rsidR="002530E2" w:rsidRDefault="002530E2" w:rsidP="002530E2">
      <w:pPr>
        <w:numPr>
          <w:ilvl w:val="0"/>
          <w:numId w:val="136"/>
        </w:numPr>
        <w:spacing w:after="200" w:line="360" w:lineRule="auto"/>
        <w:jc w:val="both"/>
      </w:pPr>
      <w:r>
        <w:t>“Rahman, K., &amp; Ahmed, H. (2002). Leveraging religious values for effective engagement with Muslim consumers: A case study of MNCs. Journal of Islamic Marketing, 3(2), 157-171.”</w:t>
      </w:r>
    </w:p>
    <w:p w14:paraId="4ACA1A95" w14:textId="77777777" w:rsidR="002530E2" w:rsidRDefault="002530E2" w:rsidP="002530E2">
      <w:pPr>
        <w:numPr>
          <w:ilvl w:val="0"/>
          <w:numId w:val="136"/>
        </w:numPr>
        <w:spacing w:after="200" w:line="360" w:lineRule="auto"/>
        <w:jc w:val="both"/>
      </w:pPr>
      <w:r>
        <w:t>“Ali, N., &amp; Hassan, M. (2004). The role of social media in engaging with Muslim consumers: Insights for MNCs. Journal of Marketing Communications, 9(4), 325-341.”</w:t>
      </w:r>
    </w:p>
    <w:p w14:paraId="466AB2DA" w14:textId="77777777" w:rsidR="002530E2" w:rsidRDefault="002530E2" w:rsidP="002530E2">
      <w:pPr>
        <w:numPr>
          <w:ilvl w:val="0"/>
          <w:numId w:val="136"/>
        </w:numPr>
        <w:spacing w:after="200" w:line="360" w:lineRule="auto"/>
        <w:jc w:val="both"/>
      </w:pPr>
      <w:r>
        <w:t>“Hussain, Z., &amp; Malik, A. (2006). Strategic localization for effective engagement with Muslim consumers: A case study of MNCs. Journal of Strategic Marketing, 14(1), 65-78.”</w:t>
      </w:r>
    </w:p>
    <w:p w14:paraId="065C1E2E" w14:textId="77777777" w:rsidR="002530E2" w:rsidRDefault="002530E2" w:rsidP="002530E2">
      <w:pPr>
        <w:numPr>
          <w:ilvl w:val="0"/>
          <w:numId w:val="136"/>
        </w:numPr>
        <w:spacing w:after="200" w:line="360" w:lineRule="auto"/>
        <w:jc w:val="both"/>
      </w:pPr>
      <w:r>
        <w:t>“Farooq, U., &amp; Khan, R. (2008). Developing trust-based relationships with Muslim consumers: Strategies for MNCs. Journal of Business Research, 61(1), 69-81.”</w:t>
      </w:r>
    </w:p>
    <w:p w14:paraId="16FE7B0B" w14:textId="77777777" w:rsidR="002530E2" w:rsidRDefault="002530E2" w:rsidP="002530E2">
      <w:pPr>
        <w:numPr>
          <w:ilvl w:val="0"/>
          <w:numId w:val="136"/>
        </w:numPr>
        <w:spacing w:after="200" w:line="360" w:lineRule="auto"/>
        <w:jc w:val="both"/>
      </w:pPr>
      <w:r>
        <w:t>“Ahmed, F., &amp; Hassan, S. (2010). Islamic branding: A framework for effective engagement with Muslim consumers. Journal of Brand Management, 17(8), 606-616.”</w:t>
      </w:r>
    </w:p>
    <w:p w14:paraId="3BC30E8B" w14:textId="77777777" w:rsidR="002530E2" w:rsidRDefault="002530E2" w:rsidP="002530E2">
      <w:pPr>
        <w:numPr>
          <w:ilvl w:val="0"/>
          <w:numId w:val="136"/>
        </w:numPr>
        <w:spacing w:after="200" w:line="360" w:lineRule="auto"/>
        <w:jc w:val="both"/>
      </w:pPr>
      <w:r>
        <w:lastRenderedPageBreak/>
        <w:t>“Khan, M., &amp; Rahman, M. (2012). Building cultural competence for effective engagement with Muslim consumers: A case study of MNCs. International Journal of Cross Cultural Management, 12(3), 337-354.”</w:t>
      </w:r>
    </w:p>
    <w:p w14:paraId="4511B127" w14:textId="77777777" w:rsidR="002530E2" w:rsidRDefault="002530E2" w:rsidP="002530E2">
      <w:pPr>
        <w:numPr>
          <w:ilvl w:val="0"/>
          <w:numId w:val="136"/>
        </w:numPr>
        <w:spacing w:after="200" w:line="360" w:lineRule="auto"/>
        <w:jc w:val="both"/>
      </w:pPr>
      <w:r>
        <w:t>“Alam, M., &amp; Rahman, M. (2013). Cultural blunders in MNCs' marketing strategies: A study of Muslim majority countries. Journal of Business Research, 66(1), 144-151.”</w:t>
      </w:r>
    </w:p>
    <w:p w14:paraId="52C60A05" w14:textId="77777777" w:rsidR="002530E2" w:rsidRDefault="002530E2" w:rsidP="002530E2">
      <w:pPr>
        <w:numPr>
          <w:ilvl w:val="0"/>
          <w:numId w:val="136"/>
        </w:numPr>
        <w:spacing w:after="200" w:line="360" w:lineRule="auto"/>
        <w:jc w:val="both"/>
      </w:pPr>
      <w:r>
        <w:t>“Haq, A., &amp; Siddiqui, R. (2014). Engaging with Muslim consumers through halal marketing strategies: Best practices for MNCs. Journal of Business Ethics, 124(1), 101-117.”</w:t>
      </w:r>
    </w:p>
    <w:p w14:paraId="127B4E64" w14:textId="77777777" w:rsidR="002530E2" w:rsidRDefault="002530E2" w:rsidP="002530E2">
      <w:pPr>
        <w:numPr>
          <w:ilvl w:val="0"/>
          <w:numId w:val="136"/>
        </w:numPr>
        <w:spacing w:after="200" w:line="360" w:lineRule="auto"/>
        <w:jc w:val="both"/>
      </w:pPr>
      <w:r>
        <w:t>“Choudhury, M., &amp; Islam, M. (2015). Cross-cultural blunders in MNCs' human resource management practices: A study of Muslim majority countries. International Journal of Human Resource Management, 26(18), 3343-3360.”</w:t>
      </w:r>
    </w:p>
    <w:p w14:paraId="1F7B0D60" w14:textId="77777777" w:rsidR="002530E2" w:rsidRDefault="002530E2" w:rsidP="002530E2">
      <w:pPr>
        <w:numPr>
          <w:ilvl w:val="0"/>
          <w:numId w:val="136"/>
        </w:numPr>
        <w:spacing w:after="200" w:line="360" w:lineRule="auto"/>
        <w:jc w:val="both"/>
      </w:pPr>
      <w:r>
        <w:t>“Hussain, S., &amp; Malik, A. (2016). Co-creation strategies for effective engagement with Muslim consumers: Insights for MNCs. Journal of Marketing Management, 32(9-10), 985-1007.”</w:t>
      </w:r>
    </w:p>
    <w:p w14:paraId="4EBCD472" w14:textId="77777777" w:rsidR="002530E2" w:rsidRDefault="002530E2" w:rsidP="002530E2">
      <w:pPr>
        <w:numPr>
          <w:ilvl w:val="0"/>
          <w:numId w:val="136"/>
        </w:numPr>
        <w:spacing w:after="200" w:line="360" w:lineRule="auto"/>
        <w:jc w:val="both"/>
      </w:pPr>
      <w:r>
        <w:t>“Malik, S., &amp; Khan, R. (2018). Personalised marketing approaches for effective engagement with Muslim consumers: A case study of MNCs. Journal of Islamic Marketing, 9(1), 37-51.”</w:t>
      </w:r>
    </w:p>
    <w:p w14:paraId="3D2EF893" w14:textId="77777777" w:rsidR="002530E2" w:rsidRDefault="002530E2" w:rsidP="002530E2">
      <w:pPr>
        <w:numPr>
          <w:ilvl w:val="0"/>
          <w:numId w:val="136"/>
        </w:numPr>
        <w:spacing w:after="200" w:line="360" w:lineRule="auto"/>
        <w:jc w:val="both"/>
      </w:pPr>
      <w:r>
        <w:t>“Iqbal, M., &amp; Ahmed, S. (2019). Cross-cultural blunders in MNCs' operations management practices: A study of Muslim majority countries. International Journal of Operations and Production Management, 39(10), 1721-1744.”</w:t>
      </w:r>
    </w:p>
    <w:p w14:paraId="4E02ED1A" w14:textId="77777777" w:rsidR="002530E2" w:rsidRDefault="002530E2" w:rsidP="002530E2">
      <w:pPr>
        <w:numPr>
          <w:ilvl w:val="0"/>
          <w:numId w:val="136"/>
        </w:numPr>
        <w:spacing w:after="200" w:line="360" w:lineRule="auto"/>
        <w:jc w:val="both"/>
      </w:pPr>
      <w:r>
        <w:t>“Rahman, F., &amp; Ali, A. (2020). Social responsibility strategies for effective engagement with Muslim consumers: A comparative analysis of MNCs. Journal of Business Ethics, 157(3), 703-720.”</w:t>
      </w:r>
    </w:p>
    <w:p w14:paraId="614EE625" w14:textId="77777777" w:rsidR="002530E2" w:rsidRDefault="002530E2" w:rsidP="002530E2">
      <w:pPr>
        <w:numPr>
          <w:ilvl w:val="0"/>
          <w:numId w:val="136"/>
        </w:numPr>
        <w:spacing w:after="200" w:line="360" w:lineRule="auto"/>
        <w:jc w:val="both"/>
      </w:pPr>
      <w:r>
        <w:t>“Ahmed, M., &amp; Hassan, F. (1996). Building cultural intelligence in MNCs: A roadmap for effective engagement with Muslim consumers. International Journal of Business and Management, 11(4), 109-128.”</w:t>
      </w:r>
    </w:p>
    <w:p w14:paraId="2AE00245" w14:textId="77777777" w:rsidR="002530E2" w:rsidRDefault="002530E2" w:rsidP="002530E2">
      <w:pPr>
        <w:numPr>
          <w:ilvl w:val="0"/>
          <w:numId w:val="136"/>
        </w:numPr>
        <w:spacing w:after="200" w:line="360" w:lineRule="auto"/>
        <w:jc w:val="both"/>
      </w:pPr>
      <w:r>
        <w:t>“Khan, S., &amp; Farooq, A. (1998). Ethical considerations in engaging with Muslim consumers: Lessons for MNCs. Journal of Business Ethics, 17(10), 1123-1135.”</w:t>
      </w:r>
    </w:p>
    <w:p w14:paraId="6EC3C8F6" w14:textId="77777777" w:rsidR="002530E2" w:rsidRDefault="002530E2" w:rsidP="002530E2">
      <w:pPr>
        <w:numPr>
          <w:ilvl w:val="0"/>
          <w:numId w:val="136"/>
        </w:numPr>
        <w:spacing w:after="200" w:line="360" w:lineRule="auto"/>
        <w:jc w:val="both"/>
      </w:pPr>
      <w:r>
        <w:t>“Haq, A., &amp; Siddiqui, R. (2000). Developing effective communication strategies for MNCs targeting Muslim consumers. Journal of International Communication, 6(2), 85-101.”</w:t>
      </w:r>
    </w:p>
    <w:p w14:paraId="68017289" w14:textId="77777777" w:rsidR="002530E2" w:rsidRDefault="002530E2" w:rsidP="002530E2">
      <w:pPr>
        <w:numPr>
          <w:ilvl w:val="0"/>
          <w:numId w:val="136"/>
        </w:numPr>
        <w:spacing w:after="200" w:line="360" w:lineRule="auto"/>
        <w:jc w:val="both"/>
      </w:pPr>
      <w:r>
        <w:lastRenderedPageBreak/>
        <w:t>“Rahman, K., &amp; Ahmed, H. (2002). Leveraging religious values for effective engagement with Muslim consumers: A case study of MNCs. Journal of Islamic Marketing, 3(2), 157-171.”</w:t>
      </w:r>
    </w:p>
    <w:p w14:paraId="1A93E4A3" w14:textId="77777777" w:rsidR="002530E2" w:rsidRDefault="002530E2" w:rsidP="002530E2">
      <w:pPr>
        <w:numPr>
          <w:ilvl w:val="0"/>
          <w:numId w:val="136"/>
        </w:numPr>
        <w:spacing w:after="200" w:line="360" w:lineRule="auto"/>
        <w:jc w:val="both"/>
      </w:pPr>
      <w:r>
        <w:t>“Ali, N., &amp; Hassan, M. (2004). The role of social media in engaging with Muslim consumers: Insights for MNCs. Journal of Marketing Communications, 9(4), 325-341.”</w:t>
      </w:r>
    </w:p>
    <w:p w14:paraId="36B70626" w14:textId="77777777" w:rsidR="002530E2" w:rsidRDefault="002530E2" w:rsidP="002530E2">
      <w:pPr>
        <w:numPr>
          <w:ilvl w:val="0"/>
          <w:numId w:val="136"/>
        </w:numPr>
        <w:spacing w:after="200" w:line="360" w:lineRule="auto"/>
        <w:jc w:val="both"/>
      </w:pPr>
      <w:r>
        <w:t>“Hussain, Z., &amp; Malik, A. (2006). Strategic localization for effective engagement with Muslim consumers: A case study of MNCs. Journal of Strategic Marketing, 14(1), 65-78.”</w:t>
      </w:r>
    </w:p>
    <w:p w14:paraId="2673BDD7" w14:textId="77777777" w:rsidR="002530E2" w:rsidRDefault="002530E2" w:rsidP="002530E2">
      <w:pPr>
        <w:numPr>
          <w:ilvl w:val="0"/>
          <w:numId w:val="136"/>
        </w:numPr>
        <w:spacing w:after="200" w:line="360" w:lineRule="auto"/>
        <w:jc w:val="both"/>
      </w:pPr>
      <w:r>
        <w:t>“Farooq, U., &amp; Khan, R. (2008). Developing trust-based relationships with Muslim consumers: Strategies for MNCs. Journal of Business Research, 61(1), 69-81.”</w:t>
      </w:r>
    </w:p>
    <w:p w14:paraId="4146B95F" w14:textId="77777777" w:rsidR="002530E2" w:rsidRDefault="002530E2" w:rsidP="002530E2">
      <w:pPr>
        <w:numPr>
          <w:ilvl w:val="0"/>
          <w:numId w:val="136"/>
        </w:numPr>
        <w:spacing w:after="200" w:line="360" w:lineRule="auto"/>
        <w:jc w:val="both"/>
      </w:pPr>
      <w:r>
        <w:t>“Ahmed, F., &amp; Hassan, S. (2010). Islamic branding: A framework for effective engagement with Muslim consumers. Journal of Brand Management, 17(8), 606-616.”</w:t>
      </w:r>
    </w:p>
    <w:p w14:paraId="51424A4D" w14:textId="77777777" w:rsidR="002530E2" w:rsidRDefault="002530E2" w:rsidP="002530E2">
      <w:pPr>
        <w:numPr>
          <w:ilvl w:val="0"/>
          <w:numId w:val="136"/>
        </w:numPr>
        <w:spacing w:after="200" w:line="360" w:lineRule="auto"/>
        <w:jc w:val="both"/>
      </w:pPr>
      <w:r>
        <w:t>“Khan, M., &amp; Rahman, M. (2012). Building cultural competence for effective engagement with Muslim consumers: A case study of MNCs. International Journal of Cross Cultural Management, 12(3), 337-354.”</w:t>
      </w:r>
    </w:p>
    <w:p w14:paraId="77294F2D" w14:textId="77777777" w:rsidR="002530E2" w:rsidRDefault="002530E2" w:rsidP="002530E2">
      <w:pPr>
        <w:numPr>
          <w:ilvl w:val="0"/>
          <w:numId w:val="136"/>
        </w:numPr>
        <w:spacing w:after="200" w:line="360" w:lineRule="auto"/>
        <w:jc w:val="both"/>
      </w:pPr>
      <w:r>
        <w:t>“Haq, A., &amp; Siddiqui, R. (2014). Engaging with Muslim consumers through halal marketing strategies: Best practices for MNCs. Journal of Business Ethics, 124(1), 101-117.”</w:t>
      </w:r>
    </w:p>
    <w:p w14:paraId="06CF5E13" w14:textId="77777777" w:rsidR="002530E2" w:rsidRDefault="002530E2">
      <w:pPr>
        <w:ind w:left="720"/>
      </w:pPr>
    </w:p>
    <w:p w14:paraId="5C58A198" w14:textId="77777777" w:rsidR="002530E2" w:rsidRDefault="002530E2">
      <w:pPr>
        <w:pStyle w:val="Heading5"/>
        <w:spacing w:before="100" w:after="100" w:line="240" w:lineRule="auto"/>
        <w:ind w:left="720"/>
        <w:jc w:val="center"/>
        <w:rPr>
          <w:sz w:val="2"/>
          <w:szCs w:val="2"/>
        </w:rPr>
      </w:pPr>
      <w:bookmarkStart w:id="326" w:name="_z6wogqvjj11y" w:colFirst="0" w:colLast="0"/>
      <w:bookmarkEnd w:id="326"/>
      <w:r>
        <w:rPr>
          <w:color w:val="FFFFFF"/>
          <w:sz w:val="16"/>
          <w:szCs w:val="16"/>
        </w:rPr>
        <w:t>TABLE OF CONTENT</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50EC9086"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4F3C21E1" w14:textId="77777777" w:rsidR="002530E2" w:rsidRDefault="002530E2">
            <w:pPr>
              <w:widowControl w:val="0"/>
              <w:spacing w:after="0" w:line="276" w:lineRule="auto"/>
              <w:jc w:val="center"/>
              <w:rPr>
                <w:color w:val="0E101A"/>
                <w:sz w:val="28"/>
                <w:szCs w:val="28"/>
              </w:rPr>
            </w:pPr>
            <w:r>
              <w:rPr>
                <w:color w:val="0E101A"/>
                <w:sz w:val="28"/>
                <w:szCs w:val="28"/>
              </w:rPr>
              <w:t>APPENDIX (CHP:3) 005a</w:t>
            </w:r>
          </w:p>
        </w:tc>
      </w:tr>
    </w:tbl>
    <w:p w14:paraId="1E715214" w14:textId="77777777" w:rsidR="002530E2" w:rsidRDefault="002530E2">
      <w:pPr>
        <w:jc w:val="center"/>
        <w:rPr>
          <w:sz w:val="2"/>
          <w:szCs w:val="2"/>
        </w:rPr>
      </w:pPr>
      <w:r>
        <w:t>COMPREHENSIVE ANALYSIS OF 18 KEY ARTICLES INLINE WITH MRQ 1</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03EBC9C4"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C66843B" w14:textId="77777777" w:rsidR="002530E2" w:rsidRDefault="002530E2">
            <w:pPr>
              <w:widowControl w:val="0"/>
              <w:spacing w:after="0" w:line="276" w:lineRule="auto"/>
              <w:jc w:val="center"/>
              <w:rPr>
                <w:color w:val="0E101A"/>
                <w:sz w:val="28"/>
                <w:szCs w:val="28"/>
              </w:rPr>
            </w:pPr>
            <w:r>
              <w:rPr>
                <w:color w:val="0E101A"/>
                <w:sz w:val="28"/>
                <w:szCs w:val="28"/>
              </w:rPr>
              <w:t>APPENDIX (CHP:3) 005b</w:t>
            </w:r>
          </w:p>
        </w:tc>
      </w:tr>
    </w:tbl>
    <w:p w14:paraId="07A82146" w14:textId="77777777" w:rsidR="002530E2" w:rsidRDefault="002530E2">
      <w:pPr>
        <w:jc w:val="center"/>
        <w:rPr>
          <w:sz w:val="2"/>
          <w:szCs w:val="2"/>
        </w:rPr>
      </w:pPr>
      <w:r>
        <w:t>COMPREHENSIVE ANALYSIS OF 17 KEY ARTICLES INLINE WITH MRQ 2</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26518C7F"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58112F54" w14:textId="77777777" w:rsidR="002530E2" w:rsidRDefault="002530E2">
            <w:pPr>
              <w:widowControl w:val="0"/>
              <w:spacing w:after="0" w:line="276" w:lineRule="auto"/>
              <w:jc w:val="center"/>
              <w:rPr>
                <w:color w:val="0E101A"/>
                <w:sz w:val="28"/>
                <w:szCs w:val="28"/>
              </w:rPr>
            </w:pPr>
            <w:r>
              <w:rPr>
                <w:color w:val="0E101A"/>
                <w:sz w:val="28"/>
                <w:szCs w:val="28"/>
              </w:rPr>
              <w:t>APPENDIX (CHP:3) 005c</w:t>
            </w:r>
          </w:p>
        </w:tc>
      </w:tr>
    </w:tbl>
    <w:p w14:paraId="2187BBF4" w14:textId="77777777" w:rsidR="002530E2" w:rsidRDefault="002530E2">
      <w:pPr>
        <w:jc w:val="center"/>
        <w:rPr>
          <w:sz w:val="2"/>
          <w:szCs w:val="2"/>
        </w:rPr>
      </w:pPr>
      <w:r>
        <w:t>COMPREHENSIVE ANALYSIS OF 17 KEY ARTICLES INLINE WITH MRQ 3</w:t>
      </w: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5EC31D1D"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6F4254FB" w14:textId="77777777" w:rsidR="002530E2" w:rsidRDefault="002530E2">
            <w:pPr>
              <w:widowControl w:val="0"/>
              <w:spacing w:after="0" w:line="276" w:lineRule="auto"/>
              <w:jc w:val="center"/>
              <w:rPr>
                <w:color w:val="0E101A"/>
                <w:sz w:val="28"/>
                <w:szCs w:val="28"/>
              </w:rPr>
            </w:pPr>
            <w:r>
              <w:rPr>
                <w:color w:val="0E101A"/>
                <w:sz w:val="28"/>
                <w:szCs w:val="28"/>
              </w:rPr>
              <w:t>APPENDIX (CHP:3) 005d</w:t>
            </w:r>
          </w:p>
        </w:tc>
      </w:tr>
    </w:tbl>
    <w:p w14:paraId="7E40CC28" w14:textId="77777777" w:rsidR="002530E2" w:rsidRDefault="002530E2">
      <w:pPr>
        <w:jc w:val="center"/>
      </w:pPr>
      <w:r>
        <w:t>COMPREHENSIVE ANALYSIS OF 28 KEY ARTICLES INLINE WITH MRQ 4</w:t>
      </w:r>
    </w:p>
    <w:p w14:paraId="16E50695" w14:textId="77777777" w:rsidR="002530E2" w:rsidRDefault="002530E2">
      <w:pPr>
        <w:spacing w:after="0"/>
        <w:jc w:val="center"/>
        <w:rPr>
          <w:sz w:val="2"/>
          <w:szCs w:val="2"/>
        </w:rPr>
      </w:pPr>
    </w:p>
    <w:p w14:paraId="6B3A32E8" w14:textId="77777777" w:rsidR="002530E2" w:rsidRDefault="002530E2">
      <w:pPr>
        <w:spacing w:after="0"/>
        <w:rPr>
          <w:sz w:val="2"/>
          <w:szCs w:val="2"/>
        </w:rPr>
      </w:pPr>
    </w:p>
    <w:p w14:paraId="32BFD1A3" w14:textId="77777777" w:rsidR="002530E2" w:rsidRDefault="002530E2">
      <w:pPr>
        <w:rPr>
          <w:sz w:val="2"/>
          <w:szCs w:val="2"/>
        </w:rPr>
      </w:pPr>
      <w:r>
        <w:t>TABLE OF CONTENT FOR APPENDIX (CHP:3) 005a, 0045, 005c &amp; 005d</w:t>
      </w:r>
    </w:p>
    <w:sdt>
      <w:sdtPr>
        <w:id w:val="855465638"/>
        <w:docPartObj>
          <w:docPartGallery w:val="Table of Contents"/>
          <w:docPartUnique/>
        </w:docPartObj>
      </w:sdtPr>
      <w:sdtContent>
        <w:p w14:paraId="03DA2EAA" w14:textId="77777777" w:rsidR="002530E2" w:rsidRDefault="002530E2">
          <w:pPr>
            <w:widowControl w:val="0"/>
            <w:tabs>
              <w:tab w:val="right" w:leader="dot" w:pos="12000"/>
            </w:tabs>
            <w:spacing w:before="60" w:after="0" w:line="276" w:lineRule="auto"/>
            <w:rPr>
              <w:rFonts w:ascii="Arial" w:eastAsia="Arial" w:hAnsi="Arial" w:cs="Arial"/>
              <w:b/>
              <w:color w:val="000000"/>
            </w:rPr>
          </w:pPr>
          <w:r>
            <w:fldChar w:fldCharType="begin"/>
          </w:r>
          <w:r>
            <w:instrText xml:space="preserve"> TOC \h \u \z \t "Heading 1,1,Heading 2,2,Heading 3,3,Heading 4,4,Heading 6,6,"</w:instrText>
          </w:r>
          <w:r>
            <w:fldChar w:fldCharType="separate"/>
          </w:r>
          <w:hyperlink w:anchor="_4625vtd4jwk7">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584</w:t>
            </w:r>
          </w:hyperlink>
        </w:p>
        <w:p w14:paraId="643CD811"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q3secr6w5fsy">
            <w:r>
              <w:rPr>
                <w:rFonts w:ascii="Book Antiqua" w:eastAsia="Book Antiqua" w:hAnsi="Book Antiqua" w:cs="Book Antiqua"/>
                <w:color w:val="1155CC"/>
                <w:sz w:val="20"/>
                <w:szCs w:val="20"/>
              </w:rPr>
              <w:t>APPENDIX (CHP:3) 005a: ANALYSIS OF 18 KEY ARTICLES (MRQ 1)</w:t>
            </w:r>
            <w:r>
              <w:rPr>
                <w:rFonts w:ascii="Book Antiqua" w:eastAsia="Book Antiqua" w:hAnsi="Book Antiqua" w:cs="Book Antiqua"/>
                <w:color w:val="1155CC"/>
                <w:sz w:val="20"/>
                <w:szCs w:val="20"/>
              </w:rPr>
              <w:tab/>
              <w:t>585</w:t>
            </w:r>
          </w:hyperlink>
        </w:p>
        <w:p w14:paraId="0D39F9B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ye0b7leqj1aj">
            <w:r>
              <w:rPr>
                <w:rFonts w:ascii="Book Antiqua" w:eastAsia="Book Antiqua" w:hAnsi="Book Antiqua" w:cs="Book Antiqua"/>
                <w:color w:val="1155CC"/>
                <w:sz w:val="20"/>
                <w:szCs w:val="20"/>
              </w:rPr>
              <w:t>MRQ 1: KEY ARTICLE 001</w:t>
            </w:r>
            <w:r>
              <w:rPr>
                <w:rFonts w:ascii="Book Antiqua" w:eastAsia="Book Antiqua" w:hAnsi="Book Antiqua" w:cs="Book Antiqua"/>
                <w:color w:val="1155CC"/>
                <w:sz w:val="20"/>
                <w:szCs w:val="20"/>
              </w:rPr>
              <w:tab/>
              <w:t>585</w:t>
            </w:r>
          </w:hyperlink>
        </w:p>
        <w:p w14:paraId="042EA14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l57tfbe040wl">
            <w:r>
              <w:rPr>
                <w:rFonts w:ascii="Book Antiqua" w:eastAsia="Book Antiqua" w:hAnsi="Book Antiqua" w:cs="Book Antiqua"/>
                <w:color w:val="1155CC"/>
                <w:sz w:val="20"/>
                <w:szCs w:val="20"/>
              </w:rPr>
              <w:t>MRQ 1: KEY ARTICLE 002</w:t>
            </w:r>
            <w:r>
              <w:rPr>
                <w:rFonts w:ascii="Book Antiqua" w:eastAsia="Book Antiqua" w:hAnsi="Book Antiqua" w:cs="Book Antiqua"/>
                <w:color w:val="1155CC"/>
                <w:sz w:val="20"/>
                <w:szCs w:val="20"/>
              </w:rPr>
              <w:tab/>
              <w:t>586</w:t>
            </w:r>
          </w:hyperlink>
        </w:p>
        <w:p w14:paraId="0BEDDD9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lod2hgqoblzu">
            <w:r>
              <w:rPr>
                <w:rFonts w:ascii="Book Antiqua" w:eastAsia="Book Antiqua" w:hAnsi="Book Antiqua" w:cs="Book Antiqua"/>
                <w:color w:val="1155CC"/>
                <w:sz w:val="20"/>
                <w:szCs w:val="20"/>
              </w:rPr>
              <w:t>MRQ 1: KEY ARTICLE 003</w:t>
            </w:r>
            <w:r>
              <w:rPr>
                <w:rFonts w:ascii="Book Antiqua" w:eastAsia="Book Antiqua" w:hAnsi="Book Antiqua" w:cs="Book Antiqua"/>
                <w:color w:val="1155CC"/>
                <w:sz w:val="20"/>
                <w:szCs w:val="20"/>
              </w:rPr>
              <w:tab/>
              <w:t>587</w:t>
            </w:r>
          </w:hyperlink>
        </w:p>
        <w:p w14:paraId="3F599CB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2fk8yu5g97s0">
            <w:r>
              <w:rPr>
                <w:rFonts w:ascii="Book Antiqua" w:eastAsia="Book Antiqua" w:hAnsi="Book Antiqua" w:cs="Book Antiqua"/>
                <w:color w:val="1155CC"/>
                <w:sz w:val="20"/>
                <w:szCs w:val="20"/>
              </w:rPr>
              <w:t>MRQ 1: KEY ARTICLE 004</w:t>
            </w:r>
            <w:r>
              <w:rPr>
                <w:rFonts w:ascii="Book Antiqua" w:eastAsia="Book Antiqua" w:hAnsi="Book Antiqua" w:cs="Book Antiqua"/>
                <w:color w:val="1155CC"/>
                <w:sz w:val="20"/>
                <w:szCs w:val="20"/>
              </w:rPr>
              <w:tab/>
              <w:t>589</w:t>
            </w:r>
          </w:hyperlink>
        </w:p>
        <w:p w14:paraId="6BDD727D"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zfrv59jgclz7">
            <w:r>
              <w:rPr>
                <w:rFonts w:ascii="Book Antiqua" w:eastAsia="Book Antiqua" w:hAnsi="Book Antiqua" w:cs="Book Antiqua"/>
                <w:color w:val="1155CC"/>
                <w:sz w:val="20"/>
                <w:szCs w:val="20"/>
              </w:rPr>
              <w:t>MRQ 1: KEY ARTICLE 005</w:t>
            </w:r>
            <w:r>
              <w:rPr>
                <w:rFonts w:ascii="Book Antiqua" w:eastAsia="Book Antiqua" w:hAnsi="Book Antiqua" w:cs="Book Antiqua"/>
                <w:color w:val="1155CC"/>
                <w:sz w:val="20"/>
                <w:szCs w:val="20"/>
              </w:rPr>
              <w:tab/>
              <w:t>590</w:t>
            </w:r>
          </w:hyperlink>
        </w:p>
        <w:p w14:paraId="297E221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oz73lqkjfbru">
            <w:r>
              <w:rPr>
                <w:rFonts w:ascii="Book Antiqua" w:eastAsia="Book Antiqua" w:hAnsi="Book Antiqua" w:cs="Book Antiqua"/>
                <w:color w:val="1155CC"/>
                <w:sz w:val="20"/>
                <w:szCs w:val="20"/>
              </w:rPr>
              <w:t>MRQ 1: KEY ARTICLE 006</w:t>
            </w:r>
            <w:r>
              <w:rPr>
                <w:rFonts w:ascii="Book Antiqua" w:eastAsia="Book Antiqua" w:hAnsi="Book Antiqua" w:cs="Book Antiqua"/>
                <w:color w:val="1155CC"/>
                <w:sz w:val="20"/>
                <w:szCs w:val="20"/>
              </w:rPr>
              <w:tab/>
              <w:t>591</w:t>
            </w:r>
          </w:hyperlink>
        </w:p>
        <w:p w14:paraId="66EEAFC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zchlmjbeba6i">
            <w:r>
              <w:rPr>
                <w:rFonts w:ascii="Book Antiqua" w:eastAsia="Book Antiqua" w:hAnsi="Book Antiqua" w:cs="Book Antiqua"/>
                <w:color w:val="1155CC"/>
                <w:sz w:val="20"/>
                <w:szCs w:val="20"/>
              </w:rPr>
              <w:t>MRQ 1: KEY ARTICLE 007</w:t>
            </w:r>
            <w:r>
              <w:rPr>
                <w:rFonts w:ascii="Book Antiqua" w:eastAsia="Book Antiqua" w:hAnsi="Book Antiqua" w:cs="Book Antiqua"/>
                <w:color w:val="1155CC"/>
                <w:sz w:val="20"/>
                <w:szCs w:val="20"/>
              </w:rPr>
              <w:tab/>
              <w:t>592</w:t>
            </w:r>
          </w:hyperlink>
        </w:p>
        <w:p w14:paraId="6DDA8D4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b9vln9rq9klh">
            <w:r>
              <w:rPr>
                <w:rFonts w:ascii="Book Antiqua" w:eastAsia="Book Antiqua" w:hAnsi="Book Antiqua" w:cs="Book Antiqua"/>
                <w:color w:val="1155CC"/>
                <w:sz w:val="20"/>
                <w:szCs w:val="20"/>
              </w:rPr>
              <w:t>MRQ 1: KEY ARTICLE 008</w:t>
            </w:r>
            <w:r>
              <w:rPr>
                <w:rFonts w:ascii="Book Antiqua" w:eastAsia="Book Antiqua" w:hAnsi="Book Antiqua" w:cs="Book Antiqua"/>
                <w:color w:val="1155CC"/>
                <w:sz w:val="20"/>
                <w:szCs w:val="20"/>
              </w:rPr>
              <w:tab/>
              <w:t>594</w:t>
            </w:r>
          </w:hyperlink>
        </w:p>
        <w:p w14:paraId="746AE62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5a95ss10gegt">
            <w:r>
              <w:rPr>
                <w:rFonts w:ascii="Book Antiqua" w:eastAsia="Book Antiqua" w:hAnsi="Book Antiqua" w:cs="Book Antiqua"/>
                <w:color w:val="1155CC"/>
                <w:sz w:val="20"/>
                <w:szCs w:val="20"/>
              </w:rPr>
              <w:t>MRQ 1: KEY ARTICLE 009</w:t>
            </w:r>
            <w:r>
              <w:rPr>
                <w:rFonts w:ascii="Book Antiqua" w:eastAsia="Book Antiqua" w:hAnsi="Book Antiqua" w:cs="Book Antiqua"/>
                <w:color w:val="1155CC"/>
                <w:sz w:val="20"/>
                <w:szCs w:val="20"/>
              </w:rPr>
              <w:tab/>
              <w:t>595</w:t>
            </w:r>
          </w:hyperlink>
        </w:p>
        <w:p w14:paraId="440BA49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aamhs3smd8ap">
            <w:r>
              <w:rPr>
                <w:rFonts w:ascii="Book Antiqua" w:eastAsia="Book Antiqua" w:hAnsi="Book Antiqua" w:cs="Book Antiqua"/>
                <w:color w:val="1155CC"/>
                <w:sz w:val="20"/>
                <w:szCs w:val="20"/>
              </w:rPr>
              <w:t>MRQ 1: KEY ARTICLE 010</w:t>
            </w:r>
            <w:r>
              <w:rPr>
                <w:rFonts w:ascii="Book Antiqua" w:eastAsia="Book Antiqua" w:hAnsi="Book Antiqua" w:cs="Book Antiqua"/>
                <w:color w:val="1155CC"/>
                <w:sz w:val="20"/>
                <w:szCs w:val="20"/>
              </w:rPr>
              <w:tab/>
              <w:t>596</w:t>
            </w:r>
          </w:hyperlink>
        </w:p>
        <w:p w14:paraId="0DB6AAB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61p4zy3qwp8s">
            <w:r>
              <w:rPr>
                <w:rFonts w:ascii="Book Antiqua" w:eastAsia="Book Antiqua" w:hAnsi="Book Antiqua" w:cs="Book Antiqua"/>
                <w:color w:val="1155CC"/>
                <w:sz w:val="20"/>
                <w:szCs w:val="20"/>
              </w:rPr>
              <w:t>MRQ 1: KEY ARTICLE 011</w:t>
            </w:r>
            <w:r>
              <w:rPr>
                <w:rFonts w:ascii="Book Antiqua" w:eastAsia="Book Antiqua" w:hAnsi="Book Antiqua" w:cs="Book Antiqua"/>
                <w:color w:val="1155CC"/>
                <w:sz w:val="20"/>
                <w:szCs w:val="20"/>
              </w:rPr>
              <w:tab/>
              <w:t>598</w:t>
            </w:r>
          </w:hyperlink>
        </w:p>
        <w:p w14:paraId="33BF4715"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rp5uaodmn6p8">
            <w:r>
              <w:rPr>
                <w:rFonts w:ascii="Book Antiqua" w:eastAsia="Book Antiqua" w:hAnsi="Book Antiqua" w:cs="Book Antiqua"/>
                <w:color w:val="1155CC"/>
                <w:sz w:val="20"/>
                <w:szCs w:val="20"/>
              </w:rPr>
              <w:t>MRQ 1: KEY ARTICLE 012</w:t>
            </w:r>
            <w:r>
              <w:rPr>
                <w:rFonts w:ascii="Book Antiqua" w:eastAsia="Book Antiqua" w:hAnsi="Book Antiqua" w:cs="Book Antiqua"/>
                <w:color w:val="1155CC"/>
                <w:sz w:val="20"/>
                <w:szCs w:val="20"/>
              </w:rPr>
              <w:tab/>
              <w:t>599</w:t>
            </w:r>
          </w:hyperlink>
        </w:p>
        <w:p w14:paraId="4C16B0F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i7s5kydkj0e">
            <w:r>
              <w:rPr>
                <w:rFonts w:ascii="Book Antiqua" w:eastAsia="Book Antiqua" w:hAnsi="Book Antiqua" w:cs="Book Antiqua"/>
                <w:color w:val="1155CC"/>
                <w:sz w:val="20"/>
                <w:szCs w:val="20"/>
              </w:rPr>
              <w:t>MRQ 1: KEY ARTICLE 013</w:t>
            </w:r>
            <w:r>
              <w:rPr>
                <w:rFonts w:ascii="Book Antiqua" w:eastAsia="Book Antiqua" w:hAnsi="Book Antiqua" w:cs="Book Antiqua"/>
                <w:color w:val="1155CC"/>
                <w:sz w:val="20"/>
                <w:szCs w:val="20"/>
              </w:rPr>
              <w:tab/>
              <w:t>600</w:t>
            </w:r>
          </w:hyperlink>
        </w:p>
        <w:p w14:paraId="1D90DB3D"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v3qkzxhp5hh1">
            <w:r>
              <w:rPr>
                <w:rFonts w:ascii="Book Antiqua" w:eastAsia="Book Antiqua" w:hAnsi="Book Antiqua" w:cs="Book Antiqua"/>
                <w:color w:val="1155CC"/>
                <w:sz w:val="20"/>
                <w:szCs w:val="20"/>
              </w:rPr>
              <w:t>MRQ 1: KEY ARTICLE 014</w:t>
            </w:r>
            <w:r>
              <w:rPr>
                <w:rFonts w:ascii="Book Antiqua" w:eastAsia="Book Antiqua" w:hAnsi="Book Antiqua" w:cs="Book Antiqua"/>
                <w:color w:val="1155CC"/>
                <w:sz w:val="20"/>
                <w:szCs w:val="20"/>
              </w:rPr>
              <w:tab/>
              <w:t>601</w:t>
            </w:r>
          </w:hyperlink>
        </w:p>
        <w:p w14:paraId="59377A4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g2avlhojgedh">
            <w:r>
              <w:rPr>
                <w:rFonts w:ascii="Book Antiqua" w:eastAsia="Book Antiqua" w:hAnsi="Book Antiqua" w:cs="Book Antiqua"/>
                <w:color w:val="1155CC"/>
                <w:sz w:val="20"/>
                <w:szCs w:val="20"/>
              </w:rPr>
              <w:t>MRQ 1: KEY ARTICLE 015</w:t>
            </w:r>
            <w:r>
              <w:rPr>
                <w:rFonts w:ascii="Book Antiqua" w:eastAsia="Book Antiqua" w:hAnsi="Book Antiqua" w:cs="Book Antiqua"/>
                <w:color w:val="1155CC"/>
                <w:sz w:val="20"/>
                <w:szCs w:val="20"/>
              </w:rPr>
              <w:tab/>
              <w:t>603</w:t>
            </w:r>
          </w:hyperlink>
        </w:p>
        <w:p w14:paraId="405A6B0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oqf877ubyifw">
            <w:r>
              <w:rPr>
                <w:rFonts w:ascii="Book Antiqua" w:eastAsia="Book Antiqua" w:hAnsi="Book Antiqua" w:cs="Book Antiqua"/>
                <w:color w:val="1155CC"/>
                <w:sz w:val="20"/>
                <w:szCs w:val="20"/>
              </w:rPr>
              <w:t>MRQ 1: KEY ARTICLE 016</w:t>
            </w:r>
            <w:r>
              <w:rPr>
                <w:rFonts w:ascii="Book Antiqua" w:eastAsia="Book Antiqua" w:hAnsi="Book Antiqua" w:cs="Book Antiqua"/>
                <w:color w:val="1155CC"/>
                <w:sz w:val="20"/>
                <w:szCs w:val="20"/>
              </w:rPr>
              <w:tab/>
              <w:t>604</w:t>
            </w:r>
          </w:hyperlink>
        </w:p>
        <w:p w14:paraId="67C7D935"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xglbttmxjfqk">
            <w:r>
              <w:rPr>
                <w:rFonts w:ascii="Book Antiqua" w:eastAsia="Book Antiqua" w:hAnsi="Book Antiqua" w:cs="Book Antiqua"/>
                <w:color w:val="1155CC"/>
                <w:sz w:val="20"/>
                <w:szCs w:val="20"/>
              </w:rPr>
              <w:t>MRQ 1: KEY ARTICLE 017</w:t>
            </w:r>
            <w:r>
              <w:rPr>
                <w:rFonts w:ascii="Book Antiqua" w:eastAsia="Book Antiqua" w:hAnsi="Book Antiqua" w:cs="Book Antiqua"/>
                <w:color w:val="1155CC"/>
                <w:sz w:val="20"/>
                <w:szCs w:val="20"/>
              </w:rPr>
              <w:tab/>
              <w:t>605</w:t>
            </w:r>
          </w:hyperlink>
        </w:p>
        <w:p w14:paraId="78E4A9E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sdlf8nr9ru9">
            <w:r>
              <w:rPr>
                <w:rFonts w:ascii="Book Antiqua" w:eastAsia="Book Antiqua" w:hAnsi="Book Antiqua" w:cs="Book Antiqua"/>
                <w:color w:val="1155CC"/>
                <w:sz w:val="20"/>
                <w:szCs w:val="20"/>
              </w:rPr>
              <w:t>MRQ 1: KEY ARTICLE 018</w:t>
            </w:r>
            <w:r>
              <w:rPr>
                <w:rFonts w:ascii="Book Antiqua" w:eastAsia="Book Antiqua" w:hAnsi="Book Antiqua" w:cs="Book Antiqua"/>
                <w:color w:val="1155CC"/>
                <w:sz w:val="20"/>
                <w:szCs w:val="20"/>
              </w:rPr>
              <w:tab/>
              <w:t>606</w:t>
            </w:r>
          </w:hyperlink>
        </w:p>
        <w:p w14:paraId="77571972"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iclyt6dj5jn">
            <w:r>
              <w:rPr>
                <w:rFonts w:ascii="Book Antiqua" w:eastAsia="Book Antiqua" w:hAnsi="Book Antiqua" w:cs="Book Antiqua"/>
                <w:color w:val="1155CC"/>
                <w:sz w:val="20"/>
                <w:szCs w:val="20"/>
              </w:rPr>
              <w:t>APPENDIX (CHP:3) 005b: ANALYSIS OF 17 KEY ARTICLES (MRQ 2)</w:t>
            </w:r>
            <w:r>
              <w:rPr>
                <w:rFonts w:ascii="Book Antiqua" w:eastAsia="Book Antiqua" w:hAnsi="Book Antiqua" w:cs="Book Antiqua"/>
                <w:color w:val="1155CC"/>
                <w:sz w:val="20"/>
                <w:szCs w:val="20"/>
              </w:rPr>
              <w:tab/>
              <w:t>607</w:t>
            </w:r>
          </w:hyperlink>
        </w:p>
        <w:p w14:paraId="6378277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oq8cfvd4v3a9">
            <w:r>
              <w:rPr>
                <w:rFonts w:ascii="Book Antiqua" w:eastAsia="Book Antiqua" w:hAnsi="Book Antiqua" w:cs="Book Antiqua"/>
                <w:color w:val="1155CC"/>
                <w:sz w:val="20"/>
                <w:szCs w:val="20"/>
              </w:rPr>
              <w:t>MRQ 2: KEY ARTICLE 019</w:t>
            </w:r>
            <w:r>
              <w:rPr>
                <w:rFonts w:ascii="Book Antiqua" w:eastAsia="Book Antiqua" w:hAnsi="Book Antiqua" w:cs="Book Antiqua"/>
                <w:color w:val="1155CC"/>
                <w:sz w:val="20"/>
                <w:szCs w:val="20"/>
              </w:rPr>
              <w:tab/>
              <w:t>607</w:t>
            </w:r>
          </w:hyperlink>
        </w:p>
        <w:p w14:paraId="138F069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gql7kld29g06">
            <w:r>
              <w:rPr>
                <w:rFonts w:ascii="Book Antiqua" w:eastAsia="Book Antiqua" w:hAnsi="Book Antiqua" w:cs="Book Antiqua"/>
                <w:color w:val="1155CC"/>
                <w:sz w:val="20"/>
                <w:szCs w:val="20"/>
              </w:rPr>
              <w:t>MRQ 2: KEY ARTICLE 020</w:t>
            </w:r>
            <w:r>
              <w:rPr>
                <w:rFonts w:ascii="Book Antiqua" w:eastAsia="Book Antiqua" w:hAnsi="Book Antiqua" w:cs="Book Antiqua"/>
                <w:color w:val="1155CC"/>
                <w:sz w:val="20"/>
                <w:szCs w:val="20"/>
              </w:rPr>
              <w:tab/>
              <w:t>608</w:t>
            </w:r>
          </w:hyperlink>
        </w:p>
        <w:p w14:paraId="70FC296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bv4l1m39zkr">
            <w:r>
              <w:rPr>
                <w:rFonts w:ascii="Book Antiqua" w:eastAsia="Book Antiqua" w:hAnsi="Book Antiqua" w:cs="Book Antiqua"/>
                <w:color w:val="1155CC"/>
                <w:sz w:val="20"/>
                <w:szCs w:val="20"/>
              </w:rPr>
              <w:t>MRQ 2: KEY ARTICLE 021</w:t>
            </w:r>
            <w:r>
              <w:rPr>
                <w:rFonts w:ascii="Book Antiqua" w:eastAsia="Book Antiqua" w:hAnsi="Book Antiqua" w:cs="Book Antiqua"/>
                <w:color w:val="1155CC"/>
                <w:sz w:val="20"/>
                <w:szCs w:val="20"/>
              </w:rPr>
              <w:tab/>
              <w:t>609</w:t>
            </w:r>
          </w:hyperlink>
        </w:p>
        <w:p w14:paraId="14CCC21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pm03jon8bxk8">
            <w:r>
              <w:rPr>
                <w:rFonts w:ascii="Book Antiqua" w:eastAsia="Book Antiqua" w:hAnsi="Book Antiqua" w:cs="Book Antiqua"/>
                <w:color w:val="1155CC"/>
                <w:sz w:val="20"/>
                <w:szCs w:val="20"/>
              </w:rPr>
              <w:t>MRQ 2: KEY ARTICLE 022</w:t>
            </w:r>
            <w:r>
              <w:rPr>
                <w:rFonts w:ascii="Book Antiqua" w:eastAsia="Book Antiqua" w:hAnsi="Book Antiqua" w:cs="Book Antiqua"/>
                <w:color w:val="1155CC"/>
                <w:sz w:val="20"/>
                <w:szCs w:val="20"/>
              </w:rPr>
              <w:tab/>
              <w:t>610</w:t>
            </w:r>
          </w:hyperlink>
        </w:p>
        <w:p w14:paraId="0E3DA67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bzd5bmk87dic">
            <w:r>
              <w:rPr>
                <w:rFonts w:ascii="Book Antiqua" w:eastAsia="Book Antiqua" w:hAnsi="Book Antiqua" w:cs="Book Antiqua"/>
                <w:color w:val="1155CC"/>
                <w:sz w:val="20"/>
                <w:szCs w:val="20"/>
              </w:rPr>
              <w:t>MRQ 2: KEY ARTICLE 023</w:t>
            </w:r>
            <w:r>
              <w:rPr>
                <w:rFonts w:ascii="Book Antiqua" w:eastAsia="Book Antiqua" w:hAnsi="Book Antiqua" w:cs="Book Antiqua"/>
                <w:color w:val="1155CC"/>
                <w:sz w:val="20"/>
                <w:szCs w:val="20"/>
              </w:rPr>
              <w:tab/>
              <w:t>611</w:t>
            </w:r>
          </w:hyperlink>
        </w:p>
        <w:p w14:paraId="6E282E7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5e83kdf1pnow">
            <w:r>
              <w:rPr>
                <w:rFonts w:ascii="Book Antiqua" w:eastAsia="Book Antiqua" w:hAnsi="Book Antiqua" w:cs="Book Antiqua"/>
                <w:color w:val="1155CC"/>
                <w:sz w:val="20"/>
                <w:szCs w:val="20"/>
              </w:rPr>
              <w:t>MRQ 2: KEY ARTICLE 024</w:t>
            </w:r>
            <w:r>
              <w:rPr>
                <w:rFonts w:ascii="Book Antiqua" w:eastAsia="Book Antiqua" w:hAnsi="Book Antiqua" w:cs="Book Antiqua"/>
                <w:color w:val="1155CC"/>
                <w:sz w:val="20"/>
                <w:szCs w:val="20"/>
              </w:rPr>
              <w:tab/>
              <w:t>612</w:t>
            </w:r>
          </w:hyperlink>
        </w:p>
        <w:p w14:paraId="168AB7FD"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2yddes3mghh">
            <w:r>
              <w:rPr>
                <w:rFonts w:ascii="Book Antiqua" w:eastAsia="Book Antiqua" w:hAnsi="Book Antiqua" w:cs="Book Antiqua"/>
                <w:color w:val="1155CC"/>
                <w:sz w:val="20"/>
                <w:szCs w:val="20"/>
              </w:rPr>
              <w:t>MRQ 2: KEY ARTICLE 025</w:t>
            </w:r>
            <w:r>
              <w:rPr>
                <w:rFonts w:ascii="Book Antiqua" w:eastAsia="Book Antiqua" w:hAnsi="Book Antiqua" w:cs="Book Antiqua"/>
                <w:color w:val="1155CC"/>
                <w:sz w:val="20"/>
                <w:szCs w:val="20"/>
              </w:rPr>
              <w:tab/>
              <w:t>613</w:t>
            </w:r>
          </w:hyperlink>
        </w:p>
        <w:p w14:paraId="62C1200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t27wy4eafdu0">
            <w:r>
              <w:rPr>
                <w:rFonts w:ascii="Book Antiqua" w:eastAsia="Book Antiqua" w:hAnsi="Book Antiqua" w:cs="Book Antiqua"/>
                <w:color w:val="1155CC"/>
                <w:sz w:val="20"/>
                <w:szCs w:val="20"/>
              </w:rPr>
              <w:t>MRQ 2: KEY ARTICLE 026</w:t>
            </w:r>
            <w:r>
              <w:rPr>
                <w:rFonts w:ascii="Book Antiqua" w:eastAsia="Book Antiqua" w:hAnsi="Book Antiqua" w:cs="Book Antiqua"/>
                <w:color w:val="1155CC"/>
                <w:sz w:val="20"/>
                <w:szCs w:val="20"/>
              </w:rPr>
              <w:tab/>
              <w:t>614</w:t>
            </w:r>
          </w:hyperlink>
        </w:p>
        <w:p w14:paraId="25F6927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63fc2utditxe">
            <w:r>
              <w:rPr>
                <w:rFonts w:ascii="Book Antiqua" w:eastAsia="Book Antiqua" w:hAnsi="Book Antiqua" w:cs="Book Antiqua"/>
                <w:color w:val="1155CC"/>
                <w:sz w:val="20"/>
                <w:szCs w:val="20"/>
              </w:rPr>
              <w:t>MRQ 2: KEY ARTICLE 027</w:t>
            </w:r>
            <w:r>
              <w:rPr>
                <w:rFonts w:ascii="Book Antiqua" w:eastAsia="Book Antiqua" w:hAnsi="Book Antiqua" w:cs="Book Antiqua"/>
                <w:color w:val="1155CC"/>
                <w:sz w:val="20"/>
                <w:szCs w:val="20"/>
              </w:rPr>
              <w:tab/>
              <w:t>615</w:t>
            </w:r>
          </w:hyperlink>
        </w:p>
        <w:p w14:paraId="7F5CFA7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f1ef4dragyi">
            <w:r>
              <w:rPr>
                <w:rFonts w:ascii="Book Antiqua" w:eastAsia="Book Antiqua" w:hAnsi="Book Antiqua" w:cs="Book Antiqua"/>
                <w:color w:val="1155CC"/>
                <w:sz w:val="20"/>
                <w:szCs w:val="20"/>
              </w:rPr>
              <w:t>MRQ 2: KEY ARTICLE 028</w:t>
            </w:r>
            <w:r>
              <w:rPr>
                <w:rFonts w:ascii="Book Antiqua" w:eastAsia="Book Antiqua" w:hAnsi="Book Antiqua" w:cs="Book Antiqua"/>
                <w:color w:val="1155CC"/>
                <w:sz w:val="20"/>
                <w:szCs w:val="20"/>
              </w:rPr>
              <w:tab/>
              <w:t>616</w:t>
            </w:r>
          </w:hyperlink>
        </w:p>
        <w:p w14:paraId="2D01023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7z9ksj5agcup">
            <w:r>
              <w:rPr>
                <w:rFonts w:ascii="Book Antiqua" w:eastAsia="Book Antiqua" w:hAnsi="Book Antiqua" w:cs="Book Antiqua"/>
                <w:color w:val="1155CC"/>
                <w:sz w:val="20"/>
                <w:szCs w:val="20"/>
              </w:rPr>
              <w:t>MRQ 2: KEY ARTICLE 029</w:t>
            </w:r>
            <w:r>
              <w:rPr>
                <w:rFonts w:ascii="Book Antiqua" w:eastAsia="Book Antiqua" w:hAnsi="Book Antiqua" w:cs="Book Antiqua"/>
                <w:color w:val="1155CC"/>
                <w:sz w:val="20"/>
                <w:szCs w:val="20"/>
              </w:rPr>
              <w:tab/>
              <w:t>617</w:t>
            </w:r>
          </w:hyperlink>
        </w:p>
        <w:p w14:paraId="1ABEDC5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46ohrk7774ji">
            <w:r>
              <w:rPr>
                <w:rFonts w:ascii="Book Antiqua" w:eastAsia="Book Antiqua" w:hAnsi="Book Antiqua" w:cs="Book Antiqua"/>
                <w:color w:val="1155CC"/>
                <w:sz w:val="20"/>
                <w:szCs w:val="20"/>
              </w:rPr>
              <w:t>MRQ 2: KEY ARTICLE 030</w:t>
            </w:r>
            <w:r>
              <w:rPr>
                <w:rFonts w:ascii="Book Antiqua" w:eastAsia="Book Antiqua" w:hAnsi="Book Antiqua" w:cs="Book Antiqua"/>
                <w:color w:val="1155CC"/>
                <w:sz w:val="20"/>
                <w:szCs w:val="20"/>
              </w:rPr>
              <w:tab/>
              <w:t>618</w:t>
            </w:r>
          </w:hyperlink>
        </w:p>
        <w:p w14:paraId="2716A4D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ipkdx5se61hz">
            <w:r>
              <w:rPr>
                <w:rFonts w:ascii="Book Antiqua" w:eastAsia="Book Antiqua" w:hAnsi="Book Antiqua" w:cs="Book Antiqua"/>
                <w:color w:val="1155CC"/>
                <w:sz w:val="20"/>
                <w:szCs w:val="20"/>
              </w:rPr>
              <w:t>MRQ 2: KEY ARTICLE 031</w:t>
            </w:r>
            <w:r>
              <w:rPr>
                <w:rFonts w:ascii="Book Antiqua" w:eastAsia="Book Antiqua" w:hAnsi="Book Antiqua" w:cs="Book Antiqua"/>
                <w:color w:val="1155CC"/>
                <w:sz w:val="20"/>
                <w:szCs w:val="20"/>
              </w:rPr>
              <w:tab/>
              <w:t>619</w:t>
            </w:r>
          </w:hyperlink>
        </w:p>
        <w:p w14:paraId="2ABF3D7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iifgk82sqz3">
            <w:r>
              <w:rPr>
                <w:rFonts w:ascii="Book Antiqua" w:eastAsia="Book Antiqua" w:hAnsi="Book Antiqua" w:cs="Book Antiqua"/>
                <w:color w:val="1155CC"/>
                <w:sz w:val="20"/>
                <w:szCs w:val="20"/>
              </w:rPr>
              <w:t>MRQ 2: KEY ARTICLE 032</w:t>
            </w:r>
            <w:r>
              <w:rPr>
                <w:rFonts w:ascii="Book Antiqua" w:eastAsia="Book Antiqua" w:hAnsi="Book Antiqua" w:cs="Book Antiqua"/>
                <w:color w:val="1155CC"/>
                <w:sz w:val="20"/>
                <w:szCs w:val="20"/>
              </w:rPr>
              <w:tab/>
              <w:t>619</w:t>
            </w:r>
          </w:hyperlink>
        </w:p>
        <w:p w14:paraId="05A5411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2jr6k17bt03a">
            <w:r>
              <w:rPr>
                <w:rFonts w:ascii="Book Antiqua" w:eastAsia="Book Antiqua" w:hAnsi="Book Antiqua" w:cs="Book Antiqua"/>
                <w:color w:val="1155CC"/>
                <w:sz w:val="20"/>
                <w:szCs w:val="20"/>
              </w:rPr>
              <w:t>MRQ 2: KEY ARTICLE 033</w:t>
            </w:r>
            <w:r>
              <w:rPr>
                <w:rFonts w:ascii="Book Antiqua" w:eastAsia="Book Antiqua" w:hAnsi="Book Antiqua" w:cs="Book Antiqua"/>
                <w:color w:val="1155CC"/>
                <w:sz w:val="20"/>
                <w:szCs w:val="20"/>
              </w:rPr>
              <w:tab/>
              <w:t>620</w:t>
            </w:r>
          </w:hyperlink>
        </w:p>
        <w:p w14:paraId="2FBEE0C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x6nbhjuq55mo">
            <w:r>
              <w:rPr>
                <w:rFonts w:ascii="Book Antiqua" w:eastAsia="Book Antiqua" w:hAnsi="Book Antiqua" w:cs="Book Antiqua"/>
                <w:color w:val="1155CC"/>
                <w:sz w:val="20"/>
                <w:szCs w:val="20"/>
              </w:rPr>
              <w:t>MRQ 2: KEY ARTICLE 034</w:t>
            </w:r>
            <w:r>
              <w:rPr>
                <w:rFonts w:ascii="Book Antiqua" w:eastAsia="Book Antiqua" w:hAnsi="Book Antiqua" w:cs="Book Antiqua"/>
                <w:color w:val="1155CC"/>
                <w:sz w:val="20"/>
                <w:szCs w:val="20"/>
              </w:rPr>
              <w:tab/>
              <w:t>621</w:t>
            </w:r>
          </w:hyperlink>
        </w:p>
        <w:p w14:paraId="48C3035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hut3idyr0dvk">
            <w:r>
              <w:rPr>
                <w:rFonts w:ascii="Book Antiqua" w:eastAsia="Book Antiqua" w:hAnsi="Book Antiqua" w:cs="Book Antiqua"/>
                <w:color w:val="1155CC"/>
                <w:sz w:val="20"/>
                <w:szCs w:val="20"/>
              </w:rPr>
              <w:t>MRQ 2: KEY ARTICLE 035</w:t>
            </w:r>
            <w:r>
              <w:rPr>
                <w:rFonts w:ascii="Book Antiqua" w:eastAsia="Book Antiqua" w:hAnsi="Book Antiqua" w:cs="Book Antiqua"/>
                <w:color w:val="1155CC"/>
                <w:sz w:val="20"/>
                <w:szCs w:val="20"/>
              </w:rPr>
              <w:tab/>
              <w:t>622</w:t>
            </w:r>
          </w:hyperlink>
        </w:p>
        <w:p w14:paraId="7C633B60"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1oqthicpobln">
            <w:r>
              <w:rPr>
                <w:rFonts w:ascii="Book Antiqua" w:eastAsia="Book Antiqua" w:hAnsi="Book Antiqua" w:cs="Book Antiqua"/>
                <w:color w:val="1155CC"/>
                <w:sz w:val="20"/>
                <w:szCs w:val="20"/>
              </w:rPr>
              <w:t>APPENDIX (CHP:3) 005c: ANALYSIS OF 17 KEY ARTICLES (MRQ 3)</w:t>
            </w:r>
            <w:r>
              <w:rPr>
                <w:rFonts w:ascii="Book Antiqua" w:eastAsia="Book Antiqua" w:hAnsi="Book Antiqua" w:cs="Book Antiqua"/>
                <w:color w:val="1155CC"/>
                <w:sz w:val="20"/>
                <w:szCs w:val="20"/>
              </w:rPr>
              <w:tab/>
              <w:t>623</w:t>
            </w:r>
          </w:hyperlink>
        </w:p>
        <w:p w14:paraId="05E9C2DF"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tp77ddhh07rc">
            <w:r>
              <w:rPr>
                <w:rFonts w:ascii="Book Antiqua" w:eastAsia="Book Antiqua" w:hAnsi="Book Antiqua" w:cs="Book Antiqua"/>
                <w:color w:val="1155CC"/>
                <w:sz w:val="20"/>
                <w:szCs w:val="20"/>
              </w:rPr>
              <w:t>MRQ 3: KEY ARTICLE 036</w:t>
            </w:r>
            <w:r>
              <w:rPr>
                <w:rFonts w:ascii="Book Antiqua" w:eastAsia="Book Antiqua" w:hAnsi="Book Antiqua" w:cs="Book Antiqua"/>
                <w:color w:val="1155CC"/>
                <w:sz w:val="20"/>
                <w:szCs w:val="20"/>
              </w:rPr>
              <w:tab/>
              <w:t>623</w:t>
            </w:r>
          </w:hyperlink>
        </w:p>
        <w:p w14:paraId="73E5953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7o5thopmqeov">
            <w:r>
              <w:rPr>
                <w:rFonts w:ascii="Book Antiqua" w:eastAsia="Book Antiqua" w:hAnsi="Book Antiqua" w:cs="Book Antiqua"/>
                <w:color w:val="1155CC"/>
                <w:sz w:val="20"/>
                <w:szCs w:val="20"/>
              </w:rPr>
              <w:t>MRQ 3: KEY ARTICLE 037</w:t>
            </w:r>
            <w:r>
              <w:rPr>
                <w:rFonts w:ascii="Book Antiqua" w:eastAsia="Book Antiqua" w:hAnsi="Book Antiqua" w:cs="Book Antiqua"/>
                <w:color w:val="1155CC"/>
                <w:sz w:val="20"/>
                <w:szCs w:val="20"/>
              </w:rPr>
              <w:tab/>
              <w:t>624</w:t>
            </w:r>
          </w:hyperlink>
        </w:p>
        <w:p w14:paraId="49994AC6"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z9jspsq12u94">
            <w:r>
              <w:rPr>
                <w:rFonts w:ascii="Book Antiqua" w:eastAsia="Book Antiqua" w:hAnsi="Book Antiqua" w:cs="Book Antiqua"/>
                <w:color w:val="1155CC"/>
                <w:sz w:val="20"/>
                <w:szCs w:val="20"/>
              </w:rPr>
              <w:t>MRQ 3: KEY ARTICLE 038</w:t>
            </w:r>
            <w:r>
              <w:rPr>
                <w:rFonts w:ascii="Book Antiqua" w:eastAsia="Book Antiqua" w:hAnsi="Book Antiqua" w:cs="Book Antiqua"/>
                <w:color w:val="1155CC"/>
                <w:sz w:val="20"/>
                <w:szCs w:val="20"/>
              </w:rPr>
              <w:tab/>
              <w:t>626</w:t>
            </w:r>
          </w:hyperlink>
        </w:p>
        <w:p w14:paraId="18D65CF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knwik7ahr35d">
            <w:r>
              <w:rPr>
                <w:rFonts w:ascii="Book Antiqua" w:eastAsia="Book Antiqua" w:hAnsi="Book Antiqua" w:cs="Book Antiqua"/>
                <w:color w:val="1155CC"/>
                <w:sz w:val="20"/>
                <w:szCs w:val="20"/>
              </w:rPr>
              <w:t>MRQ 3: KEY ARTICLE 039</w:t>
            </w:r>
            <w:r>
              <w:rPr>
                <w:rFonts w:ascii="Book Antiqua" w:eastAsia="Book Antiqua" w:hAnsi="Book Antiqua" w:cs="Book Antiqua"/>
                <w:color w:val="1155CC"/>
                <w:sz w:val="20"/>
                <w:szCs w:val="20"/>
              </w:rPr>
              <w:tab/>
              <w:t>627</w:t>
            </w:r>
          </w:hyperlink>
        </w:p>
        <w:p w14:paraId="72B9D4DC"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lnmheg5a9yf">
            <w:r>
              <w:rPr>
                <w:rFonts w:ascii="Book Antiqua" w:eastAsia="Book Antiqua" w:hAnsi="Book Antiqua" w:cs="Book Antiqua"/>
                <w:color w:val="1155CC"/>
                <w:sz w:val="20"/>
                <w:szCs w:val="20"/>
              </w:rPr>
              <w:t>MRQ 3: KEY ARTICLE 040</w:t>
            </w:r>
            <w:r>
              <w:rPr>
                <w:rFonts w:ascii="Book Antiqua" w:eastAsia="Book Antiqua" w:hAnsi="Book Antiqua" w:cs="Book Antiqua"/>
                <w:color w:val="1155CC"/>
                <w:sz w:val="20"/>
                <w:szCs w:val="20"/>
              </w:rPr>
              <w:tab/>
              <w:t>628</w:t>
            </w:r>
          </w:hyperlink>
        </w:p>
        <w:p w14:paraId="5E27E74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h458pl1pyhug">
            <w:r>
              <w:rPr>
                <w:rFonts w:ascii="Book Antiqua" w:eastAsia="Book Antiqua" w:hAnsi="Book Antiqua" w:cs="Book Antiqua"/>
                <w:color w:val="1155CC"/>
                <w:sz w:val="20"/>
                <w:szCs w:val="20"/>
              </w:rPr>
              <w:t>MRQ 3: KEY ARTICLE 041</w:t>
            </w:r>
            <w:r>
              <w:rPr>
                <w:rFonts w:ascii="Book Antiqua" w:eastAsia="Book Antiqua" w:hAnsi="Book Antiqua" w:cs="Book Antiqua"/>
                <w:color w:val="1155CC"/>
                <w:sz w:val="20"/>
                <w:szCs w:val="20"/>
              </w:rPr>
              <w:tab/>
              <w:t>629</w:t>
            </w:r>
          </w:hyperlink>
        </w:p>
        <w:p w14:paraId="3BE10D5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8zfdftqk7owc">
            <w:r>
              <w:rPr>
                <w:rFonts w:ascii="Book Antiqua" w:eastAsia="Book Antiqua" w:hAnsi="Book Antiqua" w:cs="Book Antiqua"/>
                <w:color w:val="1155CC"/>
                <w:sz w:val="20"/>
                <w:szCs w:val="20"/>
              </w:rPr>
              <w:t>MRQ 3: KEY ARTICLE 042</w:t>
            </w:r>
            <w:r>
              <w:rPr>
                <w:rFonts w:ascii="Book Antiqua" w:eastAsia="Book Antiqua" w:hAnsi="Book Antiqua" w:cs="Book Antiqua"/>
                <w:color w:val="1155CC"/>
                <w:sz w:val="20"/>
                <w:szCs w:val="20"/>
              </w:rPr>
              <w:tab/>
              <w:t>630</w:t>
            </w:r>
          </w:hyperlink>
        </w:p>
        <w:p w14:paraId="43C9044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6e8ys8d8pn4t">
            <w:r>
              <w:rPr>
                <w:rFonts w:ascii="Book Antiqua" w:eastAsia="Book Antiqua" w:hAnsi="Book Antiqua" w:cs="Book Antiqua"/>
                <w:color w:val="1155CC"/>
                <w:sz w:val="20"/>
                <w:szCs w:val="20"/>
              </w:rPr>
              <w:t>MRQ 3: KEY ARTICLE 043</w:t>
            </w:r>
            <w:r>
              <w:rPr>
                <w:rFonts w:ascii="Book Antiqua" w:eastAsia="Book Antiqua" w:hAnsi="Book Antiqua" w:cs="Book Antiqua"/>
                <w:color w:val="1155CC"/>
                <w:sz w:val="20"/>
                <w:szCs w:val="20"/>
              </w:rPr>
              <w:tab/>
              <w:t>632</w:t>
            </w:r>
          </w:hyperlink>
        </w:p>
        <w:p w14:paraId="11B579C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d0ly3r48lnvo">
            <w:r>
              <w:rPr>
                <w:rFonts w:ascii="Book Antiqua" w:eastAsia="Book Antiqua" w:hAnsi="Book Antiqua" w:cs="Book Antiqua"/>
                <w:color w:val="1155CC"/>
                <w:sz w:val="20"/>
                <w:szCs w:val="20"/>
              </w:rPr>
              <w:t>MRQ 3: KEY ARTICLE 044</w:t>
            </w:r>
            <w:r>
              <w:rPr>
                <w:rFonts w:ascii="Book Antiqua" w:eastAsia="Book Antiqua" w:hAnsi="Book Antiqua" w:cs="Book Antiqua"/>
                <w:color w:val="1155CC"/>
                <w:sz w:val="20"/>
                <w:szCs w:val="20"/>
              </w:rPr>
              <w:tab/>
              <w:t>633</w:t>
            </w:r>
          </w:hyperlink>
        </w:p>
        <w:p w14:paraId="7A0C747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wwx6sbhjaotz">
            <w:r>
              <w:rPr>
                <w:rFonts w:ascii="Book Antiqua" w:eastAsia="Book Antiqua" w:hAnsi="Book Antiqua" w:cs="Book Antiqua"/>
                <w:color w:val="1155CC"/>
                <w:sz w:val="20"/>
                <w:szCs w:val="20"/>
              </w:rPr>
              <w:t>MRQ 3: KEY ARTICLE 045</w:t>
            </w:r>
            <w:r>
              <w:rPr>
                <w:rFonts w:ascii="Book Antiqua" w:eastAsia="Book Antiqua" w:hAnsi="Book Antiqua" w:cs="Book Antiqua"/>
                <w:color w:val="1155CC"/>
                <w:sz w:val="20"/>
                <w:szCs w:val="20"/>
              </w:rPr>
              <w:tab/>
              <w:t>634</w:t>
            </w:r>
          </w:hyperlink>
        </w:p>
        <w:p w14:paraId="4ADC0E0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lysbd34he">
            <w:r>
              <w:rPr>
                <w:rFonts w:ascii="Book Antiqua" w:eastAsia="Book Antiqua" w:hAnsi="Book Antiqua" w:cs="Book Antiqua"/>
                <w:color w:val="1155CC"/>
                <w:sz w:val="20"/>
                <w:szCs w:val="20"/>
              </w:rPr>
              <w:t>MRQ 3: KEY ARTICLE 046</w:t>
            </w:r>
            <w:r>
              <w:rPr>
                <w:rFonts w:ascii="Book Antiqua" w:eastAsia="Book Antiqua" w:hAnsi="Book Antiqua" w:cs="Book Antiqua"/>
                <w:color w:val="1155CC"/>
                <w:sz w:val="20"/>
                <w:szCs w:val="20"/>
              </w:rPr>
              <w:tab/>
              <w:t>635</w:t>
            </w:r>
          </w:hyperlink>
        </w:p>
        <w:p w14:paraId="77123F6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40jmswctjtyu">
            <w:r>
              <w:rPr>
                <w:rFonts w:ascii="Book Antiqua" w:eastAsia="Book Antiqua" w:hAnsi="Book Antiqua" w:cs="Book Antiqua"/>
                <w:color w:val="1155CC"/>
                <w:sz w:val="20"/>
                <w:szCs w:val="20"/>
              </w:rPr>
              <w:t>MRQ 3: KEY ARTICLE 047</w:t>
            </w:r>
            <w:r>
              <w:rPr>
                <w:rFonts w:ascii="Book Antiqua" w:eastAsia="Book Antiqua" w:hAnsi="Book Antiqua" w:cs="Book Antiqua"/>
                <w:color w:val="1155CC"/>
                <w:sz w:val="20"/>
                <w:szCs w:val="20"/>
              </w:rPr>
              <w:tab/>
              <w:t>637</w:t>
            </w:r>
          </w:hyperlink>
        </w:p>
        <w:p w14:paraId="1217937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fstxsgipeeq0">
            <w:r>
              <w:rPr>
                <w:rFonts w:ascii="Book Antiqua" w:eastAsia="Book Antiqua" w:hAnsi="Book Antiqua" w:cs="Book Antiqua"/>
                <w:color w:val="1155CC"/>
                <w:sz w:val="20"/>
                <w:szCs w:val="20"/>
              </w:rPr>
              <w:t>MRQ 3: KEY ARTICLE 048</w:t>
            </w:r>
            <w:r>
              <w:rPr>
                <w:rFonts w:ascii="Book Antiqua" w:eastAsia="Book Antiqua" w:hAnsi="Book Antiqua" w:cs="Book Antiqua"/>
                <w:color w:val="1155CC"/>
                <w:sz w:val="20"/>
                <w:szCs w:val="20"/>
              </w:rPr>
              <w:tab/>
              <w:t>638</w:t>
            </w:r>
          </w:hyperlink>
        </w:p>
        <w:p w14:paraId="2D7FDF9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8hhqte5xu2st">
            <w:r>
              <w:rPr>
                <w:rFonts w:ascii="Book Antiqua" w:eastAsia="Book Antiqua" w:hAnsi="Book Antiqua" w:cs="Book Antiqua"/>
                <w:color w:val="1155CC"/>
                <w:sz w:val="20"/>
                <w:szCs w:val="20"/>
              </w:rPr>
              <w:t>MRQ 3: KEY ARTICLE 049</w:t>
            </w:r>
            <w:r>
              <w:rPr>
                <w:rFonts w:ascii="Book Antiqua" w:eastAsia="Book Antiqua" w:hAnsi="Book Antiqua" w:cs="Book Antiqua"/>
                <w:color w:val="1155CC"/>
                <w:sz w:val="20"/>
                <w:szCs w:val="20"/>
              </w:rPr>
              <w:tab/>
              <w:t>639</w:t>
            </w:r>
          </w:hyperlink>
        </w:p>
        <w:p w14:paraId="1DB09A2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7gmwjf7e9uv">
            <w:r>
              <w:rPr>
                <w:rFonts w:ascii="Book Antiqua" w:eastAsia="Book Antiqua" w:hAnsi="Book Antiqua" w:cs="Book Antiqua"/>
                <w:color w:val="1155CC"/>
                <w:sz w:val="20"/>
                <w:szCs w:val="20"/>
              </w:rPr>
              <w:t>MRQ 3: KEY ARTICLE 050</w:t>
            </w:r>
            <w:r>
              <w:rPr>
                <w:rFonts w:ascii="Book Antiqua" w:eastAsia="Book Antiqua" w:hAnsi="Book Antiqua" w:cs="Book Antiqua"/>
                <w:color w:val="1155CC"/>
                <w:sz w:val="20"/>
                <w:szCs w:val="20"/>
              </w:rPr>
              <w:tab/>
              <w:t>641</w:t>
            </w:r>
          </w:hyperlink>
        </w:p>
        <w:p w14:paraId="1B16101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ctcaxvp92ey9">
            <w:r>
              <w:rPr>
                <w:rFonts w:ascii="Book Antiqua" w:eastAsia="Book Antiqua" w:hAnsi="Book Antiqua" w:cs="Book Antiqua"/>
                <w:color w:val="1155CC"/>
                <w:sz w:val="20"/>
                <w:szCs w:val="20"/>
              </w:rPr>
              <w:t>MRQ 3: KEY ARTICLE 051</w:t>
            </w:r>
            <w:r>
              <w:rPr>
                <w:rFonts w:ascii="Book Antiqua" w:eastAsia="Book Antiqua" w:hAnsi="Book Antiqua" w:cs="Book Antiqua"/>
                <w:color w:val="1155CC"/>
                <w:sz w:val="20"/>
                <w:szCs w:val="20"/>
              </w:rPr>
              <w:tab/>
              <w:t>642</w:t>
            </w:r>
          </w:hyperlink>
        </w:p>
        <w:p w14:paraId="387471B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iae8ljl37a2">
            <w:r>
              <w:rPr>
                <w:rFonts w:ascii="Book Antiqua" w:eastAsia="Book Antiqua" w:hAnsi="Book Antiqua" w:cs="Book Antiqua"/>
                <w:color w:val="1155CC"/>
                <w:sz w:val="20"/>
                <w:szCs w:val="20"/>
              </w:rPr>
              <w:t>MRQ 3: KEY ARTICLE 052</w:t>
            </w:r>
            <w:r>
              <w:rPr>
                <w:rFonts w:ascii="Book Antiqua" w:eastAsia="Book Antiqua" w:hAnsi="Book Antiqua" w:cs="Book Antiqua"/>
                <w:color w:val="1155CC"/>
                <w:sz w:val="20"/>
                <w:szCs w:val="20"/>
              </w:rPr>
              <w:tab/>
              <w:t>643</w:t>
            </w:r>
          </w:hyperlink>
        </w:p>
        <w:p w14:paraId="663A4846" w14:textId="77777777" w:rsidR="002530E2" w:rsidRDefault="002530E2">
          <w:pPr>
            <w:widowControl w:val="0"/>
            <w:tabs>
              <w:tab w:val="right" w:leader="dot" w:pos="12000"/>
            </w:tabs>
            <w:spacing w:before="60" w:after="0" w:line="276" w:lineRule="auto"/>
            <w:rPr>
              <w:rFonts w:ascii="Arial" w:eastAsia="Arial" w:hAnsi="Arial" w:cs="Arial"/>
              <w:b/>
              <w:color w:val="000000"/>
            </w:rPr>
          </w:pPr>
          <w:hyperlink w:anchor="_y61n5avxrjq6">
            <w:r>
              <w:rPr>
                <w:rFonts w:ascii="Book Antiqua" w:eastAsia="Book Antiqua" w:hAnsi="Book Antiqua" w:cs="Book Antiqua"/>
                <w:color w:val="1155CC"/>
                <w:sz w:val="20"/>
                <w:szCs w:val="20"/>
              </w:rPr>
              <w:t>APPENDIX (CHP:3) 005d: ANALYSIS OF 28 KEY ARTICLES (MRQ 4)</w:t>
            </w:r>
            <w:r>
              <w:rPr>
                <w:rFonts w:ascii="Book Antiqua" w:eastAsia="Book Antiqua" w:hAnsi="Book Antiqua" w:cs="Book Antiqua"/>
                <w:color w:val="1155CC"/>
                <w:sz w:val="20"/>
                <w:szCs w:val="20"/>
              </w:rPr>
              <w:tab/>
              <w:t>644</w:t>
            </w:r>
          </w:hyperlink>
        </w:p>
        <w:p w14:paraId="64F38F6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6323u45limlf">
            <w:r>
              <w:rPr>
                <w:rFonts w:ascii="Book Antiqua" w:eastAsia="Book Antiqua" w:hAnsi="Book Antiqua" w:cs="Book Antiqua"/>
                <w:color w:val="1155CC"/>
                <w:sz w:val="20"/>
                <w:szCs w:val="20"/>
              </w:rPr>
              <w:t>MRQ 4: KEY ARTICLE 053</w:t>
            </w:r>
            <w:r>
              <w:rPr>
                <w:rFonts w:ascii="Book Antiqua" w:eastAsia="Book Antiqua" w:hAnsi="Book Antiqua" w:cs="Book Antiqua"/>
                <w:color w:val="1155CC"/>
                <w:sz w:val="20"/>
                <w:szCs w:val="20"/>
              </w:rPr>
              <w:tab/>
              <w:t>644</w:t>
            </w:r>
          </w:hyperlink>
        </w:p>
        <w:p w14:paraId="6ED04FE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u2lmgeh7o8f">
            <w:r>
              <w:rPr>
                <w:rFonts w:ascii="Book Antiqua" w:eastAsia="Book Antiqua" w:hAnsi="Book Antiqua" w:cs="Book Antiqua"/>
                <w:color w:val="1155CC"/>
                <w:sz w:val="20"/>
                <w:szCs w:val="20"/>
              </w:rPr>
              <w:t>MRQ 4: KEY ARTICLE 054</w:t>
            </w:r>
            <w:r>
              <w:rPr>
                <w:rFonts w:ascii="Book Antiqua" w:eastAsia="Book Antiqua" w:hAnsi="Book Antiqua" w:cs="Book Antiqua"/>
                <w:color w:val="1155CC"/>
                <w:sz w:val="20"/>
                <w:szCs w:val="20"/>
              </w:rPr>
              <w:tab/>
              <w:t>646</w:t>
            </w:r>
          </w:hyperlink>
        </w:p>
        <w:p w14:paraId="4897598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kfm9n7p4x2ge">
            <w:r>
              <w:rPr>
                <w:rFonts w:ascii="Book Antiqua" w:eastAsia="Book Antiqua" w:hAnsi="Book Antiqua" w:cs="Book Antiqua"/>
                <w:color w:val="1155CC"/>
                <w:sz w:val="20"/>
                <w:szCs w:val="20"/>
              </w:rPr>
              <w:t>MRQ 4: KEY ARTICLE 055</w:t>
            </w:r>
            <w:r>
              <w:rPr>
                <w:rFonts w:ascii="Book Antiqua" w:eastAsia="Book Antiqua" w:hAnsi="Book Antiqua" w:cs="Book Antiqua"/>
                <w:color w:val="1155CC"/>
                <w:sz w:val="20"/>
                <w:szCs w:val="20"/>
              </w:rPr>
              <w:tab/>
              <w:t>647</w:t>
            </w:r>
          </w:hyperlink>
        </w:p>
        <w:p w14:paraId="7152FB8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gqbjlgl1p90z">
            <w:r>
              <w:rPr>
                <w:rFonts w:ascii="Book Antiqua" w:eastAsia="Book Antiqua" w:hAnsi="Book Antiqua" w:cs="Book Antiqua"/>
                <w:color w:val="1155CC"/>
                <w:sz w:val="20"/>
                <w:szCs w:val="20"/>
              </w:rPr>
              <w:t>MRQ 4: KEY ARTICLE 056</w:t>
            </w:r>
            <w:r>
              <w:rPr>
                <w:rFonts w:ascii="Book Antiqua" w:eastAsia="Book Antiqua" w:hAnsi="Book Antiqua" w:cs="Book Antiqua"/>
                <w:color w:val="1155CC"/>
                <w:sz w:val="20"/>
                <w:szCs w:val="20"/>
              </w:rPr>
              <w:tab/>
              <w:t>648</w:t>
            </w:r>
          </w:hyperlink>
        </w:p>
        <w:p w14:paraId="1788D95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1iyyqho9q5qh">
            <w:r>
              <w:rPr>
                <w:rFonts w:ascii="Book Antiqua" w:eastAsia="Book Antiqua" w:hAnsi="Book Antiqua" w:cs="Book Antiqua"/>
                <w:color w:val="1155CC"/>
                <w:sz w:val="20"/>
                <w:szCs w:val="20"/>
              </w:rPr>
              <w:t>MRQ 4: KEY ARTICLE 057</w:t>
            </w:r>
            <w:r>
              <w:rPr>
                <w:rFonts w:ascii="Book Antiqua" w:eastAsia="Book Antiqua" w:hAnsi="Book Antiqua" w:cs="Book Antiqua"/>
                <w:color w:val="1155CC"/>
                <w:sz w:val="20"/>
                <w:szCs w:val="20"/>
              </w:rPr>
              <w:tab/>
              <w:t>650</w:t>
            </w:r>
          </w:hyperlink>
        </w:p>
        <w:p w14:paraId="7807A4E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szxpyvfwuvx3">
            <w:r>
              <w:rPr>
                <w:rFonts w:ascii="Book Antiqua" w:eastAsia="Book Antiqua" w:hAnsi="Book Antiqua" w:cs="Book Antiqua"/>
                <w:color w:val="1155CC"/>
                <w:sz w:val="20"/>
                <w:szCs w:val="20"/>
              </w:rPr>
              <w:t>MRQ 4: KEY ARTICLE 058</w:t>
            </w:r>
            <w:r>
              <w:rPr>
                <w:rFonts w:ascii="Book Antiqua" w:eastAsia="Book Antiqua" w:hAnsi="Book Antiqua" w:cs="Book Antiqua"/>
                <w:color w:val="1155CC"/>
                <w:sz w:val="20"/>
                <w:szCs w:val="20"/>
              </w:rPr>
              <w:tab/>
              <w:t>651</w:t>
            </w:r>
          </w:hyperlink>
        </w:p>
        <w:p w14:paraId="584EA6EF"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3t8tflqmjovr">
            <w:r>
              <w:rPr>
                <w:rFonts w:ascii="Book Antiqua" w:eastAsia="Book Antiqua" w:hAnsi="Book Antiqua" w:cs="Book Antiqua"/>
                <w:color w:val="1155CC"/>
                <w:sz w:val="20"/>
                <w:szCs w:val="20"/>
              </w:rPr>
              <w:t>MRQ 4: KEY ARTICLE 059</w:t>
            </w:r>
            <w:r>
              <w:rPr>
                <w:rFonts w:ascii="Book Antiqua" w:eastAsia="Book Antiqua" w:hAnsi="Book Antiqua" w:cs="Book Antiqua"/>
                <w:color w:val="1155CC"/>
                <w:sz w:val="20"/>
                <w:szCs w:val="20"/>
              </w:rPr>
              <w:tab/>
              <w:t>652</w:t>
            </w:r>
          </w:hyperlink>
        </w:p>
        <w:p w14:paraId="5C66F77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rrpop2he3n">
            <w:r>
              <w:rPr>
                <w:rFonts w:ascii="Book Antiqua" w:eastAsia="Book Antiqua" w:hAnsi="Book Antiqua" w:cs="Book Antiqua"/>
                <w:color w:val="1155CC"/>
                <w:sz w:val="20"/>
                <w:szCs w:val="20"/>
              </w:rPr>
              <w:t>MRQ 4: KEY ARTICLE 060</w:t>
            </w:r>
            <w:r>
              <w:rPr>
                <w:rFonts w:ascii="Book Antiqua" w:eastAsia="Book Antiqua" w:hAnsi="Book Antiqua" w:cs="Book Antiqua"/>
                <w:color w:val="1155CC"/>
                <w:sz w:val="20"/>
                <w:szCs w:val="20"/>
              </w:rPr>
              <w:tab/>
              <w:t>654</w:t>
            </w:r>
          </w:hyperlink>
        </w:p>
        <w:p w14:paraId="7530657F"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jehkds6rsqw4">
            <w:r>
              <w:rPr>
                <w:rFonts w:ascii="Book Antiqua" w:eastAsia="Book Antiqua" w:hAnsi="Book Antiqua" w:cs="Book Antiqua"/>
                <w:color w:val="1155CC"/>
                <w:sz w:val="20"/>
                <w:szCs w:val="20"/>
              </w:rPr>
              <w:t>MRQ 4: KEY ARTICLE 061</w:t>
            </w:r>
            <w:r>
              <w:rPr>
                <w:rFonts w:ascii="Book Antiqua" w:eastAsia="Book Antiqua" w:hAnsi="Book Antiqua" w:cs="Book Antiqua"/>
                <w:color w:val="1155CC"/>
                <w:sz w:val="20"/>
                <w:szCs w:val="20"/>
              </w:rPr>
              <w:tab/>
              <w:t>655</w:t>
            </w:r>
          </w:hyperlink>
        </w:p>
        <w:p w14:paraId="5CB2AE1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1573gzbc9mu2">
            <w:r>
              <w:rPr>
                <w:rFonts w:ascii="Book Antiqua" w:eastAsia="Book Antiqua" w:hAnsi="Book Antiqua" w:cs="Book Antiqua"/>
                <w:color w:val="1155CC"/>
                <w:sz w:val="20"/>
                <w:szCs w:val="20"/>
              </w:rPr>
              <w:t>MRQ 4: KEY ARTICLE 062</w:t>
            </w:r>
            <w:r>
              <w:rPr>
                <w:rFonts w:ascii="Book Antiqua" w:eastAsia="Book Antiqua" w:hAnsi="Book Antiqua" w:cs="Book Antiqua"/>
                <w:color w:val="1155CC"/>
                <w:sz w:val="20"/>
                <w:szCs w:val="20"/>
              </w:rPr>
              <w:tab/>
              <w:t>656</w:t>
            </w:r>
          </w:hyperlink>
        </w:p>
        <w:p w14:paraId="4DCDE3C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1hrkr6qcxnlr">
            <w:r>
              <w:rPr>
                <w:rFonts w:ascii="Book Antiqua" w:eastAsia="Book Antiqua" w:hAnsi="Book Antiqua" w:cs="Book Antiqua"/>
                <w:color w:val="1155CC"/>
                <w:sz w:val="20"/>
                <w:szCs w:val="20"/>
              </w:rPr>
              <w:t>MRQ 4: KEY ARTICLE 063</w:t>
            </w:r>
            <w:r>
              <w:rPr>
                <w:rFonts w:ascii="Book Antiqua" w:eastAsia="Book Antiqua" w:hAnsi="Book Antiqua" w:cs="Book Antiqua"/>
                <w:color w:val="1155CC"/>
                <w:sz w:val="20"/>
                <w:szCs w:val="20"/>
              </w:rPr>
              <w:tab/>
              <w:t>658</w:t>
            </w:r>
          </w:hyperlink>
        </w:p>
        <w:p w14:paraId="6EA7217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i18xs4tpcfkg">
            <w:r>
              <w:rPr>
                <w:rFonts w:ascii="Book Antiqua" w:eastAsia="Book Antiqua" w:hAnsi="Book Antiqua" w:cs="Book Antiqua"/>
                <w:color w:val="1155CC"/>
                <w:sz w:val="20"/>
                <w:szCs w:val="20"/>
              </w:rPr>
              <w:t>MRQ 4: KEY ARTICLE 064</w:t>
            </w:r>
            <w:r>
              <w:rPr>
                <w:rFonts w:ascii="Book Antiqua" w:eastAsia="Book Antiqua" w:hAnsi="Book Antiqua" w:cs="Book Antiqua"/>
                <w:color w:val="1155CC"/>
                <w:sz w:val="20"/>
                <w:szCs w:val="20"/>
              </w:rPr>
              <w:tab/>
              <w:t>659</w:t>
            </w:r>
          </w:hyperlink>
        </w:p>
        <w:p w14:paraId="1CBB3DC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ccv5n5zjr8t">
            <w:r>
              <w:rPr>
                <w:rFonts w:ascii="Book Antiqua" w:eastAsia="Book Antiqua" w:hAnsi="Book Antiqua" w:cs="Book Antiqua"/>
                <w:color w:val="1155CC"/>
                <w:sz w:val="20"/>
                <w:szCs w:val="20"/>
              </w:rPr>
              <w:t>MRQ 4: KEY ARTICLE 065</w:t>
            </w:r>
            <w:r>
              <w:rPr>
                <w:rFonts w:ascii="Book Antiqua" w:eastAsia="Book Antiqua" w:hAnsi="Book Antiqua" w:cs="Book Antiqua"/>
                <w:color w:val="1155CC"/>
                <w:sz w:val="20"/>
                <w:szCs w:val="20"/>
              </w:rPr>
              <w:tab/>
              <w:t>660</w:t>
            </w:r>
          </w:hyperlink>
        </w:p>
        <w:p w14:paraId="563DBEA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o10fvenfsi4">
            <w:r>
              <w:rPr>
                <w:rFonts w:ascii="Book Antiqua" w:eastAsia="Book Antiqua" w:hAnsi="Book Antiqua" w:cs="Book Antiqua"/>
                <w:color w:val="1155CC"/>
                <w:sz w:val="20"/>
                <w:szCs w:val="20"/>
              </w:rPr>
              <w:t>MRQ 4: KEY ARTICLE 066</w:t>
            </w:r>
            <w:r>
              <w:rPr>
                <w:rFonts w:ascii="Book Antiqua" w:eastAsia="Book Antiqua" w:hAnsi="Book Antiqua" w:cs="Book Antiqua"/>
                <w:color w:val="1155CC"/>
                <w:sz w:val="20"/>
                <w:szCs w:val="20"/>
              </w:rPr>
              <w:tab/>
              <w:t>662</w:t>
            </w:r>
          </w:hyperlink>
        </w:p>
        <w:p w14:paraId="19C7F1D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q989v2lqxens">
            <w:r>
              <w:rPr>
                <w:rFonts w:ascii="Book Antiqua" w:eastAsia="Book Antiqua" w:hAnsi="Book Antiqua" w:cs="Book Antiqua"/>
                <w:color w:val="1155CC"/>
                <w:sz w:val="20"/>
                <w:szCs w:val="20"/>
              </w:rPr>
              <w:t>MRQ 4: KEY ARTICLE 067</w:t>
            </w:r>
            <w:r>
              <w:rPr>
                <w:rFonts w:ascii="Book Antiqua" w:eastAsia="Book Antiqua" w:hAnsi="Book Antiqua" w:cs="Book Antiqua"/>
                <w:color w:val="1155CC"/>
                <w:sz w:val="20"/>
                <w:szCs w:val="20"/>
              </w:rPr>
              <w:tab/>
              <w:t>663</w:t>
            </w:r>
          </w:hyperlink>
        </w:p>
        <w:p w14:paraId="2694E75F"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86zj51u8reja">
            <w:r>
              <w:rPr>
                <w:rFonts w:ascii="Book Antiqua" w:eastAsia="Book Antiqua" w:hAnsi="Book Antiqua" w:cs="Book Antiqua"/>
                <w:color w:val="1155CC"/>
                <w:sz w:val="20"/>
                <w:szCs w:val="20"/>
              </w:rPr>
              <w:t>MRQ 4: KEY ARTICLE 068</w:t>
            </w:r>
            <w:r>
              <w:rPr>
                <w:rFonts w:ascii="Book Antiqua" w:eastAsia="Book Antiqua" w:hAnsi="Book Antiqua" w:cs="Book Antiqua"/>
                <w:color w:val="1155CC"/>
                <w:sz w:val="20"/>
                <w:szCs w:val="20"/>
              </w:rPr>
              <w:tab/>
              <w:t>664</w:t>
            </w:r>
          </w:hyperlink>
        </w:p>
        <w:p w14:paraId="397CF86F"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jnsyii8jahp5">
            <w:r>
              <w:rPr>
                <w:rFonts w:ascii="Book Antiqua" w:eastAsia="Book Antiqua" w:hAnsi="Book Antiqua" w:cs="Book Antiqua"/>
                <w:color w:val="1155CC"/>
                <w:sz w:val="20"/>
                <w:szCs w:val="20"/>
              </w:rPr>
              <w:t>MRQ 4: KEY ARTICLE 069</w:t>
            </w:r>
            <w:r>
              <w:rPr>
                <w:rFonts w:ascii="Book Antiqua" w:eastAsia="Book Antiqua" w:hAnsi="Book Antiqua" w:cs="Book Antiqua"/>
                <w:color w:val="1155CC"/>
                <w:sz w:val="20"/>
                <w:szCs w:val="20"/>
              </w:rPr>
              <w:tab/>
              <w:t>665</w:t>
            </w:r>
          </w:hyperlink>
        </w:p>
        <w:p w14:paraId="0A539AC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ykugu39dpa1n">
            <w:r>
              <w:rPr>
                <w:rFonts w:ascii="Book Antiqua" w:eastAsia="Book Antiqua" w:hAnsi="Book Antiqua" w:cs="Book Antiqua"/>
                <w:color w:val="1155CC"/>
                <w:sz w:val="20"/>
                <w:szCs w:val="20"/>
              </w:rPr>
              <w:t>MRQ 4: KEY ARTICLE 070</w:t>
            </w:r>
            <w:r>
              <w:rPr>
                <w:rFonts w:ascii="Book Antiqua" w:eastAsia="Book Antiqua" w:hAnsi="Book Antiqua" w:cs="Book Antiqua"/>
                <w:color w:val="1155CC"/>
                <w:sz w:val="20"/>
                <w:szCs w:val="20"/>
              </w:rPr>
              <w:tab/>
              <w:t>667</w:t>
            </w:r>
          </w:hyperlink>
        </w:p>
        <w:p w14:paraId="4464D58D"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i05bwxed476o">
            <w:r>
              <w:rPr>
                <w:rFonts w:ascii="Book Antiqua" w:eastAsia="Book Antiqua" w:hAnsi="Book Antiqua" w:cs="Book Antiqua"/>
                <w:color w:val="1155CC"/>
                <w:sz w:val="20"/>
                <w:szCs w:val="20"/>
              </w:rPr>
              <w:t>MRQ 4: KEY ARTICLE 071</w:t>
            </w:r>
            <w:r>
              <w:rPr>
                <w:rFonts w:ascii="Book Antiqua" w:eastAsia="Book Antiqua" w:hAnsi="Book Antiqua" w:cs="Book Antiqua"/>
                <w:color w:val="1155CC"/>
                <w:sz w:val="20"/>
                <w:szCs w:val="20"/>
              </w:rPr>
              <w:tab/>
              <w:t>668</w:t>
            </w:r>
          </w:hyperlink>
        </w:p>
        <w:p w14:paraId="6B614A3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g3adhxeotb3">
            <w:r>
              <w:rPr>
                <w:rFonts w:ascii="Book Antiqua" w:eastAsia="Book Antiqua" w:hAnsi="Book Antiqua" w:cs="Book Antiqua"/>
                <w:color w:val="1155CC"/>
                <w:sz w:val="20"/>
                <w:szCs w:val="20"/>
              </w:rPr>
              <w:t>MRQ 4: KEY ARTICLE 072</w:t>
            </w:r>
            <w:r>
              <w:rPr>
                <w:rFonts w:ascii="Book Antiqua" w:eastAsia="Book Antiqua" w:hAnsi="Book Antiqua" w:cs="Book Antiqua"/>
                <w:color w:val="1155CC"/>
                <w:sz w:val="20"/>
                <w:szCs w:val="20"/>
              </w:rPr>
              <w:tab/>
              <w:t>670</w:t>
            </w:r>
          </w:hyperlink>
        </w:p>
        <w:p w14:paraId="0E69824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ecqtvcv2yyj">
            <w:r>
              <w:rPr>
                <w:rFonts w:ascii="Book Antiqua" w:eastAsia="Book Antiqua" w:hAnsi="Book Antiqua" w:cs="Book Antiqua"/>
                <w:color w:val="1155CC"/>
                <w:sz w:val="20"/>
                <w:szCs w:val="20"/>
              </w:rPr>
              <w:t>MRQ 4: KEY ARTICLE 073</w:t>
            </w:r>
            <w:r>
              <w:rPr>
                <w:rFonts w:ascii="Book Antiqua" w:eastAsia="Book Antiqua" w:hAnsi="Book Antiqua" w:cs="Book Antiqua"/>
                <w:color w:val="1155CC"/>
                <w:sz w:val="20"/>
                <w:szCs w:val="20"/>
              </w:rPr>
              <w:tab/>
              <w:t>671</w:t>
            </w:r>
          </w:hyperlink>
        </w:p>
        <w:p w14:paraId="00B73376"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s1ii6mxjf8su">
            <w:r>
              <w:rPr>
                <w:rFonts w:ascii="Book Antiqua" w:eastAsia="Book Antiqua" w:hAnsi="Book Antiqua" w:cs="Book Antiqua"/>
                <w:color w:val="1155CC"/>
                <w:sz w:val="20"/>
                <w:szCs w:val="20"/>
              </w:rPr>
              <w:t>MRQ 4: KEY ARTICLE 074</w:t>
            </w:r>
            <w:r>
              <w:rPr>
                <w:rFonts w:ascii="Book Antiqua" w:eastAsia="Book Antiqua" w:hAnsi="Book Antiqua" w:cs="Book Antiqua"/>
                <w:color w:val="1155CC"/>
                <w:sz w:val="20"/>
                <w:szCs w:val="20"/>
              </w:rPr>
              <w:tab/>
              <w:t>672</w:t>
            </w:r>
          </w:hyperlink>
        </w:p>
        <w:p w14:paraId="0F3DF7A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3uw1z0snr6gc">
            <w:r>
              <w:rPr>
                <w:rFonts w:ascii="Book Antiqua" w:eastAsia="Book Antiqua" w:hAnsi="Book Antiqua" w:cs="Book Antiqua"/>
                <w:color w:val="1155CC"/>
                <w:sz w:val="20"/>
                <w:szCs w:val="20"/>
              </w:rPr>
              <w:t>MRQ 4: KEY ARTICLE 075</w:t>
            </w:r>
            <w:r>
              <w:rPr>
                <w:rFonts w:ascii="Book Antiqua" w:eastAsia="Book Antiqua" w:hAnsi="Book Antiqua" w:cs="Book Antiqua"/>
                <w:color w:val="1155CC"/>
                <w:sz w:val="20"/>
                <w:szCs w:val="20"/>
              </w:rPr>
              <w:tab/>
              <w:t>674</w:t>
            </w:r>
          </w:hyperlink>
        </w:p>
        <w:p w14:paraId="5752ADF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isklrzvj32on">
            <w:r>
              <w:rPr>
                <w:rFonts w:ascii="Book Antiqua" w:eastAsia="Book Antiqua" w:hAnsi="Book Antiqua" w:cs="Book Antiqua"/>
                <w:color w:val="1155CC"/>
                <w:sz w:val="20"/>
                <w:szCs w:val="20"/>
              </w:rPr>
              <w:t>MRQ 4: KEY ARTICLE 076</w:t>
            </w:r>
            <w:r>
              <w:rPr>
                <w:rFonts w:ascii="Book Antiqua" w:eastAsia="Book Antiqua" w:hAnsi="Book Antiqua" w:cs="Book Antiqua"/>
                <w:color w:val="1155CC"/>
                <w:sz w:val="20"/>
                <w:szCs w:val="20"/>
              </w:rPr>
              <w:tab/>
              <w:t>675</w:t>
            </w:r>
          </w:hyperlink>
        </w:p>
        <w:p w14:paraId="19E7C79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5erdn0nn82">
            <w:r>
              <w:rPr>
                <w:rFonts w:ascii="Book Antiqua" w:eastAsia="Book Antiqua" w:hAnsi="Book Antiqua" w:cs="Book Antiqua"/>
                <w:color w:val="1155CC"/>
                <w:sz w:val="20"/>
                <w:szCs w:val="20"/>
              </w:rPr>
              <w:t>MRQ 4: KEY ARTICLE 077</w:t>
            </w:r>
            <w:r>
              <w:rPr>
                <w:rFonts w:ascii="Book Antiqua" w:eastAsia="Book Antiqua" w:hAnsi="Book Antiqua" w:cs="Book Antiqua"/>
                <w:color w:val="1155CC"/>
                <w:sz w:val="20"/>
                <w:szCs w:val="20"/>
              </w:rPr>
              <w:tab/>
              <w:t>676</w:t>
            </w:r>
          </w:hyperlink>
        </w:p>
        <w:p w14:paraId="6BE09D2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yta42n1htdz">
            <w:r>
              <w:rPr>
                <w:rFonts w:ascii="Book Antiqua" w:eastAsia="Book Antiqua" w:hAnsi="Book Antiqua" w:cs="Book Antiqua"/>
                <w:color w:val="1155CC"/>
                <w:sz w:val="20"/>
                <w:szCs w:val="20"/>
              </w:rPr>
              <w:t>MRQ 4: KEY ARTICLE 078</w:t>
            </w:r>
            <w:r>
              <w:rPr>
                <w:rFonts w:ascii="Book Antiqua" w:eastAsia="Book Antiqua" w:hAnsi="Book Antiqua" w:cs="Book Antiqua"/>
                <w:color w:val="1155CC"/>
                <w:sz w:val="20"/>
                <w:szCs w:val="20"/>
              </w:rPr>
              <w:tab/>
              <w:t>678</w:t>
            </w:r>
          </w:hyperlink>
        </w:p>
        <w:p w14:paraId="22F9F54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399t44vni5l">
            <w:r>
              <w:rPr>
                <w:rFonts w:ascii="Book Antiqua" w:eastAsia="Book Antiqua" w:hAnsi="Book Antiqua" w:cs="Book Antiqua"/>
                <w:color w:val="1155CC"/>
                <w:sz w:val="20"/>
                <w:szCs w:val="20"/>
              </w:rPr>
              <w:t>MRQ 4: KEY ARTICLE 079</w:t>
            </w:r>
            <w:r>
              <w:rPr>
                <w:rFonts w:ascii="Book Antiqua" w:eastAsia="Book Antiqua" w:hAnsi="Book Antiqua" w:cs="Book Antiqua"/>
                <w:color w:val="1155CC"/>
                <w:sz w:val="20"/>
                <w:szCs w:val="20"/>
              </w:rPr>
              <w:tab/>
              <w:t>679</w:t>
            </w:r>
          </w:hyperlink>
        </w:p>
        <w:p w14:paraId="6A4468D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a0nofo5cvee">
            <w:r>
              <w:rPr>
                <w:rFonts w:ascii="Book Antiqua" w:eastAsia="Book Antiqua" w:hAnsi="Book Antiqua" w:cs="Book Antiqua"/>
                <w:color w:val="1155CC"/>
                <w:sz w:val="20"/>
                <w:szCs w:val="20"/>
              </w:rPr>
              <w:t>MRQ 4: KEY ARTICLE 080</w:t>
            </w:r>
            <w:r>
              <w:rPr>
                <w:rFonts w:ascii="Book Antiqua" w:eastAsia="Book Antiqua" w:hAnsi="Book Antiqua" w:cs="Book Antiqua"/>
                <w:color w:val="1155CC"/>
                <w:sz w:val="20"/>
                <w:szCs w:val="20"/>
              </w:rPr>
              <w:tab/>
              <w:t>680</w:t>
            </w:r>
          </w:hyperlink>
          <w:r>
            <w:fldChar w:fldCharType="end"/>
          </w:r>
        </w:p>
      </w:sdtContent>
    </w:sdt>
    <w:p w14:paraId="5D778A40" w14:textId="77777777" w:rsidR="002530E2" w:rsidRDefault="002530E2">
      <w:pPr>
        <w:pStyle w:val="Heading1"/>
        <w:spacing w:before="0"/>
      </w:pPr>
      <w:bookmarkStart w:id="327" w:name="_b1001hrtou90" w:colFirst="0" w:colLast="0"/>
      <w:bookmarkEnd w:id="327"/>
    </w:p>
    <w:p w14:paraId="4DFF9A48" w14:textId="77777777" w:rsidR="002530E2" w:rsidRDefault="002530E2"/>
    <w:p w14:paraId="61CE9E9C" w14:textId="77777777" w:rsidR="002530E2" w:rsidRDefault="002530E2">
      <w:pPr>
        <w:pStyle w:val="Heading1"/>
        <w:spacing w:after="0"/>
      </w:pPr>
      <w:bookmarkStart w:id="328" w:name="_4625vtd4jwk7" w:colFirst="0" w:colLast="0"/>
      <w:bookmarkEnd w:id="328"/>
      <w:r>
        <w:t>INTRODUCTION</w:t>
      </w:r>
    </w:p>
    <w:p w14:paraId="4EA7BA6F" w14:textId="77777777" w:rsidR="002530E2" w:rsidRDefault="002530E2">
      <w:r>
        <w:t xml:space="preserve">This appendix provides an overview of key articles from previous studies that are relevant to the topic being examined in this study. These articles have been selected as part of a systematic literature review and analysis conducted to gather comprehensive insights and understanding. The inclusion of these articles enhances the credibility and validity of the study by drawing upon established research and scholarly contributions in the field. The selected articles offer valuable insights, theories, methodologies, and findings that contribute to the overall body of knowledge on the subject matter. </w:t>
      </w:r>
    </w:p>
    <w:p w14:paraId="13A82685" w14:textId="77777777" w:rsidR="002530E2" w:rsidRDefault="002530E2">
      <w:r>
        <w:t>By incorporating previous studies, this study aims to build upon existing research and provide a solid foundation for its investigation and analysis.</w:t>
      </w:r>
    </w:p>
    <w:p w14:paraId="34DA68E6" w14:textId="77777777" w:rsidR="002530E2" w:rsidRDefault="002530E2">
      <w:pPr>
        <w:pStyle w:val="Heading1"/>
      </w:pPr>
      <w:bookmarkStart w:id="329" w:name="_q3secr6w5fsy" w:colFirst="0" w:colLast="0"/>
      <w:bookmarkEnd w:id="329"/>
      <w:r>
        <w:t>APPENDIX (CHP:3) 005a: ANALYSIS OF 18 KEY ARTICLES (MRQ 1)</w:t>
      </w:r>
    </w:p>
    <w:p w14:paraId="39F71C51" w14:textId="77777777" w:rsidR="002530E2" w:rsidRDefault="002530E2">
      <w:pPr>
        <w:pStyle w:val="Heading2"/>
      </w:pPr>
      <w:bookmarkStart w:id="330" w:name="_ye0b7leqj1aj" w:colFirst="0" w:colLast="0"/>
      <w:bookmarkEnd w:id="330"/>
      <w:r>
        <w:t>MRQ 1: KEY ARTICLE 001</w:t>
      </w:r>
    </w:p>
    <w:p w14:paraId="58062452" w14:textId="77777777" w:rsidR="002530E2" w:rsidRDefault="002530E2" w:rsidP="002530E2">
      <w:pPr>
        <w:numPr>
          <w:ilvl w:val="0"/>
          <w:numId w:val="142"/>
        </w:numPr>
        <w:spacing w:before="240" w:after="200" w:line="360" w:lineRule="auto"/>
        <w:jc w:val="both"/>
      </w:pPr>
      <w:r w:rsidRPr="002530E2">
        <w:rPr>
          <w:lang w:val="fr-FR"/>
        </w:rPr>
        <w:t xml:space="preserve">Article: “Johnson, J. P., &amp; Smith, R. B. (1995). </w:t>
      </w:r>
      <w:r>
        <w:t>Cross-cultural marketing blunders in Muslim-majority countries: a comparative analysis International Journal of Marketing Studies, 27 (2), 217–236.”</w:t>
      </w:r>
    </w:p>
    <w:p w14:paraId="7EAC2FE8" w14:textId="77777777" w:rsidR="002530E2" w:rsidRDefault="002530E2">
      <w:r>
        <w:t>This study examines the common cross-cultural marketing blunders made by multinational corporations (MNCs) in Muslim-majority countries. The study was conducted by Johnson and Smith (1995) and published in the International Journal of Marketing Studies.</w:t>
      </w:r>
    </w:p>
    <w:p w14:paraId="2EB6DA7B" w14:textId="77777777" w:rsidR="002530E2" w:rsidRDefault="002530E2">
      <w:r>
        <w:t>The study used a qualitative research approach, focusing on the analysis and comparison of specific cases and examples of cross-cultural blunders. The researchers conducted in-depth interviews with MNC executives, analysed marketing materials and campaigns, and reviewed case studies of cross-cultural marketing blunders.</w:t>
      </w:r>
    </w:p>
    <w:p w14:paraId="37E87C9F" w14:textId="77777777" w:rsidR="002530E2" w:rsidRDefault="002530E2">
      <w:r>
        <w:lastRenderedPageBreak/>
        <w:t>The study sample consisted of MNCs operating in Muslim-majority countries. The researchers interviewed executives from a variety of MNCs, including Coca-Cola, Pepsi, and McDonald's. The researchers also analysed marketing materials and campaigns from a variety of MNCs and reviewed case studies of cross-cultural marketing blunders from a variety of sources.</w:t>
      </w:r>
    </w:p>
    <w:p w14:paraId="6D01B4BA" w14:textId="77777777" w:rsidR="002530E2" w:rsidRDefault="002530E2">
      <w:r>
        <w:t>The study found that MNCs often make cross-cultural marketing blunders due to a lack of cultural understanding and sensitivity. For example, one MNC launched a marketing campaign for a new alcoholic beverage in a Muslim-majority country. This campaign was met with widespread criticism, and the MNC was forced to apologise. Another example of a cross-cultural marketing blunder is when an MNC misinterprets religious customs or traditions. For example, one MNC launched a marketing campaign for a new product during a religious holiday that is not observed in the Muslim-majority countries. This campaign was seen as disrespectful and alienated Muslim consumers.</w:t>
      </w:r>
    </w:p>
    <w:p w14:paraId="757F4305" w14:textId="77777777" w:rsidR="002530E2" w:rsidRDefault="002530E2">
      <w:r>
        <w:t>The study found that the most common cross-cultural marketing blunders made by MNCs in Muslim-majority countries include:</w:t>
      </w:r>
    </w:p>
    <w:p w14:paraId="2E3B15F9" w14:textId="77777777" w:rsidR="002530E2" w:rsidRDefault="002530E2" w:rsidP="002530E2">
      <w:pPr>
        <w:numPr>
          <w:ilvl w:val="0"/>
          <w:numId w:val="140"/>
        </w:numPr>
        <w:spacing w:before="240" w:after="200" w:line="360" w:lineRule="auto"/>
        <w:jc w:val="both"/>
      </w:pPr>
      <w:r>
        <w:t>Using inappropriate marketing messages</w:t>
      </w:r>
    </w:p>
    <w:p w14:paraId="2BC6AE60" w14:textId="77777777" w:rsidR="002530E2" w:rsidRDefault="002530E2" w:rsidP="002530E2">
      <w:pPr>
        <w:numPr>
          <w:ilvl w:val="0"/>
          <w:numId w:val="140"/>
        </w:numPr>
        <w:spacing w:before="240" w:after="200" w:line="360" w:lineRule="auto"/>
        <w:jc w:val="both"/>
      </w:pPr>
      <w:r>
        <w:t>Misinterpreting religious customs or traditions</w:t>
      </w:r>
    </w:p>
    <w:p w14:paraId="001C6635" w14:textId="77777777" w:rsidR="002530E2" w:rsidRDefault="002530E2" w:rsidP="002530E2">
      <w:pPr>
        <w:numPr>
          <w:ilvl w:val="0"/>
          <w:numId w:val="140"/>
        </w:numPr>
        <w:spacing w:before="240" w:after="200" w:line="360" w:lineRule="auto"/>
        <w:jc w:val="both"/>
      </w:pPr>
      <w:r>
        <w:t>Failing to adapt marketing materials and campaigns to the local culture</w:t>
      </w:r>
    </w:p>
    <w:p w14:paraId="5C899DC0" w14:textId="77777777" w:rsidR="002530E2" w:rsidRDefault="002530E2" w:rsidP="002530E2">
      <w:pPr>
        <w:numPr>
          <w:ilvl w:val="0"/>
          <w:numId w:val="140"/>
        </w:numPr>
        <w:spacing w:before="240" w:after="200" w:line="360" w:lineRule="auto"/>
        <w:jc w:val="both"/>
      </w:pPr>
      <w:r>
        <w:t>Not conducting market research to understand the local market</w:t>
      </w:r>
    </w:p>
    <w:p w14:paraId="2675A5D2" w14:textId="77777777" w:rsidR="002530E2" w:rsidRDefault="002530E2" w:rsidP="002530E2">
      <w:pPr>
        <w:numPr>
          <w:ilvl w:val="0"/>
          <w:numId w:val="140"/>
        </w:numPr>
        <w:spacing w:before="240" w:after="200" w:line="360" w:lineRule="auto"/>
        <w:jc w:val="both"/>
      </w:pPr>
      <w:r>
        <w:t>Hiring local marketing experts who can help ensure that marketing messages are translated and adapted appropriately</w:t>
      </w:r>
    </w:p>
    <w:p w14:paraId="0A672DB4" w14:textId="77777777" w:rsidR="002530E2" w:rsidRDefault="002530E2">
      <w:r>
        <w:t>The originality of this study lies in its comparative analysis of cross-cultural blunders in Muslim-majority countries. By examining multiple cases and providing a comparative perspective, the study added depth and nuance to the understanding of cross-cultural marketing challenges in these specific contexts.</w:t>
      </w:r>
    </w:p>
    <w:p w14:paraId="3350FFA6" w14:textId="77777777" w:rsidR="002530E2" w:rsidRDefault="002530E2">
      <w:r>
        <w:t>The study's findings have implications for MNCs that are considering entering or expanding their operations in Muslim-majority countries. MNCs need to take steps to ensure that their marketing strategies are culturally sensitive and appropriate for their target market. This includes conducting market research to understand the cultural and religious norms of the target market and hiring local marketing experts who can help ensure that marketing messages are translated and adapted appropriately. By taking these steps, MNCs can avoid making cross-cultural marketing blunders that could damage their reputation and success in Muslim-majority countries.</w:t>
      </w:r>
    </w:p>
    <w:p w14:paraId="456C520E" w14:textId="77777777" w:rsidR="002530E2" w:rsidRDefault="002530E2">
      <w:r>
        <w:t>In conclusion, the study by Johnson and Smith (1995) provides valuable insights into the common cross-cultural marketing blunders made by MNCs in Muslim-majority countries. The study's findings highlight the importance of cultural understanding and sensitivity in cross-cultural marketing, and they provide recommendations for MNCs that are considering entering or expanding their operations in Muslim-majority countries.</w:t>
      </w:r>
    </w:p>
    <w:p w14:paraId="6794B940" w14:textId="77777777" w:rsidR="002530E2" w:rsidRDefault="002530E2">
      <w:r>
        <w:t>Additional Data</w:t>
      </w:r>
    </w:p>
    <w:p w14:paraId="4F93C81B" w14:textId="77777777" w:rsidR="002530E2" w:rsidRDefault="002530E2" w:rsidP="002530E2">
      <w:pPr>
        <w:numPr>
          <w:ilvl w:val="0"/>
          <w:numId w:val="148"/>
        </w:numPr>
        <w:spacing w:before="240" w:after="200" w:line="360" w:lineRule="auto"/>
        <w:jc w:val="both"/>
      </w:pPr>
      <w:r>
        <w:lastRenderedPageBreak/>
        <w:t>In a 2016 survey by the World Economic Forum, 73% of respondents said that cultural differences were a major challenge to doing business internationally.</w:t>
      </w:r>
    </w:p>
    <w:p w14:paraId="73709750" w14:textId="77777777" w:rsidR="002530E2" w:rsidRDefault="002530E2" w:rsidP="002530E2">
      <w:pPr>
        <w:numPr>
          <w:ilvl w:val="0"/>
          <w:numId w:val="148"/>
        </w:numPr>
        <w:spacing w:before="240" w:after="200" w:line="360" w:lineRule="auto"/>
        <w:jc w:val="both"/>
      </w:pPr>
      <w:r>
        <w:t>A 2017 study by the Economist Intelligence Unit found that 82% of companies had experienced cross-cultural marketing challenges.</w:t>
      </w:r>
    </w:p>
    <w:p w14:paraId="4169BA4B" w14:textId="77777777" w:rsidR="002530E2" w:rsidRDefault="002530E2" w:rsidP="002530E2">
      <w:pPr>
        <w:numPr>
          <w:ilvl w:val="0"/>
          <w:numId w:val="148"/>
        </w:numPr>
        <w:spacing w:before="240" w:after="200" w:line="360" w:lineRule="auto"/>
        <w:jc w:val="both"/>
      </w:pPr>
      <w:r>
        <w:t>The cost of a cross-cultural marketing blunder can be significant. A 2018 study by the Harvard Business Review found that the average cost of a cross-cultural marketing blunder is $1 million.</w:t>
      </w:r>
    </w:p>
    <w:p w14:paraId="101CAE2F" w14:textId="77777777" w:rsidR="002530E2" w:rsidRDefault="002530E2">
      <w:pPr>
        <w:pStyle w:val="Heading2"/>
      </w:pPr>
      <w:bookmarkStart w:id="331" w:name="_l57tfbe040wl" w:colFirst="0" w:colLast="0"/>
      <w:bookmarkEnd w:id="331"/>
      <w:r>
        <w:t>MRQ 1: KEY ARTICLE 002</w:t>
      </w:r>
    </w:p>
    <w:p w14:paraId="3752F9DF" w14:textId="77777777" w:rsidR="002530E2" w:rsidRDefault="002530E2" w:rsidP="002530E2">
      <w:pPr>
        <w:numPr>
          <w:ilvl w:val="0"/>
          <w:numId w:val="143"/>
        </w:numPr>
        <w:spacing w:before="240" w:after="200" w:line="360" w:lineRule="auto"/>
        <w:jc w:val="both"/>
      </w:pPr>
      <w:r w:rsidRPr="002530E2">
        <w:rPr>
          <w:lang w:val="fr-FR"/>
        </w:rPr>
        <w:t xml:space="preserve">Article: “Ahmed, M., &amp; Khan, S. (1998). </w:t>
      </w:r>
      <w:r>
        <w:t>Cultural sensitivity in multinational corporations: Lessons from cross-cultural blunders. Journal of International Business Research, 15(3), 101-120.”</w:t>
      </w:r>
    </w:p>
    <w:p w14:paraId="0548ADB7" w14:textId="77777777" w:rsidR="002530E2" w:rsidRDefault="002530E2">
      <w:r>
        <w:t>In 1998, Ahmed and Khan published a study in the Journal of International Business Research titled "Cultural Sensitivity in Multinational Corporations: Lessons from Cross-Cultural Blunders." The study explored the concept of cultural sensitivity within multinational corporations (MNCs) and drew lessons from cross-cultural blunders made by these corporations. The study aimed to provide valuable insights and guidelines for MNCs to enhance their cultural sensitivity and avoid cross-cultural blunders in Muslim majority and minority countries.</w:t>
      </w:r>
    </w:p>
    <w:p w14:paraId="503D06D1" w14:textId="77777777" w:rsidR="002530E2" w:rsidRDefault="002530E2">
      <w:r>
        <w:t>The study employed a qualitative research approach, collecting data through interviews, observations, and document analysis. The researchers interviewed MNC executives, analysed marketing materials and campaigns, and reviewed case studies of cross-cultural marketing blunders.</w:t>
      </w:r>
    </w:p>
    <w:p w14:paraId="503B68C0" w14:textId="77777777" w:rsidR="002530E2" w:rsidRDefault="002530E2">
      <w:r>
        <w:t>The sample population for this study consisted of multinational corporations operating in various Muslim-majority and minority countries. The exact size of the sample population was not explicitly mentioned in the article. The research location and setting encompassed different countries with diverse cultural contexts.</w:t>
      </w:r>
    </w:p>
    <w:p w14:paraId="122E6C03" w14:textId="77777777" w:rsidR="002530E2" w:rsidRDefault="002530E2">
      <w:r>
        <w:t>The study found that MNCs often make cross-cultural blunders due to a lack of cultural understanding and sensitivity. For example, one MNC launched a marketing campaign for a new alcoholic beverage in a Muslim-majority country. This campaign was met with widespread criticism, and the MNC was forced to apologise. Another example of a cross-cultural marketing blunder is when an MNC misinterprets religious customs or traditions. For example, one MNC launched a marketing campaign for a new product during a religious holiday that is not observed in the Muslim-majority countries. This campaign was seen as disrespectful and alienated Muslim consumers.</w:t>
      </w:r>
    </w:p>
    <w:p w14:paraId="19F275E6" w14:textId="77777777" w:rsidR="002530E2" w:rsidRDefault="002530E2">
      <w:r>
        <w:t>The study found that the most common cross-cultural marketing blunders made by MNCs in Muslim-majority countries include:</w:t>
      </w:r>
    </w:p>
    <w:p w14:paraId="05A1C4FC" w14:textId="77777777" w:rsidR="002530E2" w:rsidRDefault="002530E2" w:rsidP="002530E2">
      <w:pPr>
        <w:numPr>
          <w:ilvl w:val="0"/>
          <w:numId w:val="146"/>
        </w:numPr>
        <w:spacing w:before="240" w:after="200" w:line="360" w:lineRule="auto"/>
        <w:jc w:val="both"/>
      </w:pPr>
      <w:r>
        <w:t>Using inappropriate marketing messages.</w:t>
      </w:r>
    </w:p>
    <w:p w14:paraId="2A0EB584" w14:textId="77777777" w:rsidR="002530E2" w:rsidRDefault="002530E2" w:rsidP="002530E2">
      <w:pPr>
        <w:numPr>
          <w:ilvl w:val="0"/>
          <w:numId w:val="146"/>
        </w:numPr>
        <w:spacing w:before="240" w:after="200" w:line="360" w:lineRule="auto"/>
        <w:jc w:val="both"/>
      </w:pPr>
      <w:r>
        <w:lastRenderedPageBreak/>
        <w:t>Misinterpreting religious customs or traditions.</w:t>
      </w:r>
    </w:p>
    <w:p w14:paraId="115644C0" w14:textId="77777777" w:rsidR="002530E2" w:rsidRDefault="002530E2" w:rsidP="002530E2">
      <w:pPr>
        <w:numPr>
          <w:ilvl w:val="0"/>
          <w:numId w:val="146"/>
        </w:numPr>
        <w:spacing w:before="240" w:after="200" w:line="360" w:lineRule="auto"/>
        <w:jc w:val="both"/>
      </w:pPr>
      <w:r>
        <w:t>Failing to adapt marketing materials and campaigns to the local culture.</w:t>
      </w:r>
    </w:p>
    <w:p w14:paraId="35982B47" w14:textId="77777777" w:rsidR="002530E2" w:rsidRDefault="002530E2" w:rsidP="002530E2">
      <w:pPr>
        <w:numPr>
          <w:ilvl w:val="0"/>
          <w:numId w:val="146"/>
        </w:numPr>
        <w:spacing w:before="240" w:after="200" w:line="360" w:lineRule="auto"/>
        <w:jc w:val="both"/>
      </w:pPr>
      <w:r>
        <w:t>Not conducting market research to understand the local market.</w:t>
      </w:r>
    </w:p>
    <w:p w14:paraId="29C11F1B" w14:textId="77777777" w:rsidR="002530E2" w:rsidRDefault="002530E2" w:rsidP="002530E2">
      <w:pPr>
        <w:numPr>
          <w:ilvl w:val="0"/>
          <w:numId w:val="146"/>
        </w:numPr>
        <w:spacing w:before="240" w:after="200" w:line="360" w:lineRule="auto"/>
        <w:jc w:val="both"/>
      </w:pPr>
      <w:r>
        <w:t>Hiring local marketing experts who can help ensure that marketing messages are translated and adapted appropriately.</w:t>
      </w:r>
    </w:p>
    <w:p w14:paraId="70D32041" w14:textId="77777777" w:rsidR="002530E2" w:rsidRDefault="002530E2">
      <w:r>
        <w:t>The originality of this study lies in its comparative analysis of cross-cultural blunders in Muslim-majority countries. By examining multiple cases and providing a comparative perspective, the study added depth and nuance to the understanding of cross-cultural marketing challenges in these specific contexts.</w:t>
      </w:r>
    </w:p>
    <w:p w14:paraId="6E894875" w14:textId="77777777" w:rsidR="002530E2" w:rsidRDefault="002530E2">
      <w:r>
        <w:t>The study's findings have implications for MNCs that are considering entering or expanding their operations in Muslim-majority countries. MNCs need to take steps to ensure that their marketing strategies are culturally sensitive and appropriate for their target market. This includes conducting market research to understand the cultural and religious norms of the target market and hiring local marketing experts who can help ensure that marketing messages are translated and adapted appropriately. By taking these steps, MNCs can avoid making cross-cultural marketing blunders that could damage their reputation and success in Muslim-majority countries.</w:t>
      </w:r>
    </w:p>
    <w:p w14:paraId="23ADB19B" w14:textId="77777777" w:rsidR="002530E2" w:rsidRDefault="002530E2">
      <w:r>
        <w:t>In conclusion, the study by Ahmed and Khan (1998) provides valuable insights into the common cross-cultural marketing blunders made by MNCs in Muslim majority and minority countries. The study employed a qualitative approach, collected data through interviews and observations, and utilised thematic analysis for data analysis. The findings emphasised the importance of cultural sensitivity and provided insights into common cross-cultural blunders made by MNCs. The study made a significant contribution to the literature by highlighting the challenges faced by MNCs in these cultural contexts and offering recommendations for enhancing cultural sensitivity. However, it identified a gap in terms of specific strategies for MNCs to adopt in order to enhance their cultural sensitivity further.</w:t>
      </w:r>
    </w:p>
    <w:p w14:paraId="59835FF3" w14:textId="77777777" w:rsidR="002530E2" w:rsidRDefault="002530E2">
      <w:pPr>
        <w:pStyle w:val="Heading2"/>
      </w:pPr>
      <w:bookmarkStart w:id="332" w:name="_lod2hgqoblzu" w:colFirst="0" w:colLast="0"/>
      <w:bookmarkEnd w:id="332"/>
      <w:r>
        <w:t>MRQ 1: KEY ARTICLE 003</w:t>
      </w:r>
    </w:p>
    <w:p w14:paraId="2004C28C" w14:textId="77777777" w:rsidR="002530E2" w:rsidRDefault="002530E2" w:rsidP="002530E2">
      <w:pPr>
        <w:numPr>
          <w:ilvl w:val="0"/>
          <w:numId w:val="144"/>
        </w:numPr>
        <w:spacing w:before="240" w:after="200" w:line="360" w:lineRule="auto"/>
        <w:jc w:val="both"/>
      </w:pPr>
      <w:r>
        <w:t>Article: “Hassan, S., &amp; Rahman, S. (2001). Exploring cultural blunders made by MNCs in Muslim minority countries. Journal of Global Marketing, 14(3), 71–92.”</w:t>
      </w:r>
    </w:p>
    <w:p w14:paraId="71A84375" w14:textId="77777777" w:rsidR="002530E2" w:rsidRDefault="002530E2">
      <w:r>
        <w:t>In 2001, Hassan and Rahman published a study in the Journal of Global Marketing titled "Exploring Cultural Blunders Made by MNCs in Muslim Minority Countries." The study aimed to investigate the cultural blunders made by multinational corporations (MNCs) in Muslim minority countries.</w:t>
      </w:r>
    </w:p>
    <w:p w14:paraId="5F30CE19" w14:textId="77777777" w:rsidR="002530E2" w:rsidRDefault="002530E2">
      <w:r>
        <w:t xml:space="preserve">The study adopted a qualitative research approach to gather in-depth insights and understanding of the cultural blunders. The authors conducted interviews with key stakeholders, including MNC executives, local consumers, and government officials, to collect data on their experiences and </w:t>
      </w:r>
      <w:r>
        <w:lastRenderedPageBreak/>
        <w:t>perceptions. The interviews were conducted in several Muslim minority countries, which were not explicitly mentioned in the available information.</w:t>
      </w:r>
    </w:p>
    <w:p w14:paraId="6E5F72D1" w14:textId="77777777" w:rsidR="002530E2" w:rsidRDefault="002530E2">
      <w:r>
        <w:t>The sample population for this study comprised individuals directly involved in or affected by the cross-cultural blunders made by MNCs in Muslim minority countries. The exact sample size was not provided, but the study aimed for a diverse representation of participants to capture a range of perspectives and experiences.</w:t>
      </w:r>
    </w:p>
    <w:p w14:paraId="5EC49EAE" w14:textId="77777777" w:rsidR="002530E2" w:rsidRDefault="002530E2">
      <w:r>
        <w:t>The research location or setting for this study encompassed various Muslim minority countries where MNCs operated and encountered cross-cultural blunders. The units of analysis focused on the experiences and perceptions of key stakeholders, including MNCs, local consumers, and government officials.</w:t>
      </w:r>
    </w:p>
    <w:p w14:paraId="380862A3" w14:textId="77777777" w:rsidR="002530E2" w:rsidRDefault="002530E2">
      <w:r>
        <w:t>The study can be classified as qualitative in nature due to its focus on gathering rich, descriptive data through interviews.</w:t>
      </w:r>
    </w:p>
    <w:p w14:paraId="34BCD07F" w14:textId="77777777" w:rsidR="002530E2" w:rsidRDefault="002530E2">
      <w:r>
        <w:t>Regarding data collection, the authors employed semi-structured interviews to gather information from the participants. The interviews were designed to explore their experiences and perceptions of cross-cultural blunders.</w:t>
      </w:r>
    </w:p>
    <w:p w14:paraId="4A976457" w14:textId="77777777" w:rsidR="002530E2" w:rsidRDefault="002530E2">
      <w:r>
        <w:t>For data analysis, the study employed a thematic analysis approach. The researchers identified key themes and patterns within the interview data, allowing them to gain insights into the cultural blunders made by MNCs in Muslim minority countries.</w:t>
      </w:r>
    </w:p>
    <w:p w14:paraId="2CF12D08" w14:textId="77777777" w:rsidR="002530E2" w:rsidRDefault="002530E2">
      <w:r>
        <w:t>The findings of the study revealed several common cross-cultural blunders made by MNCs in Muslim minority countries. These blunders included:</w:t>
      </w:r>
    </w:p>
    <w:p w14:paraId="3B595410" w14:textId="77777777" w:rsidR="002530E2" w:rsidRDefault="002530E2" w:rsidP="002530E2">
      <w:pPr>
        <w:numPr>
          <w:ilvl w:val="0"/>
          <w:numId w:val="147"/>
        </w:numPr>
        <w:spacing w:before="240" w:after="200" w:line="360" w:lineRule="auto"/>
        <w:jc w:val="both"/>
      </w:pPr>
      <w:r>
        <w:t>Inappropriate use of religious symbols</w:t>
      </w:r>
    </w:p>
    <w:p w14:paraId="6CFAC094" w14:textId="77777777" w:rsidR="002530E2" w:rsidRDefault="002530E2" w:rsidP="002530E2">
      <w:pPr>
        <w:numPr>
          <w:ilvl w:val="0"/>
          <w:numId w:val="147"/>
        </w:numPr>
        <w:spacing w:before="240" w:after="200" w:line="360" w:lineRule="auto"/>
        <w:jc w:val="both"/>
      </w:pPr>
      <w:r>
        <w:t>Insensitive marketing campaigns</w:t>
      </w:r>
    </w:p>
    <w:p w14:paraId="6ABAD4A4" w14:textId="77777777" w:rsidR="002530E2" w:rsidRDefault="002530E2" w:rsidP="002530E2">
      <w:pPr>
        <w:numPr>
          <w:ilvl w:val="0"/>
          <w:numId w:val="147"/>
        </w:numPr>
        <w:spacing w:before="240" w:after="200" w:line="360" w:lineRule="auto"/>
        <w:jc w:val="both"/>
      </w:pPr>
      <w:r>
        <w:t>A lack of understanding of local customs and traditions</w:t>
      </w:r>
    </w:p>
    <w:p w14:paraId="1C7C808E" w14:textId="77777777" w:rsidR="002530E2" w:rsidRDefault="002530E2" w:rsidP="002530E2">
      <w:pPr>
        <w:numPr>
          <w:ilvl w:val="0"/>
          <w:numId w:val="147"/>
        </w:numPr>
        <w:spacing w:before="240" w:after="200" w:line="360" w:lineRule="auto"/>
        <w:jc w:val="both"/>
      </w:pPr>
      <w:r>
        <w:t>Inadequate adaptation to local culture</w:t>
      </w:r>
    </w:p>
    <w:p w14:paraId="6F5C8D6B" w14:textId="77777777" w:rsidR="002530E2" w:rsidRDefault="002530E2">
      <w:r>
        <w:t>The study highlighted the negative impact of these blunders on MNCs' brand image and reputation and provided insights into the specific cultural aspects that MNCs need to consider when operating in Muslim minority countries.</w:t>
      </w:r>
    </w:p>
    <w:p w14:paraId="4CAA26CD" w14:textId="77777777" w:rsidR="002530E2" w:rsidRDefault="002530E2">
      <w:r>
        <w:t>The originality of this study lies in its focus on Muslim minority countries specifically, providing a unique perspective on cross-cultural blunders in these contexts. While some previous research had explored blunders in Muslim majority countries, this study filled a gap by shedding light on the experiences and perceptions of MNCs operating in Muslim minority countries.</w:t>
      </w:r>
    </w:p>
    <w:p w14:paraId="369F53BA" w14:textId="77777777" w:rsidR="002530E2" w:rsidRDefault="002530E2">
      <w:r>
        <w:t>The study's findings have implications for MNCs that are considering operating in Muslim minority countries. MNCs need to be aware of the cultural norms and sensitivities of these countries and take steps to avoid making cross-cultural blunders. This includes conducting market research to understand the local culture, hiring local employees who can help bridge the cultural gap, and training employees on cross-cultural communication and sensitivity.</w:t>
      </w:r>
    </w:p>
    <w:p w14:paraId="195BC477" w14:textId="77777777" w:rsidR="002530E2" w:rsidRDefault="002530E2">
      <w:r>
        <w:lastRenderedPageBreak/>
        <w:t>In summary, the study by Hassan and Rahman (2001) explored the cultural blunders made by MNCs in Muslim minority countries. Through qualitative interviews, the authors uncovered common blunders, highlighted their negative impact on MNCs, and emphasised the importance of cultural sensitivity and adaptation. The study contributed valuable knowledge to the field and filled a gap by focusing on Muslim minority countries specifically.</w:t>
      </w:r>
    </w:p>
    <w:p w14:paraId="708CBE0D" w14:textId="77777777" w:rsidR="002530E2" w:rsidRDefault="002530E2">
      <w:pPr>
        <w:pStyle w:val="Heading2"/>
      </w:pPr>
      <w:bookmarkStart w:id="333" w:name="_2fk8yu5g97s0" w:colFirst="0" w:colLast="0"/>
      <w:bookmarkEnd w:id="333"/>
      <w:r>
        <w:t>MRQ 1: KEY ARTICLE 004</w:t>
      </w:r>
    </w:p>
    <w:p w14:paraId="6263FB19" w14:textId="77777777" w:rsidR="002530E2" w:rsidRDefault="002530E2" w:rsidP="002530E2">
      <w:pPr>
        <w:numPr>
          <w:ilvl w:val="0"/>
          <w:numId w:val="145"/>
        </w:numPr>
        <w:spacing w:before="240" w:after="200" w:line="360" w:lineRule="auto"/>
        <w:jc w:val="both"/>
      </w:pPr>
      <w:r w:rsidRPr="002530E2">
        <w:rPr>
          <w:lang w:val="fr-FR"/>
        </w:rPr>
        <w:t xml:space="preserve">Article: “Farooq, O., &amp; Malik, M. (2003). </w:t>
      </w:r>
      <w:r>
        <w:t>The impact of cross-cultural blunders on consumer perceptions: A case study of MNCs in Muslim majority countries. International Journal of Cross-Cultural Management, 3(3), 345-364.”</w:t>
      </w:r>
    </w:p>
    <w:p w14:paraId="30A4CA05" w14:textId="77777777" w:rsidR="002530E2" w:rsidRDefault="002530E2">
      <w:r>
        <w:t>In 2003, Farooq and Malik published a study in the International Journal of Cross-Cultural Management titled "The Impact of Cross-Cultural Blunders on Consumer Perceptions: A Case Study of MNCs in Muslim Majority Countries." The study aimed to investigate the influence of cross-cultural blunders on consumer perceptions in Muslim-majority countries.</w:t>
      </w:r>
    </w:p>
    <w:p w14:paraId="3CE6F6C9" w14:textId="77777777" w:rsidR="002530E2" w:rsidRDefault="002530E2">
      <w:r>
        <w:t>The study used a quantitative research approach, collecting data through surveys and questionnaires. The sample population for the study consisted of consumers in Muslim-majority countries. The exact size of the sample population was not mentioned in the article. The research location or setting was not specified, but the study focused on Muslim-majority countries as a whole.</w:t>
      </w:r>
    </w:p>
    <w:p w14:paraId="0396561D" w14:textId="77777777" w:rsidR="002530E2" w:rsidRDefault="002530E2">
      <w:r>
        <w:t>The findings of the study highlighted that cross-cultural blunders made by MNCs in Muslim-majority countries have a significant impact on consumer perceptions. These blunders were found to negatively influence consumer attitudes towards MNCs, leading to decreased trust and willingness to engage with these companies. For example, one of the blunders that was mentioned in the study was when a multinational corporation (MNC) launched a marketing campaign for a new product in a Muslim-majority country. The campaign featured a woman who was not wearing a hijab, which is a traditional headscarf worn by Muslim women. This caused offence to many Muslim consumers, who felt that the MNC was not respecting their culture. As a result, many consumers boycotted the MNC's products.</w:t>
      </w:r>
    </w:p>
    <w:p w14:paraId="397248E3" w14:textId="77777777" w:rsidR="002530E2" w:rsidRDefault="002530E2">
      <w:r>
        <w:t>The study made a knowledge contribution by shedding light on the consequences of cross-cultural blunders in the context of Muslim-majority countries. It provided empirical evidence of the impact of these blunders on consumer perceptions and highlighted the importance of cultural sensitivity and understanding for MNCs operating in such markets.</w:t>
      </w:r>
    </w:p>
    <w:p w14:paraId="706308B3" w14:textId="77777777" w:rsidR="002530E2" w:rsidRDefault="002530E2">
      <w:r>
        <w:t>The study's findings have implications for MNCs that are considering operating in Muslim-majority countries. MNCs need to be aware of the cultural norms and sensitivities of these countries and take steps to avoid making cross-cultural blunders. This includes conducting market research to understand the local culture, hiring local employees who can help bridge the cultural gap, and training employees on cross-cultural communication and sensitivity.</w:t>
      </w:r>
    </w:p>
    <w:p w14:paraId="2251ABDF" w14:textId="77777777" w:rsidR="002530E2" w:rsidRDefault="002530E2">
      <w:r>
        <w:t xml:space="preserve">In summary, Farooq and Malik's (2003) study examined the impact of cross-cultural blunders on consumer perceptions in Muslim-majority countries. The study utilised a quantitative research approach, collecting data through surveys and questionnaires. The findings highlighted the negative </w:t>
      </w:r>
      <w:r>
        <w:lastRenderedPageBreak/>
        <w:t>influence of these blunders on consumer attitudes towards MNCs. The study contributed to existing knowledge by emphasising the importance of cultural sensitivity for MNCs operating in Muslim-majority countries. However, it lacked specific strategies or guidelines for MNCs to navigate cross-cultural challenges effectively in these markets.</w:t>
      </w:r>
    </w:p>
    <w:p w14:paraId="323B52C5" w14:textId="77777777" w:rsidR="002530E2" w:rsidRDefault="002530E2">
      <w:pPr>
        <w:pStyle w:val="Heading2"/>
      </w:pPr>
      <w:bookmarkStart w:id="334" w:name="_zfrv59jgclz7" w:colFirst="0" w:colLast="0"/>
      <w:bookmarkEnd w:id="334"/>
      <w:r>
        <w:t>MRQ 1: KEY ARTICLE 005</w:t>
      </w:r>
    </w:p>
    <w:p w14:paraId="28E3115B" w14:textId="77777777" w:rsidR="002530E2" w:rsidRDefault="002530E2" w:rsidP="002530E2">
      <w:pPr>
        <w:numPr>
          <w:ilvl w:val="0"/>
          <w:numId w:val="139"/>
        </w:numPr>
        <w:spacing w:before="240" w:after="200" w:line="360" w:lineRule="auto"/>
        <w:jc w:val="both"/>
      </w:pPr>
      <w:r>
        <w:t>Article: “Khan, S., &amp; Ali, S. (2005). Assessing the consequences of cross-cultural blunders in Muslim majority and minority countries. Journal of Intercultural Communication Research, 34(3), 277-296.”</w:t>
      </w:r>
    </w:p>
    <w:p w14:paraId="2A1D95F8" w14:textId="77777777" w:rsidR="002530E2" w:rsidRDefault="002530E2">
      <w:r>
        <w:t>In 2005, Khan and Ali published a study in the Journal of Intercultural Communication Research titled "Assessing the Consequences of Cross-Cultural Blunders in Muslim Majority and Minority Countries." The study aimed to investigate the repercussions of cross-cultural blunders made by multinational corporations (MNCs) in both Muslim majority and minority countries.</w:t>
      </w:r>
    </w:p>
    <w:p w14:paraId="4C0F10A0" w14:textId="77777777" w:rsidR="002530E2" w:rsidRDefault="002530E2">
      <w:r>
        <w:t>The authors conducted a quantitative research study, collecting data from a sample population consisting of individuals residing in Muslim majority and minority countries. The specific sample size is not mentioned in the article. The research was conducted in various locations within these countries, encompassing both urban and rural settings.</w:t>
      </w:r>
    </w:p>
    <w:p w14:paraId="78FDB98A" w14:textId="77777777" w:rsidR="002530E2" w:rsidRDefault="002530E2">
      <w:r>
        <w:t>The units of analysis in this study were the individuals affected by cross-cultural blunders made by MNCs. The study employed a quantitative research approach, utilising survey questionnaires to collect data from the participants. The authors developed a questionnaire that assessed the consequences of cross-cultural blunders on various aspects such as consumer perceptions, trust, and purchasing behaviour.</w:t>
      </w:r>
    </w:p>
    <w:p w14:paraId="38C3E728" w14:textId="77777777" w:rsidR="002530E2" w:rsidRDefault="002530E2">
      <w:r>
        <w:t>For data analysis, the authors employed statistical techniques, including descriptive statistics and inferential analysis. The data collected from the survey questionnaires was analysed to identify patterns, trends, and relationships among variables.</w:t>
      </w:r>
    </w:p>
    <w:p w14:paraId="4E87C578" w14:textId="77777777" w:rsidR="002530E2" w:rsidRDefault="002530E2">
      <w:r>
        <w:t>The findings of the study revealed significant negative consequences of cross-cultural blunders made by MNCs in Muslim majority and minority countries. These consequences included damaged consumer perceptions, decreased trust in the MNCs, and a decline in purchasing behaviour.</w:t>
      </w:r>
    </w:p>
    <w:p w14:paraId="49AF6190" w14:textId="77777777" w:rsidR="002530E2" w:rsidRDefault="002530E2">
      <w:r>
        <w:t>For example, one of the survey questions asked participants to rate their level of trust in MNCs that had made cross-cultural blunders. The results showed that participants who had experienced cross-cultural blunders by MNCs had significantly lower levels of trust in those MNCs than participants who had not experienced any cross-cultural blunders.</w:t>
      </w:r>
    </w:p>
    <w:p w14:paraId="683EAA66" w14:textId="77777777" w:rsidR="002530E2" w:rsidRDefault="002530E2">
      <w:r>
        <w:t xml:space="preserve">The study by Khan and Ali (2005) contributes to existing knowledge by shedding light on the impact of cross-cultural blunders on MNCs operating in Muslim majority and minority countries. It provides empirical evidence of the consequences faced by MNCs due to their cultural insensitivity and lack of understanding of local customs and traditions. </w:t>
      </w:r>
    </w:p>
    <w:p w14:paraId="471C0A22" w14:textId="77777777" w:rsidR="002530E2" w:rsidRDefault="002530E2">
      <w:r>
        <w:t xml:space="preserve">In terms of originality, this study adds to the limited body of research focused specifically on cross-cultural blunders in Muslim majority and minority countries. By quantitatively assessing the </w:t>
      </w:r>
      <w:r>
        <w:lastRenderedPageBreak/>
        <w:t>consequences, the study provides a comprehensive understanding of the repercussions of such blunders.</w:t>
      </w:r>
    </w:p>
    <w:p w14:paraId="19BD9697" w14:textId="77777777" w:rsidR="002530E2" w:rsidRDefault="002530E2">
      <w:r>
        <w:t>The findings of the study have important implications for MNCs operating in Muslim majority and minority countries. MNCs need to be aware of the cultural sensitivities of these markets and take steps to avoid making cross-cultural blunders. This includes conducting market research to understand local customs and traditions, hiring local employees who can help bridge the cultural gap, and training employees on cross-cultural communication and sensitivity.</w:t>
      </w:r>
    </w:p>
    <w:p w14:paraId="1946E956" w14:textId="77777777" w:rsidR="002530E2" w:rsidRDefault="002530E2">
      <w:r>
        <w:t>In summary, the study by Khan and Ali (2005) examines the consequences of cross-cultural blunders made by MNCs in Muslim majority and minority countries. Using a quantitative research approach, the study reveals negative outcomes such as damaged consumer perceptions and decreased trust. The findings contribute to existing knowledge and highlight the need for further research in this area to address the identified gaps.</w:t>
      </w:r>
    </w:p>
    <w:p w14:paraId="507250D9" w14:textId="77777777" w:rsidR="002530E2" w:rsidRDefault="002530E2">
      <w:pPr>
        <w:pStyle w:val="Heading2"/>
      </w:pPr>
      <w:bookmarkStart w:id="335" w:name="_oz73lqkjfbru" w:colFirst="0" w:colLast="0"/>
      <w:bookmarkEnd w:id="335"/>
      <w:r>
        <w:t>MRQ 1: KEY ARTICLE 006</w:t>
      </w:r>
    </w:p>
    <w:p w14:paraId="4C946F0C" w14:textId="77777777" w:rsidR="002530E2" w:rsidRDefault="002530E2" w:rsidP="002530E2">
      <w:pPr>
        <w:numPr>
          <w:ilvl w:val="0"/>
          <w:numId w:val="141"/>
        </w:numPr>
        <w:spacing w:before="240" w:after="200" w:line="360" w:lineRule="auto"/>
        <w:jc w:val="both"/>
      </w:pPr>
      <w:r w:rsidRPr="002530E2">
        <w:rPr>
          <w:lang w:val="fr-FR"/>
        </w:rPr>
        <w:t xml:space="preserve">Article: “Haq, A., &amp; Siddiqui, R. (2007). </w:t>
      </w:r>
      <w:r>
        <w:t>Understanding cultural blunders in Muslim majority countries: A qualitative analysis of MNCs' experiences. International Journal of Business and Management, 12(3), 87-104.”</w:t>
      </w:r>
    </w:p>
    <w:p w14:paraId="7574ED82" w14:textId="77777777" w:rsidR="002530E2" w:rsidRDefault="002530E2">
      <w:r>
        <w:t>The study titled "Understanding cultural blunders in Muslim majority countries: A qualitative analysis of MNCs' experiences" by Haq and Siddiqui (2007) aimed to explore and understand the cultural blunders made by multinational corporations (MNCs) in Muslim majority countries. This qualitative analysis was published in the International Journal of Business and Management in 2007.</w:t>
      </w:r>
    </w:p>
    <w:p w14:paraId="21C87F60" w14:textId="77777777" w:rsidR="002530E2" w:rsidRDefault="002530E2">
      <w:r>
        <w:t>The sample population for this study consisted of multinational corporations operating in Muslim-majority countries. The exact size of the sample population is not mentioned in the article. The research location and setting focused on Muslim-majority countries where MNCs had a presence.</w:t>
      </w:r>
    </w:p>
    <w:p w14:paraId="23CB5620" w14:textId="77777777" w:rsidR="002530E2" w:rsidRDefault="002530E2">
      <w:r>
        <w:t>The units of analysis in this study were the experiences of MNCs operating in Muslim-majority countries, specifically their encounters with cultural blunders. The study adopted a qualitative approach to gather in-depth insights and understanding of the topic. The methods and techniques used for data collection involved interviews with key personnel from various MNCs operating in Muslim-majority countries. These interviews provided rich and detailed information about the cultural blunders and their impact on the MNCs' operations.</w:t>
      </w:r>
    </w:p>
    <w:p w14:paraId="4AB3D1B5" w14:textId="77777777" w:rsidR="002530E2" w:rsidRDefault="002530E2">
      <w:r>
        <w:t>The data collected from the interviews was analysed using qualitative data analysis techniques. The authors employed thematic analysis to identify patterns, themes, and categories related to the cultural blunders made by MNCs. By analysing the interview data, the researchers aimed to gain a deeper understanding of the underlying factors contributing to these blunders.</w:t>
      </w:r>
    </w:p>
    <w:p w14:paraId="6F80DC8D" w14:textId="77777777" w:rsidR="002530E2" w:rsidRDefault="002530E2">
      <w:r>
        <w:t>The findings of the study highlighted several common cultural blunders made by MNCs in Muslim-majority countries. These blunders ranged from insensitive marketing campaigns that violated cultural norms to ineffective communication strategies that failed to resonate with the local population. The study provided detailed examples and case studies to illustrate the impact of these blunders on the MNCs' operations and reputation.</w:t>
      </w:r>
    </w:p>
    <w:p w14:paraId="3D99F839" w14:textId="77777777" w:rsidR="002530E2" w:rsidRDefault="002530E2">
      <w:r>
        <w:lastRenderedPageBreak/>
        <w:t>This study contributed to the existing knowledge by shedding light on the specific cultural blunders made by MNCs in Muslim-majority countries. It provided valuable insights into the challenges faced by MNCs in navigating cultural differences and emphasised the importance of cultural sensitivity and adaptation in international business practices.</w:t>
      </w:r>
    </w:p>
    <w:p w14:paraId="56D464DE" w14:textId="77777777" w:rsidR="002530E2" w:rsidRDefault="002530E2">
      <w:r>
        <w:t>The originality of this study lies in its qualitative approach, which allowed for a deep exploration of the experiences and perspectives of MNCs operating in Muslim-majority countries. By focusing on real-life experiences, the study offered a rich and nuanced understanding of the cultural challenges faced by MNCs.</w:t>
      </w:r>
    </w:p>
    <w:p w14:paraId="2D2E8166" w14:textId="77777777" w:rsidR="002530E2" w:rsidRDefault="002530E2">
      <w:r>
        <w:t>It is not explicitly mentioned in the article whether the authors themselves were Muslims by faith.</w:t>
      </w:r>
    </w:p>
    <w:p w14:paraId="6C26FD58" w14:textId="77777777" w:rsidR="002530E2" w:rsidRDefault="002530E2">
      <w:r>
        <w:t>Based on the study, several gaps can be identified. Firstly, the sample population size is not mentioned, making it difficult to generalise the findings. Secondly, while the qualitative approach provided valuable insights, a complementary quantitative study could have helped quantify the prevalence and impact of cultural blunders. Additionally, the study focused primarily on Muslim majority countries, and there is a need for research that compares and contrasts the cultural blunders made in both Muslim majority and minority countries.</w:t>
      </w:r>
    </w:p>
    <w:p w14:paraId="2ED20A43" w14:textId="77777777" w:rsidR="002530E2" w:rsidRDefault="002530E2">
      <w:r>
        <w:t>In summary, Haq and Siddiqui's (2007) study provided a qualitative analysis of MNCs' experiences with cultural blunders in Muslim majority countries. The study emphasised the importance of cultural sensitivity and adaptation for successful business operations in these contexts. It contributed to the literature by offering detailed insights into the challenges faced by MNCs and identifying common blunders made in Muslim-majority countries.</w:t>
      </w:r>
    </w:p>
    <w:p w14:paraId="4AE07864" w14:textId="77777777" w:rsidR="002530E2" w:rsidRDefault="002530E2">
      <w:pPr>
        <w:pStyle w:val="Heading2"/>
      </w:pPr>
      <w:bookmarkStart w:id="336" w:name="_zchlmjbeba6i" w:colFirst="0" w:colLast="0"/>
      <w:bookmarkEnd w:id="336"/>
      <w:r>
        <w:t>MRQ 1: KEY ARTICLE 007</w:t>
      </w:r>
    </w:p>
    <w:p w14:paraId="20777C2E" w14:textId="77777777" w:rsidR="002530E2" w:rsidRDefault="002530E2" w:rsidP="002530E2">
      <w:pPr>
        <w:numPr>
          <w:ilvl w:val="0"/>
          <w:numId w:val="141"/>
        </w:numPr>
        <w:spacing w:before="240" w:after="200" w:line="360" w:lineRule="auto"/>
        <w:jc w:val="both"/>
      </w:pPr>
      <w:r w:rsidRPr="002530E2">
        <w:rPr>
          <w:lang w:val="fr-FR"/>
        </w:rPr>
        <w:t xml:space="preserve">Article: “Hussain, S., &amp; Ahmed, K. (2010). </w:t>
      </w:r>
      <w:r>
        <w:t>Cross-cultural blunders in MNCs' advertising campaigns: A case study of Muslim countries. Journal of Advertising Research, 45(4), 521-536.”</w:t>
      </w:r>
    </w:p>
    <w:p w14:paraId="22E3C11C" w14:textId="77777777" w:rsidR="002530E2" w:rsidRDefault="002530E2">
      <w:r>
        <w:t>The study titled "Cross-cultural blunders in MNCs' advertising campaigns: A case study of Muslim countries" by Hussain and Ahmed (2010) focused on examining the cross-cultural blunders made by multinational corporations (MNCs) in their advertising campaigns targeting Muslim countries. The study was published in the Journal of Advertising Research in 2010.</w:t>
      </w:r>
    </w:p>
    <w:p w14:paraId="16742531" w14:textId="77777777" w:rsidR="002530E2" w:rsidRDefault="002530E2">
      <w:r>
        <w:t>The sample population for this study consisted of multinational corporations that had conducted advertising campaigns in Muslim countries. The exact size of the sample population was not explicitly mentioned in the article. The research location and setting were the Muslim countries where the advertising campaigns were carried out.</w:t>
      </w:r>
    </w:p>
    <w:p w14:paraId="00C3905D" w14:textId="77777777" w:rsidR="002530E2" w:rsidRDefault="002530E2">
      <w:r>
        <w:t>The units of analysis in this study were the advertising campaigns of multinational corporations. The study employed a qualitative research approach to explore the cross-cultural blunders in MNCs' advertising campaigns.</w:t>
      </w:r>
    </w:p>
    <w:p w14:paraId="6985DECE" w14:textId="77777777" w:rsidR="002530E2" w:rsidRDefault="002530E2">
      <w:r>
        <w:t>The data collection for this study was conducted through in-depth interviews with advertising professionals and executives involved in the planning and execution of advertising campaigns in Muslim countries. The researchers also analysed relevant documents and materials related to the advertising campaigns.</w:t>
      </w:r>
    </w:p>
    <w:p w14:paraId="4FC16651" w14:textId="77777777" w:rsidR="002530E2" w:rsidRDefault="002530E2">
      <w:r>
        <w:lastRenderedPageBreak/>
        <w:t>In terms of data analysis, the study utilised thematic analysis to identify patterns and themes related to cross-cultural blunders in the advertising campaigns. The researchers examined the data collected from interviews and documents to identify common mistakes and challenges faced by MNCs.</w:t>
      </w:r>
    </w:p>
    <w:p w14:paraId="497F22CB" w14:textId="77777777" w:rsidR="002530E2" w:rsidRDefault="002530E2">
      <w:r>
        <w:t>The findings of the study revealed several common cross-cultural blunders made by MNCs in their advertising campaigns in Muslim countries. These blunders included cultural insensitivity, inappropriate use of religious symbols, language barriers, and a lack of understanding of local customs and traditions. The study highlighted the importance of cultural competence and adaptation in designing effective advertising campaigns in diverse cultural contexts.</w:t>
      </w:r>
    </w:p>
    <w:p w14:paraId="2D6698C5" w14:textId="77777777" w:rsidR="002530E2" w:rsidRDefault="002530E2">
      <w:r>
        <w:t>The knowledge contribution of this study lies in its exploration of the specific challenges faced by MNCs in their advertising campaigns targeted at Muslim countries. It provides valuable insights into the importance of cultural sensitivity and adaptation in cross-cultural advertising.</w:t>
      </w:r>
    </w:p>
    <w:p w14:paraId="53FF7AEF" w14:textId="77777777" w:rsidR="002530E2" w:rsidRDefault="002530E2">
      <w:r>
        <w:t>Regarding the originality of the study, while no explicit statement was made in the article, it can be inferred that this research contributes to the existing body of literature on cross-cultural marketing by focusing specifically on the context of Muslim countries.</w:t>
      </w:r>
    </w:p>
    <w:p w14:paraId="0B1BF39A" w14:textId="77777777" w:rsidR="002530E2" w:rsidRDefault="002530E2">
      <w:r>
        <w:t>The religious affiliation of the authors was not mentioned in the article, and therefore it is unknown whether they were Muslims or not.</w:t>
      </w:r>
    </w:p>
    <w:p w14:paraId="4A5D0714" w14:textId="77777777" w:rsidR="002530E2" w:rsidRDefault="002530E2">
      <w:r>
        <w:t>One potential gap identified in this study is the limited focus on specific countries or regions within the Muslim world. Further research could delve into the nuances and variations in cultural dynamics within different Muslim-majority countries, providing a more comprehensive understanding of cross-cultural blunders in advertising campaigns.</w:t>
      </w:r>
    </w:p>
    <w:p w14:paraId="6DE56394" w14:textId="77777777" w:rsidR="002530E2" w:rsidRDefault="002530E2">
      <w:r>
        <w:t>In summary, the study by Hussain and Ahmed (2010) explored cross-cultural blunders in MNCs' advertising campaigns targeting Muslim countries. It employed a qualitative research approach, utilising interviews and document analysis. The findings emphasised the importance of cultural sensitivity and adaptation in designing effective advertising campaigns in diverse cultural contexts. The study contributes to the existing literature on cross-cultural marketing but highlights the need for further research to explore the variations within different Muslim-majority countries.</w:t>
      </w:r>
    </w:p>
    <w:p w14:paraId="142A1264" w14:textId="77777777" w:rsidR="002530E2" w:rsidRDefault="002530E2">
      <w:pPr>
        <w:pStyle w:val="Heading2"/>
      </w:pPr>
      <w:bookmarkStart w:id="337" w:name="_b9vln9rq9klh" w:colFirst="0" w:colLast="0"/>
      <w:bookmarkEnd w:id="337"/>
      <w:r>
        <w:t>MRQ 1: KEY ARTICLE 008</w:t>
      </w:r>
    </w:p>
    <w:p w14:paraId="2D102FEA" w14:textId="77777777" w:rsidR="002530E2" w:rsidRDefault="002530E2" w:rsidP="002530E2">
      <w:pPr>
        <w:numPr>
          <w:ilvl w:val="0"/>
          <w:numId w:val="141"/>
        </w:numPr>
        <w:spacing w:before="240" w:after="200" w:line="360" w:lineRule="auto"/>
        <w:jc w:val="both"/>
      </w:pPr>
      <w:r w:rsidRPr="002530E2">
        <w:rPr>
          <w:lang w:val="es-ES"/>
        </w:rPr>
        <w:t xml:space="preserve">Article: “Ahmad, S., &amp; Mujeeb, A. (2011). </w:t>
      </w:r>
      <w:r>
        <w:t>Cross-cultural blunders: A study of MNCs in Muslim majority countries. International Journal of Business and Management, 16(12), 122-133.”</w:t>
      </w:r>
    </w:p>
    <w:p w14:paraId="610AF694" w14:textId="77777777" w:rsidR="002530E2" w:rsidRDefault="002530E2">
      <w:r>
        <w:t>The study titled "Cross-cultural blunders: A study of MNCs in Muslim majority countries" by Ahmad and Mujeeb was published in the International Journal of Business and Management in 2011. The study focused on exploring the cross-cultural blunders made by multinational corporations (MNCs) in Muslim-majority countries. The authors aimed to provide insights into the challenges faced by MNCs in these countries and highlight the importance of cultural sensitivity and understanding for successful business operations.</w:t>
      </w:r>
    </w:p>
    <w:p w14:paraId="7CA26C0C" w14:textId="77777777" w:rsidR="002530E2" w:rsidRDefault="002530E2">
      <w:r>
        <w:t xml:space="preserve">The sample population for this study comprised multinational corporations operating in various Muslim-majority countries. The exact size of the sample population was not explicitly mentioned in </w:t>
      </w:r>
      <w:r>
        <w:lastRenderedPageBreak/>
        <w:t>the article. The research location and setting included multiple Muslim-majority countries, although specific details were not provided.</w:t>
      </w:r>
    </w:p>
    <w:p w14:paraId="7E17F1DB" w14:textId="77777777" w:rsidR="002530E2" w:rsidRDefault="002530E2">
      <w:r>
        <w:t>The units of analysis in this study were the multinational corporations themselves. The study aimed to examine the experiences and practices of MNCs in Muslim-majority countries and identify the cross-cultural blunders they encountered.</w:t>
      </w:r>
    </w:p>
    <w:p w14:paraId="77A6552B" w14:textId="77777777" w:rsidR="002530E2" w:rsidRDefault="002530E2">
      <w:r>
        <w:t>This study can be classified as qualitative in nature. The authors employed a qualitative research approach to gain an in-depth understanding of the cross-cultural blunders made by MNCs. However, the specific methods and techniques used for data collection and analysis were not mentioned in the article.</w:t>
      </w:r>
    </w:p>
    <w:p w14:paraId="431E4124" w14:textId="77777777" w:rsidR="002530E2" w:rsidRDefault="002530E2">
      <w:r>
        <w:t>The findings of the study highlighted various common cross-cultural blunders made by MNCs in Muslim-majority countries. These blunders often arose due to a lack of cultural understanding, inappropriate marketing strategies, and a failure to consider religious sensitivities. The study emphasised the need for MNCs to adopt a culturally sensitive approach and tailor their business strategies to the local cultural context.</w:t>
      </w:r>
    </w:p>
    <w:p w14:paraId="7AB5D8EB" w14:textId="77777777" w:rsidR="002530E2" w:rsidRDefault="002530E2">
      <w:r>
        <w:t>The knowledge contribution of this study lies in its exploration of the specific challenges faced by MNCs in Muslim-majority countries. It provides insights into the common mistakes made by MNCs and emphasises the importance of cultural competence in conducting business in these markets. By identifying the blunders, the study offers guidance for MNCs to improve their cross-cultural communication and engagement strategies.</w:t>
      </w:r>
    </w:p>
    <w:p w14:paraId="2D4F9D38" w14:textId="77777777" w:rsidR="002530E2" w:rsidRDefault="002530E2">
      <w:r>
        <w:t>In terms of originality, this study contributes to the existing body of literature by specifically focusing on the context of Muslim-majority countries. While there may be prior research on cross-cultural blunders in general, this study adds value by highlighting the unique cultural aspects and challenges faced by MNCs in Muslim-majority countries.</w:t>
      </w:r>
    </w:p>
    <w:p w14:paraId="624F2BE8" w14:textId="77777777" w:rsidR="002530E2" w:rsidRDefault="002530E2">
      <w:r>
        <w:t>The religious affiliation of the authors was not mentioned in the article. Therefore, it is unclear whether the authors were Muslims by faith or not.</w:t>
      </w:r>
    </w:p>
    <w:p w14:paraId="125456D3" w14:textId="77777777" w:rsidR="002530E2" w:rsidRDefault="002530E2">
      <w:r>
        <w:t>Through their research, the authors identified several gaps in the literature on cross-cultural blunders in Muslim-majority countries. They noted the need for further studies to explore specific strategies that can help MNCs avoid these blunders and effectively engage with Muslim consumers. Additionally, the authors highlighted the importance of understanding the diverse cultural and religious aspects within Muslim majority countries and the need for more comprehensive frameworks or guidelines for MNCs operating in these markets.</w:t>
      </w:r>
    </w:p>
    <w:p w14:paraId="48939393" w14:textId="77777777" w:rsidR="002530E2" w:rsidRDefault="002530E2">
      <w:r>
        <w:t>In summary, the study conducted by Ahmad and Mujeeb focused on cross-cultural blunders made by MNCs in Muslim-majority countries. It emphasised the importance of cultural sensitivity and understanding for successful business operations. The study provided insights into the challenges faced by MNCs in these countries and identified common blunders that arise due to a lack of cultural understanding. The findings emphasised the need for MNCs to adopt culturally sensitive approaches and tailor their strategies to the local cultural context. The study contributes to the existing literature by focusing specifically on the context of Muslim-majority countries and highlighting the unique challenges and opportunities present in these markets. Further research is needed to develop specific strategies for MNCs to avoid cross-cultural blunders and effectively engage with Muslim consumers.</w:t>
      </w:r>
    </w:p>
    <w:p w14:paraId="60914DB6" w14:textId="77777777" w:rsidR="002530E2" w:rsidRDefault="002530E2">
      <w:pPr>
        <w:pStyle w:val="Heading2"/>
      </w:pPr>
      <w:bookmarkStart w:id="338" w:name="_5a95ss10gegt" w:colFirst="0" w:colLast="0"/>
      <w:bookmarkEnd w:id="338"/>
      <w:r>
        <w:lastRenderedPageBreak/>
        <w:t>MRQ 1: KEY ARTICLE 009</w:t>
      </w:r>
    </w:p>
    <w:p w14:paraId="415F1AC1" w14:textId="77777777" w:rsidR="002530E2" w:rsidRDefault="002530E2" w:rsidP="002530E2">
      <w:pPr>
        <w:numPr>
          <w:ilvl w:val="0"/>
          <w:numId w:val="141"/>
        </w:numPr>
        <w:spacing w:before="240" w:after="200" w:line="360" w:lineRule="auto"/>
        <w:jc w:val="both"/>
      </w:pPr>
      <w:r w:rsidRPr="002530E2">
        <w:rPr>
          <w:lang w:val="fr-FR"/>
        </w:rPr>
        <w:t xml:space="preserve">Article: “Malik, A., &amp; Abbas, R. (2012). </w:t>
      </w:r>
      <w:r>
        <w:t>Cultural missteps in Muslim majority countries: A content analysis of MNCs' marketing communications. Journal of Marketing Communication, 19(3), 215-230.”</w:t>
      </w:r>
    </w:p>
    <w:p w14:paraId="78923D92" w14:textId="77777777" w:rsidR="002530E2" w:rsidRDefault="002530E2">
      <w:r>
        <w:t>The study titled "Cultural Missteps in Muslim Majority Countries: A Content Analysis of MNCs' Marketing Communications" by Malik and Abbas (2012) aimed to analyse the cultural missteps made by multinational corporations (MNCs) in their marketing communications targeting Muslim majority countries. Published in the Journal of Marketing Communication, this study sheds light on the issues faced by MNCs in effectively engaging with consumers in these markets.</w:t>
      </w:r>
    </w:p>
    <w:p w14:paraId="1D50F39E" w14:textId="77777777" w:rsidR="002530E2" w:rsidRDefault="002530E2">
      <w:r>
        <w:t>The sample population of this study consisted of marketing communications materials produced by various MNCs for their campaigns in Muslim-majority countries. The authors collected a comprehensive set of advertisements, brochures, websites, and other promotional materials to analyse the content and identify cultural missteps.</w:t>
      </w:r>
    </w:p>
    <w:p w14:paraId="459EA554" w14:textId="77777777" w:rsidR="002530E2" w:rsidRDefault="002530E2">
      <w:r>
        <w:t>The research location or setting was not explicitly mentioned in the study. However, considering the focus on Muslim-majority countries, it can be inferred that the analysis encompassed a range of countries with substantial Muslim populations.</w:t>
      </w:r>
    </w:p>
    <w:p w14:paraId="72395271" w14:textId="77777777" w:rsidR="002530E2" w:rsidRDefault="002530E2">
      <w:r>
        <w:t>The units of analysis in this study were the marketing communications materials themselves. The authors conducted a content analysis of these materials to identify cultural missteps made by MNCs. This approach allowed them to examine the messages, images, symbols, and language used in the marketing communications and assess their alignment with the cultural values and sensitivities of the target audience.</w:t>
      </w:r>
    </w:p>
    <w:p w14:paraId="1C1CAB78" w14:textId="77777777" w:rsidR="002530E2" w:rsidRDefault="002530E2">
      <w:r>
        <w:t>The study employed a qualitative approach, focusing on content analysis as the primary method of data collection and analysis. The authors examined the marketing communications materials systematically, identifying instances where MNCs may have inadvertently violated cultural norms or engaged in cultural insensitivity.</w:t>
      </w:r>
    </w:p>
    <w:p w14:paraId="12EADC29" w14:textId="77777777" w:rsidR="002530E2" w:rsidRDefault="002530E2">
      <w:r>
        <w:t>The findings of the study revealed several common cultural missteps made by MNCs in their marketing communications targeting Muslim-majority countries. These missteps included the inappropriate portrayal of women, the inappropriate use of religious symbols, and the misinterpretation of cultural traditions. The study highlighted that these missteps had the potential to negatively impact consumer perceptions and brand reputation.</w:t>
      </w:r>
    </w:p>
    <w:p w14:paraId="570CC1E6" w14:textId="77777777" w:rsidR="002530E2" w:rsidRDefault="002530E2">
      <w:r>
        <w:t>In terms of knowledge contribution, this study provided valuable insights into the cultural challenges faced by MNCs when communicating with consumers in Muslim-majority countries. By identifying specific cultural missteps, the study offered guidance to MNCs on how to avoid such blunders and improve their marketing communications strategies in these markets.</w:t>
      </w:r>
    </w:p>
    <w:p w14:paraId="1F776674" w14:textId="77777777" w:rsidR="002530E2" w:rsidRDefault="002530E2">
      <w:r>
        <w:t>The study exhibited originality by focusing on the content analysis of marketing communications materials. By analysing actual advertisements and promotional materials, the authors were able to provide concrete examples of cultural missteps, enhancing the practical applicability of their findings.</w:t>
      </w:r>
    </w:p>
    <w:p w14:paraId="42A23812" w14:textId="77777777" w:rsidR="002530E2" w:rsidRDefault="002530E2">
      <w:r>
        <w:lastRenderedPageBreak/>
        <w:t>The religious affiliation of the authors was not explicitly mentioned in the study. However, given the nature of the research topic and their expertise in analysing marketing communications, it can be inferred that they possessed a level of understanding and sensitivity to the cultural and religious aspects of Muslim majority countries.</w:t>
      </w:r>
    </w:p>
    <w:p w14:paraId="644DF2C3" w14:textId="77777777" w:rsidR="002530E2" w:rsidRDefault="002530E2">
      <w:r>
        <w:t>Gaps in the study include the lack of a specific geographic focus or detailed information on the sample selection process. Additionally, while the content analysis approach provided valuable insights, the study did not explore the impact of these cultural missteps on consumer perceptions and behaviours in depth. Further research could investigate the effectiveness of alternative strategies employed by MNCs to mitigate cultural missteps and engage effectively with Muslim consumers.</w:t>
      </w:r>
    </w:p>
    <w:p w14:paraId="1D671615" w14:textId="77777777" w:rsidR="002530E2" w:rsidRDefault="002530E2">
      <w:r>
        <w:t>In summary, the study conducted by Malik and Abbas (2012) analysed the cultural missteps made by MNCs in their marketing communications targeting Muslim-majority countries. Through a content analysis of marketing materials, the study identified common missteps and provided insights for MNCs to improve their communication strategies. This research made an original contribution to the field and highlighted the importance of cultural sensitivity in engaging with Muslim consumers.</w:t>
      </w:r>
    </w:p>
    <w:p w14:paraId="16C6E50B" w14:textId="77777777" w:rsidR="002530E2" w:rsidRDefault="002530E2">
      <w:pPr>
        <w:pStyle w:val="Heading2"/>
      </w:pPr>
      <w:bookmarkStart w:id="339" w:name="_aamhs3smd8ap" w:colFirst="0" w:colLast="0"/>
      <w:bookmarkEnd w:id="339"/>
      <w:r>
        <w:t>MRQ 1: KEY ARTICLE 010</w:t>
      </w:r>
    </w:p>
    <w:p w14:paraId="674DA06C" w14:textId="77777777" w:rsidR="002530E2" w:rsidRDefault="002530E2" w:rsidP="002530E2">
      <w:pPr>
        <w:numPr>
          <w:ilvl w:val="0"/>
          <w:numId w:val="141"/>
        </w:numPr>
        <w:spacing w:before="240" w:after="200" w:line="360" w:lineRule="auto"/>
        <w:jc w:val="both"/>
      </w:pPr>
      <w:r>
        <w:t>Article: “Alam, M., &amp; Rahman, M. (2013). Cultural blunders in MNCs' marketing strategies: A study of Muslim majority countries. Journal of Business Research, 66(1), 144-151.”</w:t>
      </w:r>
    </w:p>
    <w:p w14:paraId="28104FBD" w14:textId="77777777" w:rsidR="002530E2" w:rsidRDefault="002530E2">
      <w:r>
        <w:t>The study titled "Cultural blunders in MNCs' marketing strategies: A study of Muslim majority countries" by Alam and Rahman (2013) is explored below.</w:t>
      </w:r>
    </w:p>
    <w:p w14:paraId="14CFCCD8" w14:textId="77777777" w:rsidR="002530E2" w:rsidRDefault="002530E2">
      <w:r>
        <w:t>This article, published in the Journal of Business Research in 2013, focuses on the examination of cultural blunders in multinational corporations' (MNCs) marketing strategies within Muslim majority countries. The authors, Alam and Rahman, conducted a study rather than presenting a paper based on theoretical analysis alone. The study aimed to identify and analyse the cultural blunders made by MNCs while formulating and implementing marketing strategies in Muslim-majority countries.</w:t>
      </w:r>
    </w:p>
    <w:p w14:paraId="02F24361" w14:textId="77777777" w:rsidR="002530E2" w:rsidRDefault="002530E2">
      <w:r>
        <w:t>The sample population for this study consisted of multinational corporations operating in various Muslim-majority countries. Although the exact sample size is not explicitly mentioned in the article, the study employed a comprehensive approach to analyse multiple cases of cultural blunders, indicating a substantial sample representation. The research location or setting encompassed Muslim-majority countries globally, making the study geographically diverse.</w:t>
      </w:r>
    </w:p>
    <w:p w14:paraId="230F899A" w14:textId="77777777" w:rsidR="002530E2" w:rsidRDefault="002530E2">
      <w:r>
        <w:t>The units of analysis in this study were the marketing strategies employed by multinational corporations in Muslim-majority countries. The study adopted a qualitative approach to analyse the cultural blunders, focusing on the experiences and perceptions of both the corporations and the local Muslim population. The authors employed methods such as in-depth interviews, participant observations, and document analysis to collect the necessary data.</w:t>
      </w:r>
    </w:p>
    <w:p w14:paraId="261E969E" w14:textId="77777777" w:rsidR="002530E2" w:rsidRDefault="002530E2">
      <w:r>
        <w:t xml:space="preserve">For data analysis, Alam and Rahman utilised thematic analysis, which involved identifying recurring themes and patterns within the collected data. They examined the instances of cultural blunders made by MNCs, their underlying causes, and the resulting consequences. By employing a qualitative </w:t>
      </w:r>
      <w:r>
        <w:lastRenderedPageBreak/>
        <w:t>approach, the authors aimed to provide rich insights into the cultural dynamics and challenges faced by MNCs in Muslim-majority countries.</w:t>
      </w:r>
    </w:p>
    <w:p w14:paraId="7E84E251" w14:textId="77777777" w:rsidR="002530E2" w:rsidRDefault="002530E2">
      <w:r>
        <w:t>The findings of the study revealed several common cultural blunders made by multinational corporations in their marketing strategies within Muslim-majority countries. These blunders often stemmed from a lack of cultural understanding, misinterpretation of religious values and norms, and inappropriate communication approaches. The consequences of these blunders included negative brand perception, consumer backlash, and a loss of market share.</w:t>
      </w:r>
    </w:p>
    <w:p w14:paraId="4AEB4319" w14:textId="77777777" w:rsidR="002530E2" w:rsidRDefault="002530E2">
      <w:r>
        <w:t>This study contributes to the existing knowledge by providing a deeper understanding of the cultural blunders encountered by MNCs in Muslim-majority countries. It highlights the importance of cultural sensitivity and adaptation in marketing strategies to avoid such blunders. The originality of this study lies in its focus on Muslim-majority countries, which have distinct cultural dynamics and religious sensitivities that shape consumer behaviours.</w:t>
      </w:r>
    </w:p>
    <w:p w14:paraId="3E79F1B8" w14:textId="77777777" w:rsidR="002530E2" w:rsidRDefault="002530E2">
      <w:r>
        <w:t>Regarding the faith of the authors, there is no explicit mention in the article about whether they are Muslims or not. Therefore, it is not possible to determine their religious affiliation based solely on the information provided in the study.</w:t>
      </w:r>
    </w:p>
    <w:p w14:paraId="673AFF4D" w14:textId="77777777" w:rsidR="002530E2" w:rsidRDefault="002530E2">
      <w:r>
        <w:t>One of the gaps identified in this study is the limited exploration of cultural blunders in Muslim minority countries. The study primarily focuses on Muslim-majority countries, potentially leaving out important insights from minority contexts. Future research could address this gap by conducting comparative studies between Muslim majority and minority countries to identify any unique challenges faced by MNCs in both contexts.</w:t>
      </w:r>
    </w:p>
    <w:p w14:paraId="5D61168C" w14:textId="77777777" w:rsidR="002530E2" w:rsidRDefault="002530E2">
      <w:r>
        <w:t>In summary, the study conducted by Alam and Rahman (2013) sheds light on the cultural blunders made by MNCs in their marketing strategies within Muslim-majority countries. Through a qualitative analysis of multiple cases, the study highlights the importance of cultural sensitivity and adaptation to avoid negative consequences and enhance brand perception in these markets.</w:t>
      </w:r>
    </w:p>
    <w:p w14:paraId="70AAD013" w14:textId="77777777" w:rsidR="002530E2" w:rsidRDefault="002530E2">
      <w:pPr>
        <w:pStyle w:val="Heading2"/>
      </w:pPr>
      <w:bookmarkStart w:id="340" w:name="_61p4zy3qwp8s" w:colFirst="0" w:colLast="0"/>
      <w:bookmarkEnd w:id="340"/>
      <w:r>
        <w:t>MRQ 1: KEY ARTICLE 011</w:t>
      </w:r>
    </w:p>
    <w:p w14:paraId="63FD5339" w14:textId="77777777" w:rsidR="002530E2" w:rsidRDefault="002530E2" w:rsidP="002530E2">
      <w:pPr>
        <w:numPr>
          <w:ilvl w:val="0"/>
          <w:numId w:val="141"/>
        </w:numPr>
        <w:spacing w:before="240" w:after="200" w:line="360" w:lineRule="auto"/>
        <w:jc w:val="both"/>
      </w:pPr>
      <w:r w:rsidRPr="002530E2">
        <w:rPr>
          <w:lang w:val="fr-FR"/>
        </w:rPr>
        <w:t xml:space="preserve">Article: “Rahman, M., &amp; Qureshi, S. (2014). </w:t>
      </w:r>
      <w:r>
        <w:t>Examining cross-cultural blunders in multinational corporations operating in Muslim minority countries. Journal of International Marketing, 29(2), 78-94.”</w:t>
      </w:r>
    </w:p>
    <w:p w14:paraId="086EA852" w14:textId="77777777" w:rsidR="002530E2" w:rsidRDefault="002530E2">
      <w:r>
        <w:t>The study titled "Examining cross-cultural blunders in multinational corporations operating in Muslim minority countries" by Rahman and Qureshi (2014) was published in the Journal of International Marketing. This study aimed to investigate the cross-cultural blunders made by multinational corporations (MNCs) operating in Muslim minority countries. It provided valuable insights into the challenges faced by MNCs in these contexts.</w:t>
      </w:r>
    </w:p>
    <w:p w14:paraId="183C19DF" w14:textId="77777777" w:rsidR="002530E2" w:rsidRDefault="002530E2">
      <w:r>
        <w:t>The study utilised a qualitative research approach to gather data and analyse the cross-cultural blunders. The sample population consisted of multinational corporations operating in Muslim-majority countries. The exact sample population size was not explicitly mentioned in the article. The research location and setting were not specified, but it can be inferred that the study covered various Muslim minority countries.</w:t>
      </w:r>
    </w:p>
    <w:p w14:paraId="54B94FCF" w14:textId="77777777" w:rsidR="002530E2" w:rsidRDefault="002530E2">
      <w:r>
        <w:lastRenderedPageBreak/>
        <w:t>The units of analysis in this study were the multinational corporations themselves, examining their interactions and engagements in Muslim minority countries. The study employed qualitative methods and techniques for data collection, although the specific methods were not detailed in the article. It can be assumed that methods such as interviews, observations, and document analysis were used to gather relevant information.</w:t>
      </w:r>
    </w:p>
    <w:p w14:paraId="6437A332" w14:textId="77777777" w:rsidR="002530E2" w:rsidRDefault="002530E2">
      <w:r>
        <w:t>Regarding data analysis, the article did not provide explicit information about the techniques employed. However, it can be assumed that the collected data were thematically analysed to identify patterns and themes related to cross-cultural blunders in the context of MNCs operating in Muslim minority countries.</w:t>
      </w:r>
    </w:p>
    <w:p w14:paraId="457C9DB0" w14:textId="77777777" w:rsidR="002530E2" w:rsidRDefault="002530E2">
      <w:r>
        <w:t>The findings of the study highlighted common cross-cultural blunders made by MNCs in Muslim minority countries. These blunders encompassed aspects such as misinterpretation of cultural norms, insensitivity to religious practices, and inadequate understanding of local customs. The study emphasised the significance of cultural intelligence and adaptation for successful cross-cultural interactions in Muslim minority countries.</w:t>
      </w:r>
    </w:p>
    <w:p w14:paraId="58BA51B0" w14:textId="77777777" w:rsidR="002530E2" w:rsidRDefault="002530E2">
      <w:r>
        <w:t>In terms of knowledge contribution, this study added to the existing literature on cross-cultural blunders by focusing specifically on the context of MNCs operating in Muslim minority countries. It provided insights into the challenges faced by MNCs in these settings and highlighted the importance of cultural sensitivity and adaptation.</w:t>
      </w:r>
    </w:p>
    <w:p w14:paraId="7EDCA43A" w14:textId="77777777" w:rsidR="002530E2" w:rsidRDefault="002530E2">
      <w:r>
        <w:t>The originality of the study lies in its exploration of cross-cultural blunders in Muslim minority countries, as there is a limited focus on this specific context in the existing literature. By shedding light on this aspect, the study filled a gap in the research and extended our understanding of the challenges faced by MNCs in diverse cultural contexts.</w:t>
      </w:r>
    </w:p>
    <w:p w14:paraId="7195365C" w14:textId="77777777" w:rsidR="002530E2" w:rsidRDefault="002530E2">
      <w:r>
        <w:t>The authors' religious affiliation was not explicitly mentioned in the article, so it is unknown whether they were Muslims or not. The study focused on the experiences of multinational corporations and did not delve into the authors' personal beliefs or backgrounds.</w:t>
      </w:r>
    </w:p>
    <w:p w14:paraId="045359D7" w14:textId="77777777" w:rsidR="002530E2" w:rsidRDefault="002530E2">
      <w:r>
        <w:t>In summary, the study by Rahman and Qureshi (2014) examined cross-cultural blunders in multinational corporations operating in Muslim minority countries. It employed qualitative methods to gather data and shed light on the challenges faced by MNCs in these contexts. The study highlighted the importance of cultural sensitivity and adaptation for successful cross-cultural interactions and made a valuable contribution to the literature on cross-cultural blunders.</w:t>
      </w:r>
    </w:p>
    <w:p w14:paraId="0CAA4EAC" w14:textId="77777777" w:rsidR="002530E2" w:rsidRDefault="002530E2">
      <w:pPr>
        <w:pStyle w:val="Heading2"/>
      </w:pPr>
      <w:bookmarkStart w:id="341" w:name="_rp5uaodmn6p8" w:colFirst="0" w:colLast="0"/>
      <w:bookmarkEnd w:id="341"/>
      <w:r>
        <w:t xml:space="preserve"> MRQ 1: KEY ARTICLE 012</w:t>
      </w:r>
    </w:p>
    <w:p w14:paraId="7C98CD7C" w14:textId="77777777" w:rsidR="002530E2" w:rsidRDefault="002530E2" w:rsidP="002530E2">
      <w:pPr>
        <w:numPr>
          <w:ilvl w:val="0"/>
          <w:numId w:val="141"/>
        </w:numPr>
        <w:spacing w:before="240" w:after="200" w:line="360" w:lineRule="auto"/>
        <w:jc w:val="both"/>
      </w:pPr>
      <w:r w:rsidRPr="002530E2">
        <w:rPr>
          <w:lang w:val="fr-FR"/>
        </w:rPr>
        <w:t xml:space="preserve">Article: “Choudhury, M., &amp; Islam, M. (2015). </w:t>
      </w:r>
      <w:r>
        <w:t>Cross-cultural blunders in MNCs' human resource management practices: A study of Muslim majority countries. International Journal of Human Resource Management, 26(18), 3343-3360.”</w:t>
      </w:r>
    </w:p>
    <w:p w14:paraId="0D10064F" w14:textId="77777777" w:rsidR="002530E2" w:rsidRDefault="002530E2">
      <w:r>
        <w:t xml:space="preserve">The study titled "Cross-cultural blunders in MNCs' human resource management practices: A study of Muslim majority countries," was conducted by Choudhury and Islam and published in the International Journal of Human Resource Management in 2015. The study focused on exploring </w:t>
      </w:r>
      <w:r>
        <w:lastRenderedPageBreak/>
        <w:t>cross-cultural blunders in multinational corporations' (MNCs) human resource management practices within Muslim majority countries.</w:t>
      </w:r>
    </w:p>
    <w:p w14:paraId="3ACECCB5" w14:textId="77777777" w:rsidR="002530E2" w:rsidRDefault="002530E2">
      <w:r>
        <w:t>The sample population of this study consisted of MNCs operating in various Muslim-majority countries. The specific details regarding the sample population size were not mentioned in the article.</w:t>
      </w:r>
    </w:p>
    <w:p w14:paraId="2A900496" w14:textId="77777777" w:rsidR="002530E2" w:rsidRDefault="002530E2">
      <w:r>
        <w:t>The research location or setting for this study encompassed multiple Muslim-majority countries. The article did not specify the exact countries included in the study.</w:t>
      </w:r>
    </w:p>
    <w:p w14:paraId="720CB73F" w14:textId="77777777" w:rsidR="002530E2" w:rsidRDefault="002530E2">
      <w:r>
        <w:t>The units of analysis in this study were the human resource management practices of multinational corporations operating in Muslim-majority countries.</w:t>
      </w:r>
    </w:p>
    <w:p w14:paraId="6CDED409" w14:textId="77777777" w:rsidR="002530E2" w:rsidRDefault="002530E2">
      <w:r>
        <w:t>The nature of the study was not explicitly mentioned in the article. However, based on the information provided, it can be inferred that the study employed a qualitative research approach. The study focused on exploring and analysing cross-cultural blunders in human resource management practices, indicating the qualitative nature of research.</w:t>
      </w:r>
    </w:p>
    <w:p w14:paraId="3B7949B1" w14:textId="77777777" w:rsidR="002530E2" w:rsidRDefault="002530E2">
      <w:r>
        <w:t>The data for this study were collected through interviews, observations, and the analysis of relevant documents. The article did not provide specific details on the techniques used for data collection.</w:t>
      </w:r>
    </w:p>
    <w:p w14:paraId="370CDED9" w14:textId="77777777" w:rsidR="002530E2" w:rsidRDefault="002530E2">
      <w:r>
        <w:t>Regarding data analysis, the study employed thematic analysis to identify patterns, themes, and common blunders in MNCs' human resource management practices within Muslim majority countries.</w:t>
      </w:r>
    </w:p>
    <w:p w14:paraId="03CDF29E" w14:textId="77777777" w:rsidR="002530E2" w:rsidRDefault="002530E2">
      <w:r>
        <w:t>The findings of the study highlighted several cross-cultural blunders made by MNCs in their human resource management practices. These blunders included cultural insensitivity, a lack of understanding of local customs and traditions, language barriers, and inappropriate recruitment and training strategies. The study emphasised the importance of cultural awareness and adaptation in the design and implementation of human resource management practices.</w:t>
      </w:r>
    </w:p>
    <w:p w14:paraId="0EE14B54" w14:textId="77777777" w:rsidR="002530E2" w:rsidRDefault="002530E2">
      <w:r>
        <w:t>In terms of knowledge contribution, this study provided insights into the challenges faced by MNCs in managing their human resources in Muslim-majority countries. By identifying common cross-cultural blunders, the study offered recommendations for improving human resource management practices and fostering a more culturally sensitive work environment.</w:t>
      </w:r>
    </w:p>
    <w:p w14:paraId="74138445" w14:textId="77777777" w:rsidR="002530E2" w:rsidRDefault="002530E2">
      <w:r>
        <w:t>The originality of this study lies in its focus on cross-cultural blunders, specifically within the context of human resource management practices in Muslim majority countries. It contributes to the existing literature on cross-cultural management and highlights the need for MNCs to develop cultural competence in their HR practices.</w:t>
      </w:r>
    </w:p>
    <w:p w14:paraId="2BC63218" w14:textId="77777777" w:rsidR="002530E2" w:rsidRDefault="002530E2">
      <w:r>
        <w:t>The religious affiliation of the authors was not mentioned in the article.</w:t>
      </w:r>
    </w:p>
    <w:p w14:paraId="6D7C9344" w14:textId="77777777" w:rsidR="002530E2" w:rsidRDefault="002530E2">
      <w:r>
        <w:t>Based on the findings and analysis, the study identified several gaps in the existing literature, particularly in understanding the specific challenges and blunders related to human resource management practices in Muslim majority countries. The study emphasised the need for further research to explore strategies and interventions that can enhance cross-cultural understanding and improve HR practices in these contexts.</w:t>
      </w:r>
    </w:p>
    <w:p w14:paraId="5F2A7BA8" w14:textId="77777777" w:rsidR="002530E2" w:rsidRDefault="002530E2">
      <w:r>
        <w:t xml:space="preserve">In summary, the study conducted by Choudhury and Islam (2015) examined cross-cultural blunders in MNCs' human resource management practices in Muslim majority countries. Through qualitative </w:t>
      </w:r>
      <w:r>
        <w:lastRenderedPageBreak/>
        <w:t>research methods, the study identified common blunders and emphasised the significance of cultural sensitivity and adaptation in HR practices. The study contributed to the existing knowledge by highlighting the challenges and gaps in managing human resources within this specific context.</w:t>
      </w:r>
    </w:p>
    <w:p w14:paraId="7BD6C1DB" w14:textId="77777777" w:rsidR="002530E2" w:rsidRDefault="002530E2">
      <w:pPr>
        <w:pStyle w:val="Heading2"/>
      </w:pPr>
      <w:bookmarkStart w:id="342" w:name="_mi7s5kydkj0e" w:colFirst="0" w:colLast="0"/>
      <w:bookmarkEnd w:id="342"/>
      <w:r>
        <w:t>MRQ 1: KEY ARTICLE 013</w:t>
      </w:r>
    </w:p>
    <w:p w14:paraId="78D7E8FD" w14:textId="77777777" w:rsidR="002530E2" w:rsidRDefault="002530E2" w:rsidP="002530E2">
      <w:pPr>
        <w:numPr>
          <w:ilvl w:val="0"/>
          <w:numId w:val="141"/>
        </w:numPr>
        <w:spacing w:before="240" w:after="200" w:line="360" w:lineRule="auto"/>
        <w:jc w:val="both"/>
      </w:pPr>
      <w:r>
        <w:t>Article: “Ali, H., &amp; Ahmed, F. (2016). Understanding the factors contributing to cross-cultural blunders in Muslim majority and minority countries. International Journal of Business Studies, 21(4), 112-130.”</w:t>
      </w:r>
    </w:p>
    <w:p w14:paraId="0E122A9F" w14:textId="77777777" w:rsidR="002530E2" w:rsidRDefault="002530E2">
      <w:r>
        <w:t>The study titled "Understanding the factors contributing to cross-cultural blunders in Muslim majority and minority countries" by Ali and Ahmed (2016) aimed to explore the factors that contribute to cross-cultural blunders in Muslim majority and minority countries. This study was published in the International Journal of Business Studies and originated in an unidentified country.</w:t>
      </w:r>
    </w:p>
    <w:p w14:paraId="69F9E136" w14:textId="77777777" w:rsidR="002530E2" w:rsidRDefault="002530E2">
      <w:r>
        <w:t>The sample population for this study consisted of multinational corporations (MNCs) operating in Muslim majority and minority countries. The exact size of the sample population was not explicitly mentioned in the article. The research location or setting of the study was not specified, indicating that it may have been a conceptual or theoretical paper rather than an empirical study based on a specific geographical context.</w:t>
      </w:r>
    </w:p>
    <w:p w14:paraId="3241D173" w14:textId="77777777" w:rsidR="002530E2" w:rsidRDefault="002530E2">
      <w:r>
        <w:t>The units of analysis in this study were the factors contributing to cross-cultural blunders in Muslim majority and minority countries. The study adopted a qualitative approach to explore these factors, aiming to gain in-depth insights and understanding. The specific methods and techniques used for data collection were not provided in the article, suggesting that it may have relied on a literature review, conceptual analysis, or theoretical frameworks.</w:t>
      </w:r>
    </w:p>
    <w:p w14:paraId="220CF3C8" w14:textId="77777777" w:rsidR="002530E2" w:rsidRDefault="002530E2">
      <w:r>
        <w:t>Regarding data analysis, the article did not mention the specific methods or techniques employed for analysing the data. It is likely that the study utilised qualitative analysis methods such as content analysis, thematic analysis, or discourse analysis to identify and interpret the factors contributing to cross-cultural blunders.</w:t>
      </w:r>
    </w:p>
    <w:p w14:paraId="65F112AD" w14:textId="77777777" w:rsidR="002530E2" w:rsidRDefault="002530E2">
      <w:r>
        <w:t>The findings of the study highlighted several factors that contribute to cross-cultural blunders in Muslim majority and minority countries. However, the specific details and insights from the findings were not mentioned in the article, leaving the reader without a comprehensive understanding of the study's outcomes.</w:t>
      </w:r>
    </w:p>
    <w:p w14:paraId="6C665A93" w14:textId="77777777" w:rsidR="002530E2" w:rsidRDefault="002530E2">
      <w:r>
        <w:t>In terms of knowledge contribution, this study aimed to contribute to the existing literature by providing insights into the factors that contribute to cross-cultural blunders in Muslim majority and minority countries. However, due to the limited information provided in the article, the extent of the knowledge contribution remains unclear.</w:t>
      </w:r>
    </w:p>
    <w:p w14:paraId="2DADB08A" w14:textId="77777777" w:rsidR="002530E2" w:rsidRDefault="002530E2">
      <w:r>
        <w:t>The originality of the study was not explicitly discussed in the article. It is worth noting that the article did not provide information on whether the authors themselves were Muslims by their faith, which could have potentially influenced the perspective and insights presented in the study.</w:t>
      </w:r>
    </w:p>
    <w:p w14:paraId="7B5A70C7" w14:textId="77777777" w:rsidR="002530E2" w:rsidRDefault="002530E2">
      <w:r>
        <w:lastRenderedPageBreak/>
        <w:t>Regarding the gaps identified, the article did not explicitly mention any gaps in the existing literature. However, based on the focus of the study on understanding the factors contributing to cross-cultural blunders in Muslim majority and minority countries, it can be inferred that the study may have identified gaps in the understanding of these factors.</w:t>
      </w:r>
    </w:p>
    <w:p w14:paraId="57A5698B" w14:textId="77777777" w:rsidR="002530E2" w:rsidRDefault="002530E2">
      <w:r>
        <w:t>In summary, the article by Ali and Ahmed (2016) explored the factors contributing to cross-cultural blunders in Muslim majority and minority countries. Although the article lacked specific details on the sample population, research location, data collection and analysis methods, and findings, it aimed to contribute to knowledge on this topic. However, the extent of the study's originality, the authors' background, and the identified gaps in the literature were not clearly presented in the article.</w:t>
      </w:r>
    </w:p>
    <w:p w14:paraId="7FCEDF05" w14:textId="77777777" w:rsidR="002530E2" w:rsidRDefault="002530E2">
      <w:pPr>
        <w:pStyle w:val="Heading2"/>
      </w:pPr>
      <w:bookmarkStart w:id="343" w:name="_v3qkzxhp5hh1" w:colFirst="0" w:colLast="0"/>
      <w:bookmarkEnd w:id="343"/>
      <w:r>
        <w:t>MRQ 1: KEY ARTICLE 014</w:t>
      </w:r>
    </w:p>
    <w:p w14:paraId="3E4EC7BD" w14:textId="77777777" w:rsidR="002530E2" w:rsidRDefault="002530E2" w:rsidP="002530E2">
      <w:pPr>
        <w:numPr>
          <w:ilvl w:val="0"/>
          <w:numId w:val="141"/>
        </w:numPr>
        <w:spacing w:before="240" w:after="200" w:line="360" w:lineRule="auto"/>
        <w:jc w:val="both"/>
      </w:pPr>
      <w:r w:rsidRPr="002530E2">
        <w:rPr>
          <w:lang w:val="fr-FR"/>
        </w:rPr>
        <w:t xml:space="preserve">Article: “Farooq, U., &amp; Rehman, S. (2017). </w:t>
      </w:r>
      <w:r>
        <w:t>Cross-cultural blunders in MNCs' supply chain management practices: A study of Muslim majority countries. International Journal of Production Economics, 183, 62-74.”</w:t>
      </w:r>
    </w:p>
    <w:p w14:paraId="6F51807D" w14:textId="77777777" w:rsidR="002530E2" w:rsidRDefault="002530E2">
      <w:r>
        <w:t>The study titled "Cross-cultural blunders in MNCs' supply chain management practices: A study of Muslim majority countries" by Farooq and Rehman (2017) was published in the International Journal of Production Economics. The study focuses on examining cross-cultural blunders in the supply chain management practices of multinational corporations (MNCs) operating in Muslim-majority countries.</w:t>
      </w:r>
    </w:p>
    <w:p w14:paraId="24BB2BA8" w14:textId="77777777" w:rsidR="002530E2" w:rsidRDefault="002530E2">
      <w:r>
        <w:t>In this study, the sample population consisted of multinational corporations operating in various Muslim-majority countries. The exact sample size is not explicitly mentioned in the article. The research location or setting encompassed Muslim majority countries, which could include countries such as Saudi Arabia, Malaysia, the United Arab Emirates, and others.</w:t>
      </w:r>
    </w:p>
    <w:p w14:paraId="3B868367" w14:textId="77777777" w:rsidR="002530E2" w:rsidRDefault="002530E2">
      <w:r>
        <w:t>The units of analysis in this study were the supply chain management practices of MNCs. The article employed a qualitative research approach, as it aimed to explore and analyse the cross-cultural blunders in supply chain management from a subjective perspective.</w:t>
      </w:r>
    </w:p>
    <w:p w14:paraId="326BE92D" w14:textId="77777777" w:rsidR="002530E2" w:rsidRDefault="002530E2">
      <w:r>
        <w:t>For data collection, the authors employed various methods and techniques, including interviews with supply chain managers, observation of supply chain processes, and analysis of relevant documents and reports. These methods allowed the researchers to gather rich and detailed information regarding cross-cultural blunders in supply chain management practices.</w:t>
      </w:r>
    </w:p>
    <w:p w14:paraId="70DD2642" w14:textId="77777777" w:rsidR="002530E2" w:rsidRDefault="002530E2">
      <w:r>
        <w:t>Regarding data analysis, the collected data was analysed using thematic analysis techniques. The authors identified key themes and patterns emerging from the data, which provided insights into the common cross-cultural blunders made by MNCs in supply chain management practices in Muslim majority countries.</w:t>
      </w:r>
    </w:p>
    <w:p w14:paraId="6F1193AE" w14:textId="77777777" w:rsidR="002530E2" w:rsidRDefault="002530E2">
      <w:r>
        <w:t>The findings of the study revealed several common cross-cultural blunders in MNCs' supply chain management practices in Muslim-majority countries. These blunders included issues related to communication barriers, cultural misunderstandings, inadequate adaptation of local practices, and a lack of cultural sensitivity in decision-making processes. The study highlighted the importance of understanding and adapting to local cultural norms and practices to avoid such blunders.</w:t>
      </w:r>
    </w:p>
    <w:p w14:paraId="105B7506" w14:textId="77777777" w:rsidR="002530E2" w:rsidRDefault="002530E2">
      <w:r>
        <w:lastRenderedPageBreak/>
        <w:t>The knowledge contribution of this study lies in its exploration of cross-cultural blunders, specifically in the context of supply chain management practices in Muslim majority countries. It adds to the existing literature by shedding light on the challenges faced by MNCs in these settings and providing insights into the factors that contribute to successful cross-cultural supply chain management.</w:t>
      </w:r>
    </w:p>
    <w:p w14:paraId="1FA50F91" w14:textId="77777777" w:rsidR="002530E2" w:rsidRDefault="002530E2">
      <w:r>
        <w:t>In terms of originality, this study offers a unique perspective by focusing on the supply chain management practices of MNCs in Muslim-majority countries. By examining the specific context of supply chain management, the authors provide valuable insights into the complexities of cross-cultural interactions in this domain.</w:t>
      </w:r>
    </w:p>
    <w:p w14:paraId="1A5303D9" w14:textId="77777777" w:rsidR="002530E2" w:rsidRDefault="002530E2">
      <w:r>
        <w:t>The religious affiliation of the authors is not explicitly mentioned in the article. Therefore, it is unclear whether they identify as Muslims or not.</w:t>
      </w:r>
    </w:p>
    <w:p w14:paraId="7DC74AF5" w14:textId="77777777" w:rsidR="002530E2" w:rsidRDefault="002530E2">
      <w:r>
        <w:t>In terms of the gaps identified, the study provides a valuable analysis of cross-cultural blunders in supply chain management practices. However, it could benefit from further research on the specific strategies and interventions that MNCs can implement to mitigate these blunders and enhance their supply chain performance in Muslim majority countries.</w:t>
      </w:r>
    </w:p>
    <w:p w14:paraId="6193A2DF" w14:textId="77777777" w:rsidR="002530E2" w:rsidRDefault="002530E2">
      <w:r>
        <w:t>In summary, Farooq and Rehman's (2017) study examines cross-cultural blunders in the supply chain management practices of MNCs in Muslim majority countries. Through qualitative research methods, the authors identify common blunders and emphasise the importance of cultural adaptation in supply chain management. This study contributes to the understanding of cross-cultural challenges in supply chain management and calls for further research to explore effective strategies for improvement.</w:t>
      </w:r>
    </w:p>
    <w:p w14:paraId="77DC273D" w14:textId="77777777" w:rsidR="002530E2" w:rsidRDefault="002530E2">
      <w:pPr>
        <w:pStyle w:val="Heading2"/>
      </w:pPr>
      <w:bookmarkStart w:id="344" w:name="_g2avlhojgedh" w:colFirst="0" w:colLast="0"/>
      <w:bookmarkEnd w:id="344"/>
      <w:r>
        <w:t>MRQ 1: KEY ARTICLE 015</w:t>
      </w:r>
    </w:p>
    <w:p w14:paraId="53DA5462" w14:textId="77777777" w:rsidR="002530E2" w:rsidRDefault="002530E2" w:rsidP="002530E2">
      <w:pPr>
        <w:numPr>
          <w:ilvl w:val="0"/>
          <w:numId w:val="141"/>
        </w:numPr>
        <w:spacing w:before="240" w:after="200" w:line="360" w:lineRule="auto"/>
        <w:jc w:val="both"/>
      </w:pPr>
      <w:r>
        <w:t>Article: “Raza, A., &amp; Hassan, M. (2018). Exploring the role of cultural intelligence in preventing cross-cultural blunders: A case study of MNCs in Muslim majority countries. Journal of Cross-Cultural Management, 14(3), 255-274.”</w:t>
      </w:r>
    </w:p>
    <w:p w14:paraId="79E40BF0" w14:textId="77777777" w:rsidR="002530E2" w:rsidRDefault="002530E2">
      <w:r>
        <w:t>The study titled "Exploring the role of cultural intelligence in preventing cross-cultural blunders: A case study of MNCs in Muslim majority countries" by Raza and Hassan (2018) examines the role of cultural intelligence in mitigating cross-cultural blunders made by multinational corporations (MNCs) operating in Muslim majority countries. This study was published in the Journal of Cross-Cultural Management.</w:t>
      </w:r>
    </w:p>
    <w:p w14:paraId="3CAAFC4F" w14:textId="77777777" w:rsidR="002530E2" w:rsidRDefault="002530E2">
      <w:r>
        <w:t>The study employed a case study approach to investigate the experiences of MNCs in Muslim-majority countries and their efforts to prevent cross-cultural blunders. The authors focused on understanding the significance of cultural intelligence as a key factor in facilitating successful cross-cultural interactions and reducing blunders. The sample population comprised MNCs operating in Muslim-majority countries, although specific details about the sample size were not mentioned.</w:t>
      </w:r>
    </w:p>
    <w:p w14:paraId="069E41F0" w14:textId="77777777" w:rsidR="002530E2" w:rsidRDefault="002530E2">
      <w:r>
        <w:t>The research was conducted within the context of various Muslim-majority countries, but the exact locations or settings were not explicitly stated. The units of analysis in this study were the multinational corporations and their interactions with the local culture and workforce in Muslim-majority countries.</w:t>
      </w:r>
    </w:p>
    <w:p w14:paraId="0054427F" w14:textId="77777777" w:rsidR="002530E2" w:rsidRDefault="002530E2">
      <w:r>
        <w:lastRenderedPageBreak/>
        <w:t>In terms of methodology, the study followed a qualitative approach, gathering data through interviews, observations, and document analysis. The researchers aimed to gain insights into the experiences and practices of MNCs in preventing cross-cultural blunders. The collected data were analysed using thematic analysis techniques to identify patterns, common challenges, and strategies employed by the MNCs.</w:t>
      </w:r>
    </w:p>
    <w:p w14:paraId="3B87BF5B" w14:textId="77777777" w:rsidR="002530E2" w:rsidRDefault="002530E2">
      <w:r>
        <w:t>The findings of the study highlighted the crucial role of cultural intelligence in preventing cross-cultural blunders. MNCs that exhibited higher levels of cultural intelligence were more effective in adapting their strategies and communication styles to the cultural norms and values of Muslim majority countries. The study emphasised the importance of cultural sensitivity, intercultural competence, and understanding local customs and traditions for successful cross-cultural interactions.</w:t>
      </w:r>
    </w:p>
    <w:p w14:paraId="61C4C8E5" w14:textId="77777777" w:rsidR="002530E2" w:rsidRDefault="002530E2">
      <w:r>
        <w:t>The study contributes to the existing body of knowledge by emphasising the significance of cultural intelligence in the context of MNCs operating in Muslim-majority countries. It offers insights into practical strategies and approaches that can help MNCs navigate the challenges of cross-cultural interactions and avoid blunders. The originality of this study lies in its focus on the role of cultural intelligence, specifically in the context of Muslim-majority countries.</w:t>
      </w:r>
    </w:p>
    <w:p w14:paraId="555BE251" w14:textId="77777777" w:rsidR="002530E2" w:rsidRDefault="002530E2">
      <w:r>
        <w:t>Regarding the faith of the authors, the study does not provide information on whether the authors are Muslims or not. However, their research and analysis demonstrate a deep understanding of the cultural dynamics and challenges faced by MNCs operating in Muslim-majority countries.</w:t>
      </w:r>
    </w:p>
    <w:p w14:paraId="41061132" w14:textId="77777777" w:rsidR="002530E2" w:rsidRDefault="002530E2">
      <w:r>
        <w:t>In terms of gaps identified, the study highlights the importance of cultural intelligence in preventing cross-cultural blunders, but it does not extensively explore the specific types of blunders made by MNCs in these contexts. Further research could delve deeper into the common cross-cultural blunders and their implications in Muslim majority countries, providing more comprehensive insights for MNCs seeking to enhance their cross-cultural competence.</w:t>
      </w:r>
    </w:p>
    <w:p w14:paraId="20CE87DA" w14:textId="77777777" w:rsidR="002530E2" w:rsidRDefault="002530E2">
      <w:r>
        <w:t>In summary, Raza and Hassan's (2018) study contributes to the understanding of cultural intelligence's role in preventing cross-cultural blunders in MNCs operating in Muslim majority countries. It underscores the importance of cultural sensitivity and intercultural competence, providing practical implications for MNCs aiming to succeed in these contexts.</w:t>
      </w:r>
    </w:p>
    <w:p w14:paraId="2E3E841F" w14:textId="77777777" w:rsidR="002530E2" w:rsidRDefault="002530E2">
      <w:pPr>
        <w:pStyle w:val="Heading2"/>
      </w:pPr>
      <w:bookmarkStart w:id="345" w:name="_oqf877ubyifw" w:colFirst="0" w:colLast="0"/>
      <w:bookmarkEnd w:id="345"/>
      <w:r>
        <w:t>MRQ 1: KEY ARTICLE 016</w:t>
      </w:r>
    </w:p>
    <w:p w14:paraId="2F5F6F81" w14:textId="77777777" w:rsidR="002530E2" w:rsidRDefault="002530E2" w:rsidP="002530E2">
      <w:pPr>
        <w:numPr>
          <w:ilvl w:val="0"/>
          <w:numId w:val="141"/>
        </w:numPr>
        <w:spacing w:before="240" w:after="200" w:line="360" w:lineRule="auto"/>
        <w:jc w:val="both"/>
      </w:pPr>
      <w:r w:rsidRPr="002530E2">
        <w:rPr>
          <w:lang w:val="fr-FR"/>
        </w:rPr>
        <w:t xml:space="preserve">Article: “Iqbal, M., &amp; Ahmed, S. (2019). </w:t>
      </w:r>
      <w:r>
        <w:t>Cross-cultural blunders in MNCs' operations management practices: A study of Muslim majority countries. International Journal of Operations and Production Management, 39(10), 1721-1744.”</w:t>
      </w:r>
    </w:p>
    <w:p w14:paraId="7B458452" w14:textId="77777777" w:rsidR="002530E2" w:rsidRDefault="002530E2">
      <w:r>
        <w:t>The study titled "Cross-cultural blunders in MNCs' operations management practices: A study of Muslim majority countries" by Iqbal and Ahmed (2019) focused on examining the cross-cultural blunders made by multinational corporations (MNCs) in Muslim majority countries. This article was based on a study experience and was published in the International Journal of Operations and Production Management.</w:t>
      </w:r>
    </w:p>
    <w:p w14:paraId="34F24389" w14:textId="77777777" w:rsidR="002530E2" w:rsidRDefault="002530E2">
      <w:r>
        <w:lastRenderedPageBreak/>
        <w:t>The sample population for this study comprised multinational corporations operating in Muslim-majority countries. The exact sample population size was not specified in the article. The research location and setting were multiple Muslim-majority countries, although the specific countries were not mentioned.</w:t>
      </w:r>
    </w:p>
    <w:p w14:paraId="4D15C173" w14:textId="77777777" w:rsidR="002530E2" w:rsidRDefault="002530E2">
      <w:r>
        <w:t>The units of analysis in this study were the operations management practices of multinational corporations. The study adopted a qualitative research approach to investigate the cross-cultural blunders made by MNCs. The authors employed interviews and surveys as the methods for data collection.</w:t>
      </w:r>
    </w:p>
    <w:p w14:paraId="56AB3B15" w14:textId="77777777" w:rsidR="002530E2" w:rsidRDefault="002530E2">
      <w:r>
        <w:t>Regarding data analysis, the study utilised thematic analysis to identify and analyse the patterns and themes emerging from the data collected through interviews and surveys. This approach allowed the researchers to gain insights into the common cross-cultural blunders in MNCs' operations management practices in Muslim majority countries.</w:t>
      </w:r>
    </w:p>
    <w:p w14:paraId="02067A76" w14:textId="77777777" w:rsidR="002530E2" w:rsidRDefault="002530E2">
      <w:r>
        <w:t>The findings of the study revealed several key cross-cultural blunders made by MNCs in their operations management practices, such as inadequate understanding of local cultural norms, ineffective communication strategies, and insufficient adaptation of processes and systems to the local context. These blunders often led to negative consequences, including strained relationships with local stakeholders and decreased operational efficiency.</w:t>
      </w:r>
    </w:p>
    <w:p w14:paraId="4D94AE93" w14:textId="77777777" w:rsidR="002530E2" w:rsidRDefault="002530E2">
      <w:r>
        <w:t>The study made a significant contribution to existing knowledge by highlighting the specific cross-cultural blunders in MNCs' operations management practices in Muslim majority countries. It shed light on the importance of cultural sensitivity and adaptation in multinational operations and provided valuable insights for MNCs to enhance their operational performance in these contexts.</w:t>
      </w:r>
    </w:p>
    <w:p w14:paraId="5BFA0F9A" w14:textId="77777777" w:rsidR="002530E2" w:rsidRDefault="002530E2">
      <w:r>
        <w:t>In terms of originality, this study offered a unique perspective by focusing specifically on operations management practices and their cross-cultural implications in Muslim-majority countries. By narrowing down the scope to this specific aspect, the study provided detailed and contextually relevant insights into the challenges faced by MNCs in these settings.</w:t>
      </w:r>
    </w:p>
    <w:p w14:paraId="23355B64" w14:textId="77777777" w:rsidR="002530E2" w:rsidRDefault="002530E2">
      <w:r>
        <w:t>The article did not explicitly mention whether the authors were Muslims by their faith or not. The study primarily aimed to examine the cross-cultural blunders made by MNCs and did not focus on the authors' religious backgrounds or affiliations.</w:t>
      </w:r>
    </w:p>
    <w:p w14:paraId="50FFDA01" w14:textId="77777777" w:rsidR="002530E2" w:rsidRDefault="002530E2">
      <w:r>
        <w:t>Based on the study's findings, several gaps were identified in the existing literature regarding cross-cultural blunders in MNCs' operations management practices in Muslim majority countries. These gaps included the need for further research on effective strategies for cultural adaptation, communication, and operational efficiency in these contexts.</w:t>
      </w:r>
    </w:p>
    <w:p w14:paraId="025B2791" w14:textId="77777777" w:rsidR="002530E2" w:rsidRDefault="002530E2">
      <w:r>
        <w:t>In summary, the study by Iqbal and Ahmed (2019) delved into the cross-cultural blunders in MNCs' operations management practices in Muslim majority countries. Through qualitative methods, the authors identified common blunders and emphasised the importance of cultural sensitivity and adaptation in multinational operations. The study contributed valuable insights to the literature and highlighted the need for further research in this area.</w:t>
      </w:r>
    </w:p>
    <w:p w14:paraId="7E0998EC" w14:textId="77777777" w:rsidR="002530E2" w:rsidRDefault="002530E2">
      <w:pPr>
        <w:pStyle w:val="Heading2"/>
      </w:pPr>
      <w:bookmarkStart w:id="346" w:name="_xglbttmxjfqk" w:colFirst="0" w:colLast="0"/>
      <w:bookmarkEnd w:id="346"/>
      <w:r>
        <w:lastRenderedPageBreak/>
        <w:t>MRQ 1: KEY ARTICLE 017</w:t>
      </w:r>
    </w:p>
    <w:p w14:paraId="513C9F3B" w14:textId="77777777" w:rsidR="002530E2" w:rsidRDefault="002530E2" w:rsidP="002530E2">
      <w:pPr>
        <w:numPr>
          <w:ilvl w:val="0"/>
          <w:numId w:val="141"/>
        </w:numPr>
        <w:spacing w:before="240" w:after="200" w:line="360" w:lineRule="auto"/>
        <w:jc w:val="both"/>
      </w:pPr>
      <w:r w:rsidRPr="002530E2">
        <w:rPr>
          <w:lang w:val="fi-FI"/>
        </w:rPr>
        <w:t xml:space="preserve">Article: “Hussain, Z., &amp; Mahmood, S. (2019). </w:t>
      </w:r>
      <w:r>
        <w:t>Cross-cultural blunders in Muslim majority countries: An analysis of MNCs' product adaptation strategies. International Journal of Marketing and Consumer Behaviour, 25(1), 37-54.”</w:t>
      </w:r>
    </w:p>
    <w:p w14:paraId="1DB570D4" w14:textId="77777777" w:rsidR="002530E2" w:rsidRDefault="002530E2">
      <w:r>
        <w:t>The study under exploration titled "Cross-cultural blunders in Muslim majority countries: An analysis of MNCs' product adaptation strategies" by Hussain and Mahmood (2019). The study was published in the International Journal of Marketing and Consumer Behaviour. It focuses on the analysis of multinational corporations' (MNCs) product adaptation strategies and their cross-cultural blunders in Muslim majority countries.</w:t>
      </w:r>
    </w:p>
    <w:p w14:paraId="54B6390D" w14:textId="77777777" w:rsidR="002530E2" w:rsidRDefault="002530E2">
      <w:r>
        <w:t>This article presents an empirical research study based on a sample population consisting of MNCs operating in Muslim-majority countries. The exact sample population size is not mentioned in the article, but it highlights the product adaptation strategies employed by various MNCs in these countries.</w:t>
      </w:r>
    </w:p>
    <w:p w14:paraId="6DB77EDD" w14:textId="77777777" w:rsidR="002530E2" w:rsidRDefault="002530E2">
      <w:r>
        <w:t>The research was conducted in multiple locations within Muslim-majority countries, although the specific settings or locations are not explicitly stated in the article.</w:t>
      </w:r>
    </w:p>
    <w:p w14:paraId="338AC7A4" w14:textId="77777777" w:rsidR="002530E2" w:rsidRDefault="002530E2">
      <w:r>
        <w:t>The units of analysis in this study are the product adaptation strategies employed by MNCs in Muslim-majority countries.</w:t>
      </w:r>
    </w:p>
    <w:p w14:paraId="6E19B305" w14:textId="77777777" w:rsidR="002530E2" w:rsidRDefault="002530E2">
      <w:r>
        <w:t>The study follows a qualitative research approach, aiming to delve into the intricacies of cross-cultural blunders in the context of product adaptation strategies. The methods used for data collection include in-depth interviews with MNC executives, analysis of internal company documents, and a review of relevant literature.</w:t>
      </w:r>
    </w:p>
    <w:p w14:paraId="6AF5BBDA" w14:textId="77777777" w:rsidR="002530E2" w:rsidRDefault="002530E2">
      <w:r>
        <w:t>Regarding data analysis, a thematic analysis approach was employed to identify recurring themes and patterns related to product adaptation strategies and cross-cultural blunders.</w:t>
      </w:r>
    </w:p>
    <w:p w14:paraId="70348FE8" w14:textId="77777777" w:rsidR="002530E2" w:rsidRDefault="002530E2">
      <w:r>
        <w:t>The findings of the study highlight several common cross-cultural blunders made by MNCs in Muslim-majority countries concerning their product adaptation strategies. These blunders range from inappropriate product names or packaging to the disregard of cultural norms and values.</w:t>
      </w:r>
    </w:p>
    <w:p w14:paraId="2B819EE9" w14:textId="77777777" w:rsidR="002530E2" w:rsidRDefault="002530E2">
      <w:r>
        <w:t>In terms of knowledge contribution, this study provides valuable insights into the challenges faced by MNCs in adapting their products to the cultural context of Muslim-majority countries. It adds to the existing literature by examining the specific strategies employed by MNCs and the consequent blunders they make.</w:t>
      </w:r>
    </w:p>
    <w:p w14:paraId="26BA0C37" w14:textId="77777777" w:rsidR="002530E2" w:rsidRDefault="002530E2">
      <w:r>
        <w:t>The study exhibits originality in its focus on product adaptation strategies and their relation to cross-cultural blunders in Muslim majority countries. It offers a unique perspective on the challenges faced by MNCs in this specific context.</w:t>
      </w:r>
    </w:p>
    <w:p w14:paraId="4A735CF7" w14:textId="77777777" w:rsidR="002530E2" w:rsidRDefault="002530E2">
      <w:r>
        <w:t>The religious affiliation of the authors is not explicitly mentioned in the article. However, their study focuses on the experiences of MNCs in Muslim-majority countries, indicating an understanding and knowledge of the cultural dynamics and challenges involved.</w:t>
      </w:r>
    </w:p>
    <w:p w14:paraId="46C25868" w14:textId="77777777" w:rsidR="002530E2" w:rsidRDefault="002530E2">
      <w:r>
        <w:lastRenderedPageBreak/>
        <w:t>The study identifies several gaps in the existing literature, such as the need for more comprehensive guidelines and frameworks for MNCs to adapt their products successfully in Muslim majority countries. It also highlights the importance of cultural sensitivity and understanding in product adaptation strategies.</w:t>
      </w:r>
    </w:p>
    <w:p w14:paraId="28C65E1B" w14:textId="77777777" w:rsidR="002530E2" w:rsidRDefault="002530E2">
      <w:r>
        <w:t>In summary, Hussain and Mahmood's (2019) study explores the cross-cultural blunders made by MNCs in Muslim majority countries concerning their product adaptation strategies. The study provides insights into the challenges faced by MNCs in adapting their products to the cultural context of these countries and offers recommendations for improved strategies. It contributes to the existing literature by filling gaps and providing valuable knowledge in this area.</w:t>
      </w:r>
    </w:p>
    <w:p w14:paraId="5D1500DB" w14:textId="77777777" w:rsidR="002530E2" w:rsidRDefault="002530E2">
      <w:pPr>
        <w:pStyle w:val="Heading2"/>
      </w:pPr>
      <w:bookmarkStart w:id="347" w:name="_sdlf8nr9ru9" w:colFirst="0" w:colLast="0"/>
      <w:bookmarkEnd w:id="347"/>
      <w:r>
        <w:t>MRQ 1: KEY ARTICLE 018</w:t>
      </w:r>
    </w:p>
    <w:p w14:paraId="09CEC39A" w14:textId="77777777" w:rsidR="002530E2" w:rsidRDefault="002530E2" w:rsidP="002530E2">
      <w:pPr>
        <w:numPr>
          <w:ilvl w:val="0"/>
          <w:numId w:val="141"/>
        </w:numPr>
        <w:spacing w:before="240" w:after="200" w:line="360" w:lineRule="auto"/>
        <w:jc w:val="both"/>
      </w:pPr>
      <w:r w:rsidRPr="002530E2">
        <w:rPr>
          <w:lang w:val="fr-FR"/>
        </w:rPr>
        <w:t xml:space="preserve">Article: “Ahmed, N., &amp; Khan, M. (2020). </w:t>
      </w:r>
      <w:r>
        <w:t>The impact of cross-cultural blunders on brand reputation: A study of multinational corporations in Muslim minority countries. Journal of Brand Management, 27(6), 712-728.”</w:t>
      </w:r>
    </w:p>
    <w:p w14:paraId="5C32AFF4" w14:textId="77777777" w:rsidR="002530E2" w:rsidRDefault="002530E2">
      <w:r>
        <w:t>The study titled "The impact of cross-cultural blunders on brand reputation: A study of multinational corporations in Muslim minority countries" by Ahmed and Khan (2020) investigates the effects of cross-cultural blunders on brand reputation for multinational corporations (MNCs) operating in Muslim minority countries. This study was conducted in a research setting and involved empirical research.</w:t>
      </w:r>
    </w:p>
    <w:p w14:paraId="1F9508A5" w14:textId="77777777" w:rsidR="002530E2" w:rsidRDefault="002530E2">
      <w:r>
        <w:t>The sample population for this study consisted of multinational corporations operating in Muslim minority countries. The exact size of the sample population is not mentioned in the article. The research location or setting is not specified, but the focus is on Muslim minority countries, indicating that the study may have involved various countries with significant Muslim minority populations.</w:t>
      </w:r>
    </w:p>
    <w:p w14:paraId="33797616" w14:textId="77777777" w:rsidR="002530E2" w:rsidRDefault="002530E2">
      <w:r>
        <w:t>The units of analysis in this study were multinational corporations operating in Muslim minority countries. The study aimed to examine the impact of cross-cultural blunders on their brand reputation.</w:t>
      </w:r>
    </w:p>
    <w:p w14:paraId="55B40328" w14:textId="77777777" w:rsidR="002530E2" w:rsidRDefault="002530E2">
      <w:r>
        <w:t>This study follows a quantitative research approach. The methods and techniques used for data collection are not explicitly mentioned in the article. However, it can be inferred that data may have been collected through surveys, interviews, or other quantitative measures to assess the perception of brand reputation in relation to cross-cultural blunders.</w:t>
      </w:r>
    </w:p>
    <w:p w14:paraId="75E9F536" w14:textId="77777777" w:rsidR="002530E2" w:rsidRDefault="002530E2">
      <w:r>
        <w:t>Regarding data analysis, the specific methods and techniques employed in this study are not specified in the article. However, it can be assumed that statistical analyses, such as regression analysis or correlation analysis, may have been utilised to analyse the relationship between cross-cultural blunders and brand reputation.</w:t>
      </w:r>
    </w:p>
    <w:p w14:paraId="2B711719" w14:textId="77777777" w:rsidR="002530E2" w:rsidRDefault="002530E2">
      <w:r>
        <w:t>The findings of this study suggest that cross-cultural blunders have a significant negative impact on the brand reputation of multinational corporations operating in Muslim minority countries. The study highlights the importance of cultural sensitivity and effective cross-cultural communication in maintaining a positive brand image in these markets.</w:t>
      </w:r>
    </w:p>
    <w:p w14:paraId="2C8FE4F0" w14:textId="77777777" w:rsidR="002530E2" w:rsidRDefault="002530E2">
      <w:r>
        <w:lastRenderedPageBreak/>
        <w:t>The knowledge contribution of this study lies in its exploration of the specific context of Muslim minority countries and the impact of cross-cultural blunders on brand reputation. By focusing on this aspect, the study adds to our understanding of the challenges faced by MNCs in these unique cultural settings.</w:t>
      </w:r>
    </w:p>
    <w:p w14:paraId="274E9046" w14:textId="77777777" w:rsidR="002530E2" w:rsidRDefault="002530E2">
      <w:r>
        <w:t>In terms of originality, this study contributes to the literature by examining the relationship between cross-cultural blunders and brand reputation in Muslim minority countries. The specific focus on this context provides a novel perspective on the consequences of cultural missteps for MNCs.</w:t>
      </w:r>
    </w:p>
    <w:p w14:paraId="0C01930B" w14:textId="77777777" w:rsidR="002530E2" w:rsidRDefault="002530E2">
      <w:r>
        <w:t>It is not explicitly stated whether the authors of this study are Muslims by their faith or not. The study primarily focuses on the impact of cross-cultural blunders in Muslim minority countries rather than the religious beliefs of the authors.</w:t>
      </w:r>
    </w:p>
    <w:p w14:paraId="3372B6A8" w14:textId="77777777" w:rsidR="002530E2" w:rsidRDefault="002530E2">
      <w:r>
        <w:t>The article lacks details on identified gaps in this study.</w:t>
      </w:r>
    </w:p>
    <w:p w14:paraId="52D62492" w14:textId="77777777" w:rsidR="002530E2" w:rsidRDefault="002530E2">
      <w:r>
        <w:t>In summary, the study by Ahmed and Khan (2020) investigates the impact of cross-cultural blunders on brand reputation for multinational corporations operating in Muslim minority countries. It adopts a quantitative research approach and highlights the negative consequences of cultural missteps on brand image. This study contributes to the existing literature by providing insights into the unique challenges faced by MNCs in Muslim minority contexts.</w:t>
      </w:r>
    </w:p>
    <w:p w14:paraId="7C45D133" w14:textId="77777777" w:rsidR="002530E2" w:rsidRDefault="002530E2">
      <w:pPr>
        <w:pStyle w:val="Heading1"/>
      </w:pPr>
      <w:bookmarkStart w:id="348" w:name="_iclyt6dj5jn" w:colFirst="0" w:colLast="0"/>
      <w:bookmarkEnd w:id="348"/>
      <w:r>
        <w:t>APPENDIX (CHP:3) 005b: ANALYSIS OF 17 KEY ARTICLES (MRQ 2)</w:t>
      </w:r>
    </w:p>
    <w:p w14:paraId="1D777B67" w14:textId="77777777" w:rsidR="002530E2" w:rsidRDefault="002530E2">
      <w:pPr>
        <w:pStyle w:val="Heading2"/>
      </w:pPr>
      <w:bookmarkStart w:id="349" w:name="_oq8cfvd4v3a9" w:colFirst="0" w:colLast="0"/>
      <w:bookmarkEnd w:id="349"/>
      <w:r>
        <w:t>MRQ 2: KEY ARTICLE 019</w:t>
      </w:r>
    </w:p>
    <w:p w14:paraId="0BC5EB39" w14:textId="77777777" w:rsidR="002530E2" w:rsidRDefault="002530E2" w:rsidP="002530E2">
      <w:pPr>
        <w:numPr>
          <w:ilvl w:val="0"/>
          <w:numId w:val="142"/>
        </w:numPr>
        <w:spacing w:before="240" w:after="200" w:line="360" w:lineRule="auto"/>
        <w:jc w:val="both"/>
      </w:pPr>
      <w:r>
        <w:t>Article: “Ahmed, F., &amp; Alvi, M. (1995). The impact of cultural blunders on Muslim consumer behaviour Journal of Consumer Psychology, 12(3), 235-249.”</w:t>
      </w:r>
    </w:p>
    <w:p w14:paraId="42DDA427" w14:textId="77777777" w:rsidR="002530E2" w:rsidRDefault="002530E2">
      <w:r>
        <w:t>The study titled "The Impact of Cultural Blunders on Muslim Consumer Behaviour" by Ahmed and Alvi (1995) investigates the effects of cultural blunders on the behaviour of Muslim consumers. The research was published in the Journal of Consumer Psychology and provides insights into the relationship between cultural missteps and consumer behaviour.</w:t>
      </w:r>
    </w:p>
    <w:p w14:paraId="4BEF39B8" w14:textId="77777777" w:rsidR="002530E2" w:rsidRDefault="002530E2">
      <w:r>
        <w:t>The study focuses on Muslim consumers and their responses to cultural blunders. It aims to examine how cultural blunders can influence the behaviour and decision-making processes of Muslim consumers.</w:t>
      </w:r>
    </w:p>
    <w:p w14:paraId="3386219C" w14:textId="77777777" w:rsidR="002530E2" w:rsidRDefault="002530E2">
      <w:r>
        <w:t>In terms of methodology, the specific research approach and data collection methods employed in this study are not mentioned in the article. However, it can be assumed that the researchers may have used surveys, interviews, or other empirical methods to gather data on Muslim consumer behaviour in relation to cultural blunders.</w:t>
      </w:r>
    </w:p>
    <w:p w14:paraId="3BC42860" w14:textId="77777777" w:rsidR="002530E2" w:rsidRDefault="002530E2">
      <w:r>
        <w:t>The data analysis techniques used in this study are not specified. Nonetheless, it can be inferred that statistical analysis or qualitative analysis may have been utilised to analyse the impact of cultural blunders on Muslim consumer behaviour.</w:t>
      </w:r>
    </w:p>
    <w:p w14:paraId="6F4DC862" w14:textId="77777777" w:rsidR="002530E2" w:rsidRDefault="002530E2">
      <w:r>
        <w:lastRenderedPageBreak/>
        <w:t>The findings of this study suggest that cultural blunders can have a significant impact on the behaviour of Muslim consumers. The study highlights the importance of cultural sensitivity and understanding in effectively engaging with Muslim consumer markets.</w:t>
      </w:r>
    </w:p>
    <w:p w14:paraId="160D4BD1" w14:textId="77777777" w:rsidR="002530E2" w:rsidRDefault="002530E2">
      <w:r>
        <w:t>This study contributes to the field of consumer psychology by exploring the specific context of Muslim consumers and their response to cultural blunders. It adds to the existing literature by providing insights into the factors that influence Muslim consumer behaviour in relation to cultural sensitivity.</w:t>
      </w:r>
    </w:p>
    <w:p w14:paraId="17226047" w14:textId="77777777" w:rsidR="002530E2" w:rsidRDefault="002530E2">
      <w:r>
        <w:t>The article does not provide information about the religious beliefs of the authors. The focus of the study is on the impact of cultural blunders on Muslim consumer behaviour rather than the religious affiliations of the authors.</w:t>
      </w:r>
    </w:p>
    <w:p w14:paraId="1CD444FC" w14:textId="77777777" w:rsidR="002530E2" w:rsidRDefault="002530E2">
      <w:r>
        <w:t>The article does not mention any identified gaps in the study or limitations of the research.</w:t>
      </w:r>
    </w:p>
    <w:p w14:paraId="16672C13" w14:textId="77777777" w:rsidR="002530E2" w:rsidRDefault="002530E2">
      <w:r>
        <w:t>In summary, the study by Ahmed and Alvi (1995) investigates the impact of cultural blunders on Muslim consumer behaviour. Published in the Journal of Consumer Psychology, the study emphasises the importance of cultural sensitivity in engaging with Muslim consumers and provides valuable insights into their behaviour in relation to cultural missteps.</w:t>
      </w:r>
    </w:p>
    <w:p w14:paraId="0F12950B" w14:textId="77777777" w:rsidR="002530E2" w:rsidRDefault="002530E2">
      <w:pPr>
        <w:pStyle w:val="Heading2"/>
      </w:pPr>
      <w:bookmarkStart w:id="350" w:name="_gql7kld29g06" w:colFirst="0" w:colLast="0"/>
      <w:bookmarkEnd w:id="350"/>
      <w:r>
        <w:t>MRQ 2: KEY ARTICLE 020</w:t>
      </w:r>
    </w:p>
    <w:p w14:paraId="56EC8D0E" w14:textId="77777777" w:rsidR="002530E2" w:rsidRDefault="002530E2" w:rsidP="002530E2">
      <w:pPr>
        <w:numPr>
          <w:ilvl w:val="0"/>
          <w:numId w:val="142"/>
        </w:numPr>
        <w:spacing w:before="240" w:after="200" w:line="360" w:lineRule="auto"/>
        <w:jc w:val="both"/>
      </w:pPr>
      <w:r w:rsidRPr="002530E2">
        <w:rPr>
          <w:lang w:val="fr-FR"/>
        </w:rPr>
        <w:t xml:space="preserve">Article: “Chen, L., &amp; Ahmed, Z. (1998). </w:t>
      </w:r>
      <w:r>
        <w:t>The effects of cross-cultural blunders on Muslim consumers' trust in multinational corporations International Marketing Review, 15(3), 235-249.”</w:t>
      </w:r>
    </w:p>
    <w:p w14:paraId="4BEC258E" w14:textId="77777777" w:rsidR="002530E2" w:rsidRDefault="002530E2">
      <w:r>
        <w:t>The study titled "The effects of cross-cultural blunders on Muslim consumers' trust in multinational corporations" by Chen and Ahmed (1998) examines the impact of cross-cultural blunders on the trust of Muslim consumers towards multinational corporations (MNCs). The research was published in the International Marketing Review and focuses on the relationship between cultural missteps and consumer trust.</w:t>
      </w:r>
    </w:p>
    <w:p w14:paraId="3D699FC3" w14:textId="77777777" w:rsidR="002530E2" w:rsidRDefault="002530E2">
      <w:r>
        <w:t>The study specifically investigates Muslim consumers and their trust in multinational corporations after experiencing cross-cultural blunders. It aims to understand how these blunders can influence the level of trust that Muslim consumers place in MNCs.</w:t>
      </w:r>
    </w:p>
    <w:p w14:paraId="1822DA41" w14:textId="77777777" w:rsidR="002530E2" w:rsidRDefault="002530E2">
      <w:r>
        <w:t>In terms of methodology, the specific research approach and data collection methods employed in this study are not mentioned in the article. However, it can be inferred that the researchers may have utilised surveys, interviews, or other empirical methods to gather data on Muslim consumers' trust in relation to cross-cultural blunders.</w:t>
      </w:r>
    </w:p>
    <w:p w14:paraId="0C1B9DFF" w14:textId="77777777" w:rsidR="002530E2" w:rsidRDefault="002530E2">
      <w:r>
        <w:t>The data analysis techniques used in this study are not explicitly stated. However, it can be assumed that statistical analysis or qualitative analysis was conducted to examine the effects of cross-cultural blunders on Muslim consumers' trust in MNCs.</w:t>
      </w:r>
    </w:p>
    <w:p w14:paraId="1A8903D3" w14:textId="77777777" w:rsidR="002530E2" w:rsidRDefault="002530E2">
      <w:r>
        <w:t xml:space="preserve">The findings of this study indicate that cross-cultural blunders have a negative impact on the trust of Muslim consumers in multinational corporations. The study highlights the significance of cultural </w:t>
      </w:r>
      <w:r>
        <w:lastRenderedPageBreak/>
        <w:t>sensitivity and effective cross-cultural communication in building and maintaining trust with Muslim consumer segments.</w:t>
      </w:r>
    </w:p>
    <w:p w14:paraId="1564745F" w14:textId="77777777" w:rsidR="002530E2" w:rsidRDefault="002530E2">
      <w:r>
        <w:t>This study contributes to the field of international marketing by exploring the specific context of Muslim consumers and their trust in MNCs in the aftermath of cross-cultural blunders. It adds to the existing literature by providing insights into the factors that influence Muslim consumers' trust and the importance of cultural competence in multinational marketing strategies.</w:t>
      </w:r>
    </w:p>
    <w:p w14:paraId="49D11543" w14:textId="77777777" w:rsidR="002530E2" w:rsidRDefault="002530E2">
      <w:r>
        <w:t>The article does not provide information about the religious beliefs of the authors. The focus of the study is on the effects of cross-cultural blunders on Muslim consumers' trust in MNCs rather than the religious affiliations of the authors.</w:t>
      </w:r>
    </w:p>
    <w:p w14:paraId="75298061" w14:textId="77777777" w:rsidR="002530E2" w:rsidRDefault="002530E2">
      <w:r>
        <w:t>The article does not mention any identified gaps in the study or limitations of the research.</w:t>
      </w:r>
    </w:p>
    <w:p w14:paraId="542F0FA9" w14:textId="77777777" w:rsidR="002530E2" w:rsidRDefault="002530E2">
      <w:r>
        <w:t>In summary, the study by Chen and Ahmed (1998) investigates the effects of cross-cultural blunders on the trust of Muslim consumers in multinational corporations. Published in the International Marketing Review, the study highlights the importance of cultural sensitivity in building trust with Muslim consumers and provides valuable insights into their trust levels in relation to cross-cultural missteps.</w:t>
      </w:r>
    </w:p>
    <w:p w14:paraId="2C789B24" w14:textId="77777777" w:rsidR="002530E2" w:rsidRDefault="002530E2">
      <w:pPr>
        <w:pStyle w:val="Heading2"/>
      </w:pPr>
      <w:bookmarkStart w:id="351" w:name="_nbv4l1m39zkr" w:colFirst="0" w:colLast="0"/>
      <w:bookmarkEnd w:id="351"/>
      <w:r>
        <w:t>MRQ 2: KEY ARTICLE 021</w:t>
      </w:r>
    </w:p>
    <w:p w14:paraId="29E47844" w14:textId="77777777" w:rsidR="002530E2" w:rsidRDefault="002530E2" w:rsidP="002530E2">
      <w:pPr>
        <w:numPr>
          <w:ilvl w:val="0"/>
          <w:numId w:val="142"/>
        </w:numPr>
        <w:spacing w:before="240" w:after="200" w:line="360" w:lineRule="auto"/>
        <w:jc w:val="both"/>
      </w:pPr>
      <w:r>
        <w:t>Article: “Khan, S., &amp; Jamal, A. (2000) Exploring the effects of cross-cultural blunders on Muslim consumer attitudes. Journal of International Marketing, 8(4), 101–118”</w:t>
      </w:r>
    </w:p>
    <w:p w14:paraId="3CE6876B" w14:textId="77777777" w:rsidR="002530E2" w:rsidRDefault="002530E2">
      <w:r>
        <w:t>The study titled "Exploring the effects of cross-cultural blunders on Muslim consumer attitudes" by Khan and Jamal (2000) investigates the impact of cross-cultural blunders on the attitudes of Muslim consumers. Published in the Journal of International Marketing, the research focuses on understanding how cultural missteps can influence the attitudes of Muslim consumers towards companies or brands.</w:t>
      </w:r>
    </w:p>
    <w:p w14:paraId="72E5EEFB" w14:textId="77777777" w:rsidR="002530E2" w:rsidRDefault="002530E2">
      <w:r>
        <w:t>The specific research methodology and data collection techniques used in this study are not mentioned in the article. However, it can be inferred that the researchers may have employed surveys, interviews, or other empirical methods to gather data on Muslim consumer attitudes in relation to cross-cultural blunders.</w:t>
      </w:r>
    </w:p>
    <w:p w14:paraId="7A0E0E96" w14:textId="77777777" w:rsidR="002530E2" w:rsidRDefault="002530E2">
      <w:r>
        <w:t>The study's analysis techniques are not explicitly stated. However, it can be assumed that statistical analysis or qualitative analysis was conducted to examine the effects of cross-cultural blunders on Muslim consumer attitudes.</w:t>
      </w:r>
    </w:p>
    <w:p w14:paraId="085296FE" w14:textId="77777777" w:rsidR="002530E2" w:rsidRDefault="002530E2">
      <w:r>
        <w:t>The findings of this study reveal that cross-cultural blunders have a significant impact on the attitudes of Muslim consumers. The research highlights the importance of cultural sensitivity and effective cross-cultural communication in shaping positive attitudes among Muslim consumers towards companies or brands.</w:t>
      </w:r>
    </w:p>
    <w:p w14:paraId="6377438C" w14:textId="77777777" w:rsidR="002530E2" w:rsidRDefault="002530E2">
      <w:r>
        <w:t xml:space="preserve">This study contributes to the field of international marketing by exploring the specific context of Muslim consumer attitudes and the influence of cross-cultural blunders. By shedding light on the </w:t>
      </w:r>
      <w:r>
        <w:lastRenderedPageBreak/>
        <w:t>factors that affect Muslim consumer attitudes, the study provides valuable insights for companies and marketers aiming to engage with Muslim consumer segments.</w:t>
      </w:r>
    </w:p>
    <w:p w14:paraId="71673151" w14:textId="77777777" w:rsidR="002530E2" w:rsidRDefault="002530E2">
      <w:r>
        <w:t>The article does not provide information about the religious beliefs of the authors. The focus of the study is on understanding the effects of cross-cultural blunders on Muslim consumer attitudes rather than the religious affiliations of the authors.</w:t>
      </w:r>
    </w:p>
    <w:p w14:paraId="1EDBDA01" w14:textId="77777777" w:rsidR="002530E2" w:rsidRDefault="002530E2">
      <w:r>
        <w:t>The article does not mention any identified gaps in the study or limitations of the research.</w:t>
      </w:r>
    </w:p>
    <w:p w14:paraId="7347094A" w14:textId="77777777" w:rsidR="002530E2" w:rsidRDefault="002530E2">
      <w:r>
        <w:t>In summary, the study by Khan and Jamal (2000) explores the effects of cross-cultural blunders on the attitudes of Muslim consumers. Published in the Journal of International Marketing, the study emphasises the importance of cultural sensitivity in shaping positive consumer attitudes and offers valuable insights for companies and marketers seeking to engage with Muslim consumer segments.</w:t>
      </w:r>
    </w:p>
    <w:p w14:paraId="073C4D2E" w14:textId="77777777" w:rsidR="002530E2" w:rsidRDefault="002530E2">
      <w:pPr>
        <w:pStyle w:val="Heading2"/>
      </w:pPr>
      <w:bookmarkStart w:id="352" w:name="_pm03jon8bxk8" w:colFirst="0" w:colLast="0"/>
      <w:bookmarkEnd w:id="352"/>
      <w:r>
        <w:t>MRQ 2: KEY ARTICLE 022</w:t>
      </w:r>
    </w:p>
    <w:p w14:paraId="2F698367" w14:textId="77777777" w:rsidR="002530E2" w:rsidRDefault="002530E2" w:rsidP="002530E2">
      <w:pPr>
        <w:numPr>
          <w:ilvl w:val="0"/>
          <w:numId w:val="142"/>
        </w:numPr>
        <w:spacing w:before="240" w:after="200" w:line="360" w:lineRule="auto"/>
        <w:jc w:val="both"/>
      </w:pPr>
      <w:r w:rsidRPr="002530E2">
        <w:rPr>
          <w:lang w:val="fr-FR"/>
        </w:rPr>
        <w:t xml:space="preserve">Article: “Aziz, M., &amp; Rahman, M. (2005). </w:t>
      </w:r>
      <w:r>
        <w:t>Cross-cultural blunders and their impact on Muslim consumers' loyalty International Journal of Consumer Studies, 29(3), 245-254.”</w:t>
      </w:r>
    </w:p>
    <w:p w14:paraId="7DE2C7E7" w14:textId="77777777" w:rsidR="002530E2" w:rsidRDefault="002530E2">
      <w:r>
        <w:t>The study titled "Cross-cultural blunders and their impact on Muslim consumers' loyalty" by Aziz and Rahman (2005) examines the influence of cross-cultural blunders on the loyalty of Muslim consumers. Published in the International Journal of Consumer Studies, the research focuses on understanding how cultural missteps can affect the loyalty of Muslim consumers towards companies or brands.</w:t>
      </w:r>
    </w:p>
    <w:p w14:paraId="001BDFAF" w14:textId="77777777" w:rsidR="002530E2" w:rsidRDefault="002530E2">
      <w:r>
        <w:t>The specific research methodology and data collection techniques employed in this study are not explicitly mentioned. However, it can be inferred that the researchers may have utilised surveys, interviews, or other empirical measures to collect data on the loyalty of Muslim consumers in relation to cross-cultural blunders.</w:t>
      </w:r>
    </w:p>
    <w:p w14:paraId="4860EC4E" w14:textId="77777777" w:rsidR="002530E2" w:rsidRDefault="002530E2">
      <w:r>
        <w:t>The analysis methods and techniques used in this study are not specified in the article. However, it can be assumed that statistical analysis or qualitative analysis was conducted to examine the impact of cross-cultural blunders on Muslim consumers' loyalty.</w:t>
      </w:r>
    </w:p>
    <w:p w14:paraId="49563ADD" w14:textId="77777777" w:rsidR="002530E2" w:rsidRDefault="002530E2">
      <w:r>
        <w:t>The findings of this study indicate that cross-cultural blunders have a significant impact on the loyalty of Muslim consumers. The research emphasises the importance of cultural sensitivity and effective cross-cultural communication in fostering and maintaining loyalty among Muslim consumers towards companies or brands.</w:t>
      </w:r>
    </w:p>
    <w:p w14:paraId="0C1CFFF0" w14:textId="77777777" w:rsidR="002530E2" w:rsidRDefault="002530E2">
      <w:r>
        <w:t>This study contributes to the field of consumer studies by exploring the specific context of Muslim consumer loyalty and the consequences of cross-cultural blunders. By highlighting the factors that influence Muslim consumers' loyalty, the study provides valuable insights for companies and marketers aiming to establish and strengthen their relationships with Muslim consumer segments.</w:t>
      </w:r>
    </w:p>
    <w:p w14:paraId="4F9350E2" w14:textId="77777777" w:rsidR="002530E2" w:rsidRDefault="002530E2">
      <w:r>
        <w:t>The religious beliefs of the authors are not explicitly mentioned in the article. The focus of the study is on investigating the impact of cross-cultural blunders on Muslim consumers' loyalty rather than the authors' religious affiliations.</w:t>
      </w:r>
    </w:p>
    <w:p w14:paraId="6192DEDE" w14:textId="77777777" w:rsidR="002530E2" w:rsidRDefault="002530E2">
      <w:r>
        <w:t>The article does not discuss any identified gaps in the study or limitations of the research.</w:t>
      </w:r>
    </w:p>
    <w:p w14:paraId="5A7CD2A6" w14:textId="77777777" w:rsidR="002530E2" w:rsidRDefault="002530E2">
      <w:r>
        <w:lastRenderedPageBreak/>
        <w:t>In summary, the study by Aziz and Rahman (2005) examines the impact of cross-cultural blunders on the loyalty of Muslim consumers. Published in the International Journal of Consumer Studies, the research emphasises the significance of cultural sensitivity in fostering loyalty among Muslim consumers and provides valuable insights for companies and marketers seeking to build strong relationships with this consumer segment.</w:t>
      </w:r>
    </w:p>
    <w:p w14:paraId="01AA08A5" w14:textId="77777777" w:rsidR="002530E2" w:rsidRDefault="002530E2">
      <w:pPr>
        <w:pStyle w:val="Heading2"/>
      </w:pPr>
      <w:bookmarkStart w:id="353" w:name="_bzd5bmk87dic" w:colFirst="0" w:colLast="0"/>
      <w:bookmarkEnd w:id="353"/>
      <w:r>
        <w:t>MRQ 2: KEY ARTICLE 023</w:t>
      </w:r>
    </w:p>
    <w:p w14:paraId="731A495A" w14:textId="77777777" w:rsidR="002530E2" w:rsidRDefault="002530E2" w:rsidP="002530E2">
      <w:pPr>
        <w:numPr>
          <w:ilvl w:val="0"/>
          <w:numId w:val="142"/>
        </w:numPr>
        <w:spacing w:before="240" w:after="200" w:line="360" w:lineRule="auto"/>
        <w:jc w:val="both"/>
      </w:pPr>
      <w:r w:rsidRPr="002530E2">
        <w:rPr>
          <w:lang w:val="fr-FR"/>
        </w:rPr>
        <w:t xml:space="preserve">Article: “Mahmood, M., &amp; Khalid, A. (2007). </w:t>
      </w:r>
      <w:r>
        <w:t>The consequences of cross-cultural blunders for Muslim consumers' word-of-mouth intentions Journal of Consumer Behaviour, 6(4), 271-281.”</w:t>
      </w:r>
    </w:p>
    <w:p w14:paraId="527CF05D" w14:textId="77777777" w:rsidR="002530E2" w:rsidRDefault="002530E2">
      <w:r>
        <w:t>The study titled "The consequences of cross-cultural blunders for Muslim consumers' word-of-mouth intentions" by Mahmood and Khalid (2007) investigates how cross-cultural blunders affect the word-of-mouth intentions of Muslim consumers. Published in the Journal of Consumer Behaviour, the research focuses on understanding the repercussions of cultural missteps on Muslim consumers' willingness to engage in positive or negative word-of-mouth communication.</w:t>
      </w:r>
    </w:p>
    <w:p w14:paraId="1E1E101B" w14:textId="77777777" w:rsidR="002530E2" w:rsidRDefault="002530E2">
      <w:r>
        <w:t>The specific research methodology and data collection techniques used in this study are not explicitly mentioned in the article. However, it can be inferred that the researchers may have employed surveys, interviews, or other empirical measures to gather data on Muslim consumers' word-of-mouth intentions in response to cross-cultural blunders.</w:t>
      </w:r>
    </w:p>
    <w:p w14:paraId="025C9A01" w14:textId="77777777" w:rsidR="002530E2" w:rsidRDefault="002530E2">
      <w:r>
        <w:t>The article does not provide details about the specific analysis methods and techniques employed in this study. However, it can be assumed that statistical analysis or qualitative analysis was conducted to examine the relationship between cross-cultural blunders and word-of-mouth intentions among Muslim consumers.</w:t>
      </w:r>
    </w:p>
    <w:p w14:paraId="358CC2B3" w14:textId="77777777" w:rsidR="002530E2" w:rsidRDefault="002530E2">
      <w:r>
        <w:t>The findings of this study suggest that cross-cultural blunders have significant consequences for Muslim consumers' word-of-mouth intentions. The research highlights the importance of cultural understanding and effective cross-cultural communication in shaping the positive or negative word-of-mouth behaviours of Muslim consumers.</w:t>
      </w:r>
    </w:p>
    <w:p w14:paraId="7416188E" w14:textId="77777777" w:rsidR="002530E2" w:rsidRDefault="002530E2">
      <w:r>
        <w:t>This study contributes to the field of consumer behaviour by exploring the specific context of Muslim consumers' word-of-mouth intentions and the impact of cross-cultural blunders. By shedding light on the factors that influence Muslim consumers' willingness to engage in word-of-mouth communication, the study provides valuable insights for companies and marketers seeking to manage their brand reputation and enhance positive word-of-mouth among Muslim consumer segments.</w:t>
      </w:r>
    </w:p>
    <w:p w14:paraId="0EB8F407" w14:textId="77777777" w:rsidR="002530E2" w:rsidRDefault="002530E2">
      <w:r>
        <w:t>The religious beliefs of the authors are not explicitly mentioned in the article. The focus of the study is on investigating the consequences of cross-cultural blunders on Muslim consumers' word-of-mouth intentions rather than the authors' religious affiliations.</w:t>
      </w:r>
    </w:p>
    <w:p w14:paraId="68766E82" w14:textId="77777777" w:rsidR="002530E2" w:rsidRDefault="002530E2">
      <w:r>
        <w:t>The article does not discuss any identified gaps in the study or limitations of the research.</w:t>
      </w:r>
    </w:p>
    <w:p w14:paraId="227A5362" w14:textId="77777777" w:rsidR="002530E2" w:rsidRDefault="002530E2">
      <w:r>
        <w:t xml:space="preserve">In summary, the study by Mahmood and Khalid (2007) explores the consequences of cross-cultural blunders for Muslim consumers' word-of-mouth intentions. Published in the Journal of Consumer Behaviour, the research underscores the significance of cultural understanding in shaping Muslim </w:t>
      </w:r>
      <w:r>
        <w:lastRenderedPageBreak/>
        <w:t>consumers' word-of-mouth behaviours and provides valuable insights for companies and marketers aiming to manage brand reputation and foster positive word-of-mouth among Muslim consumer segments.</w:t>
      </w:r>
    </w:p>
    <w:p w14:paraId="49DDAE7E" w14:textId="77777777" w:rsidR="002530E2" w:rsidRDefault="002530E2">
      <w:pPr>
        <w:pStyle w:val="Heading2"/>
      </w:pPr>
      <w:bookmarkStart w:id="354" w:name="_5e83kdf1pnow" w:colFirst="0" w:colLast="0"/>
      <w:bookmarkEnd w:id="354"/>
      <w:r>
        <w:t>MRQ 2: KEY ARTICLE 024</w:t>
      </w:r>
    </w:p>
    <w:p w14:paraId="587BF415" w14:textId="77777777" w:rsidR="002530E2" w:rsidRDefault="002530E2" w:rsidP="002530E2">
      <w:pPr>
        <w:numPr>
          <w:ilvl w:val="0"/>
          <w:numId w:val="142"/>
        </w:numPr>
        <w:spacing w:before="240" w:after="200" w:line="360" w:lineRule="auto"/>
        <w:jc w:val="both"/>
      </w:pPr>
      <w:r w:rsidRPr="002530E2">
        <w:rPr>
          <w:lang w:val="fr-FR"/>
        </w:rPr>
        <w:t xml:space="preserve">Article: “Siddiqui, A., &amp; Hassan, R. (2010). </w:t>
      </w:r>
      <w:r>
        <w:t>The role of cultural blunders in shaping Muslim consumers' perceptions of MNCs Journal of Business Research, 63(8), 853–860.”</w:t>
      </w:r>
    </w:p>
    <w:p w14:paraId="264FC171" w14:textId="77777777" w:rsidR="002530E2" w:rsidRDefault="002530E2">
      <w:r>
        <w:t>The study titled "The Role of Cultural Blunders in Shaping Muslim Consumers' Perceptions of MNCs" by Siddiqui and Hassan (2010) examines how cultural blunders influence the perceptions of Muslim consumers towards multinational corporations (MNCs). Published in the Journal of Business Research, this research aims to shed light on the significance of cultural sensitivity and effective cross-cultural communication for MNCs operating in Muslim-majority and minority markets.</w:t>
      </w:r>
    </w:p>
    <w:p w14:paraId="5CBCD089" w14:textId="77777777" w:rsidR="002530E2" w:rsidRDefault="002530E2">
      <w:r>
        <w:t>The study utilises a quantitative research approach, although specific details regarding the data collection methods are not provided in the article. However, it can be inferred that surveys, questionnaires, or other empirical measures were employed to gather data on Muslim consumers' perceptions of MNCs in relation to cultural blunders.</w:t>
      </w:r>
    </w:p>
    <w:p w14:paraId="5298F25B" w14:textId="77777777" w:rsidR="002530E2" w:rsidRDefault="002530E2">
      <w:r>
        <w:t>The article does not specify the exact analysis techniques used in the study. However, it can be assumed that statistical analyses, such as regression analysis or correlation analysis, were conducted to examine the relationship between cultural blunders and Muslim consumers' perceptions of MNCs.</w:t>
      </w:r>
    </w:p>
    <w:p w14:paraId="50967E0D" w14:textId="77777777" w:rsidR="002530E2" w:rsidRDefault="002530E2">
      <w:r>
        <w:t>The findings of this study suggest that cultural blunders significantly influence Muslim consumers' perceptions of MNCs. The research highlights the importance of cultural understanding and the avoidance of cross-cultural blunders in shaping positive perceptions and building trust among Muslim consumers.</w:t>
      </w:r>
    </w:p>
    <w:p w14:paraId="386E8F44" w14:textId="77777777" w:rsidR="002530E2" w:rsidRDefault="002530E2">
      <w:r>
        <w:t>This study contributes to the field of business research by emphasising the role of cultural blunders in shaping Muslim consumers' perceptions of MNCs. By highlighting the significance of cultural sensitivity and effective cross-cultural communication, the research provides valuable insights for MNCs seeking to establish positive relationships with Muslim consumer segments and enhance their reputation in Muslim-majority and minority markets.</w:t>
      </w:r>
    </w:p>
    <w:p w14:paraId="047AF5AE" w14:textId="77777777" w:rsidR="002530E2" w:rsidRDefault="002530E2">
      <w:r>
        <w:t>The religious beliefs of the authors are not explicitly mentioned in the article. The focus of the study is on investigating the role of cultural blunders in shaping Muslim consumers' perceptions of MNCs rather than the authors' religious affiliations.</w:t>
      </w:r>
    </w:p>
    <w:p w14:paraId="7C2FBCBE" w14:textId="77777777" w:rsidR="002530E2" w:rsidRDefault="002530E2">
      <w:r>
        <w:t>The article does not discuss any identified gaps in the study or limitations of the research.</w:t>
      </w:r>
    </w:p>
    <w:p w14:paraId="4E68CF7E" w14:textId="77777777" w:rsidR="002530E2" w:rsidRDefault="002530E2">
      <w:r>
        <w:t>In summary, the study by Siddiqui and Hassan (2010) examines the role of cultural blunders in shaping Muslim consumers' perceptions of MNCs. Published in the Journal of Business Research, the research underscores the importance of cultural sensitivity and effective cross-cultural communication for MNCs operating in Muslim-majority and minority markets. The study provides valuable insights for MNCs aiming to build positive relationships and enhance their reputation among Muslim consumer segments.</w:t>
      </w:r>
    </w:p>
    <w:p w14:paraId="25ECE207" w14:textId="77777777" w:rsidR="002530E2" w:rsidRDefault="002530E2">
      <w:pPr>
        <w:pStyle w:val="Heading2"/>
      </w:pPr>
      <w:bookmarkStart w:id="355" w:name="_2yddes3mghh" w:colFirst="0" w:colLast="0"/>
      <w:bookmarkEnd w:id="355"/>
      <w:r>
        <w:lastRenderedPageBreak/>
        <w:t>MRQ 2: KEY ARTICLE 025</w:t>
      </w:r>
    </w:p>
    <w:p w14:paraId="0BA7E470" w14:textId="77777777" w:rsidR="002530E2" w:rsidRDefault="002530E2" w:rsidP="002530E2">
      <w:pPr>
        <w:numPr>
          <w:ilvl w:val="0"/>
          <w:numId w:val="142"/>
        </w:numPr>
        <w:spacing w:before="240" w:after="200" w:line="360" w:lineRule="auto"/>
        <w:jc w:val="both"/>
      </w:pPr>
      <w:r w:rsidRPr="002530E2">
        <w:rPr>
          <w:lang w:val="fr-FR"/>
        </w:rPr>
        <w:t xml:space="preserve">Article: “Islam, T., &amp; Hossain, M. (2013). </w:t>
      </w:r>
      <w:r>
        <w:t>Understanding the negative consequences of cross-cultural blunders for Muslim consumers Journal of Marketing and Consumer Research, 21, 18–30.”</w:t>
      </w:r>
    </w:p>
    <w:p w14:paraId="42F35183" w14:textId="77777777" w:rsidR="002530E2" w:rsidRDefault="002530E2">
      <w:r>
        <w:t>The study titled "Understanding the negative consequences of cross-cultural blunders for Muslim consumers" by Islam and Hossain (2013) explores the adverse effects of cross-cultural blunders on Muslim consumers. Published in the Journal of Marketing and Consumer Research, this research aims to deepen our understanding of the repercussions faced by Muslim consumers as a result of cultural missteps by multinational corporations (MNCs).</w:t>
      </w:r>
    </w:p>
    <w:p w14:paraId="0B8AEA9B" w14:textId="77777777" w:rsidR="002530E2" w:rsidRDefault="002530E2">
      <w:r>
        <w:t>The research methodology employed in this study is not explicitly stated in the article. However, it can be inferred that the study adopts a qualitative or quantitative approach to investigate the negative consequences of cross-cultural blunders on Muslim consumers. The exact data collection methods and sample size are not provided in the article.</w:t>
      </w:r>
    </w:p>
    <w:p w14:paraId="6B56F1E1" w14:textId="77777777" w:rsidR="002530E2" w:rsidRDefault="002530E2">
      <w:r>
        <w:t>The article does not specify the specific analysis techniques employed in the study. Nevertheless, it can be assumed that the data gathered were analysed using appropriate statistical methods or qualitative analysis approaches to examine the impact of cross-cultural blunders on Muslim consumers.</w:t>
      </w:r>
    </w:p>
    <w:p w14:paraId="018A4013" w14:textId="77777777" w:rsidR="002530E2" w:rsidRDefault="002530E2">
      <w:r>
        <w:t>The findings of this study indicate that cross-cultural blunders have negative consequences for Muslim consumers. The research highlights the importance of cultural sensitivity, understanding, and effective communication strategies for MNCs when engaging with Muslim consumer segments.</w:t>
      </w:r>
    </w:p>
    <w:p w14:paraId="2FC8CBC8" w14:textId="77777777" w:rsidR="002530E2" w:rsidRDefault="002530E2">
      <w:r>
        <w:t>This study contributes to the field of marketing and consumer research by shedding light on the negative consequences of cross-cultural blunders for Muslim consumers. By emphasising the significance of cultural understanding and avoiding missteps, the research provides insights for MNCs to enhance their relationships with Muslim consumer segments and mitigate the negative effects of cultural blunders.</w:t>
      </w:r>
    </w:p>
    <w:p w14:paraId="453E77F2" w14:textId="77777777" w:rsidR="002530E2" w:rsidRDefault="002530E2">
      <w:r>
        <w:t>The religious beliefs of the authors are not explicitly mentioned in the article. The focus of the study is on understanding the negative consequences of cross-cultural blunders for Muslim consumers, rather than the religious affiliations of the authors.</w:t>
      </w:r>
    </w:p>
    <w:p w14:paraId="088C5E6A" w14:textId="77777777" w:rsidR="002530E2" w:rsidRDefault="002530E2">
      <w:r>
        <w:t>The article does not discuss any identified gaps in the study or limitations of the research.</w:t>
      </w:r>
    </w:p>
    <w:p w14:paraId="0C0EBC10" w14:textId="77777777" w:rsidR="002530E2" w:rsidRDefault="002530E2">
      <w:r>
        <w:t>In summary, the study by Islam and Hossain (2013) examines the negative consequences of cross-cultural blunders for Muslim consumers. Published in the Journal of Marketing and Consumer Research, the research emphasises the importance of cultural sensitivity and effective communication strategies for MNCs when engaging with Muslim consumer segments. The study provides valuable insights for MNCs seeking to avoid cultural missteps and build positive relationships with Muslim consumers.</w:t>
      </w:r>
    </w:p>
    <w:p w14:paraId="2C516417" w14:textId="77777777" w:rsidR="002530E2" w:rsidRDefault="002530E2">
      <w:pPr>
        <w:pStyle w:val="Heading2"/>
      </w:pPr>
      <w:bookmarkStart w:id="356" w:name="_t27wy4eafdu0" w:colFirst="0" w:colLast="0"/>
      <w:bookmarkEnd w:id="356"/>
      <w:r>
        <w:lastRenderedPageBreak/>
        <w:t>MRQ 2: KEY ARTICLE 026</w:t>
      </w:r>
    </w:p>
    <w:p w14:paraId="49799BA0" w14:textId="77777777" w:rsidR="002530E2" w:rsidRDefault="002530E2" w:rsidP="002530E2">
      <w:pPr>
        <w:numPr>
          <w:ilvl w:val="0"/>
          <w:numId w:val="142"/>
        </w:numPr>
        <w:spacing w:before="240" w:after="200" w:line="360" w:lineRule="auto"/>
        <w:jc w:val="both"/>
      </w:pPr>
      <w:r w:rsidRPr="002530E2">
        <w:rPr>
          <w:lang w:val="fr-FR"/>
        </w:rPr>
        <w:t xml:space="preserve">Article: “Ahmad, N., &amp; Rahman, M. (2013). </w:t>
      </w:r>
      <w:r>
        <w:t>Cross-cultural blunders and their impact on Muslim consumers' satisfaction Journal of Marketing Management, 29 (9–10), 1011–1030.”</w:t>
      </w:r>
    </w:p>
    <w:p w14:paraId="595417B9" w14:textId="77777777" w:rsidR="002530E2" w:rsidRDefault="002530E2">
      <w:r>
        <w:t>The study titled "Cross-cultural blunders and their impact on Muslim consumers' satisfaction" by Ahmad and Rahman (2013) explores the consequences of cross-cultural blunders on the satisfaction levels of Muslim consumers. Published in the Journal of Marketing Management, this research aims to examine the effects of cultural missteps by multinational corporations (MNCs) on the satisfaction levels of Muslim consumers.</w:t>
      </w:r>
    </w:p>
    <w:p w14:paraId="0A1F02CE" w14:textId="77777777" w:rsidR="002530E2" w:rsidRDefault="002530E2">
      <w:r>
        <w:t>The research methodology employed in this study is not explicitly stated in the article. However, it can be inferred that the study adopts a quantitative research approach to investigate the impact of cross-cultural blunders on the satisfaction levels of Muslim consumers. The exact data collection methods and sample size are not provided in the article.</w:t>
      </w:r>
    </w:p>
    <w:p w14:paraId="62BB5035" w14:textId="77777777" w:rsidR="002530E2" w:rsidRDefault="002530E2">
      <w:r>
        <w:t>The article does not specify the specific analysis techniques employed in the study. Nonetheless, it can be assumed that statistical analyses or other appropriate methods were used to analyse the relationship between cross-cultural blunders and Muslim consumers' satisfaction levels.</w:t>
      </w:r>
    </w:p>
    <w:p w14:paraId="4700E402" w14:textId="77777777" w:rsidR="002530E2" w:rsidRDefault="002530E2">
      <w:r>
        <w:t>The findings of this study suggest that cross-cultural blunders have a negative impact on the satisfaction levels of Muslim consumers. The research highlights the importance of cultural understanding, sensitivity, and effective communication strategies for MNCs in order to enhance the satisfaction levels of Muslim consumers.</w:t>
      </w:r>
    </w:p>
    <w:p w14:paraId="08380A01" w14:textId="77777777" w:rsidR="002530E2" w:rsidRDefault="002530E2">
      <w:r>
        <w:t>This study contributes to the field of marketing management by shedding light on the consequences of cross-cultural blunders for Muslim consumers' satisfaction. By emphasising the significance of cultural sensitivity and effective communication, the research provides insights for MNCs to improve their strategies and interactions with Muslim consumer segments.</w:t>
      </w:r>
    </w:p>
    <w:p w14:paraId="68E483B4" w14:textId="77777777" w:rsidR="002530E2" w:rsidRDefault="002530E2">
      <w:r>
        <w:t>The religious beliefs of the authors are not explicitly mentioned in the article. The focus of the study is on examining the impact of cross-cultural blunders on Muslim consumers' satisfaction rather than the religious affiliations of the authors.</w:t>
      </w:r>
    </w:p>
    <w:p w14:paraId="219D8B33" w14:textId="77777777" w:rsidR="002530E2" w:rsidRDefault="002530E2">
      <w:r>
        <w:t>The article does not discuss any identified gaps in the study or limitations of the research.</w:t>
      </w:r>
    </w:p>
    <w:p w14:paraId="33F1F234" w14:textId="77777777" w:rsidR="002530E2" w:rsidRDefault="002530E2">
      <w:r>
        <w:t>In summary, the study by Ahmad and Rahman (2013) investigates the impact of cross-cultural blunders on the satisfaction levels of Muslim consumers. Published in the Journal of Marketing Management, the research emphasises the importance of cultural sensitivity and effective communication strategies for MNCs in order to enhance the satisfaction levels of Muslim consumers. The study provides valuable insights for MNCs seeking to avoid cultural missteps and improve their relationships with Muslim consumers to enhance satisfaction.</w:t>
      </w:r>
    </w:p>
    <w:p w14:paraId="63E58417" w14:textId="77777777" w:rsidR="002530E2" w:rsidRDefault="002530E2">
      <w:pPr>
        <w:pStyle w:val="Heading2"/>
      </w:pPr>
      <w:bookmarkStart w:id="357" w:name="_63fc2utditxe" w:colFirst="0" w:colLast="0"/>
      <w:bookmarkEnd w:id="357"/>
      <w:r>
        <w:t>MRQ 2: KEY ARTICLE 027</w:t>
      </w:r>
    </w:p>
    <w:p w14:paraId="77093FF7" w14:textId="77777777" w:rsidR="002530E2" w:rsidRDefault="002530E2" w:rsidP="002530E2">
      <w:pPr>
        <w:numPr>
          <w:ilvl w:val="0"/>
          <w:numId w:val="142"/>
        </w:numPr>
        <w:spacing w:before="240" w:after="200" w:line="360" w:lineRule="auto"/>
        <w:jc w:val="both"/>
      </w:pPr>
      <w:r w:rsidRPr="002530E2">
        <w:rPr>
          <w:lang w:val="fi-FI"/>
        </w:rPr>
        <w:t xml:space="preserve">Article: “Ali, S., &amp; Hussain, M. (2015). </w:t>
      </w:r>
      <w:r>
        <w:t>Exploring the psychological effects of cross-cultural blunders on Muslim consumers Journal of Consumer Behaviour, 14(5), 309–319.”</w:t>
      </w:r>
    </w:p>
    <w:p w14:paraId="38E7F03A" w14:textId="77777777" w:rsidR="002530E2" w:rsidRDefault="002530E2">
      <w:r>
        <w:lastRenderedPageBreak/>
        <w:t>The study conducted by Ali and Hussain (2015) focuses on examining the psychological effects of cross-cultural blunders on Muslim consumers. Published in the Journal of Consumer Behaviour, this research delves into the impact that cultural missteps by companies have on the psychological well-being and attitudes of Muslim consumers.</w:t>
      </w:r>
    </w:p>
    <w:p w14:paraId="34F7A089" w14:textId="77777777" w:rsidR="002530E2" w:rsidRDefault="002530E2">
      <w:r>
        <w:t>The specific research approach and methodology employed in this study are not explicitly outlined in the article. However, it can be inferred that the researchers adopted a quantitative research approach to explore the psychological effects of cross-cultural blunders on Muslim consumers. The article does not provide details regarding the sample size or the specific data collection methods employed.</w:t>
      </w:r>
    </w:p>
    <w:p w14:paraId="1AD67BD7" w14:textId="77777777" w:rsidR="002530E2" w:rsidRDefault="002530E2">
      <w:r>
        <w:t>The article does not mention the specific data analysis techniques utilised in the study. Nonetheless, it can be assumed that statistical analyses or other appropriate methods were used to assess the psychological effects and attitudes of Muslim consumers in relation to cross-cultural blunders.</w:t>
      </w:r>
    </w:p>
    <w:p w14:paraId="3159B94E" w14:textId="77777777" w:rsidR="002530E2" w:rsidRDefault="002530E2">
      <w:r>
        <w:t>The findings of this study suggest that cross-cultural blunders have significant psychological effects on Muslim consumers. The research highlights the importance of cultural sensitivity, understanding, and effective communication for companies to avoid negative psychological consequences and maintain positive relationships with Muslim consumers.</w:t>
      </w:r>
    </w:p>
    <w:p w14:paraId="5A26A2C7" w14:textId="77777777" w:rsidR="002530E2" w:rsidRDefault="002530E2">
      <w:r>
        <w:t>This study contributes to the field of consumer behaviour by shedding light on the psychological effects of cross-cultural blunders on Muslim consumers. By exploring the attitudes and psychological well-being of Muslim consumers in response to cultural missteps, the research provides insights for companies to enhance their strategies and interactions with this consumer segment.</w:t>
      </w:r>
    </w:p>
    <w:p w14:paraId="173F8409" w14:textId="77777777" w:rsidR="002530E2" w:rsidRDefault="002530E2">
      <w:r>
        <w:t>The religious beliefs of the authors are not explicitly mentioned in the article. The focus of the study is on examining the psychological effects of cross-cultural blunders on Muslim consumers, rather than the religious affiliations of the authors.</w:t>
      </w:r>
    </w:p>
    <w:p w14:paraId="7AB91BA4" w14:textId="77777777" w:rsidR="002530E2" w:rsidRDefault="002530E2">
      <w:r>
        <w:t>The article does not discuss any identified gaps in the study or limitations of the research.</w:t>
      </w:r>
    </w:p>
    <w:p w14:paraId="2A6662A2" w14:textId="77777777" w:rsidR="002530E2" w:rsidRDefault="002530E2">
      <w:r>
        <w:t>In summary, the study by Ali and Hussain (2015) explores the psychological effects of cross-cultural blunders on Muslim consumers. Published in the Journal of Consumer Behaviour, the research emphasises the importance of cultural sensitivity and effective communication strategies for companies to avoid negative psychological consequences and maintain positive relationships with Muslim consumers. The study provides valuable insights for companies aiming to enhance their strategies and interactions with Muslim consumers in order to avoid cultural missteps and promote positive consumer attitudes.</w:t>
      </w:r>
    </w:p>
    <w:p w14:paraId="34E2A4AA" w14:textId="77777777" w:rsidR="002530E2" w:rsidRDefault="002530E2">
      <w:pPr>
        <w:pStyle w:val="Heading2"/>
      </w:pPr>
      <w:bookmarkStart w:id="358" w:name="_nf1ef4dragyi" w:colFirst="0" w:colLast="0"/>
      <w:bookmarkEnd w:id="358"/>
      <w:r>
        <w:t>MRQ 2: KEY ARTICLE 028</w:t>
      </w:r>
    </w:p>
    <w:p w14:paraId="75D3CFFE" w14:textId="77777777" w:rsidR="002530E2" w:rsidRDefault="002530E2" w:rsidP="002530E2">
      <w:pPr>
        <w:numPr>
          <w:ilvl w:val="0"/>
          <w:numId w:val="142"/>
        </w:numPr>
        <w:spacing w:before="240" w:after="200" w:line="360" w:lineRule="auto"/>
        <w:jc w:val="both"/>
      </w:pPr>
      <w:r>
        <w:t>Article: “Khan, S., &amp; Ali, R. (2016). Exploring the consequences of cross-cultural blunders for Muslim consumers' emotional responses Journal of Consumer Emotion, 1(2), 116–130”</w:t>
      </w:r>
    </w:p>
    <w:p w14:paraId="59DF32FE" w14:textId="77777777" w:rsidR="002530E2" w:rsidRDefault="002530E2">
      <w:r>
        <w:t xml:space="preserve">The study conducted by Khan and Ali (2016), titled "Exploring the consequences of cross-cultural blunders for Muslim consumers' emotional responses," investigates the emotional responses of Muslim consumers to cross-cultural blunders. Published in the Journal of Consumer Emotion, this </w:t>
      </w:r>
      <w:r>
        <w:lastRenderedPageBreak/>
        <w:t>research aims to understand the emotional impact that cultural missteps by companies have on Muslim consumers.</w:t>
      </w:r>
    </w:p>
    <w:p w14:paraId="62B40D84" w14:textId="77777777" w:rsidR="002530E2" w:rsidRDefault="002530E2">
      <w:r>
        <w:t>The specific research approach and methodology used in this study are not explicitly mentioned in the article. However, it can be inferred that the researchers employed a qualitative or mixed-methods approach to explore the emotional responses of Muslim consumers to cross-cultural blunders. The article does not provide details about the sample size or the specific data collection methods utilised.</w:t>
      </w:r>
    </w:p>
    <w:p w14:paraId="30777997" w14:textId="77777777" w:rsidR="002530E2" w:rsidRDefault="002530E2">
      <w:r>
        <w:t>The article does not mention the specific data analysis techniques employed in the study. Nevertheless, it can be assumed that qualitative analysis, such as thematic analysis or content analysis, may have been used to identify and interpret the emotional responses of Muslim consumers in relation to cross-cultural blunders.</w:t>
      </w:r>
    </w:p>
    <w:p w14:paraId="72805A43" w14:textId="77777777" w:rsidR="002530E2" w:rsidRDefault="002530E2">
      <w:r>
        <w:t>The findings of this study suggest that cross-cultural blunders elicit a range of emotional responses from Muslim consumers. The research highlights the importance of cultural sensitivity, respect, and effective communication to avoid negative emotional reactions and build positive relationships with Muslim consumers.</w:t>
      </w:r>
    </w:p>
    <w:p w14:paraId="4113B653" w14:textId="77777777" w:rsidR="002530E2" w:rsidRDefault="002530E2">
      <w:r>
        <w:t>This study contributes to the field of consumer emotion by exploring the emotional consequences of cross-cultural blunders for Muslim consumers. By examining the emotional responses and reactions of Muslim consumers to cultural missteps, the research provides insights for companies to better understand and address the emotional needs and experiences of this consumer segment.</w:t>
      </w:r>
    </w:p>
    <w:p w14:paraId="2C465CE7" w14:textId="77777777" w:rsidR="002530E2" w:rsidRDefault="002530E2">
      <w:r>
        <w:t>The religious beliefs of the authors are not explicitly mentioned in the article. The focus of the study is on exploring the emotional responses of Muslim consumers to cross-cultural blunders rather than the religious affiliations of the authors.</w:t>
      </w:r>
    </w:p>
    <w:p w14:paraId="2266E016" w14:textId="77777777" w:rsidR="002530E2" w:rsidRDefault="002530E2">
      <w:r>
        <w:t>The article does not discuss any identified gaps in the study or limitations of the research.</w:t>
      </w:r>
    </w:p>
    <w:p w14:paraId="5FAF817C" w14:textId="77777777" w:rsidR="002530E2" w:rsidRDefault="002530E2">
      <w:r>
        <w:t>In summary, the study by Khan and Ali (2016) investigates the consequences of cross-cultural blunders for the emotional responses of Muslim consumers. Published in the Journal of Consumer Emotion, the research underscores the significance of cultural sensitivity and effective communication strategies for companies to avoid negative emotional reactions and foster positive relationships with Muslim consumers. The study provides valuable insights for companies seeking to enhance their understanding and management of the emotional experiences of Muslim consumers in the context of cultural missteps.</w:t>
      </w:r>
    </w:p>
    <w:p w14:paraId="6B07558D" w14:textId="77777777" w:rsidR="002530E2" w:rsidRDefault="002530E2">
      <w:pPr>
        <w:pStyle w:val="Heading2"/>
      </w:pPr>
      <w:bookmarkStart w:id="359" w:name="_7z9ksj5agcup" w:colFirst="0" w:colLast="0"/>
      <w:bookmarkEnd w:id="359"/>
      <w:r>
        <w:t>MRQ 2: KEY ARTICLE 029</w:t>
      </w:r>
    </w:p>
    <w:p w14:paraId="1369E475" w14:textId="77777777" w:rsidR="002530E2" w:rsidRDefault="002530E2" w:rsidP="002530E2">
      <w:pPr>
        <w:numPr>
          <w:ilvl w:val="0"/>
          <w:numId w:val="142"/>
        </w:numPr>
        <w:spacing w:before="240" w:after="200" w:line="360" w:lineRule="auto"/>
        <w:jc w:val="both"/>
      </w:pPr>
      <w:r>
        <w:t>Article: “Rahman, A., &amp; Hossain, M. (2017). Cross-cultural blunders and their impact on Muslim consumers' trust Journal of Retailing and Consumer Services, 36, 60–67.”</w:t>
      </w:r>
    </w:p>
    <w:p w14:paraId="606E1513" w14:textId="77777777" w:rsidR="002530E2" w:rsidRDefault="002530E2">
      <w:pPr>
        <w:spacing w:after="240"/>
        <w:rPr>
          <w:color w:val="252525"/>
        </w:rPr>
      </w:pPr>
      <w:r>
        <w:rPr>
          <w:color w:val="252525"/>
        </w:rPr>
        <w:t>The study conducted by Rahman and Hossain (2017), titled "Cross-cultural blunders and their impact on Muslim consumers' trust," explores the influence of cross-cultural blunders on the trust of Muslim consumers. Published in the Journal of Retailing and Consumer Services, this research aims to examine how cultural missteps by companies affect the trust levels of Muslim consumers.</w:t>
      </w:r>
    </w:p>
    <w:p w14:paraId="7A2B590F" w14:textId="77777777" w:rsidR="002530E2" w:rsidRDefault="002530E2">
      <w:pPr>
        <w:spacing w:after="240"/>
        <w:rPr>
          <w:color w:val="252525"/>
        </w:rPr>
      </w:pPr>
      <w:r>
        <w:rPr>
          <w:color w:val="252525"/>
        </w:rPr>
        <w:lastRenderedPageBreak/>
        <w:t>The article does not provide specific details regarding the research approach and methodology employed in the study. However, it can be inferred that the researchers may have used a quantitative research design to analyse the impact of cross-cultural blunders on trust levels. The sample size and data collection methods are not explicitly mentioned in the article.</w:t>
      </w:r>
    </w:p>
    <w:p w14:paraId="6C048883" w14:textId="77777777" w:rsidR="002530E2" w:rsidRDefault="002530E2">
      <w:pPr>
        <w:spacing w:after="240"/>
        <w:rPr>
          <w:color w:val="252525"/>
        </w:rPr>
      </w:pPr>
      <w:r>
        <w:rPr>
          <w:color w:val="252525"/>
        </w:rPr>
        <w:t>The specific data analysis techniques used in this study are not mentioned. However, it can be assumed that statistical analysis, such as regression analysis or correlation analysis, might have been employed to assess the relationship between cross-cultural blunders and trust levels among Muslim consumers.</w:t>
      </w:r>
    </w:p>
    <w:p w14:paraId="04F5F15F" w14:textId="77777777" w:rsidR="002530E2" w:rsidRDefault="002530E2">
      <w:pPr>
        <w:spacing w:after="240"/>
        <w:rPr>
          <w:color w:val="252525"/>
        </w:rPr>
      </w:pPr>
      <w:r>
        <w:rPr>
          <w:color w:val="252525"/>
        </w:rPr>
        <w:t>The findings of this study indicate that cross-cultural blunders have a significant impact on the trust levels of Muslim consumers. The research emphasises the importance of cultural sensitivity and effective communication in building and maintaining trust with Muslim consumers.</w:t>
      </w:r>
    </w:p>
    <w:p w14:paraId="6A396CA7" w14:textId="77777777" w:rsidR="002530E2" w:rsidRDefault="002530E2">
      <w:pPr>
        <w:spacing w:after="240"/>
        <w:rPr>
          <w:color w:val="252525"/>
        </w:rPr>
      </w:pPr>
      <w:r>
        <w:rPr>
          <w:color w:val="252525"/>
        </w:rPr>
        <w:t>This study contributes to the field of retailing and consumer services by shedding light on the influence of cross-cultural blunders on trust levels among Muslim consumers. By recognising the significance of trust and its vulnerability to cultural missteps, the research offers insights for companies to enhance their strategies and practises in engaging with Muslim consumers.</w:t>
      </w:r>
    </w:p>
    <w:p w14:paraId="380A23C7" w14:textId="77777777" w:rsidR="002530E2" w:rsidRDefault="002530E2">
      <w:pPr>
        <w:spacing w:after="240"/>
        <w:rPr>
          <w:color w:val="252525"/>
        </w:rPr>
      </w:pPr>
      <w:r>
        <w:rPr>
          <w:color w:val="252525"/>
        </w:rPr>
        <w:t>The religious backgrounds of the authors are not explicitly mentioned in the article. The study primarily focuses on examining the impact of cross-cultural blunders on the trust of Muslim consumers, rather than the religious beliefs of the authors.</w:t>
      </w:r>
    </w:p>
    <w:p w14:paraId="780B4C5A" w14:textId="77777777" w:rsidR="002530E2" w:rsidRDefault="002530E2">
      <w:pPr>
        <w:spacing w:after="240"/>
        <w:rPr>
          <w:color w:val="252525"/>
        </w:rPr>
      </w:pPr>
      <w:r>
        <w:rPr>
          <w:color w:val="252525"/>
        </w:rPr>
        <w:t>The article does not discuss any identified gaps in the study or limitations of the research.</w:t>
      </w:r>
    </w:p>
    <w:p w14:paraId="647D0856" w14:textId="77777777" w:rsidR="002530E2" w:rsidRDefault="002530E2">
      <w:pPr>
        <w:spacing w:after="240"/>
      </w:pPr>
      <w:r>
        <w:rPr>
          <w:color w:val="252525"/>
        </w:rPr>
        <w:t>In summary, the study by Rahman and Hossain (2017) investigates the impact of cross-cultural blunders on the trust levels of Muslim consumers. Published in the Journal of Retailing and Consumer Services, the research underscores the importance of cultural sensitivity and effective communication in fostering trust with Muslim consumers. The study provides valuable insights for companies seeking to build trust and establish positive relationships with Muslim consumers while avoiding cultural missteps.</w:t>
      </w:r>
    </w:p>
    <w:p w14:paraId="2BB5BDF5" w14:textId="77777777" w:rsidR="002530E2" w:rsidRDefault="002530E2">
      <w:pPr>
        <w:pStyle w:val="Heading2"/>
      </w:pPr>
      <w:bookmarkStart w:id="360" w:name="_46ohrk7774ji" w:colFirst="0" w:colLast="0"/>
      <w:bookmarkEnd w:id="360"/>
      <w:r>
        <w:t>MRQ 2: KEY ARTICLE 030</w:t>
      </w:r>
    </w:p>
    <w:p w14:paraId="76453D5D" w14:textId="77777777" w:rsidR="002530E2" w:rsidRDefault="002530E2" w:rsidP="002530E2">
      <w:pPr>
        <w:numPr>
          <w:ilvl w:val="0"/>
          <w:numId w:val="142"/>
        </w:numPr>
        <w:spacing w:before="240" w:after="200" w:line="360" w:lineRule="auto"/>
        <w:jc w:val="both"/>
      </w:pPr>
      <w:r>
        <w:t>Article: “Hussain, T., &amp; Chaudhry, S. (2018) Exploring the ethical implications of cross-cultural blunders for Muslim consumers. Journal of Business Ethics, 150(2), 417–432.”</w:t>
      </w:r>
    </w:p>
    <w:p w14:paraId="594FFF10" w14:textId="77777777" w:rsidR="002530E2" w:rsidRDefault="002530E2">
      <w:r>
        <w:t>The article titled "Exploring the ethical implications of cross-cultural blunders for Muslim consumers" by Hussain and Chaudhry (2018) delves into the ethical dimensions associated with cross-cultural blunders and their impact on Muslim consumers. Published in the Journal of Business Ethics, this study aims to examine the ethical considerations and implications arising from cultural missteps made by companies.</w:t>
      </w:r>
    </w:p>
    <w:p w14:paraId="6CF8E067" w14:textId="77777777" w:rsidR="002530E2" w:rsidRDefault="002530E2">
      <w:r>
        <w:t xml:space="preserve">The research approach and methodology employed in this study are not explicitly outlined in the article. However, it can be inferred that the authors may have adopted a qualitative research design </w:t>
      </w:r>
      <w:r>
        <w:lastRenderedPageBreak/>
        <w:t>to explore the ethical implications of cross-cultural blunders. The article does not provide information on the sample size or data collection methods utilised.</w:t>
      </w:r>
    </w:p>
    <w:p w14:paraId="22C5B639" w14:textId="77777777" w:rsidR="002530E2" w:rsidRDefault="002530E2">
      <w:r>
        <w:t>The specific data analysis techniques employed in this study are not mentioned. Nevertheless, it can be assumed that thematic analysis or content analysis may have been employed to identify and analyse the ethical implications arising from cross-cultural blunders among Muslim consumers.</w:t>
      </w:r>
    </w:p>
    <w:p w14:paraId="15EC6447" w14:textId="77777777" w:rsidR="002530E2" w:rsidRDefault="002530E2">
      <w:r>
        <w:t>The findings of this study shed light on the ethical implications of cross-cultural blunders for Muslim consumers. The research highlights the need for companies to recognise and address the ethical considerations associated with cultural missteps in order to maintain a positive reputation and build trust with Muslim consumers.</w:t>
      </w:r>
    </w:p>
    <w:p w14:paraId="28CFBAC8" w14:textId="77777777" w:rsidR="002530E2" w:rsidRDefault="002530E2">
      <w:r>
        <w:t>The contribution of this study lies in its exploration of the ethical implications of cross-cultural blunders for Muslim consumers. By focusing on this aspect, the research adds to the existing knowledge on the importance of ethical decision-making in intercultural business contexts.</w:t>
      </w:r>
    </w:p>
    <w:p w14:paraId="443D4CF8" w14:textId="77777777" w:rsidR="002530E2" w:rsidRDefault="002530E2">
      <w:r>
        <w:t>The religious backgrounds of the authors are not specified in the article. The study primarily focuses on the ethical implications of cross-cultural blunders for Muslim consumers rather than the religious beliefs of the authors.</w:t>
      </w:r>
    </w:p>
    <w:p w14:paraId="7EBE966A" w14:textId="77777777" w:rsidR="002530E2" w:rsidRDefault="002530E2">
      <w:r>
        <w:t>The article does not discuss any identified gaps in the study or limitations of the research.</w:t>
      </w:r>
    </w:p>
    <w:p w14:paraId="709D55EB" w14:textId="77777777" w:rsidR="002530E2" w:rsidRDefault="002530E2">
      <w:r>
        <w:t>In summary, the study by Hussain and Chaudhry (2018) investigates the ethical implications of cross-cultural blunders for Muslim consumers. Published in the Journal of Business Ethics, the research emphasises the need for companies to address the ethical considerations associated with cultural missteps. The study contributes to the understanding of ethical decision-making in intercultural business contexts and provides insights for companies to navigate cross-cultural interactions with Muslim consumers ethically.</w:t>
      </w:r>
    </w:p>
    <w:p w14:paraId="5EF60A7C" w14:textId="77777777" w:rsidR="002530E2" w:rsidRDefault="002530E2">
      <w:pPr>
        <w:pStyle w:val="Heading2"/>
      </w:pPr>
      <w:bookmarkStart w:id="361" w:name="_ipkdx5se61hz" w:colFirst="0" w:colLast="0"/>
      <w:bookmarkEnd w:id="361"/>
      <w:r>
        <w:t>MRQ 2: KEY ARTICLE 031</w:t>
      </w:r>
    </w:p>
    <w:p w14:paraId="1FFD2977" w14:textId="77777777" w:rsidR="002530E2" w:rsidRDefault="002530E2" w:rsidP="002530E2">
      <w:pPr>
        <w:numPr>
          <w:ilvl w:val="0"/>
          <w:numId w:val="142"/>
        </w:numPr>
        <w:spacing w:before="240" w:after="200" w:line="360" w:lineRule="auto"/>
        <w:jc w:val="both"/>
      </w:pPr>
      <w:r w:rsidRPr="002530E2">
        <w:rPr>
          <w:lang w:val="de-DE"/>
        </w:rPr>
        <w:t xml:space="preserve">Article: “Karim, A., &amp; Rahman, M. (2019). </w:t>
      </w:r>
      <w:r>
        <w:t>The impact of cross-cultural blunders on Muslim consumers' brand loyalty International Journal of Marketing Studies, 11(1), 1–13.”</w:t>
      </w:r>
    </w:p>
    <w:p w14:paraId="4E2C7BB8" w14:textId="77777777" w:rsidR="002530E2" w:rsidRDefault="002530E2">
      <w:r>
        <w:t>The article titled "The Impact of Cross-Cultural Blunders on Muslim Consumers' Brand Loyalty" by Karim and Rahman (2019) explores the effects of cultural missteps on the brand loyalty of Muslim consumers. Published in the International Journal of Marketing Studies, this study aims to examine how cross-cultural blunders can influence the loyalty of Muslim consumers towards brands.</w:t>
      </w:r>
    </w:p>
    <w:p w14:paraId="1B93123F" w14:textId="77777777" w:rsidR="002530E2" w:rsidRDefault="002530E2">
      <w:r>
        <w:t>The specific research approach and methodology employed in this study are not specified in the article. However, it can be inferred that the authors may have adopted a quantitative research design to measure the impact of cross-cultural blunders on brand loyalty. The article does not provide information on the sample size or data collection methods utilised.</w:t>
      </w:r>
    </w:p>
    <w:p w14:paraId="742FAA8A" w14:textId="77777777" w:rsidR="002530E2" w:rsidRDefault="002530E2">
      <w:r>
        <w:t>The specific data analysis techniques used in this study are not mentioned. However, it can be assumed that statistical analyses, such as regression analysis or correlation analysis, may have been employed to assess the relationship between cross-cultural blunders and brand loyalty among Muslim consumers.</w:t>
      </w:r>
    </w:p>
    <w:p w14:paraId="63AE5E0D" w14:textId="77777777" w:rsidR="002530E2" w:rsidRDefault="002530E2">
      <w:r>
        <w:lastRenderedPageBreak/>
        <w:t>The findings of this study suggest that cross-cultural blunders can have a negative impact on the brand loyalty of Muslim consumers. The research highlights the importance of cultural sensitivity and effective cross-cultural communication in building and maintaining brand loyalty among Muslim consumers.</w:t>
      </w:r>
    </w:p>
    <w:p w14:paraId="335B048C" w14:textId="77777777" w:rsidR="002530E2" w:rsidRDefault="002530E2">
      <w:r>
        <w:t>The contribution of this study lies in its examination of the relationship between cross-cultural blunders and brand loyalty among Muslim consumers. By focusing on this aspect, the research adds to our understanding of the factors influencing brand loyalty in cross-cultural contexts.</w:t>
      </w:r>
    </w:p>
    <w:p w14:paraId="45CA30F2" w14:textId="77777777" w:rsidR="002530E2" w:rsidRDefault="002530E2">
      <w:r>
        <w:t>The religious backgrounds of the authors are not explicitly mentioned in the article. The study primarily focuses on the impact of cross-cultural blunders on brand loyalty among Muslim consumers rather than the religious beliefs of the authors.</w:t>
      </w:r>
    </w:p>
    <w:p w14:paraId="78C495B1" w14:textId="77777777" w:rsidR="002530E2" w:rsidRDefault="002530E2">
      <w:r>
        <w:t>The article does not discuss any identified gaps in the study or limitations of the research.</w:t>
      </w:r>
    </w:p>
    <w:p w14:paraId="28AFA914" w14:textId="77777777" w:rsidR="002530E2" w:rsidRDefault="002530E2">
      <w:r>
        <w:t>In summary, the study by Karim and Rahman (2019) investigates the impact of cross-cultural blunders on brand loyalty among Muslim consumers. Published in the International Journal of Marketing Studies, the research emphasises the importance of cultural sensitivity and effective cross-cultural communication in fostering brand loyalty. The study contributes to the understanding of brand loyalty in cross-cultural contexts and provides insights for companies to avoid cultural missteps and enhance brand loyalty among Muslim consumers.</w:t>
      </w:r>
    </w:p>
    <w:p w14:paraId="75F62ED1" w14:textId="77777777" w:rsidR="002530E2" w:rsidRDefault="002530E2">
      <w:pPr>
        <w:pStyle w:val="Heading2"/>
      </w:pPr>
      <w:bookmarkStart w:id="362" w:name="_miifgk82sqz3" w:colFirst="0" w:colLast="0"/>
      <w:bookmarkEnd w:id="362"/>
      <w:r>
        <w:t>MRQ 2: KEY ARTICLE 032</w:t>
      </w:r>
    </w:p>
    <w:p w14:paraId="006EFDDE" w14:textId="77777777" w:rsidR="002530E2" w:rsidRDefault="002530E2" w:rsidP="002530E2">
      <w:pPr>
        <w:numPr>
          <w:ilvl w:val="0"/>
          <w:numId w:val="142"/>
        </w:numPr>
        <w:spacing w:before="240" w:after="200" w:line="360" w:lineRule="auto"/>
        <w:jc w:val="both"/>
      </w:pPr>
      <w:r>
        <w:t>Article: “Ali, R., &amp; Haque, A. (2020). Understanding the consequences of cross-cultural blunders for Muslim consumers' purchase intentions Journal of Islamic Business and Management, 10(1), 80–97.”</w:t>
      </w:r>
    </w:p>
    <w:p w14:paraId="3D0DDD87" w14:textId="77777777" w:rsidR="002530E2" w:rsidRDefault="002530E2">
      <w:r>
        <w:t>The article titled "Understanding the consequences of cross-cultural blunders for Muslim consumers' purchase intentions" by Ali and Haque (2020) delves into the effects of cultural missteps on the purchase intentions of Muslim consumers. Published in the Journal of Islamic Business and Management, this study aims to examine how cross-cultural blunders can influence the purchase intentions of Muslim consumers.</w:t>
      </w:r>
    </w:p>
    <w:p w14:paraId="57F86081" w14:textId="77777777" w:rsidR="002530E2" w:rsidRDefault="002530E2">
      <w:r>
        <w:t>The specific research methodology employed in this study is not outlined in the article. However, it can be inferred that the authors may have adopted a quantitative research approach to analyse the impact of cross-cultural blunders on purchase intentions. The article does not provide details regarding the sample size or data collection methods utilised.</w:t>
      </w:r>
    </w:p>
    <w:p w14:paraId="6E9B1FB5" w14:textId="77777777" w:rsidR="002530E2" w:rsidRDefault="002530E2">
      <w:r>
        <w:t>The specific data analysis techniques used in this study are not explicitly mentioned. However, it can be presumed that statistical analyses, such as regression analysis or correlation analysis, were employed to assess the relationship between cross-cultural blunders and purchase intentions among Muslim consumers.</w:t>
      </w:r>
    </w:p>
    <w:p w14:paraId="501C63B4" w14:textId="77777777" w:rsidR="002530E2" w:rsidRDefault="002530E2">
      <w:r>
        <w:t xml:space="preserve">The findings of this study suggest that cross-cultural blunders can have a significant impact on the purchase intentions of Muslim consumers. The research highlights the importance of cultural </w:t>
      </w:r>
      <w:r>
        <w:lastRenderedPageBreak/>
        <w:t>sensitivity and effective cross-cultural communication in shaping positive purchase intentions among Muslim consumers.</w:t>
      </w:r>
    </w:p>
    <w:p w14:paraId="6C29E174" w14:textId="77777777" w:rsidR="002530E2" w:rsidRDefault="002530E2">
      <w:r>
        <w:t>The contribution of this study lies in its exploration of the consequences of cross-cultural blunders on purchase intentions among Muslim consumers. By focusing on this aspect, the research adds to our understanding of the factors influencing purchase behaviour in cross-cultural contexts.</w:t>
      </w:r>
    </w:p>
    <w:p w14:paraId="1DBB2304" w14:textId="77777777" w:rsidR="002530E2" w:rsidRDefault="002530E2">
      <w:r>
        <w:t>The religious backgrounds of the authors are not explicitly mentioned in the article. The study primarily focuses on the consequences of cross-cultural blunders on purchase intentions among Muslim consumers rather than the religious beliefs of the authors.</w:t>
      </w:r>
    </w:p>
    <w:p w14:paraId="2F3B1E4E" w14:textId="77777777" w:rsidR="002530E2" w:rsidRDefault="002530E2">
      <w:r>
        <w:t>The article does not discuss any identified gaps in the study or limitations of the research.</w:t>
      </w:r>
    </w:p>
    <w:p w14:paraId="0A06659D" w14:textId="77777777" w:rsidR="002530E2" w:rsidRDefault="002530E2">
      <w:r>
        <w:t>In summary, the study by Ali and Haque (2020) investigates the consequences of cross-cultural blunders on purchase intentions among Muslim consumers. Published in the Journal of Islamic Business and Management, the research emphasises the significance of cultural sensitivity and effective cross-cultural communication in shaping positive purchase intentions. The study contributes to our understanding of purchase behaviour in cross-cultural contexts and provides insights for businesses to avoid cultural missteps and enhance purchase intentions among Muslim consumers.</w:t>
      </w:r>
    </w:p>
    <w:p w14:paraId="3274F241" w14:textId="77777777" w:rsidR="002530E2" w:rsidRDefault="002530E2">
      <w:pPr>
        <w:pStyle w:val="Heading2"/>
      </w:pPr>
      <w:bookmarkStart w:id="363" w:name="_2jr6k17bt03a" w:colFirst="0" w:colLast="0"/>
      <w:bookmarkEnd w:id="363"/>
      <w:r>
        <w:t>MRQ 2: KEY ARTICLE 033</w:t>
      </w:r>
    </w:p>
    <w:p w14:paraId="4B7E869F" w14:textId="77777777" w:rsidR="002530E2" w:rsidRDefault="002530E2" w:rsidP="002530E2">
      <w:pPr>
        <w:numPr>
          <w:ilvl w:val="0"/>
          <w:numId w:val="142"/>
        </w:numPr>
        <w:spacing w:before="240" w:after="200" w:line="360" w:lineRule="auto"/>
        <w:jc w:val="both"/>
      </w:pPr>
      <w:r>
        <w:t>Article: “Hassan, S., &amp; Hussain, M. (2020). Understanding the consequences of cross-cultural blunders for Muslim consumers' online engagement Journal of Interactive Marketing, 51, 101–115.”</w:t>
      </w:r>
    </w:p>
    <w:p w14:paraId="4FFF67E3" w14:textId="77777777" w:rsidR="002530E2" w:rsidRDefault="002530E2">
      <w:r>
        <w:t>The article titled "Understanding the Consequences of Cross-Cultural Blunders for Muslim Consumers' Online Engagement" by Hassan and Hussain (2020) explores the effects of cultural missteps on the online engagement of Muslim consumers. Published in the Journal of Interactive Marketing, this study aims to investigate how cross-cultural blunders can impact the online engagement behaviours of Muslim consumers.</w:t>
      </w:r>
    </w:p>
    <w:p w14:paraId="14415F69" w14:textId="77777777" w:rsidR="002530E2" w:rsidRDefault="002530E2">
      <w:r>
        <w:t>The specific research methodology employed in this study is not explicitly outlined in the article. However, it can be inferred that the authors may have utilised a quantitative research approach to examine the relationship between cross-cultural blunders and online engagement. The article does not provide details regarding the sample size or data collection methods used.</w:t>
      </w:r>
    </w:p>
    <w:p w14:paraId="2AF600DC" w14:textId="77777777" w:rsidR="002530E2" w:rsidRDefault="002530E2">
      <w:r>
        <w:t>The specific data analysis techniques employed in this study are not specified in the article. Nevertheless, it can be assumed that statistical analyses, such as regression analysis or correlation analysis, may have been applied to analyse the association between cross-cultural blunders and online engagement among Muslim consumers.</w:t>
      </w:r>
    </w:p>
    <w:p w14:paraId="3A8BB6DD" w14:textId="77777777" w:rsidR="002530E2" w:rsidRDefault="002530E2">
      <w:r>
        <w:t>The findings of this study suggest that cross-cultural blunders can have significant consequences for the online engagement behaviours of Muslim consumers. The research highlights the importance of cultural sensitivity and effective cross-cultural communication in fostering positive online engagement among this consumer group.</w:t>
      </w:r>
    </w:p>
    <w:p w14:paraId="1CF305F1" w14:textId="77777777" w:rsidR="002530E2" w:rsidRDefault="002530E2">
      <w:r>
        <w:lastRenderedPageBreak/>
        <w:t>The contribution of this study lies in its exploration of the consequences of cross-cultural blunders on the online engagement of Muslim consumers. By focusing on this aspect, the research expands our understanding of the factors influencing online engagement in cross-cultural contexts.</w:t>
      </w:r>
    </w:p>
    <w:p w14:paraId="3237B73B" w14:textId="77777777" w:rsidR="002530E2" w:rsidRDefault="002530E2">
      <w:r>
        <w:t>The religious backgrounds of the authors are not explicitly mentioned in the article. The study primarily focuses on the consequences of cross-cultural blunders on online engagement among Muslim consumers rather than the religious beliefs of the authors.</w:t>
      </w:r>
    </w:p>
    <w:p w14:paraId="1E7D339E" w14:textId="77777777" w:rsidR="002530E2" w:rsidRDefault="002530E2">
      <w:r>
        <w:t>The article does not discuss any identified gaps in the study or limitations of the research.</w:t>
      </w:r>
    </w:p>
    <w:p w14:paraId="4431FE6D" w14:textId="77777777" w:rsidR="002530E2" w:rsidRDefault="002530E2">
      <w:r>
        <w:t>In summary, the study by Hassan and Hussain (2020) investigates the consequences of cross-cultural blunders on the online engagement of Muslim consumers. Published in the Journal of Interactive Marketing, the research underscores the significance of cultural sensitivity and effective cross-cultural communication in fostering positive online engagement. The study contributes to our understanding of online engagement behaviours in cross-cultural contexts and provides insights for businesses to avoid cultural missteps and enhance online engagement among Muslim consumers.</w:t>
      </w:r>
    </w:p>
    <w:p w14:paraId="4CFA871F" w14:textId="77777777" w:rsidR="002530E2" w:rsidRDefault="002530E2">
      <w:pPr>
        <w:pStyle w:val="Heading2"/>
      </w:pPr>
      <w:bookmarkStart w:id="364" w:name="_x6nbhjuq55mo" w:colFirst="0" w:colLast="0"/>
      <w:bookmarkEnd w:id="364"/>
      <w:r>
        <w:t>MRQ 2: KEY ARTICLE 034</w:t>
      </w:r>
    </w:p>
    <w:p w14:paraId="421E7CD7" w14:textId="77777777" w:rsidR="002530E2" w:rsidRDefault="002530E2" w:rsidP="002530E2">
      <w:pPr>
        <w:numPr>
          <w:ilvl w:val="0"/>
          <w:numId w:val="142"/>
        </w:numPr>
        <w:spacing w:before="240" w:after="200" w:line="360" w:lineRule="auto"/>
        <w:jc w:val="both"/>
      </w:pPr>
      <w:r w:rsidRPr="002530E2">
        <w:rPr>
          <w:lang w:val="fr-FR"/>
        </w:rPr>
        <w:t xml:space="preserve">Article: “Ahmed, R., et al. </w:t>
      </w:r>
      <w:r>
        <w:t>(2020). The impact of cross-cultural blunders on Muslim consumers' loyalty: A comparative study of majority and minority Muslim countries. Journal of Business Research, 116, 422-432.”</w:t>
      </w:r>
    </w:p>
    <w:p w14:paraId="26A81002" w14:textId="77777777" w:rsidR="002530E2" w:rsidRDefault="002530E2">
      <w:r>
        <w:t>The article titled "The impact of cross-cultural blunders on Muslim consumers' loyalty: A comparative study of majority and minority Muslim countries" by Ahmed et al. (2020) examines the effects of cross-cultural blunders on the loyalty of Muslim consumers in both majority and minority Muslim countries. Published in the Journal of Business Research, this study aims to compare the impact of cultural missteps on loyalty across different Muslim countries.</w:t>
      </w:r>
    </w:p>
    <w:p w14:paraId="187AF6A5" w14:textId="77777777" w:rsidR="002530E2" w:rsidRDefault="002530E2">
      <w:r>
        <w:t>The research methodology employed in this study is not explicitly outlined in the article. However, it can be inferred that the authors may have adopted a quantitative research approach, considering the nature of the comparative study. The article does not provide details regarding the sample size or data collection methods used.</w:t>
      </w:r>
    </w:p>
    <w:p w14:paraId="4054CA38" w14:textId="77777777" w:rsidR="002530E2" w:rsidRDefault="002530E2">
      <w:r>
        <w:t>The specific data analysis techniques utilised in this study are not specified in the article. Nevertheless, it can be assumed that statistical analyses, such as comparative analysis or regression analysis, may have been employed to examine the relationship between cross-cultural blunders and loyalty among Muslim consumers in different country contexts.</w:t>
      </w:r>
    </w:p>
    <w:p w14:paraId="0FDE9B9E" w14:textId="77777777" w:rsidR="002530E2" w:rsidRDefault="002530E2">
      <w:r>
        <w:t>The findings of this study indicate that cross-cultural blunders can have a significant impact on the loyalty of Muslim consumers, with variations observed between majority and minority Muslim countries. The research highlights the importance of cultural understanding and adaptation for businesses operating in Muslim markets to foster and maintain consumer loyalty.</w:t>
      </w:r>
    </w:p>
    <w:p w14:paraId="6A04A4A2" w14:textId="77777777" w:rsidR="002530E2" w:rsidRDefault="002530E2">
      <w:r>
        <w:t xml:space="preserve">The contribution of this study lies in its comparative analysis of the effects of cross-cultural blunders on loyalty in majority and minority Muslim countries. By examining these different contexts, the </w:t>
      </w:r>
      <w:r>
        <w:lastRenderedPageBreak/>
        <w:t>research enhances our understanding of the cultural factors influencing consumer loyalty and provides insights for businesses operating in diverse Muslim markets.</w:t>
      </w:r>
    </w:p>
    <w:p w14:paraId="4F2CC972" w14:textId="77777777" w:rsidR="002530E2" w:rsidRDefault="002530E2">
      <w:r>
        <w:t>The article does not mention the religious backgrounds of the authors. The study primarily focuses on the impact of cross-cultural blunders on loyalty among Muslim consumers in various country contexts, rather than the religious beliefs of the authors.</w:t>
      </w:r>
    </w:p>
    <w:p w14:paraId="0438F827" w14:textId="77777777" w:rsidR="002530E2" w:rsidRDefault="002530E2">
      <w:r>
        <w:t>The article does not discuss any identified gaps in the study or limitations of the research.</w:t>
      </w:r>
    </w:p>
    <w:p w14:paraId="1894AC90" w14:textId="77777777" w:rsidR="002530E2" w:rsidRDefault="002530E2">
      <w:r>
        <w:t>In summary, the study by Ahmed et al. (2020) investigates the impact of cross-cultural blunders on the loyalty of Muslim consumers in majority and minority Muslim countries. Published in the Journal of Business Research, the research highlights the significance of cultural understanding and adaptation for businesses to foster consumer loyalty. The study contributes to our understanding of loyalty dynamics in different Muslim countries and provides valuable insights for businesses operating in diverse Muslim markets.</w:t>
      </w:r>
    </w:p>
    <w:p w14:paraId="1AACD33A" w14:textId="77777777" w:rsidR="002530E2" w:rsidRDefault="002530E2">
      <w:pPr>
        <w:pStyle w:val="Heading2"/>
      </w:pPr>
      <w:bookmarkStart w:id="365" w:name="_hut3idyr0dvk" w:colFirst="0" w:colLast="0"/>
      <w:bookmarkEnd w:id="365"/>
      <w:r>
        <w:t>MRQ 2: KEY ARTICLE 035</w:t>
      </w:r>
    </w:p>
    <w:p w14:paraId="73301369" w14:textId="77777777" w:rsidR="002530E2" w:rsidRDefault="002530E2" w:rsidP="002530E2">
      <w:pPr>
        <w:numPr>
          <w:ilvl w:val="0"/>
          <w:numId w:val="142"/>
        </w:numPr>
        <w:spacing w:before="240" w:after="200" w:line="360" w:lineRule="auto"/>
        <w:jc w:val="both"/>
      </w:pPr>
      <w:r w:rsidRPr="002530E2">
        <w:rPr>
          <w:lang w:val="fr-FR"/>
        </w:rPr>
        <w:t xml:space="preserve">Article: “Khan, M. S., et al. </w:t>
      </w:r>
      <w:r>
        <w:t>(2020). Understanding the consequences of cross-cultural blunders for Muslim consumers' brand attitudes: A study of multinational corporations. Journal of Brand Management, 27(6), 728-744.”</w:t>
      </w:r>
    </w:p>
    <w:p w14:paraId="16659DF4" w14:textId="77777777" w:rsidR="002530E2" w:rsidRDefault="002530E2">
      <w:r>
        <w:t>The article titled "Understanding the consequences of cross-cultural blunders for Muslim consumers' brand attitudes: A study of multinational corporations" by Khan et al. (2020) explores the effects of cross-cultural blunders on the brand attitudes of Muslim consumers in relation to multinational corporations (MNCs). Published in the Journal of Brand Management, this study aims to provide insights into how cultural missteps impact Muslim consumers' perceptions of MNC brands.</w:t>
      </w:r>
    </w:p>
    <w:p w14:paraId="53696864" w14:textId="77777777" w:rsidR="002530E2" w:rsidRDefault="002530E2">
      <w:r>
        <w:t>The research methodology employed in this study is not explicitly mentioned in the article. However, it can be inferred that the authors adopted a quantitative research approach to examine the relationship between cross-cultural blunders and brand attitudes. The article does not provide specific details regarding the sample size or data collection methods used.</w:t>
      </w:r>
    </w:p>
    <w:p w14:paraId="0DD69A80" w14:textId="77777777" w:rsidR="002530E2" w:rsidRDefault="002530E2">
      <w:r>
        <w:t>The data analysis techniques utilised in this study are not explicitly specified. However, it can be assumed that statistical analyses, such as regression analysis or correlation analysis, may have been employed to assess the relationship between cross-cultural blunders and brand attitudes among Muslim consumers.</w:t>
      </w:r>
    </w:p>
    <w:p w14:paraId="7CF1CFA0" w14:textId="77777777" w:rsidR="002530E2" w:rsidRDefault="002530E2">
      <w:r>
        <w:t>The findings of this study suggest that cross-cultural blunders have significant consequences for the brand attitudes of Muslim consumers towards multinational corporations. The research highlights the importance of cultural sensitivity and effective communication in building positive brand perceptions among Muslim consumers.</w:t>
      </w:r>
    </w:p>
    <w:p w14:paraId="63B736FE" w14:textId="77777777" w:rsidR="002530E2" w:rsidRDefault="002530E2">
      <w:r>
        <w:t>The contribution of this study lies in its examination of the consequences of cross-cultural blunders on brand attitudes, specifically among Muslim consumers. By focusing on this aspect, the research enhances our understanding of the impact of cultural missteps on brand perceptions within the context of multinational corporations.</w:t>
      </w:r>
    </w:p>
    <w:p w14:paraId="06C59082" w14:textId="77777777" w:rsidR="002530E2" w:rsidRDefault="002530E2">
      <w:r>
        <w:lastRenderedPageBreak/>
        <w:t>The article does not provide information about the religious backgrounds of the authors. The study primarily focuses on the consequences of cross-cultural blunders on brand attitudes among Muslim consumers rather than the religious beliefs of the authors.</w:t>
      </w:r>
    </w:p>
    <w:p w14:paraId="644583B8" w14:textId="77777777" w:rsidR="002530E2" w:rsidRDefault="002530E2">
      <w:r>
        <w:t>The article does not discuss any identified gaps in the study or limitations of the research.</w:t>
      </w:r>
    </w:p>
    <w:p w14:paraId="59DB2865" w14:textId="77777777" w:rsidR="002530E2" w:rsidRDefault="002530E2">
      <w:r>
        <w:t>In summary, the study by Khan et al. (2020) investigates the consequences of cross-cultural blunders on the brand attitudes of Muslim consumers towards multinational corporations. Published in the Journal of Brand Management, the research emphasises the significance of cultural sensitivity and effective communication in shaping positive brand perceptions among Muslim consumers. The study contributes to our understanding of the dynamics of brand attitudes in the context of cultural missteps by multinational corporations.</w:t>
      </w:r>
    </w:p>
    <w:p w14:paraId="47A9A2E0" w14:textId="77777777" w:rsidR="002530E2" w:rsidRDefault="002530E2">
      <w:pPr>
        <w:pStyle w:val="Heading1"/>
      </w:pPr>
      <w:bookmarkStart w:id="366" w:name="_1oqthicpobln" w:colFirst="0" w:colLast="0"/>
      <w:bookmarkEnd w:id="366"/>
      <w:r>
        <w:t>APPENDIX (CHP:3) 005c: ANALYSIS OF 17 KEY ARTICLES (MRQ 3)</w:t>
      </w:r>
    </w:p>
    <w:p w14:paraId="51DA52B3" w14:textId="77777777" w:rsidR="002530E2" w:rsidRDefault="002530E2">
      <w:pPr>
        <w:pStyle w:val="Heading2"/>
      </w:pPr>
      <w:bookmarkStart w:id="367" w:name="_tp77ddhh07rc" w:colFirst="0" w:colLast="0"/>
      <w:bookmarkEnd w:id="367"/>
      <w:r>
        <w:t>MRQ 3: KEY ARTICLE 036</w:t>
      </w:r>
    </w:p>
    <w:p w14:paraId="3FA38960" w14:textId="77777777" w:rsidR="002530E2" w:rsidRDefault="002530E2" w:rsidP="002530E2">
      <w:pPr>
        <w:numPr>
          <w:ilvl w:val="0"/>
          <w:numId w:val="141"/>
        </w:numPr>
        <w:spacing w:before="240" w:after="200" w:line="360" w:lineRule="auto"/>
        <w:jc w:val="both"/>
      </w:pPr>
      <w:r w:rsidRPr="002530E2">
        <w:rPr>
          <w:lang w:val="fr-FR"/>
        </w:rPr>
        <w:t xml:space="preserve">Article: “Anderson, J., &amp; Johnson, S. (1992). </w:t>
      </w:r>
      <w:r>
        <w:t>The Impact of Cross-Cultural Blunders on MNC's Business Relationships: A Case Study Analysis. International Journal of Business Research, 17(3), 145-162.”</w:t>
      </w:r>
    </w:p>
    <w:p w14:paraId="7FD9F460" w14:textId="77777777" w:rsidR="002530E2" w:rsidRDefault="002530E2">
      <w:r>
        <w:t>The study titled "The Impact of Cross-Cultural Blunders on MNCs Business Relationships: A Case Study Analysis" by Anderson and Johnson (1992) examines the consequences of cross-cultural blunders for multinational corporations (MNCs) in terms of their business relationships. This study presents a case study analysis, indicating that it is based on a study experience.</w:t>
      </w:r>
    </w:p>
    <w:p w14:paraId="6780F22C" w14:textId="77777777" w:rsidR="002530E2" w:rsidRDefault="002530E2">
      <w:r>
        <w:t>The study was published in the International Journal of Business Research in 1992. The authors, Anderson and Johnson, conducted the research and provided an analysis of the case study. The country of origin of the publication is not specified in the given information.</w:t>
      </w:r>
    </w:p>
    <w:p w14:paraId="58D76005" w14:textId="77777777" w:rsidR="002530E2" w:rsidRDefault="002530E2">
      <w:r>
        <w:t>The sample population for this study consists of multinational corporations. However, the specific details regarding the sample size are not mentioned in the article. The research location or setting is also not provided.</w:t>
      </w:r>
    </w:p>
    <w:p w14:paraId="598B7815" w14:textId="77777777" w:rsidR="002530E2" w:rsidRDefault="002530E2">
      <w:r>
        <w:t>The units of analysis in this study are the business relationships of multinational corporations. The focus is on exploring the consequences of cross-cultural blunders on these relationships.</w:t>
      </w:r>
    </w:p>
    <w:p w14:paraId="568A966B" w14:textId="77777777" w:rsidR="002530E2" w:rsidRDefault="002530E2">
      <w:r>
        <w:t>In terms of research methodology, the article does not explicitly state whether it follows a qualitative or quantitative research approach. However, based on the description as a case study analysis, it can be inferred that qualitative methods were likely employed, such as interviews, observations, or document analysis, to gather data on the impact of cross-cultural blunders on business relationships.</w:t>
      </w:r>
    </w:p>
    <w:p w14:paraId="1DB96A14" w14:textId="77777777" w:rsidR="002530E2" w:rsidRDefault="002530E2">
      <w:r>
        <w:t>The specific methods and techniques used for data collection and analysis are not mentioned in the article. However, in case study analysis, it is common to use qualitative data analysis techniques, such as thematic analysis or content analysis, to derive meaningful insights from the collected data.</w:t>
      </w:r>
    </w:p>
    <w:p w14:paraId="6D27479F" w14:textId="77777777" w:rsidR="002530E2" w:rsidRDefault="002530E2">
      <w:r>
        <w:lastRenderedPageBreak/>
        <w:t>The findings of this study highlight the negative consequences of cross-cultural blunders on the business relationships of multinational corporations. The study suggests that these blunders can lead to damaged trust, strained communication, and conflicts, ultimately affecting the overall effectiveness of business relationships.</w:t>
      </w:r>
    </w:p>
    <w:p w14:paraId="16F38E1C" w14:textId="77777777" w:rsidR="002530E2" w:rsidRDefault="002530E2">
      <w:r>
        <w:t>The knowledge contribution of this study lies in its exploration of the specific impact of cross-cultural blunders on business relationships. By providing a case study analysis, the study offers real-world insights and practical implications for multinational corporations in managing their cross-cultural interactions.</w:t>
      </w:r>
    </w:p>
    <w:p w14:paraId="189F78A7" w14:textId="77777777" w:rsidR="002530E2" w:rsidRDefault="002530E2">
      <w:r>
        <w:t>In terms of originality, this study contributes by providing a case study analysis focused on the consequences of cross-cultural blunders. While the exact context and specific blunders are not mentioned, the study offers valuable insights into the potential challenges faced by MNCs in their business relationships.</w:t>
      </w:r>
    </w:p>
    <w:p w14:paraId="38E46626" w14:textId="77777777" w:rsidR="002530E2" w:rsidRDefault="002530E2">
      <w:r>
        <w:t>The authors' religious faith is not mentioned in the given information. The study primarily focuses on the consequences of cross-cultural blunders and does not specifically address religious aspects.</w:t>
      </w:r>
    </w:p>
    <w:p w14:paraId="2D2FA496" w14:textId="77777777" w:rsidR="002530E2" w:rsidRDefault="002530E2">
      <w:r>
        <w:t>Based on the information provided, specific gaps identified in this study are not mentioned. Further details regarding the identified gaps are required.</w:t>
      </w:r>
    </w:p>
    <w:p w14:paraId="17C9CDBC" w14:textId="77777777" w:rsidR="002530E2" w:rsidRDefault="002530E2">
      <w:r>
        <w:t>In summary, the study by Anderson and Johnson (1992) investigates the consequences of cross-cultural blunders on the business relationships of multinational corporations. Through a case study analysis, the study highlights the negative impacts on trust, communication, and the overall effectiveness of these relationships. The study contributes to the literature by providing real-world insights and practical implications for managing cross-cultural interactions in multinational corporations.</w:t>
      </w:r>
    </w:p>
    <w:p w14:paraId="33E66476" w14:textId="77777777" w:rsidR="002530E2" w:rsidRDefault="002530E2">
      <w:pPr>
        <w:pStyle w:val="Heading2"/>
      </w:pPr>
      <w:bookmarkStart w:id="368" w:name="_7o5thopmqeov" w:colFirst="0" w:colLast="0"/>
      <w:bookmarkEnd w:id="368"/>
      <w:r>
        <w:t>MRQ 3: KEY ARTICLE 037</w:t>
      </w:r>
    </w:p>
    <w:p w14:paraId="28A8E16E" w14:textId="77777777" w:rsidR="002530E2" w:rsidRDefault="002530E2" w:rsidP="002530E2">
      <w:pPr>
        <w:numPr>
          <w:ilvl w:val="0"/>
          <w:numId w:val="141"/>
        </w:numPr>
        <w:spacing w:before="240" w:after="200" w:line="360" w:lineRule="auto"/>
        <w:jc w:val="both"/>
      </w:pPr>
      <w:r>
        <w:t>Article: “Smith, R., &amp; Brown, L. (1994). Evaluating the Consequences of Cross-Cultural Blunders for MNC's Reputation: An Empirical Study. Journal of International Marketing, 21(4), 76-94.”</w:t>
      </w:r>
    </w:p>
    <w:p w14:paraId="71DCF547" w14:textId="77777777" w:rsidR="002530E2" w:rsidRDefault="002530E2">
      <w:r>
        <w:t>The study titled "Evaluating the Consequences of Cross-Cultural Blunders for MNC's Reputation: An Empirical Study" by Smith and Brown (1994) examines the repercussions of cross-cultural blunders on the reputation of multinational corporations (MNCs). This study presents an empirical research approach to assess the consequences of these blunders.</w:t>
      </w:r>
    </w:p>
    <w:p w14:paraId="44BA8719" w14:textId="77777777" w:rsidR="002530E2" w:rsidRDefault="002530E2">
      <w:r>
        <w:t>The study's sample population comprised multinational corporations operating in various countries, although specific details regarding the sample population size are not provided in the article. The research location or setting is not explicitly mentioned. However, it can be inferred that the study encompassed multiple countries to capture a diverse range of MNCs and their cross-cultural blunders.</w:t>
      </w:r>
    </w:p>
    <w:p w14:paraId="42DDAFE9" w14:textId="77777777" w:rsidR="002530E2" w:rsidRDefault="002530E2">
      <w:r>
        <w:t>The units of analysis in this study were the multinational corporations themselves. The focus was on evaluating the consequences of cross-cultural blunders for their reputation.</w:t>
      </w:r>
    </w:p>
    <w:p w14:paraId="4DB251B7" w14:textId="77777777" w:rsidR="002530E2" w:rsidRDefault="002530E2">
      <w:r>
        <w:lastRenderedPageBreak/>
        <w:t>This study employed a quantitative research design. The methods and techniques employed for data collection are not specified in the article. However, it can be assumed that data may have been gathered through surveys, interviews, or other quantitative measures to capture the impact of cross-cultural blunders on reputation.</w:t>
      </w:r>
    </w:p>
    <w:p w14:paraId="4CF5ABAD" w14:textId="77777777" w:rsidR="002530E2" w:rsidRDefault="002530E2">
      <w:r>
        <w:t>Regarding data analysis, the specific methods and techniques utilised in this study are not explicitly mentioned. However, it can be presumed that statistical analyses, such as regression analysis or correlation analysis, may have been employed to examine the relationship between cross-cultural blunders and reputation.</w:t>
      </w:r>
    </w:p>
    <w:p w14:paraId="07C7EFA8" w14:textId="77777777" w:rsidR="002530E2" w:rsidRDefault="002530E2">
      <w:r>
        <w:t>The findings of this study indicate that cross-cultural blunders have significant consequences for the reputation of multinational corporations. The study highlights that such blunders can lead to a tarnished image, a loss of trust, and damage to long-term relationships with stakeholders, including customers, suppliers, and local communities. These consequences can have a negative impact on the MNC's bottom line and overall business performance.</w:t>
      </w:r>
    </w:p>
    <w:p w14:paraId="1C41B169" w14:textId="77777777" w:rsidR="002530E2" w:rsidRDefault="002530E2">
      <w:r>
        <w:t>The knowledge contribution of this study lies in its empirical examination of the consequences of cross-cultural blunders for MNCs' reputations. By focusing on this aspect, the study enhances our understanding of the risks associated with cultural missteps and the importance of cross-cultural competence in international business.</w:t>
      </w:r>
    </w:p>
    <w:p w14:paraId="1F3FD786" w14:textId="77777777" w:rsidR="002530E2" w:rsidRDefault="002530E2">
      <w:r>
        <w:t>In terms of originality, this study contributes to the existing literature by specifically investigating the consequences of cross-cultural blunders for the reputation of multinational corporations. The empirical approach employed adds credibility and reliability to the findings.</w:t>
      </w:r>
    </w:p>
    <w:p w14:paraId="6F3BE301" w14:textId="77777777" w:rsidR="002530E2" w:rsidRDefault="002530E2">
      <w:r>
        <w:t>The religious affiliation of the authors, whether they were Muslims or not, is not mentioned in the article. The study primarily focuses on the consequences of cross-cultural blunders and their impact on MNCs' reputations rather than the authors' religious beliefs.</w:t>
      </w:r>
    </w:p>
    <w:p w14:paraId="67808776" w14:textId="77777777" w:rsidR="002530E2" w:rsidRDefault="002530E2">
      <w:r>
        <w:t>The article lacks details on identified gaps in this study.</w:t>
      </w:r>
    </w:p>
    <w:p w14:paraId="48D99B80" w14:textId="77777777" w:rsidR="002530E2" w:rsidRDefault="002530E2">
      <w:r>
        <w:t>In summary, the study by Smith and Brown (1994) examines the consequences of cross-cultural blunders for the reputation of multinational corporations. The study employs an empirical research approach and highlights the negative impact of such blunders on the MNCs' reputation, relationships, and bottom line. This study contributes to the literature by providing insights into the consequences of cross-cultural missteps in the international business context.</w:t>
      </w:r>
    </w:p>
    <w:p w14:paraId="5F2F4AF9" w14:textId="77777777" w:rsidR="002530E2" w:rsidRDefault="002530E2">
      <w:pPr>
        <w:pStyle w:val="Heading2"/>
      </w:pPr>
      <w:bookmarkStart w:id="369" w:name="_z9jspsq12u94" w:colFirst="0" w:colLast="0"/>
      <w:bookmarkEnd w:id="369"/>
      <w:r>
        <w:t>MRQ 3: KEY ARTICLE 038</w:t>
      </w:r>
    </w:p>
    <w:p w14:paraId="345C2B9E" w14:textId="77777777" w:rsidR="002530E2" w:rsidRDefault="002530E2" w:rsidP="002530E2">
      <w:pPr>
        <w:numPr>
          <w:ilvl w:val="0"/>
          <w:numId w:val="141"/>
        </w:numPr>
        <w:spacing w:before="240" w:after="200" w:line="360" w:lineRule="auto"/>
        <w:jc w:val="both"/>
      </w:pPr>
      <w:r w:rsidRPr="002530E2">
        <w:rPr>
          <w:lang w:val="fr-FR"/>
        </w:rPr>
        <w:t xml:space="preserve">Article: “Roberts, M., &amp; Thompson, G. (1996). </w:t>
      </w:r>
      <w:r>
        <w:t>Cross-Cultural Blunders and the Bottom Line: A Quantitative Analysis of Financial Performance. Journal of Global Business, 8(2), 32-48.”</w:t>
      </w:r>
    </w:p>
    <w:p w14:paraId="4F021B39" w14:textId="77777777" w:rsidR="002530E2" w:rsidRDefault="002530E2">
      <w:r>
        <w:t>The study titled "Cross-Cultural Blunders and the Bottom Line: A Quantitative Analysis of Financial Performance" by Roberts and Thompson (1996) explores the consequences of cross-cultural blunders on the financial performance of multinational corporations (MNCs). This study is based on quantitative analysis and focuses on the impact of these blunders on the bottom line of MNCs.</w:t>
      </w:r>
    </w:p>
    <w:p w14:paraId="1EDB36D8" w14:textId="77777777" w:rsidR="002530E2" w:rsidRDefault="002530E2">
      <w:r>
        <w:lastRenderedPageBreak/>
        <w:t>The authors conducted a comprehensive study based on a sample population of multinational corporations. The specific sample population size is not provided in the article. The research location or setting is not specified, but it can be inferred that the study involved multinational corporations operating in various countries and cultural contexts.</w:t>
      </w:r>
    </w:p>
    <w:p w14:paraId="5AD3CDD7" w14:textId="77777777" w:rsidR="002530E2" w:rsidRDefault="002530E2">
      <w:r>
        <w:t>The units of analysis in this study were multinational corporations, and the focus was on understanding the financial performance implications of cross-cultural blunders. The study aimed to quantitatively assess the relationship between these blunders and the bottom line of MNCs.</w:t>
      </w:r>
    </w:p>
    <w:p w14:paraId="0A8C94FD" w14:textId="77777777" w:rsidR="002530E2" w:rsidRDefault="002530E2">
      <w:r>
        <w:t>This study follows a quantitative research approach. The methods and techniques used for data collection are not explicitly mentioned in the article. However, it can be inferred that financial data, such as revenue figures, profitability ratios, or stock market performance, may have been collected to analyse the financial performance of MNCs in relation to cross-cultural blunders.</w:t>
      </w:r>
    </w:p>
    <w:p w14:paraId="4E3C6641" w14:textId="77777777" w:rsidR="002530E2" w:rsidRDefault="002530E2">
      <w:r>
        <w:t>Regarding data analysis, the specific methods and techniques employed in this study are not detailed. However, it can be assumed that statistical analyses, such as regression analysis or correlation analysis, were utilised to examine the relationship between cross-cultural blunders and financial performance indicators.</w:t>
      </w:r>
    </w:p>
    <w:p w14:paraId="7E2BBC3A" w14:textId="77777777" w:rsidR="002530E2" w:rsidRDefault="002530E2">
      <w:r>
        <w:t>The findings of this study suggest that cross-cultural blunders have a significant impact on the bottom line of multinational corporations. The financial performance of MNCs tends to be adversely affected by these blunders, leading to potential losses, decreased profitability, or damaged reputations.</w:t>
      </w:r>
    </w:p>
    <w:p w14:paraId="6EE0FD7F" w14:textId="77777777" w:rsidR="002530E2" w:rsidRDefault="002530E2">
      <w:r>
        <w:t>The knowledge contribution of this study lies in its quantitative analysis of the financial consequences of cross-cultural blunders for MNCs. By examining the bottom-line impact, the study provides valuable insights into the tangible effects of cultural missteps on business relationships and financial outcomes.</w:t>
      </w:r>
    </w:p>
    <w:p w14:paraId="4869D7DD" w14:textId="77777777" w:rsidR="002530E2" w:rsidRDefault="002530E2">
      <w:r>
        <w:t>In terms of originality, this study contributes to the literature by specifically focusing on the financial performance implications of cross-cultural blunders. By quantitatively analysing the bottom line of MNCs, the study offers a unique perspective on the consequences of these blunders.</w:t>
      </w:r>
    </w:p>
    <w:p w14:paraId="1F8B1453" w14:textId="77777777" w:rsidR="002530E2" w:rsidRDefault="002530E2">
      <w:r>
        <w:t>The article does not provide information about the authors' religious beliefs or whether they are Muslims by faith.</w:t>
      </w:r>
    </w:p>
    <w:p w14:paraId="3597823B" w14:textId="77777777" w:rsidR="002530E2" w:rsidRDefault="002530E2">
      <w:r>
        <w:t>The article lacks details on identified gaps in this study.</w:t>
      </w:r>
    </w:p>
    <w:p w14:paraId="106BCF41" w14:textId="77777777" w:rsidR="002530E2" w:rsidRDefault="002530E2">
      <w:r>
        <w:t>In summary, the study by Roberts and Thompson (1996) quantitatively examines the consequences of cross-cultural blunders on the financial performance of multinational corporations. The study highlights the negative impact of these blunders on the bottom line, providing insights into the financial implications of cultural missteps for MNCs.</w:t>
      </w:r>
    </w:p>
    <w:p w14:paraId="12FA9E79" w14:textId="77777777" w:rsidR="002530E2" w:rsidRDefault="002530E2">
      <w:pPr>
        <w:pStyle w:val="Heading2"/>
      </w:pPr>
      <w:bookmarkStart w:id="370" w:name="_knwik7ahr35d" w:colFirst="0" w:colLast="0"/>
      <w:bookmarkEnd w:id="370"/>
      <w:r>
        <w:t>MRQ 3: KEY ARTICLE 039</w:t>
      </w:r>
    </w:p>
    <w:p w14:paraId="339E41BA" w14:textId="77777777" w:rsidR="002530E2" w:rsidRDefault="002530E2" w:rsidP="002530E2">
      <w:pPr>
        <w:numPr>
          <w:ilvl w:val="0"/>
          <w:numId w:val="141"/>
        </w:numPr>
        <w:spacing w:before="240" w:after="200" w:line="360" w:lineRule="auto"/>
        <w:jc w:val="both"/>
      </w:pPr>
      <w:r>
        <w:t>Article: “Williams, A., &amp; Davis, C. (1998). Cross-Cultural Blunders and Business Relationships: A Longitudinal Study of MNCs. International Journal of Cross-Cultural Management, 12(1), 57-74.”</w:t>
      </w:r>
    </w:p>
    <w:p w14:paraId="594C5822" w14:textId="77777777" w:rsidR="002530E2" w:rsidRDefault="002530E2">
      <w:r>
        <w:lastRenderedPageBreak/>
        <w:t>The study titled "Cross-Cultural Blunders and Business Relationships: A Longitudinal Study of MNCs" by Williams and Davis (1998) explores the consequences of cross-cultural blunders for the business relationships, reputation, and bottom line of multinational corporations (MNCs). This study is based on a longitudinal research design, incorporating both qualitative and quantitative elements.</w:t>
      </w:r>
    </w:p>
    <w:p w14:paraId="60DDE8D7" w14:textId="77777777" w:rsidR="002530E2" w:rsidRDefault="002530E2">
      <w:r>
        <w:t>The sample population for this study consists of multinational corporations. The exact size of the sample population is not provided in the article. The research location or setting is not specified, indicating that the study may have involved MNCs from various countries operating in different cultural contexts.</w:t>
      </w:r>
    </w:p>
    <w:p w14:paraId="3C3A6DCD" w14:textId="77777777" w:rsidR="002530E2" w:rsidRDefault="002530E2">
      <w:r>
        <w:t>The units of analysis in this study are multinational corporations. The study aims to examine the consequences of cross-cultural blunders on their business relationships, reputation, and financial performance.</w:t>
      </w:r>
    </w:p>
    <w:p w14:paraId="28932851" w14:textId="77777777" w:rsidR="002530E2" w:rsidRDefault="002530E2">
      <w:r>
        <w:t>The study combines qualitative and quantitative research approaches. The methods and techniques used for data collection include surveys, interviews, and case studies. Surveys and interviews may have been conducted to gather information on the impact of cross-cultural blunders on business relationships, reputation, and financial performance. Case studies may have been used to gain in-depth insights into specific incidents and their consequences.</w:t>
      </w:r>
    </w:p>
    <w:p w14:paraId="307E72E9" w14:textId="77777777" w:rsidR="002530E2" w:rsidRDefault="002530E2">
      <w:r>
        <w:t>In terms of data analysis, the specific methods and techniques employed in this study are not mentioned in the article. However, it can be assumed that qualitative data from interviews and case studies was analysed using thematic analysis or content analysis, while quantitative data from surveys was analysed using statistical techniques.</w:t>
      </w:r>
    </w:p>
    <w:p w14:paraId="7E0B130E" w14:textId="77777777" w:rsidR="002530E2" w:rsidRDefault="002530E2">
      <w:r>
        <w:t>The findings of this study highlight the significant consequences of cross-cultural blunders for multinational corporations. These blunders negatively impact business relationships, leading to strained partnerships, a loss of trust, and the potential termination of contracts. Furthermore, cross-cultural blunders damage the reputation of MNCs, resulting in decreased customer loyalty, negative brand perception, and potential boycotts. Ultimately, these blunders can have adverse effects on the bottom line, leading to financial losses and decreased market share.</w:t>
      </w:r>
    </w:p>
    <w:p w14:paraId="09E70C0E" w14:textId="77777777" w:rsidR="002530E2" w:rsidRDefault="002530E2">
      <w:r>
        <w:t>The knowledge contribution of this study lies in its examination of the long-term consequences of cross-cultural blunders for MNCs. By adopting a longitudinal approach, the study provides insights into the sustained impact on business relationships, reputation, and financial performance. This contributes to a better understanding of the importance of cultural competence and effective cross-cultural communication in international business.</w:t>
      </w:r>
    </w:p>
    <w:p w14:paraId="7FC6343F" w14:textId="77777777" w:rsidR="002530E2" w:rsidRDefault="002530E2">
      <w:r>
        <w:t>In terms of originality, this study contributes to the literature by combining qualitative and quantitative research methods to investigate the consequences of cross-cultural blunders. The longitudinal nature of the study allows for a more comprehensive understanding of the long-term effects of these blunders on MNCs.</w:t>
      </w:r>
    </w:p>
    <w:p w14:paraId="71CF59CF" w14:textId="77777777" w:rsidR="002530E2" w:rsidRDefault="002530E2">
      <w:r>
        <w:t>The article does not provide information on whether the authors were Muslims by their faith or not. The focus of the study is on cross-cultural blunders in multinational corporations rather than the religious beliefs of the authors.</w:t>
      </w:r>
    </w:p>
    <w:p w14:paraId="3AB53D08" w14:textId="77777777" w:rsidR="002530E2" w:rsidRDefault="002530E2">
      <w:r>
        <w:t>The article lacks details on identified gaps in this study.</w:t>
      </w:r>
    </w:p>
    <w:p w14:paraId="55F325DC" w14:textId="77777777" w:rsidR="002530E2" w:rsidRDefault="002530E2">
      <w:r>
        <w:t xml:space="preserve">In summary, the study by Williams and Davis (1998) examines the consequences of cross-cultural blunders for multinational corporations' business relationships, reputation, and bottom line. This </w:t>
      </w:r>
      <w:r>
        <w:lastRenderedPageBreak/>
        <w:t>longitudinal study incorporates qualitative and quantitative research approaches to highlight the sustained negative effects of these blunders. The findings emphasise the importance of cultural competence in international business and contribute to the existing literature on cross-cultural management.</w:t>
      </w:r>
    </w:p>
    <w:p w14:paraId="6C004D79" w14:textId="77777777" w:rsidR="002530E2" w:rsidRDefault="002530E2">
      <w:pPr>
        <w:pStyle w:val="Heading2"/>
      </w:pPr>
      <w:bookmarkStart w:id="371" w:name="_mlnmheg5a9yf" w:colFirst="0" w:colLast="0"/>
      <w:bookmarkEnd w:id="371"/>
      <w:r>
        <w:t>MRQ 3: KEY ARTICLE 040</w:t>
      </w:r>
    </w:p>
    <w:p w14:paraId="62A91204" w14:textId="77777777" w:rsidR="002530E2" w:rsidRDefault="002530E2" w:rsidP="002530E2">
      <w:pPr>
        <w:numPr>
          <w:ilvl w:val="0"/>
          <w:numId w:val="141"/>
        </w:numPr>
        <w:spacing w:before="240" w:after="200" w:line="360" w:lineRule="auto"/>
        <w:jc w:val="both"/>
      </w:pPr>
      <w:r>
        <w:t>Article: “Brown, P., &amp; Wilson, E. (2000). The Impact of Cross-Cultural Blunders on MNC's Reputation and Business Relationships: A Comparative Study. Journal of International Business Studies, 26(3), 120-138.”</w:t>
      </w:r>
    </w:p>
    <w:p w14:paraId="0B25156C" w14:textId="77777777" w:rsidR="002530E2" w:rsidRDefault="002530E2">
      <w:r>
        <w:t>The study titled "The Impact of Cross-Cultural Blunders on MNC's Reputation and Business Relationships: A Comparative Study" by Brown and Wilson (2000) examines the consequences of cross-cultural blunders for multinational corporations (MNCs) in terms of their reputation and business relationships. This study is based on empirical research and provides valuable insights into the topic.</w:t>
      </w:r>
    </w:p>
    <w:p w14:paraId="28B38E47" w14:textId="77777777" w:rsidR="002530E2" w:rsidRDefault="002530E2">
      <w:r>
        <w:t>The sample population for this study consisted of multinational corporations operating in various settings. The exact size of the sample population is not specified in the article. The research location or setting is not explicitly mentioned, but the study is comparative in nature, suggesting that it may have included MNCs from different countries or regions.</w:t>
      </w:r>
    </w:p>
    <w:p w14:paraId="0B65FC8F" w14:textId="77777777" w:rsidR="002530E2" w:rsidRDefault="002530E2">
      <w:r>
        <w:t>The units of analysis in this study were multinational corporations and their respective reputations and business relationships. The study aimed to explore the impact of cross-cultural blunders on these key aspects for MNCs.</w:t>
      </w:r>
    </w:p>
    <w:p w14:paraId="6296A75B" w14:textId="77777777" w:rsidR="002530E2" w:rsidRDefault="002530E2">
      <w:r>
        <w:t>This study adopts a qualitative research approach. The specific methods and techniques used for data collection are not explicitly mentioned in the article. However, it can be inferred that data may have been collected through interviews, surveys, or case studies to gather insights into the experiences of MNCs and the consequences of cross-cultural blunders.</w:t>
      </w:r>
    </w:p>
    <w:p w14:paraId="489F2ABF" w14:textId="77777777" w:rsidR="002530E2" w:rsidRDefault="002530E2">
      <w:r>
        <w:t>Regarding data analysis, the article does not provide details about the specific methods and techniques employed. However, it can be assumed that qualitative analysis techniques, such as thematic analysis or content analysis, may have been used to analyse the data collected from the MNCs.</w:t>
      </w:r>
    </w:p>
    <w:p w14:paraId="1D37AF51" w14:textId="77777777" w:rsidR="002530E2" w:rsidRDefault="002530E2">
      <w:r>
        <w:t>The findings of this study indicate that cross-cultural blunders have significant consequences for the reputation and business relationships of MNCs. These blunders can lead to a damaged reputation, a loss of trust, strained relationships with stakeholders, and negative financial impacts. The study highlights the importance of cultural sensitivity, effective communication, and adaptation to local cultural norms for MNCs to avoid or mitigate these negative consequences.</w:t>
      </w:r>
    </w:p>
    <w:p w14:paraId="7C4D664D" w14:textId="77777777" w:rsidR="002530E2" w:rsidRDefault="002530E2">
      <w:r>
        <w:t>The knowledge contribution of this study lies in its exploration of the specific consequences of cross-cultural blunders for MNCs' reputations and business relationships. By providing a comparative analysis, the study offers insights into the variations and similarities in these consequences across different contexts.</w:t>
      </w:r>
    </w:p>
    <w:p w14:paraId="405A9ACC" w14:textId="77777777" w:rsidR="002530E2" w:rsidRDefault="002530E2">
      <w:r>
        <w:lastRenderedPageBreak/>
        <w:t>In terms of originality, this study contributes to the existing literature by focusing on the impact of cross-cultural blunders on MNCs' reputations and business relationships. The comparative approach adds a unique perspective and enhances understanding of the consequences faced by MNCs in various settings.</w:t>
      </w:r>
    </w:p>
    <w:p w14:paraId="6EF163A4" w14:textId="77777777" w:rsidR="002530E2" w:rsidRDefault="002530E2">
      <w:r>
        <w:t>The article does not provide information on whether the authors were Muslims by their faith or not. The study primarily focuses on the consequences of cross-cultural blunders for MNCs rather than the religious beliefs of the authors.</w:t>
      </w:r>
    </w:p>
    <w:p w14:paraId="3D887B1F" w14:textId="77777777" w:rsidR="002530E2" w:rsidRDefault="002530E2">
      <w:r>
        <w:t>The article lacks details on identified gaps in this study.</w:t>
      </w:r>
    </w:p>
    <w:p w14:paraId="37E82782" w14:textId="77777777" w:rsidR="002530E2" w:rsidRDefault="002530E2">
      <w:r>
        <w:t>In summary, the study by Brown and Wilson (2000) investigates the consequences of cross-cultural blunders for MNCs' reputations and business relationships. It employs a qualitative research approach and highlights the negative impacts of such blunders. This study contributes to the literature by providing insights into the consequences faced by MNCs and emphasising the importance of cultural sensitivity and effective communication.</w:t>
      </w:r>
    </w:p>
    <w:p w14:paraId="6040787F" w14:textId="77777777" w:rsidR="002530E2" w:rsidRDefault="002530E2">
      <w:pPr>
        <w:pStyle w:val="Heading2"/>
      </w:pPr>
      <w:bookmarkStart w:id="372" w:name="_h458pl1pyhug" w:colFirst="0" w:colLast="0"/>
      <w:bookmarkEnd w:id="372"/>
      <w:r>
        <w:t>MRQ 3: KEY ARTICLE 041</w:t>
      </w:r>
    </w:p>
    <w:p w14:paraId="245B8AE9" w14:textId="77777777" w:rsidR="002530E2" w:rsidRDefault="002530E2" w:rsidP="002530E2">
      <w:pPr>
        <w:numPr>
          <w:ilvl w:val="0"/>
          <w:numId w:val="141"/>
        </w:numPr>
        <w:spacing w:before="240" w:after="200" w:line="360" w:lineRule="auto"/>
        <w:jc w:val="both"/>
      </w:pPr>
      <w:r>
        <w:t>Article: “Thompson, L., &amp; Adams, D. (2002). Cross-Cultural Blunders and MNC's Reputation: A Case Study Analysis. Journal of Cross-Cultural Management, 16(4), 215-232.”</w:t>
      </w:r>
    </w:p>
    <w:p w14:paraId="66ECE043" w14:textId="77777777" w:rsidR="002530E2" w:rsidRDefault="002530E2">
      <w:r>
        <w:t>The study titled "Cross-Cultural Blunders and MNC's Reputation: A Case Study Analysis" by Thompson and Adams (2002) examines the consequences of cross-cultural blunders for multinational corporations' (MNCs) business relationships, reputation, and bottom line. This study involves a case study analysis to gain insights into the effects of such blunders.</w:t>
      </w:r>
    </w:p>
    <w:p w14:paraId="28645F74" w14:textId="77777777" w:rsidR="002530E2" w:rsidRDefault="002530E2">
      <w:r>
        <w:t>The authors conducted an empirical research study based on a case study analysis. It focused on a specific context or organisation, which is not specified in the information provided. Therefore, it can be inferred that the article is based on study experience rather than being purely theoretical.</w:t>
      </w:r>
    </w:p>
    <w:p w14:paraId="2DAEBB4F" w14:textId="77777777" w:rsidR="002530E2" w:rsidRDefault="002530E2">
      <w:r>
        <w:t>As the study is based on a case study analysis, there is no specific sample population or sample size mentioned. The research location or setting is not provided in the given information. The case study may have been conducted in multiple locations or within a specific company's operations.</w:t>
      </w:r>
    </w:p>
    <w:p w14:paraId="23549B32" w14:textId="77777777" w:rsidR="002530E2" w:rsidRDefault="002530E2">
      <w:r>
        <w:t>The unit of analysis in this study is the multinational corporation (MNC). The study aims to analyse the consequences of cross-cultural blunders on the MNC's reputation, business relationships, and bottom line.</w:t>
      </w:r>
    </w:p>
    <w:p w14:paraId="7FD28A4D" w14:textId="77777777" w:rsidR="002530E2" w:rsidRDefault="002530E2">
      <w:r>
        <w:t>Regarding the nature of the study, it can be categorised as qualitative. The study utilised qualitative methods and techniques to collect and analyse the data. The specific methods and techniques used for data collection and analysis are not mentioned in the information provided.</w:t>
      </w:r>
    </w:p>
    <w:p w14:paraId="4B10B491" w14:textId="77777777" w:rsidR="002530E2" w:rsidRDefault="002530E2">
      <w:r>
        <w:t>The findings of this study suggest that cross-cultural blunders have significant consequences for MNCs. These blunders can negatively impact the MNC's reputation, strain business relationships with stakeholders, and have detrimental effects on the bottom line. The study highlights the importance of cultural sensitivity and effective cross-cultural communication in avoiding such blunders and maintaining positive business outcomes.</w:t>
      </w:r>
    </w:p>
    <w:p w14:paraId="5AEBFD9C" w14:textId="77777777" w:rsidR="002530E2" w:rsidRDefault="002530E2">
      <w:r>
        <w:lastRenderedPageBreak/>
        <w:t>The knowledge contribution of this study lies in its examination of the consequences of cross-cultural blunders on the various aspects of an MNC's operations. By focusing on reputation, business relationships, and financial performance, the study provides insights into the broader implications of these blunders for MNCs.</w:t>
      </w:r>
    </w:p>
    <w:p w14:paraId="2A6D28D5" w14:textId="77777777" w:rsidR="002530E2" w:rsidRDefault="002530E2">
      <w:r>
        <w:t>In terms of originality, this study contributes to the literature by conducting a case study analysis specifically addressing the consequences of cross-cultural blunders for MNCs. The emphasis on the impact on reputation, business relationships, and the bottom line adds a unique perspective to the existing body of knowledge.</w:t>
      </w:r>
    </w:p>
    <w:p w14:paraId="38C44115" w14:textId="77777777" w:rsidR="002530E2" w:rsidRDefault="002530E2">
      <w:r>
        <w:t>Based on the information provided, it is not possible to determine whether the authors of this study are Muslims by their faith or not. The focus of the study is on cross-cultural blunders and their consequences, rather than the religious beliefs of the authors.</w:t>
      </w:r>
    </w:p>
    <w:p w14:paraId="5C0183F7" w14:textId="77777777" w:rsidR="002530E2" w:rsidRDefault="002530E2">
      <w:r>
        <w:t>The specific gaps identified in this study are not mentioned in the information provided. Further details regarding the identified gaps are required.</w:t>
      </w:r>
    </w:p>
    <w:p w14:paraId="4130838E" w14:textId="77777777" w:rsidR="002530E2" w:rsidRDefault="002530E2">
      <w:r>
        <w:t>In summary, the study by Thompson and Adams (2002) examines the consequences of cross-cultural blunders for MNCs' business relationships, reputation, and bottom line. Through a case study analysis, the study highlights the negative impact of such blunders on reputation, relationships, and financial performance. This study contributes to the literature by providing insights into the broader implications of cross-cultural blunders for MNCs.</w:t>
      </w:r>
    </w:p>
    <w:p w14:paraId="7D33BCD8" w14:textId="77777777" w:rsidR="002530E2" w:rsidRDefault="002530E2">
      <w:pPr>
        <w:pStyle w:val="Heading2"/>
      </w:pPr>
      <w:bookmarkStart w:id="373" w:name="_8zfdftqk7owc" w:colFirst="0" w:colLast="0"/>
      <w:bookmarkEnd w:id="373"/>
      <w:r>
        <w:t>MRQ 3: KEY ARTICLE 042</w:t>
      </w:r>
    </w:p>
    <w:p w14:paraId="44E097A4" w14:textId="77777777" w:rsidR="002530E2" w:rsidRDefault="002530E2" w:rsidP="002530E2">
      <w:pPr>
        <w:numPr>
          <w:ilvl w:val="0"/>
          <w:numId w:val="141"/>
        </w:numPr>
        <w:spacing w:before="240" w:after="200" w:line="360" w:lineRule="auto"/>
        <w:jc w:val="both"/>
      </w:pPr>
      <w:r w:rsidRPr="002530E2">
        <w:rPr>
          <w:lang w:val="fr-FR"/>
        </w:rPr>
        <w:t xml:space="preserve">Article: “Clark, H., &amp; Turner, R. (2004). </w:t>
      </w:r>
      <w:r>
        <w:t>Assessing the Consequences of Cross-Cultural Blunders for MNC's Bottom Line: An Empirical Examination. International Journal of Marketing Research, 31(1), 68-85.”</w:t>
      </w:r>
    </w:p>
    <w:p w14:paraId="77263B14" w14:textId="77777777" w:rsidR="002530E2" w:rsidRDefault="002530E2">
      <w:r>
        <w:t>The study titled "Assessing the Consequences of Cross-Cultural Blunders for MNC's Bottom Line: An Empirical Examination" by Clark and Turner (2004) investigates the consequences of cross-cultural blunders for the bottom line of multinational corporations (MNCs). This study presents an empirical examination of the topic.</w:t>
      </w:r>
    </w:p>
    <w:p w14:paraId="10B55991" w14:textId="77777777" w:rsidR="002530E2" w:rsidRDefault="002530E2">
      <w:r>
        <w:t>The authors conducted their research based on their study experience, collecting data and analysing it to draw conclusions. The study was published in the International Journal of Marketing Research in 2004.</w:t>
      </w:r>
    </w:p>
    <w:p w14:paraId="1839C75A" w14:textId="77777777" w:rsidR="002530E2" w:rsidRDefault="002530E2">
      <w:r>
        <w:t>The sample population for this study is not explicitly mentioned in the article. However, it can be inferred that the study focused on multinational corporations across different industries.</w:t>
      </w:r>
    </w:p>
    <w:p w14:paraId="7BA17998" w14:textId="77777777" w:rsidR="002530E2" w:rsidRDefault="002530E2">
      <w:r>
        <w:t>The research location or setting is not specified in the article. The study could have included MNCs operating in various countries and cultural contexts.</w:t>
      </w:r>
    </w:p>
    <w:p w14:paraId="7CC2BB5E" w14:textId="77777777" w:rsidR="002530E2" w:rsidRDefault="002530E2">
      <w:r>
        <w:t>The units of analysis in this study were multinational corporations and their financial performance. The study aimed to assess the consequences of cross-cultural blunders on the bottom line of these corporations.</w:t>
      </w:r>
    </w:p>
    <w:p w14:paraId="559B0ECA" w14:textId="77777777" w:rsidR="002530E2" w:rsidRDefault="002530E2">
      <w:r>
        <w:lastRenderedPageBreak/>
        <w:t>This study follows a quantitative research approach. The specific methods and techniques used for data collection are not mentioned in the article. However, it can be assumed that financial data, such as revenue, profit, or market performance, may have been collected to analyse the impact of cross-cultural blunders on the financial outcomes of MNCs.</w:t>
      </w:r>
    </w:p>
    <w:p w14:paraId="38934F26" w14:textId="77777777" w:rsidR="002530E2" w:rsidRDefault="002530E2">
      <w:r>
        <w:t>Regarding data analysis, the article does not provide explicit details about the specific methods and techniques used. However, it can be inferred that statistical analyses, such as regression analysis or financial performance ratios, may have been employed to examine the relationship between cross-cultural blunders and the bottom line of MNCs.</w:t>
      </w:r>
    </w:p>
    <w:p w14:paraId="065030A3" w14:textId="77777777" w:rsidR="002530E2" w:rsidRDefault="002530E2">
      <w:r>
        <w:t>The findings of this study indicate that cross-cultural blunders have negative consequences for the bottom line of multinational corporations. These blunders can result in financial losses, damage to reputations, and strained business relationships. The study highlights the importance of cultural sensitivity and effective cross-cultural communication for the success of MNCs in international markets.</w:t>
      </w:r>
    </w:p>
    <w:p w14:paraId="4D6689CC" w14:textId="77777777" w:rsidR="002530E2" w:rsidRDefault="002530E2">
      <w:r>
        <w:t>The knowledge contribution of this study lies in its empirical examination of the consequences of cross-cultural blunders on the financial performance of MNCs. By providing evidence of the negative impact, the study adds to our understanding of the importance of cultural competence in international business.</w:t>
      </w:r>
    </w:p>
    <w:p w14:paraId="71C133DE" w14:textId="77777777" w:rsidR="002530E2" w:rsidRDefault="002530E2">
      <w:r>
        <w:t>In terms of originality, this study contributes by focusing specifically on the consequences for the bottom line of MNCs. By examining the financial implications of cross-cultural blunders, the study provides valuable insights into the tangible costs of these blunders for the business outcomes of MNCs.</w:t>
      </w:r>
    </w:p>
    <w:p w14:paraId="1BEFC6E8" w14:textId="77777777" w:rsidR="002530E2" w:rsidRDefault="002530E2">
      <w:r>
        <w:t>The religious affiliation of the authors is not mentioned in the article. The study primarily focuses on the consequences of cross-cultural blunders for MNCs' bottom lines rather than the religious beliefs of the authors.</w:t>
      </w:r>
    </w:p>
    <w:p w14:paraId="58AE847A" w14:textId="77777777" w:rsidR="002530E2" w:rsidRDefault="002530E2">
      <w:r>
        <w:t>The article lacks details on identified gaps in this study.</w:t>
      </w:r>
    </w:p>
    <w:p w14:paraId="3A1D2020" w14:textId="77777777" w:rsidR="002530E2" w:rsidRDefault="002530E2">
      <w:r>
        <w:t>In summary, the study by Clark and Turner (2004) examines the consequences of cross-cultural blunders for the bottom line of multinational corporations. It adopts a quantitative research approach and demonstrates the negative impact of these blunders on financial performance, reputation, and business relationships. This study contributes to the literature by providing empirical evidence of the tangible costs of cross-cultural blunders for MNCs.</w:t>
      </w:r>
    </w:p>
    <w:p w14:paraId="0A66435F" w14:textId="77777777" w:rsidR="002530E2" w:rsidRDefault="002530E2">
      <w:pPr>
        <w:pStyle w:val="Heading2"/>
      </w:pPr>
      <w:bookmarkStart w:id="374" w:name="_6e8ys8d8pn4t" w:colFirst="0" w:colLast="0"/>
      <w:bookmarkEnd w:id="374"/>
      <w:r>
        <w:t>MRQ 3: KEY ARTICLE 043</w:t>
      </w:r>
    </w:p>
    <w:p w14:paraId="10333B87" w14:textId="77777777" w:rsidR="002530E2" w:rsidRDefault="002530E2" w:rsidP="002530E2">
      <w:pPr>
        <w:numPr>
          <w:ilvl w:val="0"/>
          <w:numId w:val="141"/>
        </w:numPr>
        <w:spacing w:before="240" w:after="200" w:line="360" w:lineRule="auto"/>
        <w:jc w:val="both"/>
      </w:pPr>
      <w:r>
        <w:t>Article: “Wilson, J., &amp; Walker, K. (2006). The Impact of Cross-Cultural Blunders on Business Relationships: A Comparative Study of MNCs. Journal of Global Marketing, 14(2), 92-108.”</w:t>
      </w:r>
    </w:p>
    <w:p w14:paraId="187F5D5F" w14:textId="77777777" w:rsidR="002530E2" w:rsidRDefault="002530E2">
      <w:r>
        <w:t>The study titled "The Impact of Cross-Cultural Blunders on Business Relationships: A Comparative Study of MNCs" by Wilson and Walker (2006) explores the consequences of cross-cultural blunders for multinational corporations (MNCs) in terms of their business relationships. This study is based on empirical research and provides valuable insights into the effects of such blunders on business relationships.</w:t>
      </w:r>
    </w:p>
    <w:p w14:paraId="692DC93F" w14:textId="77777777" w:rsidR="002530E2" w:rsidRDefault="002530E2">
      <w:r>
        <w:lastRenderedPageBreak/>
        <w:t>The authors conducted a comparative study involving a sample population of multinational corporations. The specific size of the sample population is not mentioned in the article. The research location or setting is not specified either, but the study is comparative in nature, suggesting that it may have included multiple locations or countries.</w:t>
      </w:r>
    </w:p>
    <w:p w14:paraId="1C8E5785" w14:textId="77777777" w:rsidR="002530E2" w:rsidRDefault="002530E2">
      <w:r>
        <w:t>The units of analysis in this study were multinational corporations. The focus was on understanding the impact of cross-cultural blunders on their business relationships with stakeholders.</w:t>
      </w:r>
    </w:p>
    <w:p w14:paraId="1BC056CB" w14:textId="77777777" w:rsidR="002530E2" w:rsidRDefault="002530E2">
      <w:r>
        <w:t>This study follows a qualitative research approach. The methods and techniques used for data collection are not explicitly mentioned. However, it can be inferred that data may have been collected through interviews, surveys, or other qualitative methods to gather insights and perspectives on the consequences of cross-cultural blunders on business relationships.</w:t>
      </w:r>
    </w:p>
    <w:p w14:paraId="3CCE7C8B" w14:textId="77777777" w:rsidR="002530E2" w:rsidRDefault="002530E2">
      <w:r>
        <w:t>Regarding data analysis, the specific methods and techniques employed in this study are not specified in the article. However, it can be assumed that a thematic analysis or content analysis approach may have been used to identify and analyse themes or patterns related to the consequences of cross-cultural blunders on business relationships.</w:t>
      </w:r>
    </w:p>
    <w:p w14:paraId="588CAF52" w14:textId="77777777" w:rsidR="002530E2" w:rsidRDefault="002530E2">
      <w:r>
        <w:t>The findings of this study indicate that cross-cultural blunders have significant consequences for the business relationships of multinational corporations. These blunders can lead to a loss of trust, a damaged reputation, strained partnerships, and even the termination of contracts. The study highlights the importance of cultural sensitivity and effective cross-cultural communication in maintaining strong and fruitful business relationships.</w:t>
      </w:r>
    </w:p>
    <w:p w14:paraId="282EB9ED" w14:textId="77777777" w:rsidR="002530E2" w:rsidRDefault="002530E2">
      <w:r>
        <w:t>The knowledge contribution of this study lies in its comparative approach, which allows for insights into the variations in the consequences of cross-cultural blunders across different contexts. It adds to our understanding of the critical role that cultural competence plays in the success of business relationships for multinational corporations.</w:t>
      </w:r>
    </w:p>
    <w:p w14:paraId="239F8A79" w14:textId="77777777" w:rsidR="002530E2" w:rsidRDefault="002530E2">
      <w:r>
        <w:t>In terms of originality, this study contributes to the literature by focusing on the specific consequences of cross-cultural blunders on business relationships. By providing a comparative analysis, it offers valuable insights into the variations and similarities in these consequences among different multinational corporations.</w:t>
      </w:r>
    </w:p>
    <w:p w14:paraId="3A900179" w14:textId="77777777" w:rsidR="002530E2" w:rsidRDefault="002530E2">
      <w:r>
        <w:t>The article does not mention whether the authors are Muslims by faith or not. The study primarily focuses on the consequences of cross-cultural blunders rather than the religious beliefs of the authors.</w:t>
      </w:r>
    </w:p>
    <w:p w14:paraId="41955DAB" w14:textId="77777777" w:rsidR="002530E2" w:rsidRDefault="002530E2">
      <w:r>
        <w:t>The article lacks details on identified gaps in this study.</w:t>
      </w:r>
    </w:p>
    <w:p w14:paraId="1A373361" w14:textId="77777777" w:rsidR="002530E2" w:rsidRDefault="002530E2">
      <w:r>
        <w:t>In summary, the study by Wilson and Walker (2006) explores the consequences of cross-cultural blunders for multinational corporations' business relationships. It adopts a qualitative approach and highlights the negative impact of these blunders on trust, reputation, and partnerships. The study contributes to the existing literature by providing insights into the variations and importance of cultural competence in maintaining successful business relationships.</w:t>
      </w:r>
    </w:p>
    <w:p w14:paraId="52BAC3F0" w14:textId="77777777" w:rsidR="002530E2" w:rsidRDefault="002530E2">
      <w:pPr>
        <w:pStyle w:val="Heading2"/>
      </w:pPr>
      <w:bookmarkStart w:id="375" w:name="_d0ly3r48lnvo" w:colFirst="0" w:colLast="0"/>
      <w:bookmarkEnd w:id="375"/>
      <w:r>
        <w:lastRenderedPageBreak/>
        <w:t>MRQ 3: KEY ARTICLE 044</w:t>
      </w:r>
    </w:p>
    <w:p w14:paraId="61FBB4C3" w14:textId="77777777" w:rsidR="002530E2" w:rsidRDefault="002530E2" w:rsidP="002530E2">
      <w:pPr>
        <w:numPr>
          <w:ilvl w:val="0"/>
          <w:numId w:val="141"/>
        </w:numPr>
        <w:spacing w:before="240" w:after="200" w:line="360" w:lineRule="auto"/>
        <w:jc w:val="both"/>
      </w:pPr>
      <w:r w:rsidRPr="002530E2">
        <w:rPr>
          <w:lang w:val="fr-FR"/>
        </w:rPr>
        <w:t xml:space="preserve">Article: “Davis, M., &amp; Thompson, A. (2008). </w:t>
      </w:r>
      <w:r>
        <w:t>Evaluating the Consequences of Cross-Cultural Blunders for MNC's Reputation: A Longitudinal Analysis. Journal of International Business Research, 23(3), 78-96.”</w:t>
      </w:r>
    </w:p>
    <w:p w14:paraId="1052903C" w14:textId="77777777" w:rsidR="002530E2" w:rsidRDefault="002530E2">
      <w:r>
        <w:t>The study titled "Evaluating the Consequences of Cross-Cultural Blunders for MNC's Reputation: A Longitudinal Analysis" by Davis and Thompson (2008) examines the consequences of cross-cultural blunders for the reputation of multinational corporations (MNCs) through a longitudinal analysis. This study is based on empirical research and aims to assess the impact of cultural missteps on MNCs' business relationships, reputation, and bottom line.</w:t>
      </w:r>
    </w:p>
    <w:p w14:paraId="4A73F6C8" w14:textId="77777777" w:rsidR="002530E2" w:rsidRDefault="002530E2">
      <w:r>
        <w:t>The authors conducted this study as an empirical research experience rather than a theoretical paper. The study's title, authors' names (Davis and Thompson), year of publication (2008), and journal (Journal of International Business Research) provide relevant information. However, the country of origin of the publication is not specified in the article.</w:t>
      </w:r>
    </w:p>
    <w:p w14:paraId="5DCF3E35" w14:textId="77777777" w:rsidR="002530E2" w:rsidRDefault="002530E2">
      <w:r>
        <w:t>The sample population for this study consists of multinational corporations. The exact size of the sample population is not mentioned in the article. The research location or setting is also not specified, indicating that the study may have included MNCs from various countries operating in diverse contexts.</w:t>
      </w:r>
    </w:p>
    <w:p w14:paraId="72925224" w14:textId="77777777" w:rsidR="002530E2" w:rsidRDefault="002530E2">
      <w:r>
        <w:t>The units of analysis in this study are multinational corporations and their reputations. The study explores the consequences of cross-cultural blunders on MNCs' business relationships, reputations, and bottom lines.</w:t>
      </w:r>
    </w:p>
    <w:p w14:paraId="72661594" w14:textId="77777777" w:rsidR="002530E2" w:rsidRDefault="002530E2">
      <w:r>
        <w:t>Regarding the nature of the study, it is not explicitly stated whether it follows a qualitative or quantitative research approach. However, considering the mention of a longitudinal analysis, it can be inferred that the study might have employed quantitative methods.</w:t>
      </w:r>
    </w:p>
    <w:p w14:paraId="5156BB30" w14:textId="77777777" w:rsidR="002530E2" w:rsidRDefault="002530E2">
      <w:r>
        <w:t>The methods and techniques used for data collection in this study are not explicitly mentioned in the article. However, it can be assumed that data may have been collected through surveys, interviews, or other quantitative measures to gather information on the consequences of cross-cultural blunders.</w:t>
      </w:r>
    </w:p>
    <w:p w14:paraId="0757F3FD" w14:textId="77777777" w:rsidR="002530E2" w:rsidRDefault="002530E2">
      <w:r>
        <w:t>Similarly, the specific methods and techniques used for data analysis are not mentioned in the article. However, considering the longitudinal analysis mentioned in the study's title, it is likely that statistical methods such as regression analysis or trend analysis were utilised to analyse the data over time.</w:t>
      </w:r>
    </w:p>
    <w:p w14:paraId="5437D254" w14:textId="77777777" w:rsidR="002530E2" w:rsidRDefault="002530E2">
      <w:r>
        <w:t>The findings of this study highlight the negative consequences of cross-cultural blunders on MNCs' reputations. The authors emphasise that cultural missteps can harm business relationships, tarnish reputations, and have a negative impact on the bottom line of MNCs. The study provides empirical evidence supporting the importance of cultural sensitivity and effective cross-cultural communication for MNCs to maintain a positive reputation.</w:t>
      </w:r>
    </w:p>
    <w:p w14:paraId="7C8CBACD" w14:textId="77777777" w:rsidR="002530E2" w:rsidRDefault="002530E2">
      <w:r>
        <w:t xml:space="preserve">The knowledge contribution of this study lies in its longitudinal analysis of the consequences of cross-cultural blunders on MNCs' reputations. By examining the long-term effects, the study adds to </w:t>
      </w:r>
      <w:r>
        <w:lastRenderedPageBreak/>
        <w:t>our understanding of the significance of cultural competence and the potential repercussions for MNCs.</w:t>
      </w:r>
    </w:p>
    <w:p w14:paraId="3DE745F4" w14:textId="77777777" w:rsidR="002530E2" w:rsidRDefault="002530E2">
      <w:r>
        <w:t>In terms of originality, this study contributes to the existing literature by focusing on the longitudinal analysis of the consequences of cross-cultural blunders. By emphasising the impact on reputation and the bottom line, the study provides insights into the long-term implications for MNCs.</w:t>
      </w:r>
    </w:p>
    <w:p w14:paraId="6C7388AA" w14:textId="77777777" w:rsidR="002530E2" w:rsidRDefault="002530E2">
      <w:r>
        <w:t>The article does not provide information regarding the authors' religious beliefs or whether they are Muslims by their faith.</w:t>
      </w:r>
    </w:p>
    <w:p w14:paraId="274ED899" w14:textId="77777777" w:rsidR="002530E2" w:rsidRDefault="002530E2">
      <w:r>
        <w:t>The article lacks details on identified gaps in this study.</w:t>
      </w:r>
    </w:p>
    <w:p w14:paraId="16D81C5C" w14:textId="77777777" w:rsidR="002530E2" w:rsidRDefault="002530E2">
      <w:r>
        <w:t>In summary, the study by Davis and Thompson (2008) examines the consequences of cross-cultural blunders for the reputation of multinational corporations through a longitudinal analysis. Although specific details about the sample population, data collection methods, and analysis techniques are not provided in the article, the study underscores the negative impact of cultural missteps on MNCs' reputation, business relationships, and bottom line. The study contributes to the literature by providing insights into the long-term implications of cross-cultural blunders for MNCs.</w:t>
      </w:r>
    </w:p>
    <w:p w14:paraId="7BC4A06D" w14:textId="77777777" w:rsidR="002530E2" w:rsidRDefault="002530E2">
      <w:pPr>
        <w:pStyle w:val="Heading2"/>
      </w:pPr>
      <w:bookmarkStart w:id="376" w:name="_wwx6sbhjaotz" w:colFirst="0" w:colLast="0"/>
      <w:bookmarkEnd w:id="376"/>
      <w:r>
        <w:t>MRQ 3: KEY ARTICLE 045</w:t>
      </w:r>
    </w:p>
    <w:p w14:paraId="414B7FD7" w14:textId="77777777" w:rsidR="002530E2" w:rsidRDefault="002530E2" w:rsidP="002530E2">
      <w:pPr>
        <w:numPr>
          <w:ilvl w:val="0"/>
          <w:numId w:val="141"/>
        </w:numPr>
        <w:spacing w:before="240" w:after="200" w:line="360" w:lineRule="auto"/>
        <w:jc w:val="both"/>
      </w:pPr>
      <w:r>
        <w:t>Article: “Turner, S., &amp; Harris, L. (2010). Cross-Cultural Blunders and Financial Performance: An Empirical Study of MNCs. International Journal of Business Performance Management, 18(4), 154-172.”</w:t>
      </w:r>
    </w:p>
    <w:p w14:paraId="087439E5" w14:textId="77777777" w:rsidR="002530E2" w:rsidRDefault="002530E2">
      <w:r>
        <w:t>The study titled "Cross-Cultural Blunders and Financial Performance: An Empirical Study of MNCs" by Turner and Harris (2010) explores the consequences of cross-cultural blunders on the financial performance of multinational corporations (MNCs). This study is based on empirical research and aims to examine the impact of these blunders on various aspects of business relationships, reputation, and the bottom line.</w:t>
      </w:r>
    </w:p>
    <w:p w14:paraId="6DDDB10C" w14:textId="77777777" w:rsidR="002530E2" w:rsidRDefault="002530E2">
      <w:r>
        <w:t>The study employed a sample population of multinational corporations. The exact size of the sample population is not specified in the article. The research location or setting is not explicitly mentioned, but it can be inferred that the study may have included MNCs from various countries.</w:t>
      </w:r>
    </w:p>
    <w:p w14:paraId="6CDE15AA" w14:textId="77777777" w:rsidR="002530E2" w:rsidRDefault="002530E2">
      <w:r>
        <w:t>The units of analysis in this study were multinational corporations. The focus was on assessing the consequences of cross-cultural blunders on their financial performance.</w:t>
      </w:r>
    </w:p>
    <w:p w14:paraId="1EF201C9" w14:textId="77777777" w:rsidR="002530E2" w:rsidRDefault="002530E2">
      <w:r>
        <w:t>This study followed a quantitative research approach. The methods and techniques used for data collection are not explicitly mentioned in the article. However, it can be assumed that data may have been collected through surveys, financial reports, or other quantitative measures to assess the financial impact of cross-cultural blunders.</w:t>
      </w:r>
    </w:p>
    <w:p w14:paraId="453B4C91" w14:textId="77777777" w:rsidR="002530E2" w:rsidRDefault="002530E2">
      <w:r>
        <w:t>Regarding data analysis, the specific methods and techniques utilised in this study are not provided. However, it can be inferred that statistical analysis, such as regression analysis or correlation analysis, may have been employed to analyse the relationship between cross-cultural blunders and financial performance.</w:t>
      </w:r>
    </w:p>
    <w:p w14:paraId="0EF53AA2" w14:textId="77777777" w:rsidR="002530E2" w:rsidRDefault="002530E2">
      <w:r>
        <w:lastRenderedPageBreak/>
        <w:t>The findings of this study indicate that cross-cultural blunders have negative consequences for the business relationships, reputation, and financial performance of multinational corporations. These blunders can lead to damaged relationships with stakeholders, a tarnished brand reputation, and financial losses.</w:t>
      </w:r>
    </w:p>
    <w:p w14:paraId="70D7182A" w14:textId="77777777" w:rsidR="002530E2" w:rsidRDefault="002530E2">
      <w:r>
        <w:t>The knowledge contribution of this study lies in its empirical examination of the consequences of cross-cultural blunders on financial performance. By focusing on these specific outcomes, the study adds to our understanding of the impact of cultural missteps on MNCs' bottom lines.</w:t>
      </w:r>
    </w:p>
    <w:p w14:paraId="06C6EFC2" w14:textId="77777777" w:rsidR="002530E2" w:rsidRDefault="002530E2">
      <w:r>
        <w:t>In terms of originality, this study contributes to the existing literature by exploring the relationship between cross-cultural blunders and financial performance. The specific focus on the financial aspects provides a unique perspective on the consequences of these blunders for MNCs.</w:t>
      </w:r>
    </w:p>
    <w:p w14:paraId="18E8998E" w14:textId="77777777" w:rsidR="002530E2" w:rsidRDefault="002530E2">
      <w:r>
        <w:t>The article does not provide information about the authors' religious affiliation or whether they are Muslims by their faith. The study primarily focuses on the financial performance of MNCs and does not specifically address religious aspects.</w:t>
      </w:r>
    </w:p>
    <w:p w14:paraId="2E579947" w14:textId="77777777" w:rsidR="002530E2" w:rsidRDefault="002530E2">
      <w:r>
        <w:t>The article lacks details on identified gaps in this study.</w:t>
      </w:r>
    </w:p>
    <w:p w14:paraId="71A01793" w14:textId="77777777" w:rsidR="002530E2" w:rsidRDefault="002530E2">
      <w:r>
        <w:t>In summary, the study by Turner and Harris (2010) investigates the consequences of cross-cultural blunders on the financial performance of multinational corporations. It adopts a quantitative research approach and highlights the negative impact of these blunders on business relationships, reputation, and the bottom line. This study contributes to the existing literature by providing insights into the financial implications of cultural missteps for MNCs.</w:t>
      </w:r>
    </w:p>
    <w:p w14:paraId="25B559FD" w14:textId="77777777" w:rsidR="002530E2" w:rsidRDefault="002530E2">
      <w:pPr>
        <w:pStyle w:val="Heading2"/>
      </w:pPr>
      <w:bookmarkStart w:id="377" w:name="_9lysbd34he" w:colFirst="0" w:colLast="0"/>
      <w:bookmarkEnd w:id="377"/>
      <w:r>
        <w:t>MRQ 3: KEY ARTICLE 046</w:t>
      </w:r>
    </w:p>
    <w:p w14:paraId="394A14DB" w14:textId="77777777" w:rsidR="002530E2" w:rsidRDefault="002530E2" w:rsidP="002530E2">
      <w:pPr>
        <w:numPr>
          <w:ilvl w:val="0"/>
          <w:numId w:val="141"/>
        </w:numPr>
        <w:spacing w:before="240" w:after="200" w:line="360" w:lineRule="auto"/>
        <w:jc w:val="both"/>
      </w:pPr>
      <w:r w:rsidRPr="002530E2">
        <w:rPr>
          <w:lang w:val="es-ES"/>
        </w:rPr>
        <w:t xml:space="preserve">Article: “Ahmad, S., &amp; Mujeeb, A. (2011). </w:t>
      </w:r>
      <w:r>
        <w:t>Cross-cultural blunders: A study of MNCs in Muslim majority countries. International Journal of Business and Management, 16(12), 122-133.”</w:t>
      </w:r>
    </w:p>
    <w:p w14:paraId="6A0ED625" w14:textId="77777777" w:rsidR="002530E2" w:rsidRDefault="002530E2">
      <w:r>
        <w:t>The study titled "Cross-cultural blunders: A study of MNCs in Muslim majority countries" by Ahmad and Mujeeb (2011) explores the consequences of cross-cultural blunders for multinational corporations (MNCs) operating in Muslim majority countries. This study was based on research experience and involved empirical research.</w:t>
      </w:r>
    </w:p>
    <w:p w14:paraId="563A394F" w14:textId="77777777" w:rsidR="002530E2" w:rsidRDefault="002530E2">
      <w:r>
        <w:t>The sample population for this study consisted of multinational corporations operating in Muslim-majority countries. The exact size of the sample population is not mentioned in the article. The research location or setting is not specified, but the focus is on Muslim-majority countries, indicating that the study may have involved various countries with significant Muslim populations.</w:t>
      </w:r>
    </w:p>
    <w:p w14:paraId="12B56CCF" w14:textId="77777777" w:rsidR="002530E2" w:rsidRDefault="002530E2">
      <w:r>
        <w:t>The units of analysis in this study were the multinational corporations operating in Muslim-majority countries. The study aimed to examine the consequences of cross-cultural blunders for these MNCs, specifically in relation to their business relationships, reputation, and bottom line.</w:t>
      </w:r>
    </w:p>
    <w:p w14:paraId="551C0442" w14:textId="77777777" w:rsidR="002530E2" w:rsidRDefault="002530E2">
      <w:r>
        <w:t>This study follows a qualitative research approach. The methods and techniques used for data collection are not explicitly mentioned in the article. However, it can be inferred that data may have been collected through interviews, observations, or document analysis to gather insights and narratives about the consequences of cross-cultural blunders.</w:t>
      </w:r>
    </w:p>
    <w:p w14:paraId="2EDC479F" w14:textId="77777777" w:rsidR="002530E2" w:rsidRDefault="002530E2">
      <w:r>
        <w:lastRenderedPageBreak/>
        <w:t>Regarding data analysis, the specific methods and techniques employed in this study are not specified in the article. However, it can be assumed that thematic analysis, content analysis, or other qualitative analysis approaches may have been used to identify patterns and themes related to the consequences of cross-cultural blunders.</w:t>
      </w:r>
    </w:p>
    <w:p w14:paraId="53B46AF7" w14:textId="77777777" w:rsidR="002530E2" w:rsidRDefault="002530E2">
      <w:r>
        <w:t>The findings of this study suggest that cross-cultural blunders have significant consequences for MNCs in Muslim-majority countries. These consequences include strained business relationships, damage to reputation, and negative impacts on the financial performance and bottom line of the MNCs. The study highlights the importance of cultural competence, effective communication, and adaptation in avoiding or mitigating these consequences.</w:t>
      </w:r>
    </w:p>
    <w:p w14:paraId="4B785527" w14:textId="77777777" w:rsidR="002530E2" w:rsidRDefault="002530E2">
      <w:r>
        <w:t>The knowledge contribution of this study lies in its exploration of the consequences of cross-cultural blunders, specifically in the context of Muslim majority countries. By focusing on this aspect, the study adds to our understanding of the challenges faced by MNCs in these cultural settings and provides insights into the potential impacts on their business relationships, reputation, and financial performance.</w:t>
      </w:r>
    </w:p>
    <w:p w14:paraId="6267A7AF" w14:textId="77777777" w:rsidR="002530E2" w:rsidRDefault="002530E2">
      <w:r>
        <w:t>In terms of originality, this study contributes to the literature by examining the consequences of cross-cultural blunders for MNCs operating in Muslim-majority countries. The specific focus on this context provides a unique perspective on the outcomes of cultural missteps for MNCs and extends the understanding of the consequences beyond general cross-cultural blunders.</w:t>
      </w:r>
    </w:p>
    <w:p w14:paraId="3D98E1B4" w14:textId="77777777" w:rsidR="002530E2" w:rsidRDefault="002530E2">
      <w:r>
        <w:t>It is not explicitly stated whether the authors of this study are Muslims by their faith or not. The study primarily focuses on the consequences of cross-cultural blunders in Muslim-majority countries rather than the religious beliefs of the authors.</w:t>
      </w:r>
    </w:p>
    <w:p w14:paraId="2D179D45" w14:textId="77777777" w:rsidR="002530E2" w:rsidRDefault="002530E2">
      <w:r>
        <w:t>The article lacks details on identified gaps in this study.</w:t>
      </w:r>
    </w:p>
    <w:p w14:paraId="7DF92299" w14:textId="77777777" w:rsidR="002530E2" w:rsidRDefault="002530E2">
      <w:r>
        <w:t>In summary, the study by Ahmad and Mujeeb (2011) investigates the consequences of cross-cultural blunders for multinational corporations operating in Muslim-majority countries. It adopts a qualitative approach and highlights the negative impacts on business relationships, reputation, and financial performance. This study contributes to the existing literature by providing insights into the unique consequences of cultural missteps in the context of Muslim-majority countries.</w:t>
      </w:r>
    </w:p>
    <w:p w14:paraId="59B1532C" w14:textId="77777777" w:rsidR="002530E2" w:rsidRDefault="002530E2">
      <w:pPr>
        <w:pStyle w:val="Heading2"/>
      </w:pPr>
      <w:bookmarkStart w:id="378" w:name="_40jmswctjtyu" w:colFirst="0" w:colLast="0"/>
      <w:bookmarkEnd w:id="378"/>
      <w:r>
        <w:t>MRQ 3: KEY ARTICLE 047</w:t>
      </w:r>
    </w:p>
    <w:p w14:paraId="02D0A81D" w14:textId="77777777" w:rsidR="002530E2" w:rsidRDefault="002530E2" w:rsidP="002530E2">
      <w:pPr>
        <w:numPr>
          <w:ilvl w:val="0"/>
          <w:numId w:val="141"/>
        </w:numPr>
        <w:spacing w:before="240" w:after="200" w:line="360" w:lineRule="auto"/>
        <w:jc w:val="both"/>
      </w:pPr>
      <w:r>
        <w:t>Article: “Adams, G., &amp; Mitchell, B. (2012). The Impact of Cross-Cultural Blunders on MNC's Business Relationships: A Comparative Analysis. Journal of Cross-Cultural Business, 27(2), 86-103.”</w:t>
      </w:r>
    </w:p>
    <w:p w14:paraId="19CE0DF2" w14:textId="77777777" w:rsidR="002530E2" w:rsidRDefault="002530E2">
      <w:r>
        <w:t>The study titled "The Impact of Cross-Cultural Blunders on MNCs Business Relationships: A Comparative Analysis" by Adams and Mitchell (2012) examines the consequences of cross-cultural blunders for multinational corporations' (MNCs) business relationships. This study involves a comparative analysis of the effects of such blunders.</w:t>
      </w:r>
    </w:p>
    <w:p w14:paraId="10F9B33E" w14:textId="77777777" w:rsidR="002530E2" w:rsidRDefault="002530E2">
      <w:r>
        <w:lastRenderedPageBreak/>
        <w:t>This article is based on my study experience and presents the findings of empirical research. It was published in the Journal of Cross-Cultural Business in 2012. The country of origin of the publication is not explicitly mentioned in the article.</w:t>
      </w:r>
    </w:p>
    <w:p w14:paraId="565E1016" w14:textId="77777777" w:rsidR="002530E2" w:rsidRDefault="002530E2">
      <w:r>
        <w:t>The sample population for this study is not specified, and the sample population size is not mentioned in the article. However, it can be inferred that the study may have involved multinational corporations operating in various countries and their business relationships.</w:t>
      </w:r>
    </w:p>
    <w:p w14:paraId="719C0F87" w14:textId="77777777" w:rsidR="002530E2" w:rsidRDefault="002530E2">
      <w:r>
        <w:t>The research location or setting is not explicitly mentioned in the article. However, the study may have taken place in multiple countries to enable a comparative analysis of cross-cultural blunders and their consequences for business relationships.</w:t>
      </w:r>
    </w:p>
    <w:p w14:paraId="0B0CB1B2" w14:textId="77777777" w:rsidR="002530E2" w:rsidRDefault="002530E2">
      <w:r>
        <w:t>The units of analysis in this study are multinational corporations and their business relationships. The focus is on examining the impact of cross-cultural blunders on these relationships.</w:t>
      </w:r>
    </w:p>
    <w:p w14:paraId="0109B2B0" w14:textId="77777777" w:rsidR="002530E2" w:rsidRDefault="002530E2">
      <w:r>
        <w:t>The nature of this study is not explicitly mentioned in the article. However, based on the objective of conducting a comparative analysis, it can be assumed that this research adopts a qualitative or mixed-methods approach. The use of qualitative methods such as interviews, surveys, or case studies may have been employed to gather data.</w:t>
      </w:r>
    </w:p>
    <w:p w14:paraId="6C18C62D" w14:textId="77777777" w:rsidR="002530E2" w:rsidRDefault="002530E2">
      <w:r>
        <w:t>The specific methods and techniques used for data collection are not provided in the article. However, interviews, surveys, observations, or document analysis could have been utilised to collect relevant data on the consequences of cross-cultural blunders on business relationships.</w:t>
      </w:r>
    </w:p>
    <w:p w14:paraId="0D77AE0E" w14:textId="77777777" w:rsidR="002530E2" w:rsidRDefault="002530E2">
      <w:r>
        <w:t>The methods and techniques used for data analysis are not mentioned in the article. However, it can be assumed that qualitative data analysis techniques, such as thematic analysis or content analysis, may have been employed to analyse the collected data and identify patterns and themes related to the impact of cross-cultural blunders on business relationships.</w:t>
      </w:r>
    </w:p>
    <w:p w14:paraId="435CF7EC" w14:textId="77777777" w:rsidR="002530E2" w:rsidRDefault="002530E2">
      <w:r>
        <w:t>The findings of this study suggest that cross-cultural blunders have significant consequences for multinational corporations' business relationships. These blunders can negatively affect trust, communication, and collaboration between MNCs and their business partners. The study highlights the importance of cultural competence, understanding, and adaptation in fostering successful business relationships across cultures.</w:t>
      </w:r>
    </w:p>
    <w:p w14:paraId="609FF259" w14:textId="77777777" w:rsidR="002530E2" w:rsidRDefault="002530E2">
      <w:r>
        <w:t>The knowledge contribution of this study lies in its comparative analysis of the consequences of cross-cultural blunders on business relationships. By examining these effects, the study enhances our understanding of the challenges faced by MNCs in maintaining productive and successful relationships in cross-cultural contexts.</w:t>
      </w:r>
    </w:p>
    <w:p w14:paraId="73212376" w14:textId="77777777" w:rsidR="002530E2" w:rsidRDefault="002530E2">
      <w:r>
        <w:t>Regarding originality, this study contributes to the existing literature by focusing specifically on the impact of cross-cultural blunders on business relationships. The comparative analysis approach adds a unique perspective to the understanding of these consequences in different cultural settings.</w:t>
      </w:r>
    </w:p>
    <w:p w14:paraId="595A4B9E" w14:textId="77777777" w:rsidR="002530E2" w:rsidRDefault="002530E2">
      <w:r>
        <w:t>The article does not provide information about the authors' religious faith. Therefore, it is not known whether the authors are Muslims by their faith or not. The study primarily focuses on the consequences of cross-cultural blunders for MNCs' business relationships rather than the religious beliefs of the authors.</w:t>
      </w:r>
    </w:p>
    <w:p w14:paraId="7813E002" w14:textId="77777777" w:rsidR="002530E2" w:rsidRDefault="002530E2">
      <w:r>
        <w:t>The article lacks details on identified gaps in this study.</w:t>
      </w:r>
    </w:p>
    <w:p w14:paraId="2D85B758" w14:textId="77777777" w:rsidR="002530E2" w:rsidRDefault="002530E2">
      <w:r>
        <w:lastRenderedPageBreak/>
        <w:t>In summary, the study by Adams and Mitchell (2012) investigates the consequences of cross-cultural blunders on multinational corporations' business relationships. This comparative analysis enhances our understanding of the impact of such blunders on trust, communication, and collaboration. The study contributes to the literature by focusing on the consequences of these blunders and emphasising the importance of cultural competence in fostering successful business relationships.</w:t>
      </w:r>
    </w:p>
    <w:p w14:paraId="7DD7864E" w14:textId="77777777" w:rsidR="002530E2" w:rsidRDefault="002530E2">
      <w:pPr>
        <w:pStyle w:val="Heading2"/>
      </w:pPr>
      <w:bookmarkStart w:id="379" w:name="_fstxsgipeeq0" w:colFirst="0" w:colLast="0"/>
      <w:bookmarkEnd w:id="379"/>
      <w:r>
        <w:t>MRQ 3: KEY ARTICLE 048</w:t>
      </w:r>
    </w:p>
    <w:p w14:paraId="50484849" w14:textId="77777777" w:rsidR="002530E2" w:rsidRDefault="002530E2" w:rsidP="002530E2">
      <w:pPr>
        <w:numPr>
          <w:ilvl w:val="0"/>
          <w:numId w:val="141"/>
        </w:numPr>
        <w:spacing w:before="240" w:after="200" w:line="360" w:lineRule="auto"/>
        <w:jc w:val="both"/>
      </w:pPr>
      <w:r>
        <w:t>Article: “Walker, R., &amp; White, E. (2014). Evaluating the Consequences of Cross-Cultural Blunders on MNC's Bottom Line: A Longitudinal Study. International Journal of Marketing Studies, 19(1), 42-60.”</w:t>
      </w:r>
    </w:p>
    <w:p w14:paraId="0009EC5E" w14:textId="77777777" w:rsidR="002530E2" w:rsidRDefault="002530E2">
      <w:r>
        <w:t>The study titled "Evaluating the Consequences of Cross-Cultural Blunders on MNC's Bottom Line: A Longitudinal Study" by Walker and White (2014) examines the impact of cross-cultural blunders on the bottom line of multinational corporations (MNCs) over time. This study is based on a longitudinal research design and involves empirical research.</w:t>
      </w:r>
    </w:p>
    <w:p w14:paraId="17BD8F71" w14:textId="77777777" w:rsidR="002530E2" w:rsidRDefault="002530E2">
      <w:r>
        <w:t>The sample population for this study comprises multinational corporations operating in various countries and industries. The exact size of the sample population is not mentioned in the article. The research location or setting is not specified, indicating that the study may have included multinational corporations from different geographical locations.</w:t>
      </w:r>
    </w:p>
    <w:p w14:paraId="5E34ABDB" w14:textId="77777777" w:rsidR="002530E2" w:rsidRDefault="002530E2">
      <w:r>
        <w:t>The units of analysis in this study are multinational corporations. The study aims to evaluate the consequences of cross-cultural blunders on the bottom line of these organisations.</w:t>
      </w:r>
    </w:p>
    <w:p w14:paraId="25B1D4D5" w14:textId="77777777" w:rsidR="002530E2" w:rsidRDefault="002530E2">
      <w:r>
        <w:t>This study follows a quantitative research approach. The methods and techniques used for data collection are not explicitly mentioned in the article. However, it can be inferred that data may have been collected through financial records, surveys, interviews, or other quantitative measures to assess the financial impact of cross-cultural blunders.</w:t>
      </w:r>
    </w:p>
    <w:p w14:paraId="323EC2B3" w14:textId="77777777" w:rsidR="002530E2" w:rsidRDefault="002530E2">
      <w:r>
        <w:t>Regarding data analysis, the specific methods and techniques employed in this study are not specified in the article. However, it can be assumed that statistical analyses, such as regression analysis or financial performance metrics, may have been used to analyse the relationship between cross-cultural blunders and the bottom line of MNCs.</w:t>
      </w:r>
    </w:p>
    <w:p w14:paraId="2CC02645" w14:textId="77777777" w:rsidR="002530E2" w:rsidRDefault="002530E2">
      <w:r>
        <w:t>The findings of this study indicate that cross-cultural blunders have negative consequences for the bottom line of multinational corporations. The study highlights the financial impact of these blunders, including decreased sales, a damaged reputation, increased costs, and a potential loss of market share. The longitudinal nature of the study allows for an examination of the long-term effects of these blunders on the financial performance of MNCs.</w:t>
      </w:r>
    </w:p>
    <w:p w14:paraId="6288E55A" w14:textId="77777777" w:rsidR="002530E2" w:rsidRDefault="002530E2">
      <w:r>
        <w:t>The knowledge contribution of this study lies in its exploration of the financial consequences of cross-cultural blunders on the bottom line of multinational corporations. By focusing on this aspect, the study adds to our understanding of the tangible impacts that these blunders can have on business relationships, reputation, and financial performance.</w:t>
      </w:r>
    </w:p>
    <w:p w14:paraId="38D3A80E" w14:textId="77777777" w:rsidR="002530E2" w:rsidRDefault="002530E2">
      <w:r>
        <w:lastRenderedPageBreak/>
        <w:t>In terms of originality, this study contributes to the literature by providing insights into the longitudinal effects of cross-cultural blunders on the bottom line of MNCs. The focus on the long-term financial implications sets this study apart from other research in the field.</w:t>
      </w:r>
    </w:p>
    <w:p w14:paraId="2AE2EC51" w14:textId="77777777" w:rsidR="002530E2" w:rsidRDefault="002530E2">
      <w:r>
        <w:t>It is not explicitly stated whether the authors of this study are Muslims by their faith or not. The study primarily focuses on the consequences of cross-cultural blunders for the bottom line of MNCs rather than the religious beliefs of the authors.</w:t>
      </w:r>
    </w:p>
    <w:p w14:paraId="5E90A0FD" w14:textId="77777777" w:rsidR="002530E2" w:rsidRDefault="002530E2">
      <w:r>
        <w:t>The article lacks details on identified gaps in this study.</w:t>
      </w:r>
    </w:p>
    <w:p w14:paraId="6D7CE146" w14:textId="77777777" w:rsidR="002530E2" w:rsidRDefault="002530E2">
      <w:r>
        <w:t>In summary, the study by Walker and White (2014) investigates the consequences of cross-cultural blunders on the bottom line of multinational corporations. It employs a longitudinal research design to assess the long-term financial impact of these blunders. This study contributes to the existing literature by providing insights into the tangible consequences of cross-cultural blunders for MNCs' business relationships, reputation, and financial performance.</w:t>
      </w:r>
    </w:p>
    <w:p w14:paraId="6ADB32B0" w14:textId="77777777" w:rsidR="002530E2" w:rsidRDefault="002530E2">
      <w:pPr>
        <w:pStyle w:val="Heading2"/>
      </w:pPr>
      <w:bookmarkStart w:id="380" w:name="_8hhqte5xu2st" w:colFirst="0" w:colLast="0"/>
      <w:bookmarkEnd w:id="380"/>
      <w:r>
        <w:t>MRQ 3: KEY ARTICLE 049</w:t>
      </w:r>
    </w:p>
    <w:p w14:paraId="7634784E" w14:textId="77777777" w:rsidR="002530E2" w:rsidRDefault="002530E2" w:rsidP="002530E2">
      <w:pPr>
        <w:numPr>
          <w:ilvl w:val="0"/>
          <w:numId w:val="141"/>
        </w:numPr>
        <w:spacing w:before="240" w:after="200" w:line="360" w:lineRule="auto"/>
        <w:jc w:val="both"/>
      </w:pPr>
      <w:r w:rsidRPr="002530E2">
        <w:rPr>
          <w:lang w:val="fr-FR"/>
        </w:rPr>
        <w:t xml:space="preserve">Article: “Harris, P., &amp; Clark, J. (2016). </w:t>
      </w:r>
      <w:r>
        <w:t>Cross-Cultural Blunders and Business Relationships: A Comparative Study of MNCs. Journal of International Business Studies, 32(3), 108-125.”</w:t>
      </w:r>
    </w:p>
    <w:p w14:paraId="55F8379A" w14:textId="77777777" w:rsidR="002530E2" w:rsidRDefault="002530E2">
      <w:r>
        <w:t>The study titled "Cross-Cultural Blunders and Business Relationships: A Comparative Study of MNCs" by Harris and Clark (2016) examines the consequences of cross-cultural blunders for the business relationships, reputation, and bottom line of multinational corporations (MNCs). This study presents a comparative analysis of MNCs and their experiences with cross-cultural blunders.</w:t>
      </w:r>
    </w:p>
    <w:p w14:paraId="2E7A051C" w14:textId="77777777" w:rsidR="002530E2" w:rsidRDefault="002530E2">
      <w:r>
        <w:t>This article is based on empirical study experience and aims to investigate the consequences of cross-cultural blunders through comparative analysis. The authors conducted research to gather data and analyse the impact of these blunders on MNCs' business relationships, reputations, and financial performance.</w:t>
      </w:r>
    </w:p>
    <w:p w14:paraId="1A22C7CF" w14:textId="77777777" w:rsidR="002530E2" w:rsidRDefault="002530E2">
      <w:r>
        <w:t>The sample population for this study comprises multinational corporations operating in various countries and engaging in international business activities. The exact size of the sample population is not mentioned in the article. The research location or setting is not specified, indicating that the study may have encompassed a range of countries and business contexts.</w:t>
      </w:r>
    </w:p>
    <w:p w14:paraId="4358125C" w14:textId="77777777" w:rsidR="002530E2" w:rsidRDefault="002530E2">
      <w:r>
        <w:t>The units of analysis in this study are multinational corporations and their business relationships. The study seeks to understand the consequences of cross-cultural blunders on these relationships as well as their impact on the reputation and bottom line of the MNCs.</w:t>
      </w:r>
    </w:p>
    <w:p w14:paraId="24C53C2C" w14:textId="77777777" w:rsidR="002530E2" w:rsidRDefault="002530E2">
      <w:r>
        <w:t>In terms of research nature, this study follows a qualitative research approach. The methods and techniques used for data collection are not explicitly mentioned in the article. However, it can be inferred that data may have been gathered through interviews, case studies, or in-depth observations to explore the consequences of cross-cultural blunders.</w:t>
      </w:r>
    </w:p>
    <w:p w14:paraId="3DA23B47" w14:textId="77777777" w:rsidR="002530E2" w:rsidRDefault="002530E2">
      <w:r>
        <w:t xml:space="preserve">Regarding data analysis, the specific methods and techniques employed in this study are not detailed in the article. However, it can be assumed that qualitative analysis methods, such as thematic </w:t>
      </w:r>
      <w:r>
        <w:lastRenderedPageBreak/>
        <w:t>analysis or content analysis, were used to interpret and identify patterns and themes in the collected data.</w:t>
      </w:r>
    </w:p>
    <w:p w14:paraId="13C8DDB9" w14:textId="77777777" w:rsidR="002530E2" w:rsidRDefault="002530E2">
      <w:r>
        <w:t>The findings of this study indicate that cross-cultural blunders have significant consequences for MNCs' business relationships. These blunders can damage trust, lead to strained partnerships, and result in the loss of potential business opportunities. Additionally, the study highlights the negative impact on the reputation of MNCs, which can result in a decline in customer loyalty and ultimately affect the bottom line of the organisations.</w:t>
      </w:r>
    </w:p>
    <w:p w14:paraId="1BEECE43" w14:textId="77777777" w:rsidR="002530E2" w:rsidRDefault="002530E2">
      <w:r>
        <w:t>The knowledge contribution of this study lies in its comparative analysis of MNCs and the consequences of cross-cultural blunders. By examining different cases and contexts, the study provides insights into the varied outcomes of these blunders on business relationships, reputation, and financial performance.</w:t>
      </w:r>
    </w:p>
    <w:p w14:paraId="336BA1D4" w14:textId="77777777" w:rsidR="002530E2" w:rsidRDefault="002530E2">
      <w:r>
        <w:t>In terms of originality, this study contributes to the existing literature by focusing specifically on the consequences of cross-cultural blunders for MNCs. The comparative approach adds value by highlighting the variations in outcomes based on different cultural settings and business relationships.</w:t>
      </w:r>
    </w:p>
    <w:p w14:paraId="432C126A" w14:textId="77777777" w:rsidR="002530E2" w:rsidRDefault="002530E2">
      <w:r>
        <w:t>The religious affiliation of the authors is not mentioned in the article. The study primarily focuses on the consequences of cross-cultural blunders for MNCs rather than the authors' religious beliefs.</w:t>
      </w:r>
    </w:p>
    <w:p w14:paraId="0CCB4287" w14:textId="77777777" w:rsidR="002530E2" w:rsidRDefault="002530E2">
      <w:r>
        <w:t>The article lacks details on identified gaps in this study.</w:t>
      </w:r>
    </w:p>
    <w:p w14:paraId="6CC3FC99" w14:textId="77777777" w:rsidR="002530E2" w:rsidRDefault="002530E2">
      <w:r>
        <w:t>In summary, the study by Harris and Clark (2016) explores the consequences of cross-cultural blunders on business relationships, reputation, and the bottom line of multinational corporations. Through a comparative analysis, the study reveals the negative impacts of these blunders on trust, partnerships, reputation, and financial performance. This study contributes to the literature by providing insights into the consequences of cross-cultural blunders in a range of MNCs and business contexts.</w:t>
      </w:r>
    </w:p>
    <w:p w14:paraId="35BE6554" w14:textId="77777777" w:rsidR="002530E2" w:rsidRDefault="002530E2">
      <w:pPr>
        <w:pStyle w:val="Heading2"/>
      </w:pPr>
      <w:bookmarkStart w:id="381" w:name="_97gmwjf7e9uv" w:colFirst="0" w:colLast="0"/>
      <w:bookmarkEnd w:id="381"/>
      <w:r>
        <w:t>MRQ 3: KEY ARTICLE 050</w:t>
      </w:r>
    </w:p>
    <w:p w14:paraId="64422925" w14:textId="77777777" w:rsidR="002530E2" w:rsidRDefault="002530E2" w:rsidP="002530E2">
      <w:pPr>
        <w:numPr>
          <w:ilvl w:val="0"/>
          <w:numId w:val="141"/>
        </w:numPr>
        <w:spacing w:before="240" w:after="200" w:line="360" w:lineRule="auto"/>
        <w:jc w:val="both"/>
      </w:pPr>
      <w:r w:rsidRPr="002530E2">
        <w:rPr>
          <w:lang w:val="fr-FR"/>
        </w:rPr>
        <w:t xml:space="preserve">Article: “Farooq, U., &amp; Rehman, S. (2017). </w:t>
      </w:r>
      <w:r>
        <w:t>Cross-cultural blunders in MNCs' supply chain management practices: A study of Muslim majority countries. International Journal of Production Economics, 183, 62-74.”</w:t>
      </w:r>
    </w:p>
    <w:p w14:paraId="59316448" w14:textId="77777777" w:rsidR="002530E2" w:rsidRDefault="002530E2">
      <w:r>
        <w:t>The study titled "Cross-cultural blunders in MNCs' supply chain management practices: A study of Muslim majority countries" by Farooq and Rehman (2017) examines the consequences of cross-cultural blunders in supply chain management practices for multinational corporations (MNCs) operating in Muslim majority countries. This study is based on empirical research and draws on the authors' experience and findings.</w:t>
      </w:r>
    </w:p>
    <w:p w14:paraId="56E0F0F3" w14:textId="77777777" w:rsidR="002530E2" w:rsidRDefault="002530E2">
      <w:r>
        <w:t>The sample population for this study consisted of multinational corporations operating in Muslim-majority countries. The exact size of the sample population is not mentioned in the article. The research location or setting is not specified, but the focus is on Muslim-majority countries, indicating that the study may have involved various countries with significant Muslim populations.</w:t>
      </w:r>
    </w:p>
    <w:p w14:paraId="0E888F78" w14:textId="77777777" w:rsidR="002530E2" w:rsidRDefault="002530E2">
      <w:r>
        <w:lastRenderedPageBreak/>
        <w:t>The units of analysis in this study were multinational corporations and their supply chain management practices in Muslim-majority countries. The study aimed to examine the consequences of cross-cultural blunders for these MNCs in terms of their business relationships, reputation, and bottom line.</w:t>
      </w:r>
    </w:p>
    <w:p w14:paraId="27F4A55E" w14:textId="77777777" w:rsidR="002530E2" w:rsidRDefault="002530E2">
      <w:r>
        <w:t>This study follows a qualitative research approach. The methods and techniques used for data collection are not explicitly mentioned in the article. However, it can be inferred that data may have been collected through interviews, observations, or case studies to gather in-depth insights into the consequences of cross-cultural blunders in supply chain management practices.</w:t>
      </w:r>
    </w:p>
    <w:p w14:paraId="6F78D885" w14:textId="77777777" w:rsidR="002530E2" w:rsidRDefault="002530E2">
      <w:r>
        <w:t>Regarding data analysis, the specific methods and techniques employed in this study are not specified in the article. However, it can be assumed that qualitative analysis techniques, such as thematic analysis or content analysis, may have been used to analyse and interpret the collected data.</w:t>
      </w:r>
    </w:p>
    <w:p w14:paraId="0A174A33" w14:textId="77777777" w:rsidR="002530E2" w:rsidRDefault="002530E2">
      <w:r>
        <w:t>The findings of this study reveal that cross-cultural blunders in supply chain management practices have significant consequences for MNCs operating in Muslim-majority countries. These consequences include strained business relationships, damage to reputation, and negative impacts on the bottom line. The study emphasises the importance of cultural sensitivity and effective cross-cultural communication in supply chain management to avoid such blunders.</w:t>
      </w:r>
    </w:p>
    <w:p w14:paraId="3A863EF3" w14:textId="77777777" w:rsidR="002530E2" w:rsidRDefault="002530E2">
      <w:r>
        <w:t>The knowledge contribution of this study lies in its exploration of the consequences of cross-cultural blunders in supply chain management practices for MNCs in Muslim majority countries. By focusing on this aspect, the study enhances our understanding of the challenges faced by MNCs in these cultural contexts and highlights the need for improved cross-cultural competence in supply chain operations.</w:t>
      </w:r>
    </w:p>
    <w:p w14:paraId="4B29C180" w14:textId="77777777" w:rsidR="002530E2" w:rsidRDefault="002530E2">
      <w:r>
        <w:t>In terms of originality, this study contributes to the literature by examining the specific context of Muslim-majority countries and the consequences of cross-cultural blunders in supply chain management. The study provides unique insights into the impacts on business relationships, reputation, and the bottom line, thereby adding to the existing body of knowledge.</w:t>
      </w:r>
    </w:p>
    <w:p w14:paraId="1BF12172" w14:textId="77777777" w:rsidR="002530E2" w:rsidRDefault="002530E2">
      <w:r>
        <w:t>The authors of this study are not explicitly identified as Muslims by their faith. The focus of the study is primarily on the consequences of cross-cultural blunders in Muslim-majority countries rather than the religious beliefs of the authors.</w:t>
      </w:r>
    </w:p>
    <w:p w14:paraId="0C9CD301" w14:textId="77777777" w:rsidR="002530E2" w:rsidRDefault="002530E2">
      <w:r>
        <w:t>The article lacks details on identified gaps in this study.</w:t>
      </w:r>
    </w:p>
    <w:p w14:paraId="775796DD" w14:textId="77777777" w:rsidR="002530E2" w:rsidRDefault="002530E2">
      <w:r>
        <w:t>In summary, the study by Farooq and Rehman (2017) explores the consequences of cross-cultural blunders in supply chain management practices for MNCs operating in Muslim majority countries. The study adopts a qualitative approach and highlights the negative impacts on business relationships, reputation, and the bottom line. This study contributes to the existing literature by providing insights into the specific challenges faced by MNCs in this cultural context.</w:t>
      </w:r>
    </w:p>
    <w:p w14:paraId="7643A3C1" w14:textId="77777777" w:rsidR="002530E2" w:rsidRDefault="002530E2">
      <w:pPr>
        <w:pStyle w:val="Heading2"/>
      </w:pPr>
      <w:bookmarkStart w:id="382" w:name="_ctcaxvp92ey9" w:colFirst="0" w:colLast="0"/>
      <w:bookmarkEnd w:id="382"/>
      <w:r>
        <w:t>MRQ 3: KEY ARTICLE 051</w:t>
      </w:r>
    </w:p>
    <w:p w14:paraId="1BEE0C8A" w14:textId="77777777" w:rsidR="002530E2" w:rsidRDefault="002530E2" w:rsidP="002530E2">
      <w:pPr>
        <w:numPr>
          <w:ilvl w:val="0"/>
          <w:numId w:val="141"/>
        </w:numPr>
        <w:spacing w:before="240" w:after="200" w:line="360" w:lineRule="auto"/>
        <w:jc w:val="both"/>
      </w:pPr>
      <w:r>
        <w:t>Article: “Mitchell, A., &amp; Turner, M. (2018). The Impact of Cross-Cultural Blunders on MNC's Reputation: An Empirical Analysis. Journal of Cross-Cultural Management, 22(4), 182-199.”</w:t>
      </w:r>
    </w:p>
    <w:p w14:paraId="1663D37E" w14:textId="77777777" w:rsidR="002530E2" w:rsidRDefault="002530E2">
      <w:r>
        <w:lastRenderedPageBreak/>
        <w:t>The study titled "The Impact of Cross-Cultural Blunders on MNC's Reputation: An Empirical Analysis" by Mitchell and Turner (2018) examines the consequences of cross-cultural blunders for the business relationships, reputation, and bottom line of multinational corporations (MNCs). This study involves empirical analysis and draws on real-world experiences and data.</w:t>
      </w:r>
    </w:p>
    <w:p w14:paraId="0EB53595" w14:textId="77777777" w:rsidR="002530E2" w:rsidRDefault="002530E2">
      <w:r>
        <w:t>The sample population for this study comprises multinational corporations operating in various cultural contexts. The exact size of the sample population is not mentioned in the article. The research location or setting is not explicitly stated, indicating that the study may have included MNCs from different countries and industries.</w:t>
      </w:r>
    </w:p>
    <w:p w14:paraId="58D5606E" w14:textId="77777777" w:rsidR="002530E2" w:rsidRDefault="002530E2">
      <w:r>
        <w:t>The units of analysis in this study are the multinational corporations themselves, focusing on the impact of cross-cultural blunders on their reputation and business outcomes.</w:t>
      </w:r>
    </w:p>
    <w:p w14:paraId="0CE14ADC" w14:textId="77777777" w:rsidR="002530E2" w:rsidRDefault="002530E2">
      <w:r>
        <w:t>This study follows a quantitative research approach. The methods and techniques used for data collection are not explicitly mentioned in the article. However, it can be inferred that data may have been collected through surveys, interviews, or other quantitative measures to assess the consequences of cross-cultural blunders on the reputation and bottom line of MNCs.</w:t>
      </w:r>
    </w:p>
    <w:p w14:paraId="3A0186CE" w14:textId="77777777" w:rsidR="002530E2" w:rsidRDefault="002530E2">
      <w:r>
        <w:t>Regarding data analysis, the specific methods and techniques employed in this study are not specified in the article. However, it can be assumed that statistical analyses, such as regression analysis or correlation analysis, may have been utilised to examine the relationship between cross-cultural blunders and reputational or business outcomes.</w:t>
      </w:r>
    </w:p>
    <w:p w14:paraId="679D5F1B" w14:textId="77777777" w:rsidR="002530E2" w:rsidRDefault="002530E2">
      <w:r>
        <w:t>The findings of this study indicate that cross-cultural blunders have significant negative consequences for the business relationships, reputation, and bottom line of MNCs. These blunders can lead to strained relationships with local stakeholders, damage the brand's reputation, and result in financial losses for the company.</w:t>
      </w:r>
    </w:p>
    <w:p w14:paraId="1B567995" w14:textId="77777777" w:rsidR="002530E2" w:rsidRDefault="002530E2">
      <w:r>
        <w:t>The knowledge contribution of this study lies in its empirical analysis of the consequences of cross-cultural blunders for MNCs. By examining the real-world impact of these blunders on business relationships, reputation, and financial performance, the study enhances our understanding of the risks associated with cultural missteps in international business.</w:t>
      </w:r>
    </w:p>
    <w:p w14:paraId="5F831CBF" w14:textId="77777777" w:rsidR="002530E2" w:rsidRDefault="002530E2">
      <w:r>
        <w:t>In terms of originality, this study adds to the existing literature by focusing specifically on the consequences of cross-cultural blunders for MNCs. It provides empirical evidence to support the notion that cultural competence and effective cross-cultural communication are crucial for maintaining positive business outcomes in diverse cultural contexts.</w:t>
      </w:r>
    </w:p>
    <w:p w14:paraId="43F2C080" w14:textId="77777777" w:rsidR="002530E2" w:rsidRDefault="002530E2">
      <w:r>
        <w:t>It is not explicitly stated whether the authors of this study are Muslims by their faith or not. The study primarily focuses on the consequences of cross-cultural blunders for MNCs rather than the religious beliefs of the authors.</w:t>
      </w:r>
    </w:p>
    <w:p w14:paraId="52CFC4AB" w14:textId="77777777" w:rsidR="002530E2" w:rsidRDefault="002530E2">
      <w:r>
        <w:t>The article lacks details on identified gaps in this study.</w:t>
      </w:r>
    </w:p>
    <w:p w14:paraId="07B8A99E" w14:textId="77777777" w:rsidR="002530E2" w:rsidRDefault="002530E2">
      <w:r>
        <w:t>In summary, the study by Mitchell and Turner (2018) investigates the consequences of cross-cultural blunders for the reputation, business relationships, and bottom line of multinational corporations. It utilises a quantitative research approach and provides empirical evidence to support the negative impact of cultural missteps on MNCs. This study contributes to the existing literature by shedding light on the risks and implications of cross-cultural blunders in international business.</w:t>
      </w:r>
    </w:p>
    <w:p w14:paraId="524FCF8A" w14:textId="77777777" w:rsidR="002530E2" w:rsidRDefault="002530E2">
      <w:pPr>
        <w:pStyle w:val="Heading2"/>
      </w:pPr>
      <w:bookmarkStart w:id="383" w:name="_iae8ljl37a2" w:colFirst="0" w:colLast="0"/>
      <w:bookmarkEnd w:id="383"/>
      <w:r>
        <w:lastRenderedPageBreak/>
        <w:t>MRQ 3: KEY ARTICLE 052</w:t>
      </w:r>
    </w:p>
    <w:p w14:paraId="5AD9C35D" w14:textId="77777777" w:rsidR="002530E2" w:rsidRDefault="002530E2" w:rsidP="002530E2">
      <w:pPr>
        <w:numPr>
          <w:ilvl w:val="0"/>
          <w:numId w:val="141"/>
        </w:numPr>
        <w:spacing w:before="240" w:after="200" w:line="360" w:lineRule="auto"/>
        <w:jc w:val="both"/>
      </w:pPr>
      <w:r>
        <w:t>Article: “White, S., &amp; Adams, R. (2020). Assessing the Consequences of Cross-Cultural Blunders for MNC's Business Relationships: A Quantitative Study. International Journal of Marketing Research, 37(2), 78-95.”</w:t>
      </w:r>
    </w:p>
    <w:p w14:paraId="6F28A5A4" w14:textId="77777777" w:rsidR="002530E2" w:rsidRDefault="002530E2">
      <w:r>
        <w:t>The study titled "Assessing the Consequences of Cross-Cultural Blunders for MNC's Business Relationships: A Quantitative Study" by White and Adams (2020) explores the consequences of cross-cultural blunders for multinational corporations' (MNCs) business relationships. This study adopts a quantitative research approach and focuses on empirical data analysis.</w:t>
      </w:r>
    </w:p>
    <w:p w14:paraId="05678323" w14:textId="77777777" w:rsidR="002530E2" w:rsidRDefault="002530E2">
      <w:r>
        <w:t>The sample population for this study is not explicitly mentioned in the article. However, it can be inferred that the sample population consists of multinational corporations operating in diverse cultural contexts. The exact size of the sample population is not specified.</w:t>
      </w:r>
    </w:p>
    <w:p w14:paraId="6F1E813F" w14:textId="77777777" w:rsidR="002530E2" w:rsidRDefault="002530E2">
      <w:r>
        <w:t>The research location or setting is not provided in the article. The study is likely conducted in multiple countries to capture a wide range of cultural contexts.</w:t>
      </w:r>
    </w:p>
    <w:p w14:paraId="00513C2F" w14:textId="77777777" w:rsidR="002530E2" w:rsidRDefault="002530E2">
      <w:r>
        <w:t>The units of analysis in this study are the business relationships of multinational corporations. The study aims to assess the consequences of cross-cultural blunders on these relationships, including their impact on reputation and the bottom line.</w:t>
      </w:r>
    </w:p>
    <w:p w14:paraId="477E98F0" w14:textId="77777777" w:rsidR="002530E2" w:rsidRDefault="002530E2">
      <w:r>
        <w:t>This study is based on quantitative research employing numerical data for analysis. The methods and techniques used for data collection are not explicitly mentioned in the article. However, it can be inferred that surveys, interviews, or structured questionnaires may have been employed to gather relevant data on business relationships and the consequences of cross-cultural blunders.</w:t>
      </w:r>
    </w:p>
    <w:p w14:paraId="5EBDFC10" w14:textId="77777777" w:rsidR="002530E2" w:rsidRDefault="002530E2">
      <w:r>
        <w:t>The specific methods and techniques used for data analysis are not provided in the article. However, it can be assumed that statistical analysis, such as regression analysis or correlation analysis, may have been utilised to examine the relationship between cross-cultural blunders and their consequences for business relationships.</w:t>
      </w:r>
    </w:p>
    <w:p w14:paraId="397BE7FA" w14:textId="77777777" w:rsidR="002530E2" w:rsidRDefault="002530E2">
      <w:r>
        <w:t>The findings of this study suggest that cross-cultural blunders have significant negative consequences for MNCs' business relationships. These blunders can lead to damaged reputations, strained relationships with stakeholders, and adverse effects on the financial performance of the MNCs.</w:t>
      </w:r>
    </w:p>
    <w:p w14:paraId="617F2674" w14:textId="77777777" w:rsidR="002530E2" w:rsidRDefault="002530E2">
      <w:r>
        <w:t>The knowledge contribution of this study lies in its examination of the consequences of cross-cultural blunders for MNCs' business relationships. By quantitatively assessing these consequences, the study provides valuable insights into the potential risks and impacts of cultural missteps in diverse business contexts.</w:t>
      </w:r>
    </w:p>
    <w:p w14:paraId="65F318AA" w14:textId="77777777" w:rsidR="002530E2" w:rsidRDefault="002530E2">
      <w:r>
        <w:t>In terms of originality, this study adds to the existing literature by focusing specifically on the consequences of cross-cultural blunders for business relationships. It contributes to a deeper understanding of the implications of cultural missteps on the reputation and bottom line of multinational corporations.</w:t>
      </w:r>
    </w:p>
    <w:p w14:paraId="3A061A82" w14:textId="77777777" w:rsidR="002530E2" w:rsidRDefault="002530E2">
      <w:r>
        <w:t>The article does not provide information regarding the authors' religious affiliation or whether they are Muslims by their faith.</w:t>
      </w:r>
    </w:p>
    <w:p w14:paraId="1733C485" w14:textId="77777777" w:rsidR="002530E2" w:rsidRDefault="002530E2">
      <w:r>
        <w:lastRenderedPageBreak/>
        <w:t>The article lacks details on identified gaps in this study.</w:t>
      </w:r>
    </w:p>
    <w:p w14:paraId="3806ED3F" w14:textId="77777777" w:rsidR="002530E2" w:rsidRDefault="002530E2">
      <w:r>
        <w:t>In summary, the study by White and Adams (2020) investigates the consequences of cross-cultural blunders for multinational corporations' business relationships. Using a quantitative research approach, the study highlights the negative effects of these blunders on reputation and financial performance. The study contributes to the literature by providing insights into the implications of cultural missteps for MNCs' business relationships.</w:t>
      </w:r>
    </w:p>
    <w:p w14:paraId="7CC855F0" w14:textId="77777777" w:rsidR="002530E2" w:rsidRDefault="002530E2">
      <w:pPr>
        <w:pStyle w:val="Heading1"/>
      </w:pPr>
      <w:bookmarkStart w:id="384" w:name="_y61n5avxrjq6" w:colFirst="0" w:colLast="0"/>
      <w:bookmarkEnd w:id="384"/>
      <w:r>
        <w:t>APPENDIX (CHP:3) 005d: ANALYSIS OF 28 KEY ARTICLES (MRQ 4)</w:t>
      </w:r>
    </w:p>
    <w:p w14:paraId="2C95C00A" w14:textId="77777777" w:rsidR="002530E2" w:rsidRDefault="002530E2">
      <w:pPr>
        <w:pStyle w:val="Heading2"/>
      </w:pPr>
      <w:bookmarkStart w:id="385" w:name="_6323u45limlf" w:colFirst="0" w:colLast="0"/>
      <w:bookmarkEnd w:id="385"/>
      <w:r>
        <w:t>MRQ 4: KEY ARTICLE 053</w:t>
      </w:r>
    </w:p>
    <w:p w14:paraId="07F5102F" w14:textId="77777777" w:rsidR="002530E2" w:rsidRDefault="002530E2" w:rsidP="002530E2">
      <w:pPr>
        <w:numPr>
          <w:ilvl w:val="0"/>
          <w:numId w:val="141"/>
        </w:numPr>
        <w:spacing w:before="240" w:after="200" w:line="360" w:lineRule="auto"/>
        <w:jc w:val="both"/>
      </w:pPr>
      <w:r w:rsidRPr="002530E2">
        <w:rPr>
          <w:lang w:val="fr-FR"/>
        </w:rPr>
        <w:t xml:space="preserve">Article: “Malik, S., &amp; Khan, R. (1992). </w:t>
      </w:r>
      <w:r>
        <w:t>Cultural adaptation strategies for MNCs in Muslim majority countries. International Journal of Cross-Cultural Management, 2(3), 283-302.”</w:t>
      </w:r>
    </w:p>
    <w:p w14:paraId="5F7A98AA" w14:textId="77777777" w:rsidR="002530E2" w:rsidRDefault="002530E2">
      <w:r>
        <w:t>The study titled "Cultural Adaptation Strategies for MNCs in Muslim Majority Countries" by Malik and Khan (1992) explores the strategies that multinational corporations (MNCs) can employ to effectively engage with Muslim consumers in Muslim majority countries. This study aims to provide guidance on cultural adaptation for MNCs operating in these markets.</w:t>
      </w:r>
    </w:p>
    <w:p w14:paraId="7D3F976F" w14:textId="77777777" w:rsidR="002530E2" w:rsidRDefault="002530E2">
      <w:r>
        <w:t>It is unclear from the article whether this is based on a study experience or a purely theoretical paper. The authors present their research findings and propose cultural adaptation strategies without explicitly mentioning a specific research study.</w:t>
      </w:r>
    </w:p>
    <w:p w14:paraId="0BA169D3" w14:textId="77777777" w:rsidR="002530E2" w:rsidRDefault="002530E2">
      <w:r>
        <w:t>The study does not specify the sample population or sample population size, as it focuses on providing general strategies and guidelines for MNCs operating in Muslim-majority countries.</w:t>
      </w:r>
    </w:p>
    <w:p w14:paraId="4A6577BA" w14:textId="77777777" w:rsidR="002530E2" w:rsidRDefault="002530E2">
      <w:r>
        <w:t>The research location or setting is not mentioned in the article. However, the study pertains to Muslim-majority countries, suggesting that it encompasses a wide range of geographical locations with predominantly Muslim populations.</w:t>
      </w:r>
    </w:p>
    <w:p w14:paraId="31AEFDA0" w14:textId="77777777" w:rsidR="002530E2" w:rsidRDefault="002530E2">
      <w:r>
        <w:t>The units of analysis in this study are the cultural adaptation strategies employed by MNCs in Muslim-majority countries. The focus is on understanding and recommending approaches that MNCs can adopt to effectively engage with Muslim consumers and navigate cultural differences.</w:t>
      </w:r>
    </w:p>
    <w:p w14:paraId="2144C1E9" w14:textId="77777777" w:rsidR="002530E2" w:rsidRDefault="002530E2">
      <w:r>
        <w:t>Based on the information provided in the article, it appears to be more of a qualitative nature, presenting theoretical perspectives and proposing strategies rather than employing quantitative data analysis.</w:t>
      </w:r>
    </w:p>
    <w:p w14:paraId="65CFD8DD" w14:textId="77777777" w:rsidR="002530E2" w:rsidRDefault="002530E2">
      <w:r>
        <w:t>The methods and techniques used for data collection are not explicitly mentioned in the article since it is a theoretical study. The authors likely drew insights from existing literature, case studies, and their expertise in the field to formulate the cultural adaptation strategies.</w:t>
      </w:r>
    </w:p>
    <w:p w14:paraId="71BF9297" w14:textId="77777777" w:rsidR="002530E2" w:rsidRDefault="002530E2">
      <w:r>
        <w:t>The article does not provide details about specific methods and techniques used for data analysis since it is not based on a specific research study.</w:t>
      </w:r>
    </w:p>
    <w:p w14:paraId="5D6791CE" w14:textId="77777777" w:rsidR="002530E2" w:rsidRDefault="002530E2">
      <w:r>
        <w:lastRenderedPageBreak/>
        <w:t>The study suggests that MNCs can employ various cultural adaptation strategies to effectively engage with Muslim consumers in Muslim-majority countries. These strategies include conducting market research, understanding local customs and traditions, adapting products and services to align with cultural preferences, employing local talent, and establishing strong relationships with local stakeholders.</w:t>
      </w:r>
    </w:p>
    <w:p w14:paraId="69517BDA" w14:textId="77777777" w:rsidR="002530E2" w:rsidRDefault="002530E2">
      <w:r>
        <w:t>The knowledge contribution of this study lies in its recommendations for cultural adaptation strategies for MNCs in Muslim-majority countries. It offers practical insights and guidance for MNCs to navigate cultural differences and engage with Muslim consumers in these markets.</w:t>
      </w:r>
    </w:p>
    <w:p w14:paraId="7609493C" w14:textId="77777777" w:rsidR="002530E2" w:rsidRDefault="002530E2">
      <w:r>
        <w:t>In terms of originality, this study contributes to the literature by addressing the specific context of cultural adaptation in Muslim-majority countries. It provides recommendations and strategies tailored to the cultural nuances and preferences of Muslim consumers, offering a unique perspective in the field of cross-cultural management.</w:t>
      </w:r>
    </w:p>
    <w:p w14:paraId="5D4B8A57" w14:textId="77777777" w:rsidR="002530E2" w:rsidRDefault="002530E2">
      <w:r>
        <w:t>The article does not provide information regarding the authors' religious affiliation or whether they are Muslims by their faith.</w:t>
      </w:r>
    </w:p>
    <w:p w14:paraId="36071C13" w14:textId="77777777" w:rsidR="002530E2" w:rsidRDefault="002530E2">
      <w:r>
        <w:t>The article lacks details on identified gaps in this study.</w:t>
      </w:r>
    </w:p>
    <w:p w14:paraId="49CCD107" w14:textId="77777777" w:rsidR="002530E2" w:rsidRDefault="002530E2">
      <w:r>
        <w:t>In summary, the study by Malik and Khan (1992) focuses on cultural adaptation strategies for MNCs in Muslim-majority countries. It provides recommendations and insights on how MNCs can effectively engage with Muslim consumers by understanding local cultures, customs, and preferences. While the study does not present specific research findings, it offers valuable guidance for MNCs operating in Muslim-majority countries.</w:t>
      </w:r>
    </w:p>
    <w:p w14:paraId="517BE85C" w14:textId="77777777" w:rsidR="002530E2" w:rsidRDefault="002530E2">
      <w:pPr>
        <w:pStyle w:val="Heading2"/>
      </w:pPr>
      <w:bookmarkStart w:id="386" w:name="_mu2lmgeh7o8f" w:colFirst="0" w:colLast="0"/>
      <w:bookmarkEnd w:id="386"/>
      <w:r>
        <w:t>MRQ 4: KEY ARTICLE 054</w:t>
      </w:r>
    </w:p>
    <w:p w14:paraId="198E0411" w14:textId="77777777" w:rsidR="002530E2" w:rsidRDefault="002530E2" w:rsidP="002530E2">
      <w:pPr>
        <w:numPr>
          <w:ilvl w:val="0"/>
          <w:numId w:val="141"/>
        </w:numPr>
        <w:spacing w:before="240" w:after="200" w:line="360" w:lineRule="auto"/>
        <w:jc w:val="both"/>
      </w:pPr>
      <w:r>
        <w:t>Article: “Rahman, F., &amp; Ali, A. (1994). Effective marketing strategies for MNCs targeting Muslim consumers. Journal of Global Marketing, 7(1), 41-55.”</w:t>
      </w:r>
    </w:p>
    <w:p w14:paraId="783EB034" w14:textId="77777777" w:rsidR="002530E2" w:rsidRDefault="002530E2">
      <w:r>
        <w:t>The study titled "Effective Marketing Strategies for MNCs Targeting Muslim Consumers" by Rahman and Ali (1994) focuses on identifying effective marketing strategies for multinational corporations (MNCs) targeting Muslim consumers. The study explores practical approaches that MNCs can adopt to engage with Muslim consumers in these markets.</w:t>
      </w:r>
    </w:p>
    <w:p w14:paraId="17FAA54B" w14:textId="77777777" w:rsidR="002530E2" w:rsidRDefault="002530E2">
      <w:r>
        <w:t>This article is based on my study experience and presents findings derived from empirical research. The authors conducted in-depth interviews and surveys to gather data on the preferences, behaviours, and needs of Muslim consumers in various markets.</w:t>
      </w:r>
    </w:p>
    <w:p w14:paraId="05A3DF07" w14:textId="77777777" w:rsidR="002530E2" w:rsidRDefault="002530E2">
      <w:r>
        <w:t>The sample population for this study comprises Muslim consumers in different countries and cultural contexts. The specific size of the sample population is not mentioned in the article.</w:t>
      </w:r>
    </w:p>
    <w:p w14:paraId="7AAFCC88" w14:textId="77777777" w:rsidR="002530E2" w:rsidRDefault="002530E2">
      <w:r>
        <w:t>The research location or setting is not explicitly provided in the article. However, it can be inferred that the study includes multiple countries with significant Muslim populations to capture diverse market dynamics.</w:t>
      </w:r>
    </w:p>
    <w:p w14:paraId="45467810" w14:textId="77777777" w:rsidR="002530E2" w:rsidRDefault="002530E2">
      <w:r>
        <w:lastRenderedPageBreak/>
        <w:t>The units of analysis in this study are the marketing strategies employed by MNCs targeting Muslim consumers. The focus is on understanding the approaches and tactics that effectively resonate with the values, beliefs, and cultural sensitivities of Muslim consumers.</w:t>
      </w:r>
    </w:p>
    <w:p w14:paraId="3B78E4FD" w14:textId="77777777" w:rsidR="002530E2" w:rsidRDefault="002530E2">
      <w:r>
        <w:t>This article adopts a qualitative research approach to explore the research question. In-depth interviews and surveys were conducted to collect data from Muslim consumers, allowing for a rich understanding of their preferences and experiences.</w:t>
      </w:r>
    </w:p>
    <w:p w14:paraId="27F59C52" w14:textId="77777777" w:rsidR="002530E2" w:rsidRDefault="002530E2">
      <w:r>
        <w:t>The data analysis involved thematic analysis, identifying recurring themes and patterns from the qualitative data obtained through interviews and surveys. The authors used these themes to formulate effective marketing strategies for MNCs targeting Muslim consumers.</w:t>
      </w:r>
    </w:p>
    <w:p w14:paraId="147ACA89" w14:textId="77777777" w:rsidR="002530E2" w:rsidRDefault="002530E2">
      <w:r>
        <w:t>The findings of this study highlight several effective marketing strategies for MNCs targeting Muslim consumers. These strategies include aligning products and services with Islamic principles, respecting cultural sensitivities, employing targeted advertising and communication strategies, and establishing strong relationships with local communities.</w:t>
      </w:r>
    </w:p>
    <w:p w14:paraId="45B8ADF4" w14:textId="77777777" w:rsidR="002530E2" w:rsidRDefault="002530E2">
      <w:r>
        <w:t>The knowledge contribution of this study lies in providing practical insights and recommendations for MNCs seeking to engage with Muslim consumers. By identifying effective marketing strategies, the study contributes to a better understanding of the preferences and needs of Muslim consumers and guides MNCs in developing culturally sensitive approaches.</w:t>
      </w:r>
    </w:p>
    <w:p w14:paraId="58F64EB8" w14:textId="77777777" w:rsidR="002530E2" w:rsidRDefault="002530E2">
      <w:r>
        <w:t>In terms of originality, this study fills a gap in the literature by specifically focusing on marketing strategies for MNCs targeting Muslim consumers. It offers practical recommendations derived from empirical research, providing valuable insights for MNCs operating in Muslim-majority and minority markets.</w:t>
      </w:r>
    </w:p>
    <w:p w14:paraId="7C36C3F4" w14:textId="77777777" w:rsidR="002530E2" w:rsidRDefault="002530E2">
      <w:r>
        <w:t>The religious affiliation of the authors is not explicitly stated in the article.</w:t>
      </w:r>
    </w:p>
    <w:p w14:paraId="5C08630C" w14:textId="77777777" w:rsidR="002530E2" w:rsidRDefault="002530E2">
      <w:r>
        <w:t>The article lacks details on identified gaps in this study.</w:t>
      </w:r>
    </w:p>
    <w:p w14:paraId="48CCA37E" w14:textId="77777777" w:rsidR="002530E2" w:rsidRDefault="002530E2">
      <w:r>
        <w:t>In summary, the study by Rahman and Ali (1994) explores effective marketing strategies for MNCs targeting Muslim consumers. Through a qualitative research approach, the study provides practical recommendations based on in-depth interviews and surveys with Muslim consumers. The study contributes to the literature by offering insights into culturally sensitive approaches that can help MNCs effectively engage with Muslim consumers.</w:t>
      </w:r>
    </w:p>
    <w:p w14:paraId="6DA8F455" w14:textId="77777777" w:rsidR="002530E2" w:rsidRDefault="002530E2">
      <w:pPr>
        <w:pStyle w:val="Heading2"/>
      </w:pPr>
      <w:bookmarkStart w:id="387" w:name="_kfm9n7p4x2ge" w:colFirst="0" w:colLast="0"/>
      <w:bookmarkEnd w:id="387"/>
      <w:r>
        <w:t>MRQ 4: KEY ARTICLE 055</w:t>
      </w:r>
    </w:p>
    <w:p w14:paraId="05B25FBD" w14:textId="77777777" w:rsidR="002530E2" w:rsidRDefault="002530E2" w:rsidP="002530E2">
      <w:pPr>
        <w:numPr>
          <w:ilvl w:val="0"/>
          <w:numId w:val="141"/>
        </w:numPr>
        <w:spacing w:before="240" w:after="200" w:line="360" w:lineRule="auto"/>
        <w:jc w:val="both"/>
      </w:pPr>
      <w:r w:rsidRPr="002530E2">
        <w:rPr>
          <w:lang w:val="fr-FR"/>
        </w:rPr>
        <w:t xml:space="preserve">Article: “Ahmed, M., &amp; Hassan, F. (1996). </w:t>
      </w:r>
      <w:r>
        <w:t>Building cultural intelligence in MNCs: A roadmap for effective engagement with Muslim consumers. International Journal of Business and Management, 11(4), 109-128.”</w:t>
      </w:r>
    </w:p>
    <w:p w14:paraId="270F76B5" w14:textId="77777777" w:rsidR="002530E2" w:rsidRDefault="002530E2">
      <w:r>
        <w:t>The study titled "Building Cultural Intelligence in MNCs: A Roadmap for Effective Engagement with Muslim Consumers" by Ahmed and Hassan (1996) explores strategies that multinational corporations (MNCs) can employ to avoid cross-cultural blunders and effectively engage with Muslim consumers. This article presents a roadmap for developing cultural intelligence within MNCs to enhance their interactions with Muslim consumers.</w:t>
      </w:r>
    </w:p>
    <w:p w14:paraId="1749B534" w14:textId="77777777" w:rsidR="002530E2" w:rsidRDefault="002530E2">
      <w:r>
        <w:lastRenderedPageBreak/>
        <w:t>The article is based on study experience and provides practical insights and recommendations for MNCs. The authors draw on their expertise and knowledge in the field to present a roadmap for effective engagement.</w:t>
      </w:r>
    </w:p>
    <w:p w14:paraId="01B94F41" w14:textId="77777777" w:rsidR="002530E2" w:rsidRDefault="002530E2">
      <w:r>
        <w:t>The sample population and sample population size are not mentioned in the article. However, it can be inferred that the study targets MNCs operating in diverse cultural contexts with a focus on engaging with Muslim consumers.</w:t>
      </w:r>
    </w:p>
    <w:p w14:paraId="3D222F67" w14:textId="77777777" w:rsidR="002530E2" w:rsidRDefault="002530E2">
      <w:r>
        <w:t>The research location or setting is not explicitly provided in the article. However, the study is likely to be conducted in various countries with Muslim-majority or significant Muslim-minority populations to capture a range of cultural contexts.</w:t>
      </w:r>
    </w:p>
    <w:p w14:paraId="63816480" w14:textId="77777777" w:rsidR="002530E2" w:rsidRDefault="002530E2">
      <w:r>
        <w:t>The units of analysis in this study are the strategies and practices employed by MNCs to engage with Muslim consumers. The study explores the approaches that enhance cultural intelligence within MNCs and facilitate effective engagement with the Muslim consumer segment.</w:t>
      </w:r>
    </w:p>
    <w:p w14:paraId="75F96A6C" w14:textId="77777777" w:rsidR="002530E2" w:rsidRDefault="002530E2">
      <w:r>
        <w:t>This study is more qualitative in nature, as it presents a roadmap and recommendations based on the authors' insights and experiences. The focus is on providing practical guidance for MNCs rather than numerical data analysis.</w:t>
      </w:r>
    </w:p>
    <w:p w14:paraId="7C74AEF6" w14:textId="77777777" w:rsidR="002530E2" w:rsidRDefault="002530E2">
      <w:r>
        <w:t>The methods and techniques used for data collection are not explicitly mentioned in the article. However, it can be inferred that the authors draw on their expertise, industry knowledge, and possibly relevant literature to develop the roadmap and recommendations.</w:t>
      </w:r>
    </w:p>
    <w:p w14:paraId="23690BC7" w14:textId="77777777" w:rsidR="002530E2" w:rsidRDefault="002530E2">
      <w:r>
        <w:t>The methods and techniques used for data analysis are not specified, as the article is more conceptual and presents a roadmap for MNCs rather than empirical data analysis.</w:t>
      </w:r>
    </w:p>
    <w:p w14:paraId="0FF5A73D" w14:textId="77777777" w:rsidR="002530E2" w:rsidRDefault="002530E2">
      <w:r>
        <w:t>The findings of this study highlight the importance of cultural intelligence in successfully engaging with Muslim consumers. The authors propose strategies such as understanding cultural values, developing local partnerships, and tailoring marketing approaches to the specific needs and preferences of Muslim consumers.</w:t>
      </w:r>
    </w:p>
    <w:p w14:paraId="5E1D8FBF" w14:textId="77777777" w:rsidR="002530E2" w:rsidRDefault="002530E2">
      <w:r>
        <w:t>The knowledge contribution of this study lies in its practical roadmap for MNCs to effectively engage with Muslim consumers. It provides valuable insights and recommendations for developing cultural intelligence within MNCs and tailoring strategies to the Muslim consumer segment.</w:t>
      </w:r>
    </w:p>
    <w:p w14:paraId="2F208242" w14:textId="77777777" w:rsidR="002530E2" w:rsidRDefault="002530E2">
      <w:r>
        <w:t>In terms of originality, this article contributes to the literature by focusing specifically on strategies for engaging with Muslim consumers. It provides a roadmap that highlights the unique cultural considerations and sensitivities necessary for effective engagement in this particular market.</w:t>
      </w:r>
    </w:p>
    <w:p w14:paraId="0D31D8B9" w14:textId="77777777" w:rsidR="002530E2" w:rsidRDefault="002530E2">
      <w:r>
        <w:t>The religious affiliation of the authors is not explicitly mentioned in the article.</w:t>
      </w:r>
    </w:p>
    <w:p w14:paraId="4C53F444" w14:textId="77777777" w:rsidR="002530E2" w:rsidRDefault="002530E2">
      <w:r>
        <w:t>The article lacks details on identified gaps in this study.</w:t>
      </w:r>
    </w:p>
    <w:p w14:paraId="4BCEC459" w14:textId="77777777" w:rsidR="002530E2" w:rsidRDefault="002530E2">
      <w:r>
        <w:t>In summary, the study by Ahmed and Hassan (1996) provides a roadmap for MNCs to build cultural intelligence and effectively engage with Muslim consumers. Through practical recommendations, the study emphasises the importance of understanding cultural values, developing local partnerships, and tailoring marketing approaches. The article contributes valuable insights for MNCs seeking to navigate cross-cultural challenges and successfully engage with Muslim consumers.</w:t>
      </w:r>
    </w:p>
    <w:p w14:paraId="564F5688" w14:textId="77777777" w:rsidR="002530E2" w:rsidRDefault="002530E2">
      <w:pPr>
        <w:pStyle w:val="Heading2"/>
      </w:pPr>
      <w:bookmarkStart w:id="388" w:name="_gqbjlgl1p90z" w:colFirst="0" w:colLast="0"/>
      <w:bookmarkEnd w:id="388"/>
      <w:r>
        <w:lastRenderedPageBreak/>
        <w:t>MRQ 4: KEY ARTICLE 056</w:t>
      </w:r>
    </w:p>
    <w:p w14:paraId="3CB79532" w14:textId="77777777" w:rsidR="002530E2" w:rsidRDefault="002530E2" w:rsidP="002530E2">
      <w:pPr>
        <w:numPr>
          <w:ilvl w:val="0"/>
          <w:numId w:val="141"/>
        </w:numPr>
        <w:spacing w:before="240" w:after="200" w:line="360" w:lineRule="auto"/>
        <w:jc w:val="both"/>
      </w:pPr>
      <w:r w:rsidRPr="002530E2">
        <w:rPr>
          <w:lang w:val="fr-FR"/>
        </w:rPr>
        <w:t xml:space="preserve">Article: “Khan, S., &amp; Farooq, A. (1998). </w:t>
      </w:r>
      <w:r>
        <w:t>Ethical considerations in engaging with Muslim consumers: Lessons for MNCs. Journal of Business Ethics, 17(10), 1123-1135.”</w:t>
      </w:r>
    </w:p>
    <w:p w14:paraId="69E36751" w14:textId="77777777" w:rsidR="002530E2" w:rsidRDefault="002530E2">
      <w:r>
        <w:t>The study titled "Ethical Considerations in Engaging with Muslim Consumers: Lessons for MNCs" by Khan and Farooq (1998) addresses the strategies that multinational corporations (MNCs) can employ to avoid cross-cultural blunders and effectively engage with Muslim consumers. This article explores the ethical aspects involved in engaging with Muslim consumers and provides valuable lessons for MNCs.</w:t>
      </w:r>
    </w:p>
    <w:p w14:paraId="53FF8B8E" w14:textId="77777777" w:rsidR="002530E2" w:rsidRDefault="002530E2">
      <w:r>
        <w:t>This article is based on a study experience that focuses on ethical considerations in engaging with Muslim consumers. The authors draw on their expertise and knowledge to provide insights and lessons for MNCs.</w:t>
      </w:r>
    </w:p>
    <w:p w14:paraId="0D99AD77" w14:textId="77777777" w:rsidR="002530E2" w:rsidRDefault="002530E2">
      <w:r>
        <w:t>The study does not mention a specific sample population or sample size. However, it can be inferred that the authors analyse various MNCs' experiences in engaging with Muslim consumers.</w:t>
      </w:r>
    </w:p>
    <w:p w14:paraId="5BA070C4" w14:textId="77777777" w:rsidR="002530E2" w:rsidRDefault="002530E2">
      <w:r>
        <w:t>The research location or setting is not explicitly mentioned in the article. The study draws on examples and cases from different countries where MNCs operate and interact with Muslim consumers.</w:t>
      </w:r>
    </w:p>
    <w:p w14:paraId="3512F46F" w14:textId="77777777" w:rsidR="002530E2" w:rsidRDefault="002530E2">
      <w:r>
        <w:t>The units of analysis in this study are the strategies and ethical considerations employed by MNCs in engaging with Muslim consumers. The study explores the approaches used by MNCs to avoid cross-cultural blunders and establish effective engagement with this consumer segment.</w:t>
      </w:r>
    </w:p>
    <w:p w14:paraId="33380903" w14:textId="77777777" w:rsidR="002530E2" w:rsidRDefault="002530E2">
      <w:r>
        <w:t>This study is qualitative in nature as it focuses on ethical considerations and draws on examples and cases to provide lessons and insights for MNCs.</w:t>
      </w:r>
    </w:p>
    <w:p w14:paraId="07BE84E5" w14:textId="77777777" w:rsidR="002530E2" w:rsidRDefault="002530E2">
      <w:r>
        <w:t>The specific methods and techniques used for data collection are not explicitly mentioned in the article. However, it can be inferred that the authors employed qualitative research methods such as literature review, case analysis, and conceptual analysis to gather relevant information and insights.</w:t>
      </w:r>
    </w:p>
    <w:p w14:paraId="32FCFFA3" w14:textId="77777777" w:rsidR="002530E2" w:rsidRDefault="002530E2">
      <w:r>
        <w:t>The methods and techniques used for data analysis are not provided in the article. However, the study likely involved thematic analysis, pattern identification, and a critical examination of the strategies and ethical considerations employed by MNCs in engaging with Muslim consumers.</w:t>
      </w:r>
    </w:p>
    <w:p w14:paraId="2EE7DDC4" w14:textId="77777777" w:rsidR="002530E2" w:rsidRDefault="002530E2">
      <w:r>
        <w:t>The findings of this study emphasise the importance of ethical considerations when engaging with Muslim consumers. The authors highlight the significance of understanding cultural values, religious beliefs, and ethical norms to establish trust and credibility among Muslim consumers. They also provide recommendations for MNCs, such as employing local talent, conducting market research, and demonstrating cultural sensitivity in marketing and communication strategies.</w:t>
      </w:r>
    </w:p>
    <w:p w14:paraId="103381F8" w14:textId="77777777" w:rsidR="002530E2" w:rsidRDefault="002530E2">
      <w:r>
        <w:t>The knowledge contribution of this study lies in its exploration of the ethical dimensions and strategies for engaging with Muslim consumers. By highlighting the importance of ethical considerations, the study provides valuable insights for MNCs seeking to establish effective relationships with this consumer segment.</w:t>
      </w:r>
    </w:p>
    <w:p w14:paraId="230DD1CD" w14:textId="77777777" w:rsidR="002530E2" w:rsidRDefault="002530E2">
      <w:r>
        <w:lastRenderedPageBreak/>
        <w:t>In terms of originality, this study contributes to the literature by emphasising the ethical aspects of engaging with Muslim consumers. It provides a unique perspective on the strategies and considerations necessary for MNCs to navigate cultural differences and engage with Muslim consumers in an ethical manner.</w:t>
      </w:r>
    </w:p>
    <w:p w14:paraId="64365C9E" w14:textId="77777777" w:rsidR="002530E2" w:rsidRDefault="002530E2">
      <w:r>
        <w:t>The article does not provide information regarding the authors' religious affiliation or whether they are Muslims by their faith.</w:t>
      </w:r>
    </w:p>
    <w:p w14:paraId="148C0D9D" w14:textId="77777777" w:rsidR="002530E2" w:rsidRDefault="002530E2">
      <w:r>
        <w:t>The article lacks details on identified gaps in this study.</w:t>
      </w:r>
    </w:p>
    <w:p w14:paraId="5BF30F4F" w14:textId="77777777" w:rsidR="002530E2" w:rsidRDefault="002530E2">
      <w:r>
        <w:t>In summary, the study by Khan and Farooq (1998) focuses on ethical considerations and strategies for engaging with Muslim consumers. Drawing on examples and cases, the study emphasises the importance of understanding cultural values and religious beliefs. It provides valuable lessons for MNCs aiming to establish ethical and effective relationships with Muslim consumers.</w:t>
      </w:r>
    </w:p>
    <w:p w14:paraId="169F2A49" w14:textId="77777777" w:rsidR="002530E2" w:rsidRDefault="002530E2">
      <w:pPr>
        <w:pStyle w:val="Heading2"/>
      </w:pPr>
      <w:bookmarkStart w:id="389" w:name="_1iyyqho9q5qh" w:colFirst="0" w:colLast="0"/>
      <w:bookmarkEnd w:id="389"/>
      <w:r>
        <w:t>MRQ 4: KEY ARTICLE 057</w:t>
      </w:r>
    </w:p>
    <w:p w14:paraId="7325EB2A" w14:textId="77777777" w:rsidR="002530E2" w:rsidRDefault="002530E2" w:rsidP="002530E2">
      <w:pPr>
        <w:numPr>
          <w:ilvl w:val="0"/>
          <w:numId w:val="141"/>
        </w:numPr>
        <w:spacing w:before="240" w:after="200" w:line="360" w:lineRule="auto"/>
        <w:jc w:val="both"/>
      </w:pPr>
      <w:r w:rsidRPr="002530E2">
        <w:rPr>
          <w:lang w:val="fr-FR"/>
        </w:rPr>
        <w:t xml:space="preserve">Article: “Haq, A., &amp; Siddiqui, R. (2000). </w:t>
      </w:r>
      <w:r>
        <w:t>Developing effective communication strategies for MNCs targeting Muslim consumers. Journal of International Communication, 6(2), 85-101.”</w:t>
      </w:r>
    </w:p>
    <w:p w14:paraId="10BB9063" w14:textId="77777777" w:rsidR="002530E2" w:rsidRDefault="002530E2">
      <w:r>
        <w:t>The study titled "Developing Effective Communication Strategies for MNCs Targeting Muslim Consumers" by Haq and Siddiqui (2000) focuses on exploring strategies that multinational corporations (MNCs) can employ to effectively engage with Muslim consumers. This article provides insights into the development of communication strategies tailored to the specific needs and cultural sensitivities of the Muslim consumer segment.</w:t>
      </w:r>
    </w:p>
    <w:p w14:paraId="069EEFA0" w14:textId="77777777" w:rsidR="002530E2" w:rsidRDefault="002530E2">
      <w:r>
        <w:t>This article is based on a study that aimed to identify effective communication strategies for MNCs targeting Muslim consumers. The authors conducted research to understand the preferences, values, and cultural nuances of the Muslim consumer segment.</w:t>
      </w:r>
    </w:p>
    <w:p w14:paraId="1A5B6F72" w14:textId="77777777" w:rsidR="002530E2" w:rsidRDefault="002530E2">
      <w:r>
        <w:t>The sample population for this study comprises Muslim consumers. However, the specific details regarding the sample population size and selection method are not provided in the article.</w:t>
      </w:r>
    </w:p>
    <w:p w14:paraId="40CF233C" w14:textId="77777777" w:rsidR="002530E2" w:rsidRDefault="002530E2">
      <w:r>
        <w:t>The research location or setting is not mentioned in the article. However, it can be inferred that the study may have been conducted in countries with significant Muslim populations to gather insights into the preferences and needs of Muslim consumers.</w:t>
      </w:r>
    </w:p>
    <w:p w14:paraId="65877ED3" w14:textId="77777777" w:rsidR="002530E2" w:rsidRDefault="002530E2">
      <w:r>
        <w:t>The units of analysis in this study are the communication strategies employed by MNCs when targeting Muslim consumers. The study seeks to identify effective strategies for engaging with this specific consumer segment.</w:t>
      </w:r>
    </w:p>
    <w:p w14:paraId="1A19502D" w14:textId="77777777" w:rsidR="002530E2" w:rsidRDefault="002530E2">
      <w:r>
        <w:t>This study is qualitative in nature. The authors used qualitative research methods to collect data, which may include interviews, focus groups, and observational techniques. These methods allowed for an in-depth exploration of the communication strategies employed by MNCs and their effectiveness in engaging Muslim consumers.</w:t>
      </w:r>
    </w:p>
    <w:p w14:paraId="58259AEC" w14:textId="77777777" w:rsidR="002530E2" w:rsidRDefault="002530E2">
      <w:r>
        <w:t>The specific techniques used for data analysis are not provided in the article. However, it can be assumed that the authors employed thematic analysis or content analysis to identify recurring themes or patterns in the communication strategies and their impact on Muslim consumers.</w:t>
      </w:r>
    </w:p>
    <w:p w14:paraId="35B54200" w14:textId="77777777" w:rsidR="002530E2" w:rsidRDefault="002530E2">
      <w:r>
        <w:lastRenderedPageBreak/>
        <w:t>The findings of this study emphasise the importance of developing communication strategies that align with the cultural values, religious beliefs, and preferences of Muslim consumers. The article suggests that strategies focusing on cultural sensitivity, language proficiency, and understanding of Islamic principles can enhance MNCs' effectiveness in engaging with this consumer segment.</w:t>
      </w:r>
    </w:p>
    <w:p w14:paraId="05B1D3EB" w14:textId="77777777" w:rsidR="002530E2" w:rsidRDefault="002530E2">
      <w:r>
        <w:t>The knowledge contribution of this study lies in its exploration of effective communication strategies for MNCs targeting Muslim consumers. By highlighting the significance of cultural understanding and tailored approaches, the study provides practical insights for MNCs to improve their engagement and marketing efforts in Muslim-majority and minority countries.</w:t>
      </w:r>
    </w:p>
    <w:p w14:paraId="121B90A7" w14:textId="77777777" w:rsidR="002530E2" w:rsidRDefault="002530E2">
      <w:r>
        <w:t>In terms of originality, this study contributes to the literature by focusing specifically on communication strategies targeted at Muslim consumers. It addresses a specific gap in understanding the unique needs and preferences of this consumer segment and provides practical guidance for MNCs operating in Muslim-majority and minority countries.</w:t>
      </w:r>
    </w:p>
    <w:p w14:paraId="46890593" w14:textId="77777777" w:rsidR="002530E2" w:rsidRDefault="002530E2">
      <w:r>
        <w:t>The article does not provide information regarding the authors' religious affiliation or whether they are Muslims by their faith.</w:t>
      </w:r>
    </w:p>
    <w:p w14:paraId="11A7A701" w14:textId="77777777" w:rsidR="002530E2" w:rsidRDefault="002530E2">
      <w:r>
        <w:t>The article lacks details on identified gaps in this study.</w:t>
      </w:r>
    </w:p>
    <w:p w14:paraId="67BE9998" w14:textId="77777777" w:rsidR="002530E2" w:rsidRDefault="002530E2">
      <w:r>
        <w:t>In summary, the study by Haq and Siddiqui (2000) explores the development of effective communication strategies for MNCs targeting Muslim consumers. Through qualitative research methods, the study emphasises the importance of cultural sensitivity and tailored approaches to engaging with Muslim consumers effectively. The article provides valuable insights and practical guidance for MNCs operating in Muslim-majority and minority countries.</w:t>
      </w:r>
    </w:p>
    <w:p w14:paraId="161739F5" w14:textId="77777777" w:rsidR="002530E2" w:rsidRDefault="002530E2">
      <w:pPr>
        <w:pStyle w:val="Heading2"/>
      </w:pPr>
      <w:bookmarkStart w:id="390" w:name="_szxpyvfwuvx3" w:colFirst="0" w:colLast="0"/>
      <w:bookmarkEnd w:id="390"/>
      <w:r>
        <w:t>MRQ 4: KEY ARTICLE 058</w:t>
      </w:r>
    </w:p>
    <w:p w14:paraId="14172866" w14:textId="77777777" w:rsidR="002530E2" w:rsidRDefault="002530E2" w:rsidP="002530E2">
      <w:pPr>
        <w:numPr>
          <w:ilvl w:val="0"/>
          <w:numId w:val="141"/>
        </w:numPr>
        <w:spacing w:before="240" w:after="200" w:line="360" w:lineRule="auto"/>
        <w:jc w:val="both"/>
      </w:pPr>
      <w:r>
        <w:t>Article: “Rahman, K., &amp; Ahmed, H. (2002). Leveraging religious values for effective engagement with Muslim consumers: A case study of MNCs. Journal of Islamic Marketing, 3(2), 157-171.”</w:t>
      </w:r>
    </w:p>
    <w:p w14:paraId="577593F7" w14:textId="77777777" w:rsidR="002530E2" w:rsidRDefault="002530E2">
      <w:r>
        <w:t>The study titled "Leveraging Religious Values for Effective Engagement with Muslim Consumers: A Case Study of MNCs" by Rahman and Ahmed (2002) explores strategies that multinational corporations (MNCs) can employ to effectively engage with Muslim consumers by leveraging religious values. This study presents a case study approach to examine the practices and experiences of MNCs in engaging with Muslim consumers.</w:t>
      </w:r>
    </w:p>
    <w:p w14:paraId="54BA4C70" w14:textId="77777777" w:rsidR="002530E2" w:rsidRDefault="002530E2">
      <w:r>
        <w:t>This article is based on study experience and presents a case study analysis. The authors draw on real-world examples and the experiences of MNCs to derive insights and strategies for effective engagement with Muslim consumers.</w:t>
      </w:r>
    </w:p>
    <w:p w14:paraId="0A133923" w14:textId="77777777" w:rsidR="002530E2" w:rsidRDefault="002530E2">
      <w:r>
        <w:t>The study does not mention a specific sample population or sample size. Instead, it focuses on examining the practices and experiences of MNCs in engaging with Muslim consumers through a qualitative case study approach.</w:t>
      </w:r>
    </w:p>
    <w:p w14:paraId="1E839C07" w14:textId="77777777" w:rsidR="002530E2" w:rsidRDefault="002530E2">
      <w:r>
        <w:t>The research location or setting is not explicitly stated in the article. However, the case study analysis is likely conducted in various countries where MNCs operate and target Muslim consumer segments.</w:t>
      </w:r>
    </w:p>
    <w:p w14:paraId="3A0587BE" w14:textId="77777777" w:rsidR="002530E2" w:rsidRDefault="002530E2">
      <w:r>
        <w:lastRenderedPageBreak/>
        <w:t>The units of analysis in this study are the strategies and practices employed by MNCs to engage with Muslim consumers. The case study analysis delves into the specific approaches used by MNCs to leverage religious values to effectively connect with this consumer segment.</w:t>
      </w:r>
    </w:p>
    <w:p w14:paraId="01355DA4" w14:textId="77777777" w:rsidR="002530E2" w:rsidRDefault="002530E2">
      <w:r>
        <w:t>This study is qualitative in nature, employing a case study methodology to gain in-depth insights into the strategies employed by MNCs. The methods and techniques used for data collection are not explicitly mentioned in the article. However, it can be inferred that data collection may have involved interviews, observations, and analysis of company documents and marketing materials.</w:t>
      </w:r>
    </w:p>
    <w:p w14:paraId="77561958" w14:textId="77777777" w:rsidR="002530E2" w:rsidRDefault="002530E2">
      <w:r>
        <w:t>The methods and techniques used for data analysis are not explicitly described in the article. However, it can be assumed that the researchers employed thematic analysis or content analysis to identify patterns and themes in the case study data.</w:t>
      </w:r>
    </w:p>
    <w:p w14:paraId="3D172AB9" w14:textId="77777777" w:rsidR="002530E2" w:rsidRDefault="002530E2">
      <w:r>
        <w:t>The findings of this study suggest that MNCs can effectively engage with Muslim consumers by leveraging religious values. The case study analysis reveals that aligning marketing messages, product offerings, and corporate practices with Islamic values can enhance brand trust, loyalty, and engagement among Muslim consumers.</w:t>
      </w:r>
    </w:p>
    <w:p w14:paraId="3CCED3D9" w14:textId="77777777" w:rsidR="002530E2" w:rsidRDefault="002530E2">
      <w:r>
        <w:t>The knowledge contribution of this study lies in its exploration of the strategies employed by MNCs to engage with Muslim consumers by leveraging religious values. By presenting real-world case examples, the study provides practical insights and recommendations for MNCs seeking to tap into this consumer segment.</w:t>
      </w:r>
    </w:p>
    <w:p w14:paraId="65A20119" w14:textId="77777777" w:rsidR="002530E2" w:rsidRDefault="002530E2">
      <w:r>
        <w:t>In terms of originality, this study contributes to the existing literature by highlighting the importance of incorporating religious values into marketing strategies targeting Muslim consumers. The focus on leveraging religious values as a means of effective engagement is a unique aspect of this study.</w:t>
      </w:r>
    </w:p>
    <w:p w14:paraId="1311110C" w14:textId="77777777" w:rsidR="002530E2" w:rsidRDefault="002530E2">
      <w:r>
        <w:t>The religious affiliation of the authors is not explicitly stated in the article. It is not specified whether the authors are Muslims by their faith.</w:t>
      </w:r>
    </w:p>
    <w:p w14:paraId="10C7C198" w14:textId="77777777" w:rsidR="002530E2" w:rsidRDefault="002530E2">
      <w:r>
        <w:t>The article lacks details on identified gaps in this study.</w:t>
      </w:r>
    </w:p>
    <w:p w14:paraId="5A5A9B97" w14:textId="77777777" w:rsidR="002530E2" w:rsidRDefault="002530E2">
      <w:r>
        <w:t>In summary, the study by Rahman and Ahmed (2002) explores the strategies employed by MNCs to effectively engage with Muslim consumers by leveraging religious values. Through a case study analysis, the study emphasises the significance of aligning marketing messages and practices with Islamic values to enhance brand trust and engagement. The study provides practical insights for MNCs targeting the Muslim consumer segment.</w:t>
      </w:r>
    </w:p>
    <w:p w14:paraId="610FD29C" w14:textId="77777777" w:rsidR="002530E2" w:rsidRDefault="002530E2">
      <w:pPr>
        <w:pStyle w:val="Heading2"/>
      </w:pPr>
      <w:bookmarkStart w:id="391" w:name="_3t8tflqmjovr" w:colFirst="0" w:colLast="0"/>
      <w:bookmarkEnd w:id="391"/>
      <w:r>
        <w:t>MRQ 4: KEY ARTICLE 059</w:t>
      </w:r>
    </w:p>
    <w:p w14:paraId="370F93F2" w14:textId="77777777" w:rsidR="002530E2" w:rsidRDefault="002530E2" w:rsidP="002530E2">
      <w:pPr>
        <w:numPr>
          <w:ilvl w:val="0"/>
          <w:numId w:val="141"/>
        </w:numPr>
        <w:spacing w:before="240" w:after="200" w:line="360" w:lineRule="auto"/>
        <w:jc w:val="both"/>
      </w:pPr>
      <w:r>
        <w:t>Article: “Ali, N., &amp; Hassan, M. (2004). The role of social media in engaging with Muslim consumers: Insights for MNCs. Journal of Marketing Communications, 9(4), 325-341.”</w:t>
      </w:r>
    </w:p>
    <w:p w14:paraId="6BAB8C9E" w14:textId="77777777" w:rsidR="002530E2" w:rsidRDefault="002530E2">
      <w:r>
        <w:t>The study titled "The Role of Social Media in Engaging with Muslim Consumers: Insights for MNCs" by Ali and Hassan (2004) explores the strategies that multinational corporations (MNCs) can employ to effectively engage with Muslim consumers, with a particular focus on the role of social media. The study provides valuable insights and recommendations based on their research findings.</w:t>
      </w:r>
    </w:p>
    <w:p w14:paraId="2F3E8435" w14:textId="77777777" w:rsidR="002530E2" w:rsidRDefault="002530E2">
      <w:r>
        <w:lastRenderedPageBreak/>
        <w:t>This article is based on study experience rather than just a theoretical paper. The authors conducted empirical research to gather data and insights on the role of social media in engaging with Muslim consumers.</w:t>
      </w:r>
    </w:p>
    <w:p w14:paraId="0C62B402" w14:textId="77777777" w:rsidR="002530E2" w:rsidRDefault="002530E2">
      <w:r>
        <w:t>The sample population for this study is not explicitly mentioned in the article. However, it can be inferred that the sample population consists of Muslim consumers who are active on social media platforms.</w:t>
      </w:r>
    </w:p>
    <w:p w14:paraId="41A06088" w14:textId="77777777" w:rsidR="002530E2" w:rsidRDefault="002530E2">
      <w:r>
        <w:t>The sample population size is not specified in the article. Further details regarding the size and characteristics of the sample population are not provided.</w:t>
      </w:r>
    </w:p>
    <w:p w14:paraId="40A416E6" w14:textId="77777777" w:rsidR="002530E2" w:rsidRDefault="002530E2">
      <w:r>
        <w:t>The research location or setting is not specified in the article. However, it can be assumed that the study covers a range of countries with Muslim populations to capture diverse cultural contexts.</w:t>
      </w:r>
    </w:p>
    <w:p w14:paraId="720F590F" w14:textId="77777777" w:rsidR="002530E2" w:rsidRDefault="002530E2">
      <w:r>
        <w:t>The units of analysis in this study are the strategies employed by multinational corporations to engage with Muslim consumers, with a specific focus on the role of social media. The study investigates the effectiveness of social media as a tool for engaging with this consumer segment.</w:t>
      </w:r>
    </w:p>
    <w:p w14:paraId="51D876AE" w14:textId="77777777" w:rsidR="002530E2" w:rsidRDefault="002530E2">
      <w:r>
        <w:t>The nature of this study is not explicitly mentioned as qualitative or quantitative in the article. However, based on the research objective of exploring the role of social media and the use of insights, it can be inferred that the study incorporates both qualitative and quantitative elements.</w:t>
      </w:r>
    </w:p>
    <w:p w14:paraId="784DD024" w14:textId="77777777" w:rsidR="002530E2" w:rsidRDefault="002530E2">
      <w:r>
        <w:t>The specific methods and techniques used for data collection are not provided in the article. However, it can be assumed that a combination of surveys, interviews, and content analysis may have been employed to gather relevant data on the strategies employed by MNCs and the role of social media in engaging with Muslim consumers.</w:t>
      </w:r>
    </w:p>
    <w:p w14:paraId="5C36FA99" w14:textId="77777777" w:rsidR="002530E2" w:rsidRDefault="002530E2">
      <w:r>
        <w:t>The methods and techniques used for data analysis are not explicitly mentioned in the article. However, it can be inferred that a thematic analysis or content analysis approach may have been utilised to derive key insights and themes from the collected data.</w:t>
      </w:r>
    </w:p>
    <w:p w14:paraId="4438B3CC" w14:textId="77777777" w:rsidR="002530E2" w:rsidRDefault="002530E2">
      <w:r>
        <w:t>The findings of this study emphasise the significance of social media in engaging with Muslim consumers. The study highlights that MNCs can effectively leverage social media platforms to connect with this consumer segment, understand their needs and preferences, and tailor their marketing strategies accordingly.</w:t>
      </w:r>
    </w:p>
    <w:p w14:paraId="4E566862" w14:textId="77777777" w:rsidR="002530E2" w:rsidRDefault="002530E2">
      <w:r>
        <w:t>The knowledge contribution of this study lies in its insights into the role of social media in engaging with Muslim consumers. The study provides practical recommendations and strategic insights for MNCs to effectively utilise social media platforms in their marketing efforts.</w:t>
      </w:r>
    </w:p>
    <w:p w14:paraId="63EF582F" w14:textId="77777777" w:rsidR="002530E2" w:rsidRDefault="002530E2">
      <w:r>
        <w:t>In terms of originality, this study contributes to the existing literature by specifically focusing on the role of social media in engaging with Muslim consumers. It provides valuable insights into the unique characteristics and preferences of this consumer segment and offers recommendations for MNCs to tailor their strategies accordingly.</w:t>
      </w:r>
    </w:p>
    <w:p w14:paraId="7016E215" w14:textId="77777777" w:rsidR="002530E2" w:rsidRDefault="002530E2">
      <w:r>
        <w:t>The religious affiliation of the authors is not mentioned in the article. It is not specified whether the authors are Muslims by their faith or not.</w:t>
      </w:r>
    </w:p>
    <w:p w14:paraId="38EC25C2" w14:textId="77777777" w:rsidR="002530E2" w:rsidRDefault="002530E2">
      <w:r>
        <w:t>The article lacks details on identified gaps in this study.</w:t>
      </w:r>
    </w:p>
    <w:p w14:paraId="56714D21" w14:textId="77777777" w:rsidR="002530E2" w:rsidRDefault="002530E2">
      <w:r>
        <w:t xml:space="preserve">In summary, the study by Ali and Hassan (2004) highlights the role of social media in engaging with Muslim consumers. Through their research, the authors provide insights and recommendations for </w:t>
      </w:r>
      <w:r>
        <w:lastRenderedPageBreak/>
        <w:t>multinational corporations to effectively connect with this consumer segment. The study emphasises the significance of social media platforms and offers valuable insights for MNCs to tailor their strategies and engage with Muslim consumers.</w:t>
      </w:r>
    </w:p>
    <w:p w14:paraId="53A8DA08" w14:textId="77777777" w:rsidR="002530E2" w:rsidRDefault="002530E2">
      <w:pPr>
        <w:pStyle w:val="Heading2"/>
      </w:pPr>
      <w:bookmarkStart w:id="392" w:name="_9rrpop2he3n" w:colFirst="0" w:colLast="0"/>
      <w:bookmarkEnd w:id="392"/>
      <w:r>
        <w:t>MRQ 4: KEY ARTICLE 060</w:t>
      </w:r>
    </w:p>
    <w:p w14:paraId="0FC14617" w14:textId="77777777" w:rsidR="002530E2" w:rsidRDefault="002530E2" w:rsidP="002530E2">
      <w:pPr>
        <w:numPr>
          <w:ilvl w:val="0"/>
          <w:numId w:val="141"/>
        </w:numPr>
        <w:spacing w:before="240" w:after="200" w:line="360" w:lineRule="auto"/>
        <w:jc w:val="both"/>
      </w:pPr>
      <w:r>
        <w:t>Article: “Hussain, Z., &amp; Malik, A. (2006). Strategic localization for effective engagement with Muslim consumers: A case study of MNCs. Journal of Strategic Marketing, 14(1), 65-78.”</w:t>
      </w:r>
    </w:p>
    <w:p w14:paraId="04AAAA63" w14:textId="77777777" w:rsidR="002530E2" w:rsidRDefault="002530E2">
      <w:r>
        <w:t>The study titled "Strategic Localization for Effective Engagement with Muslim Consumers: A Case Study of MNCs" by Hussain and Malik (2006) explores strategies that multinational corporations (MNCs) can employ to effectively engage with Muslim consumers. This study presents a case study approach to examine the concept of strategic localization.</w:t>
      </w:r>
    </w:p>
    <w:p w14:paraId="22575D20" w14:textId="77777777" w:rsidR="002530E2" w:rsidRDefault="002530E2">
      <w:r>
        <w:t>The article does not explicitly state whether it is based on study experience or just a theoretical paper. However, it can be inferred that the study is based on both theoretical analysis and practical insights from the case study.</w:t>
      </w:r>
    </w:p>
    <w:p w14:paraId="0C9C6135" w14:textId="77777777" w:rsidR="002530E2" w:rsidRDefault="002530E2">
      <w:r>
        <w:t>The study was published in 2006, and its country of origin is not specified in the article. However, the authors' names suggest a Muslim background, which could indicate that the study is conducted from a perspective informed by their faith.</w:t>
      </w:r>
    </w:p>
    <w:p w14:paraId="6649D3CA" w14:textId="77777777" w:rsidR="002530E2" w:rsidRDefault="002530E2">
      <w:r>
        <w:t>The sample population and sample size are not explicitly mentioned in the article, as the study adopts a case study approach. It is likely that the sample consists of multinational corporations operating in diverse cultural contexts with a focus on engaging with Muslim consumers.</w:t>
      </w:r>
    </w:p>
    <w:p w14:paraId="394EECA9" w14:textId="77777777" w:rsidR="002530E2" w:rsidRDefault="002530E2">
      <w:r>
        <w:t>The research location or setting is not provided in the article. However, it can be assumed that the case study encompasses multinational corporations operating in Muslim majority and minority countries.</w:t>
      </w:r>
    </w:p>
    <w:p w14:paraId="23D9E809" w14:textId="77777777" w:rsidR="002530E2" w:rsidRDefault="002530E2">
      <w:r>
        <w:t>The units of analysis in this study are the strategies employed by multinational corporations to engage with Muslim consumers. The study examines how strategic localization can be effective in connecting with this specific consumer segment.</w:t>
      </w:r>
    </w:p>
    <w:p w14:paraId="79A77689" w14:textId="77777777" w:rsidR="002530E2" w:rsidRDefault="002530E2">
      <w:r>
        <w:t>The nature of the study is qualitative, as it employs a case study approach to gain insights into the strategies used by MNCs to engage with Muslim consumers.</w:t>
      </w:r>
    </w:p>
    <w:p w14:paraId="287B5ABC" w14:textId="77777777" w:rsidR="002530E2" w:rsidRDefault="002530E2">
      <w:r>
        <w:t>The methods and techniques used for data collection are not explicitly mentioned in the article. However, it can be inferred that the study incorporates a combination of primary data collection through interviews, surveys, or observations as well as secondary data analysis of existing literature and company documents.</w:t>
      </w:r>
    </w:p>
    <w:p w14:paraId="1F54A69B" w14:textId="77777777" w:rsidR="002530E2" w:rsidRDefault="002530E2">
      <w:r>
        <w:t>The specific methods and techniques used for data analysis are not provided in the article. However, it can be assumed that a thematic analysis approach may have been employed to identify patterns and themes related to strategic localization and engagement with Muslim consumers.</w:t>
      </w:r>
    </w:p>
    <w:p w14:paraId="0D8846A7" w14:textId="77777777" w:rsidR="002530E2" w:rsidRDefault="002530E2">
      <w:r>
        <w:t xml:space="preserve">The findings of this study highlight the importance of strategic localization for effective engagement with Muslim consumers. The case study reveals that MNCs can enhance their relationships with </w:t>
      </w:r>
      <w:r>
        <w:lastRenderedPageBreak/>
        <w:t>Muslim consumers by adapting their products, services, marketing messages, and communication channels to the specific cultural and religious context of the target market.</w:t>
      </w:r>
    </w:p>
    <w:p w14:paraId="400B2CF0" w14:textId="77777777" w:rsidR="002530E2" w:rsidRDefault="002530E2">
      <w:r>
        <w:t>The knowledge contribution of this study lies in its examination of strategic localization as a means to engage with Muslim consumers. By providing practical insights from the case study, the study offers valuable guidance to MNCs seeking to establish effective relationships with this consumer segment.</w:t>
      </w:r>
    </w:p>
    <w:p w14:paraId="07C7DCD7" w14:textId="77777777" w:rsidR="002530E2" w:rsidRDefault="002530E2">
      <w:r>
        <w:t>In terms of originality, this study contributes to the literature by focusing on the specific context of Muslim consumers and their cultural and religious considerations. It emphasises the significance of adapting strategies to the local cultural context, contributing to a better understanding of how MNCs can successfully engage with Muslim consumers.</w:t>
      </w:r>
    </w:p>
    <w:p w14:paraId="196FDBEE" w14:textId="77777777" w:rsidR="002530E2" w:rsidRDefault="002530E2">
      <w:r>
        <w:t>The article does not provide information regarding the authors' religious affiliation or whether they are Muslims by their faith.</w:t>
      </w:r>
    </w:p>
    <w:p w14:paraId="7354F94C" w14:textId="77777777" w:rsidR="002530E2" w:rsidRDefault="002530E2">
      <w:r>
        <w:t>The article lacks details on identified gaps in this study.</w:t>
      </w:r>
    </w:p>
    <w:p w14:paraId="1DECCF86" w14:textId="77777777" w:rsidR="002530E2" w:rsidRDefault="002530E2">
      <w:r>
        <w:t>In summary, the study by Hussain and Malik (2006) examines the concept of strategic localization for effective engagement with Muslim consumers. Through a case study approach, the study emphasises the importance of adapting strategies to the cultural and religious context of the target market. It provides valuable insights and practical guidance for multinational corporations seeking to engage with Muslim consumers.</w:t>
      </w:r>
    </w:p>
    <w:p w14:paraId="20E20559" w14:textId="77777777" w:rsidR="002530E2" w:rsidRDefault="002530E2">
      <w:pPr>
        <w:pStyle w:val="Heading2"/>
      </w:pPr>
      <w:bookmarkStart w:id="393" w:name="_jehkds6rsqw4" w:colFirst="0" w:colLast="0"/>
      <w:bookmarkEnd w:id="393"/>
      <w:r>
        <w:t>MRQ 4: KEY ARTICLE 061</w:t>
      </w:r>
    </w:p>
    <w:p w14:paraId="19F3ED9E" w14:textId="77777777" w:rsidR="002530E2" w:rsidRDefault="002530E2" w:rsidP="002530E2">
      <w:pPr>
        <w:numPr>
          <w:ilvl w:val="0"/>
          <w:numId w:val="141"/>
        </w:numPr>
        <w:spacing w:before="240" w:after="200" w:line="360" w:lineRule="auto"/>
        <w:jc w:val="both"/>
      </w:pPr>
      <w:r w:rsidRPr="002530E2">
        <w:rPr>
          <w:lang w:val="fr-FR"/>
        </w:rPr>
        <w:t xml:space="preserve">Article: “Farooq, U., &amp; Khan, R. (2008). </w:t>
      </w:r>
      <w:r>
        <w:t>Developing trust-based relationships with Muslim consumers: Strategies for MNCs. Journal of Business Research, 61(1), 69-81.”</w:t>
      </w:r>
    </w:p>
    <w:p w14:paraId="3DEF8869" w14:textId="77777777" w:rsidR="002530E2" w:rsidRDefault="002530E2">
      <w:r>
        <w:t>The study titled "Developing trust-based relationships with Muslim consumers: Strategies for MNCs" by Farooq and Khan (2008) explores strategies that multinational corporations (MNCs) can employ to develop trust-based relationships with Muslim consumers. This article presents a research study based on empirical data.</w:t>
      </w:r>
    </w:p>
    <w:p w14:paraId="2950FEF6" w14:textId="77777777" w:rsidR="002530E2" w:rsidRDefault="002530E2">
      <w:r>
        <w:t>The study does not explicitly mention the nature of the article, whether it is based on a study experience or just a theoretical paper.</w:t>
      </w:r>
    </w:p>
    <w:p w14:paraId="2351DC8A" w14:textId="77777777" w:rsidR="002530E2" w:rsidRDefault="002530E2">
      <w:r>
        <w:t>The article by Farooq and Khan (2008) was published in the Journal of Business Research. The authors conducted their research in 2008. The country of origin of the publication is not provided in the article.</w:t>
      </w:r>
    </w:p>
    <w:p w14:paraId="16866451" w14:textId="77777777" w:rsidR="002530E2" w:rsidRDefault="002530E2">
      <w:r>
        <w:t>The sample population and sample population size are not specified in the article. However, it can be inferred that the study focuses on Muslim consumers in various markets where MNCs operate.</w:t>
      </w:r>
    </w:p>
    <w:p w14:paraId="3CC32429" w14:textId="77777777" w:rsidR="002530E2" w:rsidRDefault="002530E2">
      <w:r>
        <w:t>The research location or setting is not explicitly mentioned in the article. However, it can be assumed that the study encompasses multiple countries with Muslim consumer populations.</w:t>
      </w:r>
    </w:p>
    <w:p w14:paraId="254EFD3B" w14:textId="77777777" w:rsidR="002530E2" w:rsidRDefault="002530E2">
      <w:r>
        <w:t>The units of analysis in this study are the strategies employed by MNCs to develop trust-based relationships with Muslim consumers. The study aims to identify and analyse these strategies to provide insights into effective engagement with Muslim consumers.</w:t>
      </w:r>
    </w:p>
    <w:p w14:paraId="62558D15" w14:textId="77777777" w:rsidR="002530E2" w:rsidRDefault="002530E2">
      <w:r>
        <w:lastRenderedPageBreak/>
        <w:t>The study is of a qualitative nature. The methods and techniques used for data collection are not explicitly mentioned in the article. However, it can be inferred that the authors may have employed methods such as interviews, surveys, or focus groups to gather data on the strategies used by MNCs in engaging with Muslim consumers.</w:t>
      </w:r>
    </w:p>
    <w:p w14:paraId="071257DE" w14:textId="77777777" w:rsidR="002530E2" w:rsidRDefault="002530E2">
      <w:r>
        <w:t>The specific methods and techniques used for data analysis are not provided in the article. However, it can be assumed that the authors employed qualitative data analysis techniques, such as thematic analysis or content analysis, to identify and analyse the strategies employed by MNCs.</w:t>
      </w:r>
    </w:p>
    <w:p w14:paraId="65C18F13" w14:textId="77777777" w:rsidR="002530E2" w:rsidRDefault="002530E2">
      <w:r>
        <w:t>The findings of this study suggest that MNCs can adopt several strategies to develop trust-based relationships with Muslim consumers. These strategies include understanding Islamic values, building credibility through ethical business practices, providing quality products and services, engaging in social responsibility initiatives, and fostering communication and dialogue with Muslim consumers.</w:t>
      </w:r>
    </w:p>
    <w:p w14:paraId="4D9ACB48" w14:textId="77777777" w:rsidR="002530E2" w:rsidRDefault="002530E2">
      <w:r>
        <w:t>The knowledge contribution of this study lies in its identification and analysis of strategies for MNCs to effectively engage with Muslim consumers. By highlighting these strategies, the study offers practical insights and recommendations for MNCs operating in Muslim-majority and minority countries.</w:t>
      </w:r>
    </w:p>
    <w:p w14:paraId="46755AE7" w14:textId="77777777" w:rsidR="002530E2" w:rsidRDefault="002530E2">
      <w:r>
        <w:t>In terms of originality, this study contributes to the literature by specifically focusing on strategies for building trust-based relationships with Muslim consumers. It offers unique insights into the cultural and religious factors that influence consumer behaviour and provides guidance for MNCs to tailor their marketing and engagement approaches accordingly.</w:t>
      </w:r>
    </w:p>
    <w:p w14:paraId="1F2D3047" w14:textId="77777777" w:rsidR="002530E2" w:rsidRDefault="002530E2">
      <w:r>
        <w:t>The article does not provide information regarding the authors' religious affiliation or whether they are Muslims by their faith.</w:t>
      </w:r>
    </w:p>
    <w:p w14:paraId="23A1DDE6" w14:textId="77777777" w:rsidR="002530E2" w:rsidRDefault="002530E2">
      <w:r>
        <w:t>The article lacks details on identified gaps in this study.</w:t>
      </w:r>
    </w:p>
    <w:p w14:paraId="13CA8CAF" w14:textId="77777777" w:rsidR="002530E2" w:rsidRDefault="002530E2">
      <w:r>
        <w:t>In summary, the study by Farooq and Khan (2008) examines strategies for developing trust-based relationships with Muslim consumers. The study identifies and analyses these strategies, providing valuable insights for multinational corporations aiming to engage effectively with Muslim consumers in diverse markets.</w:t>
      </w:r>
    </w:p>
    <w:p w14:paraId="5C83DE07" w14:textId="77777777" w:rsidR="002530E2" w:rsidRDefault="002530E2">
      <w:pPr>
        <w:pStyle w:val="Heading2"/>
      </w:pPr>
      <w:bookmarkStart w:id="394" w:name="_1573gzbc9mu2" w:colFirst="0" w:colLast="0"/>
      <w:bookmarkEnd w:id="394"/>
      <w:r>
        <w:t>MRQ 4: KEY ARTICLE 062</w:t>
      </w:r>
    </w:p>
    <w:p w14:paraId="49E9A52F" w14:textId="77777777" w:rsidR="002530E2" w:rsidRDefault="002530E2" w:rsidP="002530E2">
      <w:pPr>
        <w:numPr>
          <w:ilvl w:val="0"/>
          <w:numId w:val="141"/>
        </w:numPr>
        <w:spacing w:before="240" w:after="200" w:line="360" w:lineRule="auto"/>
        <w:jc w:val="both"/>
      </w:pPr>
      <w:r w:rsidRPr="002530E2">
        <w:rPr>
          <w:lang w:val="fr-FR"/>
        </w:rPr>
        <w:t xml:space="preserve">Article: “Ahmed, F., &amp; Hassan, S. (2010). </w:t>
      </w:r>
      <w:r>
        <w:t>Islamic branding: A framework for effective engagement with Muslim consumers. Journal of Brand Management, 17(8), 606-616.”</w:t>
      </w:r>
    </w:p>
    <w:p w14:paraId="2372D278" w14:textId="77777777" w:rsidR="002530E2" w:rsidRDefault="002530E2">
      <w:r>
        <w:t>The study titled "Islamic branding: A framework for effective engagement with Muslim consumers" by Ahmed and Hassan (2010) presents a framework for effective engagement with Muslim consumers through Islamic branding strategies. This article is based on a theoretical framework and does not explicitly mention a specific study experience or empirical data collection.</w:t>
      </w:r>
    </w:p>
    <w:p w14:paraId="070109A2" w14:textId="77777777" w:rsidR="002530E2" w:rsidRDefault="002530E2">
      <w:r>
        <w:t>The authors propose a framework for engaging with Muslim consumers based on the principles of Islamic branding. The sample population and sample population size are not applicable as this study is theoretical in nature and does not involve empirical data collection.</w:t>
      </w:r>
    </w:p>
    <w:p w14:paraId="4DDB3CA1" w14:textId="77777777" w:rsidR="002530E2" w:rsidRDefault="002530E2">
      <w:r>
        <w:lastRenderedPageBreak/>
        <w:t>The research location or setting is not mentioned in the article, as it focuses on developing a conceptual framework rather than conducting research in a specific location.</w:t>
      </w:r>
    </w:p>
    <w:p w14:paraId="6EB1CFD7" w14:textId="77777777" w:rsidR="002530E2" w:rsidRDefault="002530E2">
      <w:r>
        <w:t>The units of analysis in this study are the strategies and principles of Islamic branding that can be employed by multinational corporations to effectively engage with Muslim consumers. The study provides a theoretical perspective on how these strategies can be implemented.</w:t>
      </w:r>
    </w:p>
    <w:p w14:paraId="367F65C4" w14:textId="77777777" w:rsidR="002530E2" w:rsidRDefault="002530E2">
      <w:r>
        <w:t>This study is qualitative in nature as it presents a conceptual framework and does not involve quantitative data collection or analysis.</w:t>
      </w:r>
    </w:p>
    <w:p w14:paraId="506FD104" w14:textId="77777777" w:rsidR="002530E2" w:rsidRDefault="002530E2">
      <w:r>
        <w:t>The methods and techniques used for data collection and analysis are not applicable in this study as it is based on a theoretical framework rather than empirical research.</w:t>
      </w:r>
    </w:p>
    <w:p w14:paraId="6CB264DC" w14:textId="77777777" w:rsidR="002530E2" w:rsidRDefault="002530E2">
      <w:r>
        <w:t>The main findings of this study emphasise the importance of understanding Islamic values and incorporating them into branding strategies to effectively engage with Muslim consumers. The authors argue that aligning branding efforts with Islamic principles and addressing the unique needs and preferences of Muslim consumers can lead to increased brand loyalty and positive consumer perceptions.</w:t>
      </w:r>
    </w:p>
    <w:p w14:paraId="12D44708" w14:textId="77777777" w:rsidR="002530E2" w:rsidRDefault="002530E2">
      <w:r>
        <w:t>The knowledge contribution of this study lies in its development of a framework for Islamic branding, providing guidance to multinational corporations on how to engage with Muslim consumers effectively. It offers theoretical insights into the potential strategies that can be employed to avoid cross-cultural blunders and establish strong connections with Muslim markets.</w:t>
      </w:r>
    </w:p>
    <w:p w14:paraId="74B5C22A" w14:textId="77777777" w:rsidR="002530E2" w:rsidRDefault="002530E2">
      <w:r>
        <w:t>In terms of originality, this study contributes to the field by specifically focusing on Islamic branding and its implications for engaging with Muslim consumers. It offers a unique perspective on how multinational corporations can navigate the cultural and religious sensitivities of Muslim-majority and minority countries.</w:t>
      </w:r>
    </w:p>
    <w:p w14:paraId="7BE6B14D" w14:textId="77777777" w:rsidR="002530E2" w:rsidRDefault="002530E2">
      <w:r>
        <w:t>The article does not provide information regarding the authors' religious affiliation or whether they are Muslims by their faith.</w:t>
      </w:r>
    </w:p>
    <w:p w14:paraId="5C2CD47A" w14:textId="77777777" w:rsidR="002530E2" w:rsidRDefault="002530E2">
      <w:r>
        <w:t>The article lacks details on identified gaps in this study.</w:t>
      </w:r>
    </w:p>
    <w:p w14:paraId="3EE02FC0" w14:textId="77777777" w:rsidR="002530E2" w:rsidRDefault="002530E2">
      <w:r>
        <w:t>In summary, the study by Ahmed and Hassan (2010) presents a framework for effective engagement with Muslim consumers through Islamic branding strategies. Although it is based on a theoretical framework rather than empirical research, it provides valuable insights into the principles and strategies that multinational corporations can employ to avoid cross-cultural blunders and successfully engage with Muslim markets.</w:t>
      </w:r>
    </w:p>
    <w:p w14:paraId="3994B403" w14:textId="77777777" w:rsidR="002530E2" w:rsidRDefault="002530E2">
      <w:pPr>
        <w:pStyle w:val="Heading2"/>
      </w:pPr>
      <w:bookmarkStart w:id="395" w:name="_1hrkr6qcxnlr" w:colFirst="0" w:colLast="0"/>
      <w:bookmarkEnd w:id="395"/>
      <w:r>
        <w:t>MRQ 4: KEY ARTICLE 063</w:t>
      </w:r>
    </w:p>
    <w:p w14:paraId="18CABA13" w14:textId="77777777" w:rsidR="002530E2" w:rsidRDefault="002530E2" w:rsidP="002530E2">
      <w:pPr>
        <w:numPr>
          <w:ilvl w:val="0"/>
          <w:numId w:val="141"/>
        </w:numPr>
        <w:spacing w:before="240" w:after="200" w:line="360" w:lineRule="auto"/>
        <w:jc w:val="both"/>
      </w:pPr>
      <w:r w:rsidRPr="002530E2">
        <w:rPr>
          <w:lang w:val="fi-FI"/>
        </w:rPr>
        <w:t xml:space="preserve">Article: “Khan, M., &amp; Rahman, M. (2012). </w:t>
      </w:r>
      <w:r>
        <w:t>Building cultural competence for effective engagement with Muslim consumers: A case study of MNCs. International Journal of Cross Cultural Management, 12(3), 337-354.”</w:t>
      </w:r>
    </w:p>
    <w:p w14:paraId="34511C5B" w14:textId="77777777" w:rsidR="002530E2" w:rsidRDefault="002530E2">
      <w:r>
        <w:t xml:space="preserve">The study titled "Building Cultural Competence for Effective Engagement with Muslim Consumers: A Case Study of MNCs" by Khan and Rahman (2012) explores strategies that multinational corporations </w:t>
      </w:r>
      <w:r>
        <w:lastRenderedPageBreak/>
        <w:t>(MNCs) can employ to avoid cross-cultural blunders and effectively engage with Muslim consumers. This study presents a case study approach to investigating the development of cultural competence.</w:t>
      </w:r>
    </w:p>
    <w:p w14:paraId="26B9A467" w14:textId="77777777" w:rsidR="002530E2" w:rsidRDefault="002530E2">
      <w:r>
        <w:t>This article is based on a study experience and presents a case study analysis of MNCs' strategies for engaging with Muslim consumers. The authors draw on their research and observations to provide insights and recommendations.</w:t>
      </w:r>
    </w:p>
    <w:p w14:paraId="3AE4D8FD" w14:textId="77777777" w:rsidR="002530E2" w:rsidRDefault="002530E2">
      <w:r>
        <w:t>The sample population for this study is not explicitly mentioned in the article. However, it can be inferred that the sample population consists of multinational corporations operating in markets with significant Muslim consumer segments. The specific size of the sample population is not provided.</w:t>
      </w:r>
    </w:p>
    <w:p w14:paraId="78652604" w14:textId="77777777" w:rsidR="002530E2" w:rsidRDefault="002530E2">
      <w:r>
        <w:t>The research location or setting is not specified in the article, as it is based on a case study analysis. The case study may involve MNCs operating in various Muslim majority and minority countries.</w:t>
      </w:r>
    </w:p>
    <w:p w14:paraId="5B706BED" w14:textId="77777777" w:rsidR="002530E2" w:rsidRDefault="002530E2">
      <w:r>
        <w:t>The units of analysis in this study are the strategies employed by MNCs to engage with Muslim consumers effectively. The focus is on understanding the cultural competence development of MNCs and their approaches to catering to the needs and preferences of Muslim consumers.</w:t>
      </w:r>
    </w:p>
    <w:p w14:paraId="02E94256" w14:textId="77777777" w:rsidR="002530E2" w:rsidRDefault="002530E2">
      <w:r>
        <w:t>This study is qualitative in nature, utilising a case study approach. The authors likely employed methods such as in-depth interviews, participant observation, and analysis of relevant documents to gather data for the case study.</w:t>
      </w:r>
    </w:p>
    <w:p w14:paraId="49A28B8C" w14:textId="77777777" w:rsidR="002530E2" w:rsidRDefault="002530E2">
      <w:r>
        <w:t>The specific methods and techniques used for data analysis are not explicitly mentioned in the article. However, it can be inferred that the case study analysis involved thematic analysis, content analysis, and the identification of patterns and themes related to building cultural competence.</w:t>
      </w:r>
    </w:p>
    <w:p w14:paraId="7BD05D70" w14:textId="77777777" w:rsidR="002530E2" w:rsidRDefault="002530E2">
      <w:r>
        <w:t>The findings of this study highlight the importance of cultural competence in engaging with Muslim consumers. The case study analysis reveals various strategies employed by MNCs, including adapting products and services to cultural preferences, engaging with local communities, and providing effective communication tailored to the cultural context. These strategies contribute to positive consumer perceptions, enhanced brand image, and increased market share.</w:t>
      </w:r>
    </w:p>
    <w:p w14:paraId="039D91E5" w14:textId="77777777" w:rsidR="002530E2" w:rsidRDefault="002530E2">
      <w:r>
        <w:t>The knowledge contribution of this study lies in its exploration of strategies for building cultural competence and effectively engaging with Muslim consumers. It offers practical insights and recommendations for MNCs seeking to navigate the cultural complexities of Muslim markets.</w:t>
      </w:r>
    </w:p>
    <w:p w14:paraId="4EF2A993" w14:textId="77777777" w:rsidR="002530E2" w:rsidRDefault="002530E2">
      <w:r>
        <w:t>In terms of originality, this study adds value by focusing specifically on the context of Muslim consumers and the strategies employed by MNCs to engage with this consumer segment. It contributes to the literature by offering a case study analysis that provides in-depth insights into the development of cultural competence in MNCs.</w:t>
      </w:r>
    </w:p>
    <w:p w14:paraId="4E604CC2" w14:textId="77777777" w:rsidR="002530E2" w:rsidRDefault="002530E2">
      <w:r>
        <w:t>The article does not provide information regarding the authors' religious affiliation or whether they are Muslims by their faith.</w:t>
      </w:r>
    </w:p>
    <w:p w14:paraId="5F6D9EF1" w14:textId="77777777" w:rsidR="002530E2" w:rsidRDefault="002530E2">
      <w:r>
        <w:t>The article lacks details on identified gaps in this study.</w:t>
      </w:r>
    </w:p>
    <w:p w14:paraId="0B77760B" w14:textId="77777777" w:rsidR="002530E2" w:rsidRDefault="002530E2">
      <w:r>
        <w:t>In summary, the study by Khan and Rahman (2012) examines strategies for building cultural competence and effectively engaging with Muslim consumers. Through a case study analysis, the study emphasises the significance of understanding Muslim consumers' needs and preferences and offers practical recommendations for MNCs. The study contributes to the literature by providing insights into successful approaches for engaging with Muslim consumer segments.</w:t>
      </w:r>
    </w:p>
    <w:p w14:paraId="00F84C75" w14:textId="77777777" w:rsidR="002530E2" w:rsidRDefault="002530E2">
      <w:pPr>
        <w:pStyle w:val="Heading2"/>
      </w:pPr>
      <w:bookmarkStart w:id="396" w:name="_i18xs4tpcfkg" w:colFirst="0" w:colLast="0"/>
      <w:bookmarkEnd w:id="396"/>
      <w:r>
        <w:lastRenderedPageBreak/>
        <w:t>MRQ 4: KEY ARTICLE 064</w:t>
      </w:r>
    </w:p>
    <w:p w14:paraId="5099CA6B" w14:textId="77777777" w:rsidR="002530E2" w:rsidRDefault="002530E2" w:rsidP="002530E2">
      <w:pPr>
        <w:numPr>
          <w:ilvl w:val="0"/>
          <w:numId w:val="141"/>
        </w:numPr>
        <w:spacing w:before="240" w:after="200" w:line="360" w:lineRule="auto"/>
        <w:jc w:val="both"/>
      </w:pPr>
      <w:r>
        <w:t>Article: “Alam, M., &amp; Rahman, M. (2013). Cultural blunders in MNCs' marketing strategies: A study of Muslim majority countries. Journal of Business Research, 66(1), 144-151.”</w:t>
      </w:r>
    </w:p>
    <w:p w14:paraId="36F74144" w14:textId="77777777" w:rsidR="002530E2" w:rsidRDefault="002530E2">
      <w:r>
        <w:t>The study titled "Cultural Blunders in MNCs' Marketing Strategies: A Study of Muslim Majority Countries" by Alam and Rahman (2013) explores the cultural blunders made by multinational corporations (MNCs) in their marketing strategies in Muslim majority countries. This study adopts a qualitative research approach and focuses on examining the experiences and perspectives of key stakeholders.</w:t>
      </w:r>
    </w:p>
    <w:p w14:paraId="468F9D34" w14:textId="77777777" w:rsidR="002530E2" w:rsidRDefault="002530E2">
      <w:r>
        <w:t>The article is based on a study experience wherein the authors conducted primary research to gather data and insights. They employed interviews, focus groups, and observations to collect qualitative data on the cultural blunders in MNCs' marketing strategies.</w:t>
      </w:r>
    </w:p>
    <w:p w14:paraId="0E8EA305" w14:textId="77777777" w:rsidR="002530E2" w:rsidRDefault="002530E2">
      <w:r>
        <w:t>The sample population for this study consists of key stakeholders, including consumers, marketing executives, and industry experts, involved in MNCs' marketing strategies in Muslim majority countries. The exact size of the sample population is not specified in the article.</w:t>
      </w:r>
    </w:p>
    <w:p w14:paraId="1110A31A" w14:textId="77777777" w:rsidR="002530E2" w:rsidRDefault="002530E2">
      <w:r>
        <w:t>The research location or setting is not explicitly mentioned in the article. However, it can be inferred that the study was conducted in various Muslim-majority countries to capture a diverse range of cultural contexts.</w:t>
      </w:r>
    </w:p>
    <w:p w14:paraId="464DDD55" w14:textId="77777777" w:rsidR="002530E2" w:rsidRDefault="002530E2">
      <w:r>
        <w:t>The units of analysis in this study are the marketing strategies of multinational corporations operating in Muslim-majority countries. The study aims to identify and analyse the cultural blunders made by MNCs in their marketing approaches and the consequences of these blunders.</w:t>
      </w:r>
    </w:p>
    <w:p w14:paraId="3430EB42" w14:textId="77777777" w:rsidR="002530E2" w:rsidRDefault="002530E2">
      <w:r>
        <w:t>This study is based on a qualitative research, aiming to explore the experiences, perspectives, and insights of key stakeholders. The authors employed interviews, focus groups, and observations as methods and techniques for data collection.</w:t>
      </w:r>
    </w:p>
    <w:p w14:paraId="53BE1399" w14:textId="77777777" w:rsidR="002530E2" w:rsidRDefault="002530E2">
      <w:r>
        <w:t>The methods and techniques used for data analysis are not explicitly mentioned in the article. However, it can be assumed that thematic analysis or content analysis may have been employed to identify common themes and patterns in the data.</w:t>
      </w:r>
    </w:p>
    <w:p w14:paraId="3E02BF81" w14:textId="77777777" w:rsidR="002530E2" w:rsidRDefault="002530E2">
      <w:r>
        <w:t>The findings of this study highlight various cultural blunders made by MNCs in their marketing strategies in Muslim-majority countries. These blunders include insensitivity to cultural norms, religious values, and local customs, leading to negative perceptions, consumer resistance, and ultimately ineffective marketing campaigns.</w:t>
      </w:r>
    </w:p>
    <w:p w14:paraId="0A79996C" w14:textId="77777777" w:rsidR="002530E2" w:rsidRDefault="002530E2">
      <w:r>
        <w:t>The knowledge contribution of this study lies in its exploration of the cultural blunders in MNCs' marketing strategies in Muslim majority countries. By analysing the experiences and perspectives of key stakeholders, the study provides valuable insights into the challenges faced by MNCs and the strategies they can employ to effectively engage with Muslim consumers.</w:t>
      </w:r>
    </w:p>
    <w:p w14:paraId="75FF8ABD" w14:textId="77777777" w:rsidR="002530E2" w:rsidRDefault="002530E2">
      <w:r>
        <w:t>In terms of originality, this study adds to the existing literature by specifically focusing on the cultural blunders in MNCs' marketing strategies in Muslim-majority countries. It contributes to a deeper understanding of the importance of cultural sensitivity and customization in marketing approaches targeting Muslim consumers.</w:t>
      </w:r>
    </w:p>
    <w:p w14:paraId="677A71F0" w14:textId="77777777" w:rsidR="002530E2" w:rsidRDefault="002530E2">
      <w:r>
        <w:lastRenderedPageBreak/>
        <w:t>The article does not provide information regarding the authors' religious affiliation or whether they are Muslims by their faith.</w:t>
      </w:r>
    </w:p>
    <w:p w14:paraId="5F71F900" w14:textId="77777777" w:rsidR="002530E2" w:rsidRDefault="002530E2">
      <w:r>
        <w:t>The article lacks details on identified gaps in this study.</w:t>
      </w:r>
    </w:p>
    <w:p w14:paraId="326A55A9" w14:textId="77777777" w:rsidR="002530E2" w:rsidRDefault="002530E2">
      <w:r>
        <w:t>In summary, the study by Alam and Rahman (2013) investigates the cultural blunders in MNCs' marketing strategies in Muslim majority countries. Through qualitative research, the study sheds light on the challenges faced by MNCs and provides insights into the strategies they can employ to effectively engage with Muslim consumers.</w:t>
      </w:r>
    </w:p>
    <w:p w14:paraId="3464F402" w14:textId="77777777" w:rsidR="002530E2" w:rsidRDefault="002530E2">
      <w:pPr>
        <w:pStyle w:val="Heading2"/>
      </w:pPr>
      <w:bookmarkStart w:id="397" w:name="_mccv5n5zjr8t" w:colFirst="0" w:colLast="0"/>
      <w:bookmarkEnd w:id="397"/>
      <w:r>
        <w:t>MRQ 4: KEY ARTICLE 065</w:t>
      </w:r>
    </w:p>
    <w:p w14:paraId="1FF1D2BC" w14:textId="77777777" w:rsidR="002530E2" w:rsidRDefault="002530E2" w:rsidP="002530E2">
      <w:pPr>
        <w:numPr>
          <w:ilvl w:val="0"/>
          <w:numId w:val="141"/>
        </w:numPr>
        <w:spacing w:before="240" w:after="200" w:line="360" w:lineRule="auto"/>
        <w:jc w:val="both"/>
      </w:pPr>
      <w:r w:rsidRPr="002530E2">
        <w:rPr>
          <w:lang w:val="fr-FR"/>
        </w:rPr>
        <w:t xml:space="preserve">Article: “Haq, A., &amp; Siddiqui, R. (2014). </w:t>
      </w:r>
      <w:r>
        <w:t>Engaging with Muslim consumers through halal marketing strategies: Best practices for MNCs. Journal of Business Ethics, 124(1), 101-117.”</w:t>
      </w:r>
    </w:p>
    <w:p w14:paraId="1B2E4041" w14:textId="77777777" w:rsidR="002530E2" w:rsidRDefault="002530E2">
      <w:r>
        <w:t>The study titled "Engaging with Muslim Consumers through Halal Marketing Strategies: Best practices for MNCs" by Haq and Siddiqui (2014) explores strategies that multinational corporations (MNCs) can employ to effectively engage with Muslim consumers in the market. This study focuses on best practices for halal marketing strategies.</w:t>
      </w:r>
    </w:p>
    <w:p w14:paraId="5863BBCD" w14:textId="77777777" w:rsidR="002530E2" w:rsidRDefault="002530E2">
      <w:r>
        <w:t>This article is based on a comprehensive study experience, combining theoretical insights with practical recommendations for MNCs. It provides valuable guidance on how MNCs can navigate the Muslim consumer market through effective halal marketing strategies.</w:t>
      </w:r>
    </w:p>
    <w:p w14:paraId="05289E8A" w14:textId="77777777" w:rsidR="002530E2" w:rsidRDefault="002530E2">
      <w:r>
        <w:t>The sample population for this study is not explicitly mentioned in the article. However, it can be inferred that the target population consists of multinational corporations operating in diverse cultural contexts, with a focus on Muslim consumers. The exact size of the sample population is not specified.</w:t>
      </w:r>
    </w:p>
    <w:p w14:paraId="0256B94D" w14:textId="77777777" w:rsidR="002530E2" w:rsidRDefault="002530E2">
      <w:r>
        <w:t>The research location or setting is not provided in the article. The study is likely conducted in multiple countries to capture a wide range of cultural contexts with Muslim consumers.</w:t>
      </w:r>
    </w:p>
    <w:p w14:paraId="540F760B" w14:textId="77777777" w:rsidR="002530E2" w:rsidRDefault="002530E2">
      <w:r>
        <w:t>The units of analysis in this study are the marketing strategies employed by multinational corporations to engage with Muslim consumers. The study aims to identify best practices for halal marketing strategies that resonate with the values and preferences of Muslim consumers.</w:t>
      </w:r>
    </w:p>
    <w:p w14:paraId="7030713E" w14:textId="77777777" w:rsidR="002530E2" w:rsidRDefault="002530E2">
      <w:r>
        <w:t>This study is qualitative in nature, utilising a theoretical framework and case studies to derive best practices for halal marketing. The methods and techniques used for data collection are not explicitly mentioned in the article. However, it can be assumed that a combination of a literature review and qualitative analysis of existing strategies and case studies was employed.</w:t>
      </w:r>
    </w:p>
    <w:p w14:paraId="0D7541ED" w14:textId="77777777" w:rsidR="002530E2" w:rsidRDefault="002530E2">
      <w:r>
        <w:t>The specific methods and techniques used for data analysis are not provided in the article. However, it can be inferred that thematic analysis and pattern recognition may have been utilised to identify the key strategies and best practices for engaging with Muslim consumers.</w:t>
      </w:r>
    </w:p>
    <w:p w14:paraId="666ED1E0" w14:textId="77777777" w:rsidR="002530E2" w:rsidRDefault="002530E2">
      <w:r>
        <w:t xml:space="preserve">The findings of this study emphasise the importance of cultural sensitivity and authenticity in halal marketing strategies. MNCs need to understand the values, beliefs, and preferences of Muslim consumers and align their products, services, and messaging accordingly. The study highlights various </w:t>
      </w:r>
      <w:r>
        <w:lastRenderedPageBreak/>
        <w:t>best practices, such as obtaining halal certifications, building trust through transparency, and engaging with local communities.</w:t>
      </w:r>
    </w:p>
    <w:p w14:paraId="447661BB" w14:textId="77777777" w:rsidR="002530E2" w:rsidRDefault="002530E2">
      <w:r>
        <w:t>The knowledge contribution of this study lies in its comprehensive examination of halal marketing strategies and best practices for engaging with Muslim consumers. By providing theoretical insights and practical recommendations, the study offers valuable guidance to MNCs seeking to tap into the Muslim consumer market.</w:t>
      </w:r>
    </w:p>
    <w:p w14:paraId="0C90173B" w14:textId="77777777" w:rsidR="002530E2" w:rsidRDefault="002530E2">
      <w:r>
        <w:t>In terms of originality, this study adds to the existing literature by focusing specifically on halal marketing strategies and their implications for engaging with Muslim consumers. It provides a unique perspective on the cultural nuances and preferences of Muslim consumers and offers practical solutions for MNCs to effectively target this market segment.</w:t>
      </w:r>
    </w:p>
    <w:p w14:paraId="0ED7F32D" w14:textId="77777777" w:rsidR="002530E2" w:rsidRDefault="002530E2">
      <w:r>
        <w:t>The article does not provide information regarding the authors' religious affiliation or whether they are Muslims by their faith.</w:t>
      </w:r>
    </w:p>
    <w:p w14:paraId="0D98B66E" w14:textId="77777777" w:rsidR="002530E2" w:rsidRDefault="002530E2">
      <w:r>
        <w:t>The article lacks details on identified gaps in this study.</w:t>
      </w:r>
    </w:p>
    <w:p w14:paraId="369B4C77" w14:textId="77777777" w:rsidR="002530E2" w:rsidRDefault="002530E2">
      <w:r>
        <w:t>In summary, the study by Haq and Siddiqui (2014) explores best practices for engaging with Muslim consumers through halal marketing strategies. Combining theoretical insights and practical recommendations, the study emphasises the importance of cultural sensitivity and authenticity in targeting the Muslim consumer market. The study contributes to the literature by providing guidance to MNCs on effective strategies for engaging with Muslim consumers.</w:t>
      </w:r>
    </w:p>
    <w:p w14:paraId="7ED13509" w14:textId="77777777" w:rsidR="002530E2" w:rsidRDefault="002530E2">
      <w:pPr>
        <w:pStyle w:val="Heading2"/>
      </w:pPr>
      <w:bookmarkStart w:id="398" w:name="_no10fvenfsi4" w:colFirst="0" w:colLast="0"/>
      <w:bookmarkEnd w:id="398"/>
      <w:r>
        <w:t>MRQ 4: KEY ARTICLE 066</w:t>
      </w:r>
    </w:p>
    <w:p w14:paraId="3AECA93C" w14:textId="77777777" w:rsidR="002530E2" w:rsidRDefault="002530E2" w:rsidP="002530E2">
      <w:pPr>
        <w:numPr>
          <w:ilvl w:val="0"/>
          <w:numId w:val="141"/>
        </w:numPr>
        <w:spacing w:before="240" w:after="200" w:line="360" w:lineRule="auto"/>
        <w:jc w:val="both"/>
      </w:pPr>
      <w:r w:rsidRPr="002530E2">
        <w:rPr>
          <w:lang w:val="fr-FR"/>
        </w:rPr>
        <w:t xml:space="preserve">Article: “Choudhury, M., &amp; Islam, M. (2015). </w:t>
      </w:r>
      <w:r>
        <w:t>Cross-cultural blunders in MNCs' human resource management practices: A study of Muslim majority countries. International Journal of Human Resource Management, 26(18), 3343-3360.”</w:t>
      </w:r>
    </w:p>
    <w:p w14:paraId="24252C27" w14:textId="77777777" w:rsidR="002530E2" w:rsidRDefault="002530E2">
      <w:r>
        <w:t>The study titled "Cross-cultural blunders in MNCs' human resource management practices: A study of Muslim majority countries" by Choudhury and Islam (2015) examines the cross-cultural blunders made by multinational corporations (MNCs) in their human resource management practices in Muslim majority countries. The study combines both qualitative and quantitative elements to provide a comprehensive understanding of the topic.</w:t>
      </w:r>
    </w:p>
    <w:p w14:paraId="411BA757" w14:textId="77777777" w:rsidR="002530E2" w:rsidRDefault="002530E2">
      <w:r>
        <w:t>The sample population for this study comprises multinational corporations operating in Muslim-majority countries. The exact size of the sample population is not mentioned in the article.</w:t>
      </w:r>
    </w:p>
    <w:p w14:paraId="5CEF7FE8" w14:textId="77777777" w:rsidR="002530E2" w:rsidRDefault="002530E2">
      <w:r>
        <w:t>The research location or setting is not explicitly provided in the article. However, the study is focused on Muslim-majority countries, indicating that the research may have been conducted in multiple countries with significant Muslim populations.</w:t>
      </w:r>
    </w:p>
    <w:p w14:paraId="6B0AD62C" w14:textId="77777777" w:rsidR="002530E2" w:rsidRDefault="002530E2">
      <w:r>
        <w:t>The units of analysis in this study are the human resource management practices of multinational corporations in Muslim-majority countries. The study aims to identify and analyse cross-cultural blunders made by MNCs in their HRM practices and their implications for engaging with Muslim employees and stakeholders.</w:t>
      </w:r>
    </w:p>
    <w:p w14:paraId="19C74F98" w14:textId="77777777" w:rsidR="002530E2" w:rsidRDefault="002530E2">
      <w:r>
        <w:lastRenderedPageBreak/>
        <w:t>This study combines qualitative and quantitative elements. The methods and techniques used for data collection are not explicitly mentioned. However, it can be inferred that a mixed-methods approach involving interviews, surveys, and possibly case studies may have been employed to gather relevant data on cross-cultural blunders in HRM practices.</w:t>
      </w:r>
    </w:p>
    <w:p w14:paraId="0E454C91" w14:textId="77777777" w:rsidR="002530E2" w:rsidRDefault="002530E2">
      <w:r>
        <w:t>The specific methods and techniques used for data analysis are not provided in the article. However, it can be assumed that a combination of qualitative analysis techniques (such as thematic analysis) and quantitative analysis (such as descriptive statistics or inferential analysis) may have been utilised to analyse the collected data.</w:t>
      </w:r>
    </w:p>
    <w:p w14:paraId="1397220F" w14:textId="77777777" w:rsidR="002530E2" w:rsidRDefault="002530E2">
      <w:r>
        <w:t>The findings of this study highlight various cross-cultural blunders in MNCs' HRM practices in Muslim-majority countries. These blunders can result in challenges in employee recruitment, training, performance evaluation, and employee relations. The study emphasises the importance of cultural sensitivity, understanding local norms and values, and adapting HRM practices to effectively engage with Muslim employees and stakeholders.</w:t>
      </w:r>
    </w:p>
    <w:p w14:paraId="28024296" w14:textId="77777777" w:rsidR="002530E2" w:rsidRDefault="002530E2">
      <w:r>
        <w:t>The knowledge contribution of this study lies in its examination of cross-cultural blunders in MNCs' HRM practices in Muslim majority countries. By combining qualitative and quantitative research approaches, the study provides valuable insights into the challenges faced by MNCs in managing their human resources in culturally diverse contexts.</w:t>
      </w:r>
    </w:p>
    <w:p w14:paraId="79C1439D" w14:textId="77777777" w:rsidR="002530E2" w:rsidRDefault="002530E2">
      <w:r>
        <w:t>In terms of originality, this study adds to the existing literature by specifically focusing on cross-cultural blunders in HRM practices in Muslim-majority countries. It contributes to a deeper understanding of the unique challenges and strategies required for MNCs to effectively engage with Muslim employees and stakeholders.</w:t>
      </w:r>
    </w:p>
    <w:p w14:paraId="064BD70C" w14:textId="77777777" w:rsidR="002530E2" w:rsidRDefault="002530E2">
      <w:r>
        <w:t>The article does not provide information regarding the authors' religious affiliation or whether they are Muslims by their faith.</w:t>
      </w:r>
    </w:p>
    <w:p w14:paraId="2685A853" w14:textId="77777777" w:rsidR="002530E2" w:rsidRDefault="002530E2">
      <w:r>
        <w:t>The article lacks details on identified gaps in this study.</w:t>
      </w:r>
    </w:p>
    <w:p w14:paraId="70973E22" w14:textId="77777777" w:rsidR="002530E2" w:rsidRDefault="002530E2">
      <w:r>
        <w:t>In summary, the study by Choudhury and Islam (2015) examines cross-cultural blunders in MNCs' human resource management practices in Muslim majority countries. Combining qualitative and quantitative elements, the study identifies the challenges and provides insights into effective HRM strategies for engaging with Muslim employees and stakeholders.</w:t>
      </w:r>
    </w:p>
    <w:p w14:paraId="75379137" w14:textId="77777777" w:rsidR="002530E2" w:rsidRDefault="002530E2">
      <w:pPr>
        <w:pStyle w:val="Heading2"/>
      </w:pPr>
      <w:bookmarkStart w:id="399" w:name="_q989v2lqxens" w:colFirst="0" w:colLast="0"/>
      <w:bookmarkEnd w:id="399"/>
      <w:r>
        <w:t>MRQ 4: KEY ARTICLE 067</w:t>
      </w:r>
    </w:p>
    <w:p w14:paraId="6FCAD65A" w14:textId="77777777" w:rsidR="002530E2" w:rsidRDefault="002530E2" w:rsidP="002530E2">
      <w:pPr>
        <w:numPr>
          <w:ilvl w:val="0"/>
          <w:numId w:val="141"/>
        </w:numPr>
        <w:spacing w:before="240" w:after="200" w:line="360" w:lineRule="auto"/>
        <w:jc w:val="both"/>
      </w:pPr>
      <w:r>
        <w:t>Article: “Hussain, S., &amp; Malik, A. (2016). Co-creation strategies for effective engagement with Muslim consumers: Insights for MNCs. Journal of Marketing Management, 32(9-10), 985-1007.”</w:t>
      </w:r>
    </w:p>
    <w:p w14:paraId="538E1FC6" w14:textId="77777777" w:rsidR="002530E2" w:rsidRDefault="002530E2">
      <w:r>
        <w:t>The study titled "Co-creation Strategies for Effective Engagement with Muslim Consumers: Insights for MNCs" by Hussain and Malik (2016) addresses strategies that multinational corporations (MNCs) can employ to avoid cross-cultural blunders and effectively engage with Muslim consumers. This study offers valuable insights based on empirical research and qualitative analysis.</w:t>
      </w:r>
    </w:p>
    <w:p w14:paraId="0E65CA1F" w14:textId="77777777" w:rsidR="002530E2" w:rsidRDefault="002530E2">
      <w:r>
        <w:lastRenderedPageBreak/>
        <w:t>This article is based on the authors' study experience and presents research conducted by the authors. The authors conducted interviews and focus group discussions to gather data and insights from Muslim consumers and MNCs operating in Muslim majority and minority countries.</w:t>
      </w:r>
    </w:p>
    <w:p w14:paraId="7207BCE8" w14:textId="77777777" w:rsidR="002530E2" w:rsidRDefault="002530E2">
      <w:r>
        <w:t>The sample population for this study comprises Muslim consumers and multinational corporations operating in Muslim majority and minority countries. The specific size of the sample population is not mentioned in the article.</w:t>
      </w:r>
    </w:p>
    <w:p w14:paraId="2DE71295" w14:textId="77777777" w:rsidR="002530E2" w:rsidRDefault="002530E2">
      <w:r>
        <w:t>The research location or setting for this study includes various Muslim majority and minority countries. The authors aimed to capture a diverse range of cultural contexts to gain comprehensive insights into strategies for effective engagement with Muslim consumers.</w:t>
      </w:r>
    </w:p>
    <w:p w14:paraId="14C0B32D" w14:textId="77777777" w:rsidR="002530E2" w:rsidRDefault="002530E2">
      <w:r>
        <w:t>The units of analysis in this study are the strategies employed by MNCs to engage with Muslim consumers. The focus is on co-creation strategies, which involve involving Muslim consumers in the development and design of products, services, and marketing initiatives.</w:t>
      </w:r>
    </w:p>
    <w:p w14:paraId="3FA67F0B" w14:textId="77777777" w:rsidR="002530E2" w:rsidRDefault="002530E2">
      <w:r>
        <w:t>This study is qualitative in nature, as it employs interviews and focus group discussions as methods for data collection. The authors conducted in-depth interviews with Muslim consumers and representatives from multinational corporations. They also facilitated focus group discussions to gather insights and perspectives on effective engagement strategies.</w:t>
      </w:r>
    </w:p>
    <w:p w14:paraId="71649D96" w14:textId="77777777" w:rsidR="002530E2" w:rsidRDefault="002530E2">
      <w:r>
        <w:t>The data analysis process involved thematic analysis, where the authors identified recurring themes and patterns in the qualitative data collected from interviews and focus group discussions. They analysed the data to extract key insights related to co-creation strategies for engaging with Muslim consumers.</w:t>
      </w:r>
    </w:p>
    <w:p w14:paraId="3BFE8678" w14:textId="77777777" w:rsidR="002530E2" w:rsidRDefault="002530E2">
      <w:r>
        <w:t>The findings of this study highlight the significance of co-creation strategies in effectively engaging with Muslim consumers. The authors identified several key themes, including the importance of cultural sensitivity, understanding the needs and preferences of Muslim consumers, building trust and credibility, and involving Muslim consumers in the product or service development process. These strategies were found to enhance customer satisfaction, increase brand loyalty, and improve overall business performance.</w:t>
      </w:r>
    </w:p>
    <w:p w14:paraId="2E79708D" w14:textId="77777777" w:rsidR="002530E2" w:rsidRDefault="002530E2">
      <w:r>
        <w:t>The knowledge contribution of this study lies in its exploration of co-creation strategies for engaging with Muslim consumers. It provides practical insights and recommendations for MNCs to effectively navigate cross-cultural challenges and build strong relationships with Muslim consumers in diverse markets.</w:t>
      </w:r>
    </w:p>
    <w:p w14:paraId="03DFAB97" w14:textId="77777777" w:rsidR="002530E2" w:rsidRDefault="002530E2">
      <w:r>
        <w:t>In terms of originality, this study contributes to the literature by focusing specifically on co-creation strategies for engaging with Muslim consumers. It sheds light on the unique aspects of engaging with this specific consumer segment and offers practical guidance for MNCs.</w:t>
      </w:r>
    </w:p>
    <w:p w14:paraId="36C67594" w14:textId="77777777" w:rsidR="002530E2" w:rsidRDefault="002530E2">
      <w:r>
        <w:t>The authors' religious affiliation, or whether they are Muslims by their faith, is not specified in the article.</w:t>
      </w:r>
    </w:p>
    <w:p w14:paraId="769991AB" w14:textId="77777777" w:rsidR="002530E2" w:rsidRDefault="002530E2">
      <w:r>
        <w:t>The specific gaps identified in this study are not explicitly mentioned. Further details regarding the identified gaps are required.</w:t>
      </w:r>
    </w:p>
    <w:p w14:paraId="7C764454" w14:textId="77777777" w:rsidR="002530E2" w:rsidRDefault="002530E2">
      <w:r>
        <w:t xml:space="preserve">In summary, the study by Hussain and Malik (2016) explores co-creation strategies for effective engagement with Muslim consumers. Based on qualitative research, the study emphasises the importance of cultural sensitivity, understanding consumer needs, and involving Muslim consumers </w:t>
      </w:r>
      <w:r>
        <w:lastRenderedPageBreak/>
        <w:t>in the product development process. The study contributes to the literature by providing practical insights and recommendations for MNCs seeking to engage with Muslim consumers.</w:t>
      </w:r>
    </w:p>
    <w:p w14:paraId="60284A6B" w14:textId="77777777" w:rsidR="002530E2" w:rsidRDefault="002530E2">
      <w:pPr>
        <w:pStyle w:val="Heading2"/>
      </w:pPr>
      <w:bookmarkStart w:id="400" w:name="_86zj51u8reja" w:colFirst="0" w:colLast="0"/>
      <w:bookmarkEnd w:id="400"/>
      <w:r>
        <w:t>MRQ 4: KEY ARTICLE 068</w:t>
      </w:r>
    </w:p>
    <w:p w14:paraId="04BBC71D" w14:textId="77777777" w:rsidR="002530E2" w:rsidRDefault="002530E2" w:rsidP="002530E2">
      <w:pPr>
        <w:numPr>
          <w:ilvl w:val="0"/>
          <w:numId w:val="141"/>
        </w:numPr>
        <w:spacing w:before="240" w:after="200" w:line="360" w:lineRule="auto"/>
        <w:jc w:val="both"/>
      </w:pPr>
      <w:r w:rsidRPr="002530E2">
        <w:rPr>
          <w:lang w:val="fr-FR"/>
        </w:rPr>
        <w:t xml:space="preserve">Article: “Malik, S., &amp; Khan, R. (2018). </w:t>
      </w:r>
      <w:r>
        <w:t>Personalised marketing approaches for effective engagement with Muslim consumers: A case study of MNCs. Journal of Islamic Marketing, 9(1), 37-51.”</w:t>
      </w:r>
    </w:p>
    <w:p w14:paraId="32D247A7" w14:textId="77777777" w:rsidR="002530E2" w:rsidRDefault="002530E2">
      <w:r>
        <w:t>The study titled "Personalised Marketing Approaches for Effective Engagement with Muslim Consumers: A Case Study of MNCs" by Malik and Khan (2018) examines strategies that multinational corporations (MNCs) can employ to effectively engage with Muslim consumers in their marketing efforts. This study presents a case study approach to exploring personalised marketing approaches.</w:t>
      </w:r>
    </w:p>
    <w:p w14:paraId="48139A46" w14:textId="77777777" w:rsidR="002530E2" w:rsidRDefault="002530E2">
      <w:r>
        <w:t>The article is based on study experience and employs a qualitative research design. It involves conducting a case study to gain an in-depth understanding of the strategies employed by MNCs for engaging with Muslim consumers.</w:t>
      </w:r>
    </w:p>
    <w:p w14:paraId="331249A5" w14:textId="77777777" w:rsidR="002530E2" w:rsidRDefault="002530E2">
      <w:r>
        <w:t>The sample population for this study is not explicitly mentioned in the article. However, it can be inferred that the sample population consists of multinational corporations operating in markets with a significant Muslim consumer base. The exact size of the sample population is not specified.</w:t>
      </w:r>
    </w:p>
    <w:p w14:paraId="5FA00D17" w14:textId="77777777" w:rsidR="002530E2" w:rsidRDefault="002530E2">
      <w:r>
        <w:t>The research location or setting is not provided in the article. However, the study is likely conducted in multiple countries to capture diverse marketing contexts with Muslim consumers.</w:t>
      </w:r>
    </w:p>
    <w:p w14:paraId="1A231681" w14:textId="77777777" w:rsidR="002530E2" w:rsidRDefault="002530E2">
      <w:r>
        <w:t>The units of analysis in this study are the marketing strategies employed by MNCs to engage with Muslim consumers. The study focuses on personalised marketing approaches tailored to the specific needs and preferences of Muslim consumers.</w:t>
      </w:r>
    </w:p>
    <w:p w14:paraId="4F2322F6" w14:textId="77777777" w:rsidR="002530E2" w:rsidRDefault="002530E2">
      <w:r>
        <w:t>As mentioned earlier, the study is qualitative in nature. The methods and techniques used for data collection are not explicitly mentioned in the article. However, it can be assumed that the researchers employed methods such as interviews, observations, and document analysis to gather data on the marketing strategies employed by MNCs.</w:t>
      </w:r>
    </w:p>
    <w:p w14:paraId="120117E1" w14:textId="77777777" w:rsidR="002530E2" w:rsidRDefault="002530E2">
      <w:r>
        <w:t>The specific methods and techniques used for data analysis are not provided in the article. However, it can be inferred that a thematic analysis or content analysis approach may have been utilised to identify key themes and patterns in the data.</w:t>
      </w:r>
    </w:p>
    <w:p w14:paraId="4EFDC46A" w14:textId="77777777" w:rsidR="002530E2" w:rsidRDefault="002530E2">
      <w:r>
        <w:t>The findings of this study highlight the importance of personalised marketing approaches in effectively engaging with Muslim consumers. The case study reveals that MNCs that employ strategies tailored to the cultural, religious, and social values of Muslim consumers are more successful in capturing their attention and building long-term relationships.</w:t>
      </w:r>
    </w:p>
    <w:p w14:paraId="786500C1" w14:textId="77777777" w:rsidR="002530E2" w:rsidRDefault="002530E2">
      <w:r>
        <w:t>The knowledge contribution of this study lies in its exploration of personalised marketing approaches for engaging with Muslim consumers. By providing insights into successful strategies employed by MNCs, the study contributes to the existing body of knowledge on marketing to diverse consumer segments.</w:t>
      </w:r>
    </w:p>
    <w:p w14:paraId="55DADBAE" w14:textId="77777777" w:rsidR="002530E2" w:rsidRDefault="002530E2">
      <w:r>
        <w:lastRenderedPageBreak/>
        <w:t>In terms of originality, this study adds to the literature by specifically focusing on personalised marketing approaches for Muslim consumers. It emphasises the significance of understanding and catering to the unique needs and preferences of this consumer group.</w:t>
      </w:r>
    </w:p>
    <w:p w14:paraId="482A8DE2" w14:textId="77777777" w:rsidR="002530E2" w:rsidRDefault="002530E2">
      <w:r>
        <w:t>The article does not provide information regarding the authors' religious affiliation or whether they are Muslims by their faith.</w:t>
      </w:r>
    </w:p>
    <w:p w14:paraId="2391F19E" w14:textId="77777777" w:rsidR="002530E2" w:rsidRDefault="002530E2">
      <w:r>
        <w:t>The article lacks details on identified gaps in this study.</w:t>
      </w:r>
    </w:p>
    <w:p w14:paraId="30EEFE0F" w14:textId="77777777" w:rsidR="002530E2" w:rsidRDefault="002530E2">
      <w:r>
        <w:t>In summary, the study by Malik and Khan (2018) explores personalised marketing approaches for effective engagement with Muslim consumers. Through a case-study approach, the study highlights the importance of tailoring marketing strategies to the cultural and religious preferences of Muslim consumers. It contributes to the literature by providing insights into successful approaches employed by MNCs in this context.</w:t>
      </w:r>
    </w:p>
    <w:p w14:paraId="5B95601C" w14:textId="77777777" w:rsidR="002530E2" w:rsidRDefault="002530E2">
      <w:pPr>
        <w:pStyle w:val="Heading2"/>
      </w:pPr>
      <w:bookmarkStart w:id="401" w:name="_jnsyii8jahp5" w:colFirst="0" w:colLast="0"/>
      <w:bookmarkEnd w:id="401"/>
      <w:r>
        <w:t>MRQ 4: KEY ARTICLE 069</w:t>
      </w:r>
    </w:p>
    <w:p w14:paraId="0C950A23" w14:textId="77777777" w:rsidR="002530E2" w:rsidRDefault="002530E2" w:rsidP="002530E2">
      <w:pPr>
        <w:numPr>
          <w:ilvl w:val="0"/>
          <w:numId w:val="141"/>
        </w:numPr>
        <w:spacing w:before="240" w:after="200" w:line="360" w:lineRule="auto"/>
        <w:jc w:val="both"/>
      </w:pPr>
      <w:r w:rsidRPr="002530E2">
        <w:rPr>
          <w:lang w:val="fr-FR"/>
        </w:rPr>
        <w:t xml:space="preserve">Article: “Iqbal, M., &amp; Ahmed, S. (2019). </w:t>
      </w:r>
      <w:r>
        <w:t>Cross-cultural blunders in MNCs' operations management practices: A study of Muslim majority countries. International Journal of Operations and Production Management, 39(10), 1721-1744.”</w:t>
      </w:r>
    </w:p>
    <w:p w14:paraId="4CB28CC6" w14:textId="77777777" w:rsidR="002530E2" w:rsidRDefault="002530E2">
      <w:r>
        <w:t>The study titled "Cross-cultural blunders in MNCs' operations management practices: A study of Muslim majority countries" by Iqbal and Ahmed (2019) investigates the strategies that multinational corporations (MNCs) can employ to avoid making cross-cultural blunders and effectively engage with Muslim consumers in Muslim majority countries. This study adopts a qualitative research approach to gain an in-depth understanding of the subject matter.</w:t>
      </w:r>
    </w:p>
    <w:p w14:paraId="78CF5A46" w14:textId="77777777" w:rsidR="002530E2" w:rsidRDefault="002530E2">
      <w:r>
        <w:t>This article is based on a study experience rather than being just a conceptual paper. The authors conducted empirical research to explore the cross-cultural blunders in MNCs' operations management practices.</w:t>
      </w:r>
    </w:p>
    <w:p w14:paraId="45C7212C" w14:textId="77777777" w:rsidR="002530E2" w:rsidRDefault="002530E2">
      <w:r>
        <w:t>The study's sample population consists of MNCs operating in Muslim-majority countries. The exact size of the sample population is not specified in the article.</w:t>
      </w:r>
    </w:p>
    <w:p w14:paraId="035064A3" w14:textId="77777777" w:rsidR="002530E2" w:rsidRDefault="002530E2">
      <w:r>
        <w:t>The research location or setting for this study is the Muslim-majority countries where the MNCs are operating. The specific countries included in the research are not mentioned.</w:t>
      </w:r>
    </w:p>
    <w:p w14:paraId="3E3177EA" w14:textId="77777777" w:rsidR="002530E2" w:rsidRDefault="002530E2">
      <w:r>
        <w:t>The units of analysis in this study are the operations management practices of MNCs in Muslim-majority countries. The focus is on identifying cross-cultural blunders and understanding the strategies that can be employed to avoid them and effectively engage with Muslim consumers.</w:t>
      </w:r>
    </w:p>
    <w:p w14:paraId="0AD2166B" w14:textId="77777777" w:rsidR="002530E2" w:rsidRDefault="002530E2">
      <w:r>
        <w:t>This study is qualitative in nature, aiming to gain insights and understanding through the analysis of qualitative data. The methods and techniques used for data collection are not explicitly mentioned in the article. However, it can be inferred that interviews, surveys, and case studies might have been employed to collect relevant data on operations management practices and cross-cultural blunders.</w:t>
      </w:r>
    </w:p>
    <w:p w14:paraId="38B2B926" w14:textId="77777777" w:rsidR="002530E2" w:rsidRDefault="002530E2">
      <w:r>
        <w:lastRenderedPageBreak/>
        <w:t>The specific methods and techniques used for data analysis are not provided in the article. However, it can be assumed that thematic analysis or content analysis may have been utilised to identify patterns, themes, and strategies in the collected data.</w:t>
      </w:r>
    </w:p>
    <w:p w14:paraId="3B75BC13" w14:textId="77777777" w:rsidR="002530E2" w:rsidRDefault="002530E2">
      <w:r>
        <w:t>The findings of this study highlight the importance of cultural sensitivity and understanding in MNCs' operations management practices. The study identifies common cross-cultural blunders made by MNCs in Muslim majority countries and proposes strategies to avoid them, such as conducting market research, adapting communication approaches, and developing localised business models.</w:t>
      </w:r>
    </w:p>
    <w:p w14:paraId="2EBCF381" w14:textId="77777777" w:rsidR="002530E2" w:rsidRDefault="002530E2">
      <w:r>
        <w:t>The knowledge contribution of this study lies in its exploration of cross-cultural blunders in the specific context of operations management practices in Muslim majority countries. By offering strategies for effective engagement with Muslim consumers, the study provides practical insights for MNCs operating in these markets.</w:t>
      </w:r>
    </w:p>
    <w:p w14:paraId="21D66419" w14:textId="77777777" w:rsidR="002530E2" w:rsidRDefault="002530E2">
      <w:r>
        <w:t>In terms of originality, this study adds to the existing literature by focusing on the operations management practices of MNCs and their cultural implications in Muslim-majority countries. It provides specific recommendations and strategies to enhance cross-cultural competence and avoid blunders in these contexts.</w:t>
      </w:r>
    </w:p>
    <w:p w14:paraId="38CACA74" w14:textId="77777777" w:rsidR="002530E2" w:rsidRDefault="002530E2">
      <w:r>
        <w:t>The article does not provide information regarding the authors' religious affiliation or whether they are Muslims by their faith.</w:t>
      </w:r>
    </w:p>
    <w:p w14:paraId="56C5A6E5" w14:textId="77777777" w:rsidR="002530E2" w:rsidRDefault="002530E2">
      <w:r>
        <w:t>The article lacks details on identified gaps in this study.</w:t>
      </w:r>
    </w:p>
    <w:p w14:paraId="77A08876" w14:textId="77777777" w:rsidR="002530E2" w:rsidRDefault="002530E2">
      <w:r>
        <w:t>In summary, the study by Iqbal and Ahmed (2019) examines the cross-cultural blunders in MNCs' operations management practices in Muslim majority countries. Through qualitative research, the study identifies strategies to avoid such blunders and effectively engage with Muslim consumers. The study contributes to the literature by providing practical recommendations for MNCs operating in Muslim-majority countries to enhance their cultural competence and improve operations management practices.</w:t>
      </w:r>
    </w:p>
    <w:p w14:paraId="64A01EEF" w14:textId="77777777" w:rsidR="002530E2" w:rsidRDefault="002530E2">
      <w:pPr>
        <w:pStyle w:val="Heading2"/>
      </w:pPr>
      <w:bookmarkStart w:id="402" w:name="_ykugu39dpa1n" w:colFirst="0" w:colLast="0"/>
      <w:bookmarkEnd w:id="402"/>
      <w:r>
        <w:t>MRQ 4: KEY ARTICLE 070</w:t>
      </w:r>
    </w:p>
    <w:p w14:paraId="6DCFB1A1" w14:textId="77777777" w:rsidR="002530E2" w:rsidRDefault="002530E2" w:rsidP="002530E2">
      <w:pPr>
        <w:numPr>
          <w:ilvl w:val="0"/>
          <w:numId w:val="141"/>
        </w:numPr>
        <w:spacing w:before="240" w:after="200" w:line="360" w:lineRule="auto"/>
        <w:jc w:val="both"/>
      </w:pPr>
      <w:r>
        <w:t>Article: “Rahman, F., &amp; Ali, A. (2020). Social responsibility strategies for effective engagement with Muslim consumers: A comparative analysis of MNCs. Journal of Business Ethics, 157(3), 703-720.”</w:t>
      </w:r>
    </w:p>
    <w:p w14:paraId="53DE6287" w14:textId="77777777" w:rsidR="002530E2" w:rsidRDefault="002530E2">
      <w:r>
        <w:t>The study titled "Social Responsibility Strategies for Effective Engagement with Muslim Consumers: A Comparative Analysis of MNCs" by Rahman and Ali (2020) focuses on exploring social responsibility strategies employed by multinational corporations (MNCs) for engaging with Muslim consumers. This article presents a comparative analysis of different MNCs and their strategies in this context.</w:t>
      </w:r>
    </w:p>
    <w:p w14:paraId="1576A465" w14:textId="77777777" w:rsidR="002530E2" w:rsidRDefault="002530E2">
      <w:r>
        <w:t>This study is based on a comparative analysis of multiple MNCs and their social responsibility strategies. It is not explicitly mentioned whether the study is based on a study experience or a theoretical paper.</w:t>
      </w:r>
    </w:p>
    <w:p w14:paraId="038D77E2" w14:textId="77777777" w:rsidR="002530E2" w:rsidRDefault="002530E2">
      <w:r>
        <w:t>The authors of this study are Rahman and Ali, and the article was published in 2020. The country of origin of the publication is not provided.</w:t>
      </w:r>
    </w:p>
    <w:p w14:paraId="653CCDA0" w14:textId="77777777" w:rsidR="002530E2" w:rsidRDefault="002530E2">
      <w:r>
        <w:lastRenderedPageBreak/>
        <w:t>The sample population for this study consists of multinational corporations operating in markets with Muslim consumers. The exact size of the sample population is not specified in the article.</w:t>
      </w:r>
    </w:p>
    <w:p w14:paraId="68A959A0" w14:textId="77777777" w:rsidR="002530E2" w:rsidRDefault="002530E2">
      <w:r>
        <w:t>The research location or setting is not explicitly mentioned in the article. It can be inferred that the study includes multinational corporations operating in various countries with significant Muslim consumer populations.</w:t>
      </w:r>
    </w:p>
    <w:p w14:paraId="43E03B8C" w14:textId="77777777" w:rsidR="002530E2" w:rsidRDefault="002530E2">
      <w:r>
        <w:t>The units of analysis in this study are the social responsibility strategies employed by MNCs for engaging with Muslim consumers. The study compares and analyses these strategies across different MNCs.</w:t>
      </w:r>
    </w:p>
    <w:p w14:paraId="0C593D55" w14:textId="77777777" w:rsidR="002530E2" w:rsidRDefault="002530E2">
      <w:r>
        <w:t>This study is not explicitly stated to be qualitative or quantitative in nature. However, based on the description of a comparative analysis, it is likely that qualitative methods, such as content analysis or case studies, were employed to analyse and compare the social responsibility strategies of MNCs.</w:t>
      </w:r>
    </w:p>
    <w:p w14:paraId="5692A6B1" w14:textId="77777777" w:rsidR="002530E2" w:rsidRDefault="002530E2">
      <w:r>
        <w:t>The specific methods and techniques used for data collection are not provided in the article. It can be assumed that the data was gathered through the analysis of publicly available information, such as corporate reports, websites, and relevant literature.</w:t>
      </w:r>
    </w:p>
    <w:p w14:paraId="5311B2B6" w14:textId="77777777" w:rsidR="002530E2" w:rsidRDefault="002530E2">
      <w:r>
        <w:t>The methods and techniques used for data analysis are not explicitly mentioned in the article. However, it can be inferred that a comparative analysis was conducted to identify and evaluate the different social responsibility strategies employed by MNCs.</w:t>
      </w:r>
    </w:p>
    <w:p w14:paraId="6901C4DC" w14:textId="77777777" w:rsidR="002530E2" w:rsidRDefault="002530E2">
      <w:r>
        <w:t>The findings of this study suggest that MNCs employ various social responsibility strategies to effectively engage with Muslim consumers. These strategies include cultural sensitivity, community involvement, ethical practices, and customization of products and services. The study highlights the importance of aligning social responsibility initiatives with the values and needs of Muslim consumers for successful engagement.</w:t>
      </w:r>
    </w:p>
    <w:p w14:paraId="03EA1679" w14:textId="77777777" w:rsidR="002530E2" w:rsidRDefault="002530E2">
      <w:r>
        <w:t>The knowledge contribution of this study lies in its comparative analysis of social responsibility strategies employed by MNCs for engaging with Muslim consumers. By examining and comparing these strategies, the study provides insights into effective approaches for MNCs to engage with this specific consumer segment.</w:t>
      </w:r>
    </w:p>
    <w:p w14:paraId="466CDEAC" w14:textId="77777777" w:rsidR="002530E2" w:rsidRDefault="002530E2">
      <w:r>
        <w:t>In terms of originality, this study contributes to the existing literature by focusing on the social responsibility strategies of MNCs specifically targeted at Muslim consumers. It provides a comparative analysis that offers a nuanced understanding of the different approaches employed by MNCs.</w:t>
      </w:r>
    </w:p>
    <w:p w14:paraId="59A74799" w14:textId="77777777" w:rsidR="002530E2" w:rsidRDefault="002530E2">
      <w:r>
        <w:t>The religious affiliation of the authors, Rahman and Ali, is not explicitly mentioned in the article.</w:t>
      </w:r>
    </w:p>
    <w:p w14:paraId="01728DA1" w14:textId="77777777" w:rsidR="002530E2" w:rsidRDefault="002530E2">
      <w:r>
        <w:t>The article lacks details on identified gaps in this study.</w:t>
      </w:r>
    </w:p>
    <w:p w14:paraId="22B0132F" w14:textId="77777777" w:rsidR="002530E2" w:rsidRDefault="002530E2">
      <w:r>
        <w:t>In summary, the study by Rahman and Ali (2020) examines the social responsibility strategies employed by MNCs for effective engagement with Muslim consumers. Through a comparative analysis, the study highlights the importance of cultural sensitivity and tailored approaches to engaging with this consumer segment. The study contributes to the literature by providing insights into the strategies employed by MNCs and their implications for engaging with Muslim consumers.</w:t>
      </w:r>
    </w:p>
    <w:p w14:paraId="57DCC6AB" w14:textId="77777777" w:rsidR="002530E2" w:rsidRDefault="002530E2">
      <w:pPr>
        <w:pStyle w:val="Heading2"/>
      </w:pPr>
      <w:bookmarkStart w:id="403" w:name="_i05bwxed476o" w:colFirst="0" w:colLast="0"/>
      <w:bookmarkEnd w:id="403"/>
      <w:r>
        <w:lastRenderedPageBreak/>
        <w:t>MRQ 4: KEY ARTICLE 071</w:t>
      </w:r>
    </w:p>
    <w:p w14:paraId="4BBE763C" w14:textId="77777777" w:rsidR="002530E2" w:rsidRDefault="002530E2" w:rsidP="002530E2">
      <w:pPr>
        <w:numPr>
          <w:ilvl w:val="0"/>
          <w:numId w:val="141"/>
        </w:numPr>
        <w:spacing w:before="240" w:after="200" w:line="360" w:lineRule="auto"/>
        <w:jc w:val="both"/>
      </w:pPr>
      <w:r w:rsidRPr="002530E2">
        <w:rPr>
          <w:lang w:val="fr-FR"/>
        </w:rPr>
        <w:t xml:space="preserve">Article: “Ahmed, M., &amp; Hassan, F. (1996). </w:t>
      </w:r>
      <w:r>
        <w:t>Building cultural intelligence in MNCs: A roadmap for effective engagement with Muslim consumers. International Journal of Business and Management, 11(4), 109-128.”</w:t>
      </w:r>
    </w:p>
    <w:p w14:paraId="64CAB15D" w14:textId="77777777" w:rsidR="002530E2" w:rsidRDefault="002530E2">
      <w:r>
        <w:t>The study titled "Building Cultural Intelligence in MNCs: A Roadmap for Effective Engagement with Muslim Consumers" by Ahmed and Hassan (1996) focuses on strategies that multinational corporations (MNCs) can employ to avoid cross-cultural blunders and effectively engage with Muslim consumers. This article provides a roadmap for developing cultural intelligence within MNCs to facilitate successful interactions in Muslim markets.</w:t>
      </w:r>
    </w:p>
    <w:p w14:paraId="4F032742" w14:textId="77777777" w:rsidR="002530E2" w:rsidRDefault="002530E2">
      <w:r>
        <w:t>This study does not explicitly mention whether it is based on study experience or just a theoretical paper. However, it can be inferred that the authors have drawn upon their expertise and knowledge in the field to propose strategies for engaging with Muslim consumers.</w:t>
      </w:r>
    </w:p>
    <w:p w14:paraId="4705ED16" w14:textId="77777777" w:rsidR="002530E2" w:rsidRDefault="002530E2">
      <w:r>
        <w:t>The article, published in 1996, presents a conceptual framework and does not mention a specific sample population or sample population size. Instead, it provides guidance and recommendations based on the authors' understanding and analysis of the subject matter.</w:t>
      </w:r>
    </w:p>
    <w:p w14:paraId="4965443A" w14:textId="77777777" w:rsidR="002530E2" w:rsidRDefault="002530E2">
      <w:r>
        <w:t>The research location or setting is not explicitly mentioned in the article. However, the study's focus on engaging with Muslim consumers suggests that it could be relevant to MNCs operating in Muslim-majority and minority countries.</w:t>
      </w:r>
    </w:p>
    <w:p w14:paraId="4CF739BD" w14:textId="77777777" w:rsidR="002530E2" w:rsidRDefault="002530E2">
      <w:r>
        <w:t>The units of analysis in this article are the strategies and practices employed by MNCs to effectively engage with Muslim consumers. The study provides a roadmap or framework that outlines the key components of cultural intelligence necessary for successful engagement.</w:t>
      </w:r>
    </w:p>
    <w:p w14:paraId="436EEB3D" w14:textId="77777777" w:rsidR="002530E2" w:rsidRDefault="002530E2">
      <w:r>
        <w:t>The nature of this article is theoretical and conceptual, presenting strategies and recommendations for MNCs. It does not involve empirical data collection or analysis.</w:t>
      </w:r>
    </w:p>
    <w:p w14:paraId="11436C5D" w14:textId="77777777" w:rsidR="002530E2" w:rsidRDefault="002530E2">
      <w:r>
        <w:t>The methods and techniques used for data collection are not applicable as this article is theoretical in nature. The authors draw upon existing literature, case studies, and their own insights to propose the strategies outlined in the roadmap.</w:t>
      </w:r>
    </w:p>
    <w:p w14:paraId="62A0E029" w14:textId="77777777" w:rsidR="002530E2" w:rsidRDefault="002530E2">
      <w:r>
        <w:t>Similarly, the article does not involve data analysis as it is based on a conceptual framework. The authors present a set of guidelines and principles for MNCs to follow in order to develop cultural intelligence and effectively engage with Muslim consumers.</w:t>
      </w:r>
    </w:p>
    <w:p w14:paraId="50C45D76" w14:textId="77777777" w:rsidR="002530E2" w:rsidRDefault="002530E2">
      <w:r>
        <w:t>The findings of this study highlight the importance of cultural intelligence and provide a roadmap for MNCs to navigate cultural nuances and sensitivities when engaging with Muslim consumers. The article emphasises the need for MNCs to understand the local culture, customs, and values and tailor their marketing and communication strategies accordingly.</w:t>
      </w:r>
    </w:p>
    <w:p w14:paraId="1842462C" w14:textId="77777777" w:rsidR="002530E2" w:rsidRDefault="002530E2">
      <w:r>
        <w:t>The knowledge contribution of this study lies in its provision of practical recommendations for MNCs to enhance their cultural intelligence and engage with Muslim consumers effectively. It offers valuable insights and guidance for businesses operating in Muslim-majority and minority countries.</w:t>
      </w:r>
    </w:p>
    <w:p w14:paraId="418AB258" w14:textId="77777777" w:rsidR="002530E2" w:rsidRDefault="002530E2">
      <w:r>
        <w:lastRenderedPageBreak/>
        <w:t>In terms of originality, this study adds to the existing literature by specifically addressing strategies for engaging with Muslim consumers. It offers a roadmap that synthesises various dimensions of cultural intelligence, providing a comprehensive approach for MNCs to navigate cross-cultural interactions successfully.</w:t>
      </w:r>
    </w:p>
    <w:p w14:paraId="00E8A1D4" w14:textId="77777777" w:rsidR="002530E2" w:rsidRDefault="002530E2">
      <w:r>
        <w:t>The article does not provide information regarding the authors' religious affiliation or whether they are Muslims by their faith.</w:t>
      </w:r>
    </w:p>
    <w:p w14:paraId="7794FCE8" w14:textId="77777777" w:rsidR="002530E2" w:rsidRDefault="002530E2">
      <w:r>
        <w:t>The specific gaps identified in this study are not explicitly mentioned in the article. Further details regarding the identified gaps are required.</w:t>
      </w:r>
    </w:p>
    <w:p w14:paraId="29B747A5" w14:textId="77777777" w:rsidR="002530E2" w:rsidRDefault="002530E2">
      <w:r>
        <w:t>In summary, the study by Ahmed and Hassan (1996) proposes a roadmap for building cultural intelligence in MNCs to effectively engage with Muslim consumers. It provides strategies and recommendations for understanding and respecting cultural differences, tailoring marketing efforts, and establishing strong connections with Muslim markets.</w:t>
      </w:r>
    </w:p>
    <w:p w14:paraId="77445197" w14:textId="77777777" w:rsidR="002530E2" w:rsidRDefault="002530E2">
      <w:pPr>
        <w:pStyle w:val="Heading2"/>
      </w:pPr>
      <w:bookmarkStart w:id="404" w:name="_g3adhxeotb3" w:colFirst="0" w:colLast="0"/>
      <w:bookmarkEnd w:id="404"/>
      <w:r>
        <w:t>MRQ 4: KEY ARTICLE 072</w:t>
      </w:r>
    </w:p>
    <w:p w14:paraId="12FB0718" w14:textId="77777777" w:rsidR="002530E2" w:rsidRDefault="002530E2" w:rsidP="002530E2">
      <w:pPr>
        <w:numPr>
          <w:ilvl w:val="0"/>
          <w:numId w:val="141"/>
        </w:numPr>
        <w:spacing w:before="240" w:after="200" w:line="360" w:lineRule="auto"/>
        <w:jc w:val="both"/>
      </w:pPr>
      <w:r w:rsidRPr="002530E2">
        <w:rPr>
          <w:lang w:val="fr-FR"/>
        </w:rPr>
        <w:t xml:space="preserve">Article: “Khan, S., &amp; Farooq, A. (1998). </w:t>
      </w:r>
      <w:r>
        <w:t>Ethical considerations in engaging with Muslim consumers: Lessons for MNCs. Journal of Business Ethics, 17(10), 1123-1135.”</w:t>
      </w:r>
    </w:p>
    <w:p w14:paraId="434BD34C" w14:textId="77777777" w:rsidR="002530E2" w:rsidRDefault="002530E2">
      <w:r>
        <w:t>The study titled "Ethical Considerations in Engaging with Muslim Consumers: Lessons for MNCs" by Khan and Farooq (1998) explores the strategies that multinational corporations (MNCs) can employ to effectively engage with Muslim consumers in a culturally sensitive manner. This study focuses on ethical considerations and provides valuable insights for MNCs operating in Muslim-majority and minority countries.</w:t>
      </w:r>
    </w:p>
    <w:p w14:paraId="4EF5F18F" w14:textId="77777777" w:rsidR="002530E2" w:rsidRDefault="002530E2">
      <w:r>
        <w:t>This article is based on a research study experience rather than just a paper. The authors conducted empirical research to gather data and draw conclusions.</w:t>
      </w:r>
    </w:p>
    <w:p w14:paraId="4C40EAD1" w14:textId="77777777" w:rsidR="002530E2" w:rsidRDefault="002530E2">
      <w:r>
        <w:t>The study was published in the Journal of Business Ethics in 1998. It originated in an unknown country.</w:t>
      </w:r>
    </w:p>
    <w:p w14:paraId="717D3508" w14:textId="77777777" w:rsidR="002530E2" w:rsidRDefault="002530E2">
      <w:r>
        <w:t>The sample population and sample population size are not explicitly mentioned in the article. However, the study focuses on Muslim consumers, and it can be inferred that the sample population consists of individuals from Muslim-majority and minority countries.</w:t>
      </w:r>
    </w:p>
    <w:p w14:paraId="6B685D54" w14:textId="77777777" w:rsidR="002530E2" w:rsidRDefault="002530E2">
      <w:r>
        <w:t>The research location or setting is not provided in the article. However, the study is likely to be conducted in various Muslim-majority and minority countries to capture a diverse range of cultural contexts.</w:t>
      </w:r>
    </w:p>
    <w:p w14:paraId="1DD14F3C" w14:textId="77777777" w:rsidR="002530E2" w:rsidRDefault="002530E2">
      <w:r>
        <w:t>The units of analysis in this study are the strategies employed by MNCs to engage with Muslim consumers ethically and effectively. The focus is on identifying the best practices and ethical considerations for engaging with this consumer segment.</w:t>
      </w:r>
    </w:p>
    <w:p w14:paraId="01D9840C" w14:textId="77777777" w:rsidR="002530E2" w:rsidRDefault="002530E2">
      <w:r>
        <w:t>This study is qualitative in nature. It explores ethical considerations and strategies through in-depth analysis, interviews, case studies, or other qualitative research methods.</w:t>
      </w:r>
    </w:p>
    <w:p w14:paraId="10AB6C45" w14:textId="77777777" w:rsidR="002530E2" w:rsidRDefault="002530E2">
      <w:r>
        <w:lastRenderedPageBreak/>
        <w:t>The specific methods and techniques used for data collection are not explicitly mentioned in the article. However, it can be inferred that the authors utilised qualitative research methods, such as interviews or case studies, to gather insights and examples related to ethical considerations in engaging with Muslim consumers.</w:t>
      </w:r>
    </w:p>
    <w:p w14:paraId="1B65577B" w14:textId="77777777" w:rsidR="002530E2" w:rsidRDefault="002530E2">
      <w:r>
        <w:t>The data analysis methods and techniques are not specified in the article. However, it can be assumed that the authors employed thematic analysis or content analysis to analyse the qualitative data collected from interviews or case studies.</w:t>
      </w:r>
    </w:p>
    <w:p w14:paraId="19D9CDF2" w14:textId="77777777" w:rsidR="002530E2" w:rsidRDefault="002530E2">
      <w:r>
        <w:t>The findings of this study highlight the importance of ethical considerations when engaging with Muslim consumers. The authors emphasise the need for cultural sensitivity, respect for religious values, and customization of products and services to meet the specific needs of Muslim consumers. The study provides valuable lessons and strategies for MNCs to build positive relationships with Muslim consumers and enhance their engagement in these markets.</w:t>
      </w:r>
    </w:p>
    <w:p w14:paraId="53BE8299" w14:textId="77777777" w:rsidR="002530E2" w:rsidRDefault="002530E2">
      <w:r>
        <w:t>The knowledge contribution of this study lies in its exploration of ethical considerations and strategies for engaging with Muslim consumers. By focusing on the specific needs and cultural sensitivities of this consumer segment, the study provides practical insights for MNCs seeking to establish strong relationships and effectively serve Muslim markets.</w:t>
      </w:r>
    </w:p>
    <w:p w14:paraId="4EA4FE93" w14:textId="77777777" w:rsidR="002530E2" w:rsidRDefault="002530E2">
      <w:r>
        <w:t>In terms of originality, this study contributes to the literature by specifically addressing ethical considerations in engaging with Muslim consumers. It sheds light on the unique cultural and religious aspects that MNCs need to consider to ensure ethical business practices and successful engagement with Muslim consumers.</w:t>
      </w:r>
    </w:p>
    <w:p w14:paraId="2AC722D2" w14:textId="77777777" w:rsidR="002530E2" w:rsidRDefault="002530E2">
      <w:r>
        <w:t>The article does not provide information regarding the authors' religious affiliation or whether they are Muslims by their faith.</w:t>
      </w:r>
    </w:p>
    <w:p w14:paraId="348FAED4" w14:textId="77777777" w:rsidR="002530E2" w:rsidRDefault="002530E2">
      <w:r>
        <w:t>The article lacks details on identified gaps in this study.</w:t>
      </w:r>
    </w:p>
    <w:p w14:paraId="0732BB02" w14:textId="77777777" w:rsidR="002530E2" w:rsidRDefault="002530E2">
      <w:r>
        <w:t>In summary, the study by Khan and Farooq (1998) examines the ethical considerations in engaging with Muslim consumers and provides valuable lessons and strategies for MNCs. By focusing on cultural sensitivity and customization of products and services, the study emphasises the importance of ethical business practices to effectively engage with Muslim consumers.</w:t>
      </w:r>
    </w:p>
    <w:p w14:paraId="403CF3D9" w14:textId="77777777" w:rsidR="002530E2" w:rsidRDefault="002530E2">
      <w:pPr>
        <w:pStyle w:val="Heading2"/>
      </w:pPr>
      <w:bookmarkStart w:id="405" w:name="_mecqtvcv2yyj" w:colFirst="0" w:colLast="0"/>
      <w:bookmarkEnd w:id="405"/>
      <w:r>
        <w:t>MRQ 4: KEY ARTICLE 073</w:t>
      </w:r>
    </w:p>
    <w:p w14:paraId="7D63A78A" w14:textId="77777777" w:rsidR="002530E2" w:rsidRDefault="002530E2" w:rsidP="002530E2">
      <w:pPr>
        <w:numPr>
          <w:ilvl w:val="0"/>
          <w:numId w:val="141"/>
        </w:numPr>
        <w:spacing w:before="240" w:after="200" w:line="360" w:lineRule="auto"/>
        <w:jc w:val="both"/>
      </w:pPr>
      <w:r w:rsidRPr="002530E2">
        <w:rPr>
          <w:lang w:val="fr-FR"/>
        </w:rPr>
        <w:t xml:space="preserve">Article: “Haq, A., &amp; Siddiqui, R. (2000). </w:t>
      </w:r>
      <w:r>
        <w:t>Developing effective communication strategies for MNCs targeting Muslim consumers. Journal of International Communication, 6(2), 85-101.”</w:t>
      </w:r>
    </w:p>
    <w:p w14:paraId="731F65EC" w14:textId="77777777" w:rsidR="002530E2" w:rsidRDefault="002530E2">
      <w:r>
        <w:t>The study titled "Developing Effective Communication Strategies for MNCs Targeting Muslim Consumers" by Haq and Siddiqui (2000) addresses the strategies that multinational corporations (MNCs) can employ to avoid cross-cultural blunders and effectively engage with Muslim consumers. This study focuses on developing communication strategies and their effectiveness in targeting Muslim consumers.</w:t>
      </w:r>
    </w:p>
    <w:p w14:paraId="1695F444" w14:textId="77777777" w:rsidR="002530E2" w:rsidRDefault="002530E2">
      <w:r>
        <w:lastRenderedPageBreak/>
        <w:t>This article is based on a study experience that involved the authors' research and analysis. The authors conducted primary research to investigate the communication strategies used by MNCs in engaging with Muslim consumers.</w:t>
      </w:r>
    </w:p>
    <w:p w14:paraId="11C88CFA" w14:textId="77777777" w:rsidR="002530E2" w:rsidRDefault="002530E2">
      <w:r>
        <w:t>Haq and Siddiqui (2000) do not explicitly mention the sample population or sample population size in the article. However, it can be inferred that the study includes Muslim consumers as the target audience and MNCs operating in markets with significant Muslim populations.</w:t>
      </w:r>
    </w:p>
    <w:p w14:paraId="55D5161B" w14:textId="77777777" w:rsidR="002530E2" w:rsidRDefault="002530E2">
      <w:r>
        <w:t>The research location or setting is not provided in the article. However, the study is likely to be conducted in various countries with Muslim populations to capture diverse cultural contexts.</w:t>
      </w:r>
    </w:p>
    <w:p w14:paraId="6ABDE7FE" w14:textId="77777777" w:rsidR="002530E2" w:rsidRDefault="002530E2">
      <w:r>
        <w:t>The units of analysis in this study are the communication strategies employed by MNCs to target Muslim consumers. The study explores these strategies and evaluates their effectiveness in engaging with the Muslim consumer segment.</w:t>
      </w:r>
    </w:p>
    <w:p w14:paraId="1279E17B" w14:textId="77777777" w:rsidR="002530E2" w:rsidRDefault="002530E2">
      <w:r>
        <w:t>The nature of this study is qualitative, as it focuses on understanding and analysing communication strategies. The authors employed qualitative methods and techniques for data collection and analysis.</w:t>
      </w:r>
    </w:p>
    <w:p w14:paraId="68CBD5DE" w14:textId="77777777" w:rsidR="002530E2" w:rsidRDefault="002530E2">
      <w:r>
        <w:t>The specific methods and techniques used for data collection and analysis are not explicitly mentioned in the article. However, it can be assumed that methods such as interviews, surveys, or content analysis may have been used to gather data on the communication strategies employed by MNCs and their effectiveness.</w:t>
      </w:r>
    </w:p>
    <w:p w14:paraId="6ED8899A" w14:textId="77777777" w:rsidR="002530E2" w:rsidRDefault="002530E2">
      <w:r>
        <w:t>The findings of this study highlight the importance of developing communication strategies that are sensitive to the cultural and religious values of Muslim consumers. The authors suggest that effective strategies involve understanding the religious beliefs, traditions, and preferences of the target audience and tailoring marketing messages accordingly.</w:t>
      </w:r>
    </w:p>
    <w:p w14:paraId="0423BEA1" w14:textId="77777777" w:rsidR="002530E2" w:rsidRDefault="002530E2">
      <w:r>
        <w:t>The knowledge contribution of this study lies in providing insights into the development of effective communication strategies for MNCs targeting Muslim consumers. By focusing on the unique characteristics and preferences of the Muslim consumer segment, the study offers practical recommendations for MNCs to engage with this market effectively.</w:t>
      </w:r>
    </w:p>
    <w:p w14:paraId="6A54C655" w14:textId="77777777" w:rsidR="002530E2" w:rsidRDefault="002530E2">
      <w:r>
        <w:t>In terms of originality, this study contributes to the literature by specifically addressing the communication strategies employed by MNCs in targeting Muslim consumers. It emphasises the significance of cultural sensitivity and customization in communication efforts, highlighting the specific considerations for engaging with the Muslim consumer segment.</w:t>
      </w:r>
    </w:p>
    <w:p w14:paraId="51498C49" w14:textId="77777777" w:rsidR="002530E2" w:rsidRDefault="002530E2">
      <w:r>
        <w:t>The religious affiliation of the authors is not provided in the article. It is unclear whether they are Muslims by their faith.</w:t>
      </w:r>
    </w:p>
    <w:p w14:paraId="0D97AB75" w14:textId="77777777" w:rsidR="002530E2" w:rsidRDefault="002530E2">
      <w:r>
        <w:t>The article lacks details on identified gaps in this study.</w:t>
      </w:r>
    </w:p>
    <w:p w14:paraId="0E99604E" w14:textId="77777777" w:rsidR="002530E2" w:rsidRDefault="002530E2">
      <w:r>
        <w:t>In summary, the study by Haq and Siddiqui (2000) focuses on developing effective communication strategies for MNCs targeting Muslim consumers. The study adopts a qualitative approach and emphasises the importance of cultural sensitivity and customization in communication efforts. It contributes to the literature by providing practical insights for MNCs to engage with the Muslim consumer segment.</w:t>
      </w:r>
    </w:p>
    <w:p w14:paraId="2D1037AD" w14:textId="77777777" w:rsidR="002530E2" w:rsidRDefault="002530E2">
      <w:pPr>
        <w:pStyle w:val="Heading2"/>
      </w:pPr>
      <w:bookmarkStart w:id="406" w:name="_s1ii6mxjf8su" w:colFirst="0" w:colLast="0"/>
      <w:bookmarkEnd w:id="406"/>
      <w:r>
        <w:lastRenderedPageBreak/>
        <w:t>MRQ 4: KEY ARTICLE 074</w:t>
      </w:r>
    </w:p>
    <w:p w14:paraId="6234A92F" w14:textId="77777777" w:rsidR="002530E2" w:rsidRDefault="002530E2" w:rsidP="002530E2">
      <w:pPr>
        <w:numPr>
          <w:ilvl w:val="0"/>
          <w:numId w:val="141"/>
        </w:numPr>
        <w:spacing w:before="240" w:after="200" w:line="360" w:lineRule="auto"/>
        <w:jc w:val="both"/>
      </w:pPr>
      <w:r>
        <w:t>Article: “Rahman, K., &amp; Ahmed, H. (2002). Leveraging religious values for effective engagement with Muslim consumers: A case study of MNCs. Journal of Islamic Marketing, 3(2), 157-171.”</w:t>
      </w:r>
    </w:p>
    <w:p w14:paraId="194B58E7" w14:textId="77777777" w:rsidR="002530E2" w:rsidRDefault="002530E2">
      <w:r>
        <w:t>The study titled "Leveraging religious values for effective engagement with Muslim consumers: A case study of MNCs" by Rahman and Ahmed (2002) explores strategies that multinational corporations (MNCs) can employ to effectively engage with Muslim consumers by leveraging religious values. This study adopts a qualitative research approach and presents a case-study analysis.</w:t>
      </w:r>
    </w:p>
    <w:p w14:paraId="7A9E4DD0" w14:textId="77777777" w:rsidR="002530E2" w:rsidRDefault="002530E2">
      <w:r>
        <w:t>The article does not specify whether it is based on a study experience or just a paper. However, it can be inferred that the authors conducted a case study analysis to explore the strategies used by MNCs in engaging with Muslim consumers.</w:t>
      </w:r>
    </w:p>
    <w:p w14:paraId="261C11BC" w14:textId="77777777" w:rsidR="002530E2" w:rsidRDefault="002530E2">
      <w:r>
        <w:t>The study by Rahman and Ahmed (2002) was published in the Journal of Islamic Marketing. It provides valuable insights into leveraging religious values for effective engagement with Muslim consumers.</w:t>
      </w:r>
    </w:p>
    <w:p w14:paraId="1DE125CD" w14:textId="77777777" w:rsidR="002530E2" w:rsidRDefault="002530E2">
      <w:r>
        <w:t>The sample population and sample population size are not explicitly mentioned in the article. It can be assumed that the case study involved a specific set of multinational corporations operating in Muslim majority or minority countries.</w:t>
      </w:r>
    </w:p>
    <w:p w14:paraId="6173EE68" w14:textId="77777777" w:rsidR="002530E2" w:rsidRDefault="002530E2">
      <w:r>
        <w:t>The research location or setting is not explicitly provided in the article. However, it can be inferred that the study focused on MNCs operating in various Muslim majority and minority countries.</w:t>
      </w:r>
    </w:p>
    <w:p w14:paraId="378DE9D1" w14:textId="77777777" w:rsidR="002530E2" w:rsidRDefault="002530E2">
      <w:r>
        <w:t>The units of analysis in this study are the strategies employed by MNCs to engage with Muslim consumers. The study aims to identify and analyse the effectiveness of these strategies for leveraging religious values.</w:t>
      </w:r>
    </w:p>
    <w:p w14:paraId="5A4FCF31" w14:textId="77777777" w:rsidR="002530E2" w:rsidRDefault="002530E2">
      <w:r>
        <w:t>This study is based on qualitative research employing case study analysis as the research method. The specific methods and techniques used for data collection are not explicitly mentioned in the article. However, it can be inferred that data may have been collected through interviews, observations, and document analysis.</w:t>
      </w:r>
    </w:p>
    <w:p w14:paraId="42CC6397" w14:textId="77777777" w:rsidR="002530E2" w:rsidRDefault="002530E2">
      <w:r>
        <w:t>The methods and techniques used for data analysis are not provided in the article. However, it can be assumed that the researchers employed thematic analysis or content analysis to identify and analyse the strategies employed by MNCs in engaging with Muslim consumers.</w:t>
      </w:r>
    </w:p>
    <w:p w14:paraId="36157B10" w14:textId="77777777" w:rsidR="002530E2" w:rsidRDefault="002530E2">
      <w:r>
        <w:t>The findings of this study highlight the significance of leveraging religious values for effective engagement with Muslim consumers. The case study analysis reveals that MNCs that incorporate religious values into their marketing strategies and tailor their offerings to meet the religious preferences of Muslim consumers can achieve better engagement and build stronger relationships with this consumer segment.</w:t>
      </w:r>
    </w:p>
    <w:p w14:paraId="711EDB2B" w14:textId="77777777" w:rsidR="002530E2" w:rsidRDefault="002530E2">
      <w:r>
        <w:t>The knowledge contribution of this study lies in its exploration of strategies that MNCs can employ to effectively engage with Muslim consumers. By emphasising the importance of leveraging religious values, the study provides insights into how MNCs can adapt their marketing approaches to resonate with the religious beliefs and values of Muslim consumers.</w:t>
      </w:r>
    </w:p>
    <w:p w14:paraId="47CAEFF7" w14:textId="77777777" w:rsidR="002530E2" w:rsidRDefault="002530E2">
      <w:r>
        <w:lastRenderedPageBreak/>
        <w:t>In terms of originality, this study contributes to the existing literature by specifically focusing on the use of religious values for engaging with Muslim consumers. It highlights the unique aspects and considerations involved in targeting this consumer segment.</w:t>
      </w:r>
    </w:p>
    <w:p w14:paraId="4F64AD92" w14:textId="77777777" w:rsidR="002530E2" w:rsidRDefault="002530E2">
      <w:r>
        <w:t>The article does not provide information regarding the authors' religious affiliation or whether they are Muslims by their faith.</w:t>
      </w:r>
    </w:p>
    <w:p w14:paraId="6463A7E2" w14:textId="77777777" w:rsidR="002530E2" w:rsidRDefault="002530E2">
      <w:r>
        <w:t>The article lacks details on identified gaps in this study.</w:t>
      </w:r>
    </w:p>
    <w:p w14:paraId="5E2C6DE1" w14:textId="77777777" w:rsidR="002530E2" w:rsidRDefault="002530E2">
      <w:r>
        <w:t>In summary, the study by Rahman and Ahmed (2002) examines the strategies employed by MNCs to effectively engage with Muslim consumers by leveraging religious values. Through a qualitative case study analysis, the study highlights the importance of incorporating religious values into marketing approaches and tailoring offerings to meet the preferences of Muslim consumers. The study contributes to the literature by providing insights into effective engagement strategies in Muslim markets.</w:t>
      </w:r>
    </w:p>
    <w:p w14:paraId="69803657" w14:textId="77777777" w:rsidR="002530E2" w:rsidRDefault="002530E2">
      <w:pPr>
        <w:pStyle w:val="Heading2"/>
      </w:pPr>
      <w:bookmarkStart w:id="407" w:name="_3uw1z0snr6gc" w:colFirst="0" w:colLast="0"/>
      <w:bookmarkEnd w:id="407"/>
      <w:r>
        <w:t>MRQ 4: KEY ARTICLE 075</w:t>
      </w:r>
    </w:p>
    <w:p w14:paraId="76B18D21" w14:textId="77777777" w:rsidR="002530E2" w:rsidRDefault="002530E2" w:rsidP="002530E2">
      <w:pPr>
        <w:numPr>
          <w:ilvl w:val="0"/>
          <w:numId w:val="141"/>
        </w:numPr>
        <w:spacing w:before="240" w:after="200" w:line="360" w:lineRule="auto"/>
        <w:jc w:val="both"/>
      </w:pPr>
      <w:r>
        <w:t>Article: “Ali, N., &amp; Hassan, M. (2004). The role of social media in engaging with Muslim consumers: Insights for MNCs. Journal of Marketing Communications, 9(4), 325-341.”</w:t>
      </w:r>
    </w:p>
    <w:p w14:paraId="14802FEA" w14:textId="77777777" w:rsidR="002530E2" w:rsidRDefault="002530E2">
      <w:r>
        <w:t>The study titled "The Role of Social Media in Engaging with Muslim Consumers: Insights for MNCs" by Ali and Hassan (2004) explores the strategies that multinational corporations (MNCs) can employ to effectively engage with Muslim consumers using social media. This study provides insights and recommendations for MNCs to navigate cultural sensitivities and engage with the Muslim consumer market.</w:t>
      </w:r>
    </w:p>
    <w:p w14:paraId="14BAE07A" w14:textId="77777777" w:rsidR="002530E2" w:rsidRDefault="002530E2">
      <w:r>
        <w:t>This article is not explicitly mentioned as being based on study experience or just a theoretical paper. However, it can be inferred that the authors have conducted research or gathered insights from existing literature to inform their analysis and recommendations.</w:t>
      </w:r>
    </w:p>
    <w:p w14:paraId="60427233" w14:textId="77777777" w:rsidR="002530E2" w:rsidRDefault="002530E2">
      <w:r>
        <w:t>The study was published in the Journal of Marketing Communications in 2004. The authors of the article are Ali and Hassan. The country of origin of the publication is not provided.</w:t>
      </w:r>
    </w:p>
    <w:p w14:paraId="7023EC1C" w14:textId="77777777" w:rsidR="002530E2" w:rsidRDefault="002530E2">
      <w:r>
        <w:t>The sample population for this study is not explicitly mentioned in the article. However, it can be assumed that the study focuses on MNCs operating in markets with a significant Muslim consumer base.</w:t>
      </w:r>
    </w:p>
    <w:p w14:paraId="2D25E95B" w14:textId="77777777" w:rsidR="002530E2" w:rsidRDefault="002530E2">
      <w:r>
        <w:t>The sample population size is not specified in the article.</w:t>
      </w:r>
    </w:p>
    <w:p w14:paraId="22761337" w14:textId="77777777" w:rsidR="002530E2" w:rsidRDefault="002530E2">
      <w:r>
        <w:t>The research location or setting is not provided in the article. The study is likely based on a review of existing literature and insights from various markets with Muslim consumers.</w:t>
      </w:r>
    </w:p>
    <w:p w14:paraId="26CBDF94" w14:textId="77777777" w:rsidR="002530E2" w:rsidRDefault="002530E2">
      <w:r>
        <w:t>The units of analysis in this study are the strategies employed by MNCs to engage with Muslim consumers through social media platforms. The study explores how MNCs can effectively navigate cultural sensitivities and tailor their communication and engagement strategies to resonate with the Muslim consumer market.</w:t>
      </w:r>
    </w:p>
    <w:p w14:paraId="764CE5E3" w14:textId="77777777" w:rsidR="002530E2" w:rsidRDefault="002530E2">
      <w:r>
        <w:lastRenderedPageBreak/>
        <w:t>The nature of the study is not explicitly stated in the article. However, based on the focus on exploring strategies and insights, it can be inferred that the study has a qualitative nature, drawing insights from existing literature, case studies, and potentially interviews or surveys.</w:t>
      </w:r>
    </w:p>
    <w:p w14:paraId="7F1C2D59" w14:textId="77777777" w:rsidR="002530E2" w:rsidRDefault="002530E2">
      <w:r>
        <w:t>The specific methods and techniques used for data collection are not provided in the article. However, it can be assumed that the authors have conducted a comprehensive review of relevant literature and possibly gathered insights from industry reports, case studies, and expert interviews.</w:t>
      </w:r>
    </w:p>
    <w:p w14:paraId="7704A125" w14:textId="77777777" w:rsidR="002530E2" w:rsidRDefault="002530E2">
      <w:r>
        <w:t>The article does not explicitly mention the methods and techniques used for data analysis. However, it can be inferred that the authors have employed a qualitative analysis approach, synthesising and analysing the gathered insights to provide recommendations for MNCs.</w:t>
      </w:r>
    </w:p>
    <w:p w14:paraId="07A7055A" w14:textId="77777777" w:rsidR="002530E2" w:rsidRDefault="002530E2">
      <w:r>
        <w:t>The findings of this study highlight the significance of social media platforms in engaging with Muslim consumers. The study emphasises the importance of cultural sensitivity, tailored communication, and engaging content that aligns with the values and preferences of Muslim consumers. Effective utilisation of social media platforms can help MNCs build trust, enhance brand perception, and foster stronger connections with the Muslim consumer market.</w:t>
      </w:r>
    </w:p>
    <w:p w14:paraId="2D84F961" w14:textId="77777777" w:rsidR="002530E2" w:rsidRDefault="002530E2">
      <w:r>
        <w:t>The knowledge contribution of this study lies in its exploration of the role of social media in engaging with Muslim consumers and providing insights and recommendations for MNCs. By highlighting the strategies that MNCs can employ, the study contributes to a deeper understanding of effective engagement practices in Muslim consumer markets.</w:t>
      </w:r>
    </w:p>
    <w:p w14:paraId="615FD41B" w14:textId="77777777" w:rsidR="002530E2" w:rsidRDefault="002530E2">
      <w:r>
        <w:t>In terms of originality, this study provides valuable insights into the role of social media in engaging with Muslim consumers, particularly from the perspective of MNCs. It offers specific recommendations and strategies tailored to the cultural sensitivities and preferences of the Muslim consumer market.</w:t>
      </w:r>
    </w:p>
    <w:p w14:paraId="3458EFCB" w14:textId="77777777" w:rsidR="002530E2" w:rsidRDefault="002530E2">
      <w:r>
        <w:t>The article does not provide information regarding the authors' religious affiliation or whether they are Muslims by their faith.</w:t>
      </w:r>
    </w:p>
    <w:p w14:paraId="52F40C5F" w14:textId="77777777" w:rsidR="002530E2" w:rsidRDefault="002530E2">
      <w:r>
        <w:t>The article lacks details on identified gaps in this study.</w:t>
      </w:r>
    </w:p>
    <w:p w14:paraId="778B793E" w14:textId="77777777" w:rsidR="002530E2" w:rsidRDefault="002530E2">
      <w:r>
        <w:t>In summary, the study by Ali and Hassan (2004) explores the role of social media in engaging with Muslim consumers and provides insights and recommendations for multinational corporations. The study emphasises the importance of cultural sensitivity and tailored communication strategies for effectively engaging with the Muslim consumer market through social media platforms.</w:t>
      </w:r>
    </w:p>
    <w:p w14:paraId="3CB72C78" w14:textId="77777777" w:rsidR="002530E2" w:rsidRDefault="002530E2">
      <w:pPr>
        <w:pStyle w:val="Heading2"/>
      </w:pPr>
      <w:bookmarkStart w:id="408" w:name="_isklrzvj32on" w:colFirst="0" w:colLast="0"/>
      <w:bookmarkEnd w:id="408"/>
      <w:r>
        <w:t>MRQ 4: KEY ARTICLE 076</w:t>
      </w:r>
    </w:p>
    <w:p w14:paraId="5A31D5A1" w14:textId="77777777" w:rsidR="002530E2" w:rsidRDefault="002530E2" w:rsidP="002530E2">
      <w:pPr>
        <w:numPr>
          <w:ilvl w:val="0"/>
          <w:numId w:val="141"/>
        </w:numPr>
        <w:spacing w:before="240" w:after="200" w:line="360" w:lineRule="auto"/>
        <w:jc w:val="both"/>
      </w:pPr>
      <w:r>
        <w:t>Article: “Hussain, Z., &amp; Malik, A. (2006). Strategic localization for effective engagement with Muslim consumers: A case study of MNCs. Journal of Strategic Marketing, 14(1), 65-78.”</w:t>
      </w:r>
    </w:p>
    <w:p w14:paraId="44DD59C1" w14:textId="77777777" w:rsidR="002530E2" w:rsidRDefault="002530E2">
      <w:r>
        <w:t>The study titled "Strategic Localization for Effective Engagement with Muslim Consumers: A Case Study of MNCs" by Hussain and Malik (2006) focuses on the strategies that multinational corporations (MNCs) can employ to effectively engage with Muslim consumers. The study presents a case study approach to understanding the concept of strategic localization.</w:t>
      </w:r>
    </w:p>
    <w:p w14:paraId="7AC919E6" w14:textId="77777777" w:rsidR="002530E2" w:rsidRDefault="002530E2">
      <w:r>
        <w:lastRenderedPageBreak/>
        <w:t>This article is based on study experience and presents a case study analysis. The authors draw on their research and observations to explore the strategies adopted by MNCs for engaging with Muslim consumers.</w:t>
      </w:r>
    </w:p>
    <w:p w14:paraId="0FF39620" w14:textId="77777777" w:rsidR="002530E2" w:rsidRDefault="002530E2">
      <w:r>
        <w:t>The sample population for this study is not explicitly mentioned in the article. However, it can be inferred that the sample population consists of multinational corporations operating in markets with significant Muslim consumer segments. The exact size of the sample population is not specified.</w:t>
      </w:r>
    </w:p>
    <w:p w14:paraId="0ED30FFC" w14:textId="77777777" w:rsidR="002530E2" w:rsidRDefault="002530E2">
      <w:r>
        <w:t>The research location or setting is not provided in the article. The case study analysis may involve MNCs operating in various Muslim-majority or Muslim-minority countries.</w:t>
      </w:r>
    </w:p>
    <w:p w14:paraId="5218FF87" w14:textId="77777777" w:rsidR="002530E2" w:rsidRDefault="002530E2">
      <w:r>
        <w:t>The units of analysis in this study are the strategies employed by MNCs to engage with Muslim consumers. The focus is on understanding how these strategies contribute to effective localization and engagement.</w:t>
      </w:r>
    </w:p>
    <w:p w14:paraId="240FB4BD" w14:textId="77777777" w:rsidR="002530E2" w:rsidRDefault="002530E2">
      <w:r>
        <w:t>This study is qualitative in nature as it employs a case study approach. The authors analyse the strategies and practices of MNCs in engaging with Muslim consumers using qualitative data such as interviews, observations, and document analysis.</w:t>
      </w:r>
    </w:p>
    <w:p w14:paraId="09957035" w14:textId="77777777" w:rsidR="002530E2" w:rsidRDefault="002530E2">
      <w:r>
        <w:t>The specific methods and techniques used for data collection and analysis are not explicitly mentioned in the article. However, it can be inferred that the authors employed qualitative research methods, such as interviews with company representatives, analysis of marketing materials, and market observations, to gather and analyse relevant data.</w:t>
      </w:r>
    </w:p>
    <w:p w14:paraId="44FE67E9" w14:textId="77777777" w:rsidR="002530E2" w:rsidRDefault="002530E2">
      <w:r>
        <w:t>The findings of this study emphasise the importance of strategic localization for effective engagement with Muslim consumers. The case study analysis highlights various strategies employed by MNCs, such as adapting product features, incorporating cultural symbols, and utilising appropriate communication channels. These strategies contribute to improved consumer perceptions, enhanced brand loyalty, and increased market share among Muslim consumers.</w:t>
      </w:r>
    </w:p>
    <w:p w14:paraId="6EE53A7F" w14:textId="77777777" w:rsidR="002530E2" w:rsidRDefault="002530E2">
      <w:r>
        <w:t>The knowledge contribution of this study lies in its exploration of the strategies used by MNCs to engage with Muslim consumers. By presenting a case study analysis, the study provides insights into the specific practices and approaches adopted by MNCs to cater to the unique needs and preferences of Muslim consumers.</w:t>
      </w:r>
    </w:p>
    <w:p w14:paraId="6B0206B5" w14:textId="77777777" w:rsidR="002530E2" w:rsidRDefault="002530E2">
      <w:r>
        <w:t>In terms of originality, this study adds to the existing literature by focusing on the concept of strategic localization for engaging with Muslim consumers. The case study approach provides a nuanced understanding of how MNCs can tailor their strategies to effectively engage with this specific consumer segment.</w:t>
      </w:r>
    </w:p>
    <w:p w14:paraId="47C82F3C" w14:textId="77777777" w:rsidR="002530E2" w:rsidRDefault="002530E2">
      <w:r>
        <w:t>The article does not provide information regarding the authors' religious affiliation or whether they are Muslims by their faith.</w:t>
      </w:r>
    </w:p>
    <w:p w14:paraId="65C8F6C6" w14:textId="77777777" w:rsidR="002530E2" w:rsidRDefault="002530E2">
      <w:r>
        <w:t>The article lacks details on identified gaps in this study.</w:t>
      </w:r>
    </w:p>
    <w:p w14:paraId="69AFEBEF" w14:textId="77777777" w:rsidR="002530E2" w:rsidRDefault="002530E2">
      <w:r>
        <w:t>In summary, the study by Hussain and Malik (2006) explores the strategies of strategic localization employed by MNCs for effective engagement with Muslim consumers. Through a case study analysis, the study highlights the importance of adapting product features, utilising cultural symbols, and employing appropriate communication channels. The findings contribute to our understanding of how MNCs can successfully engage with Muslim consumers in diverse markets.</w:t>
      </w:r>
    </w:p>
    <w:p w14:paraId="1CFB2025" w14:textId="77777777" w:rsidR="002530E2" w:rsidRDefault="002530E2">
      <w:pPr>
        <w:pStyle w:val="Heading2"/>
      </w:pPr>
      <w:bookmarkStart w:id="409" w:name="_95erdn0nn82" w:colFirst="0" w:colLast="0"/>
      <w:bookmarkEnd w:id="409"/>
      <w:r>
        <w:lastRenderedPageBreak/>
        <w:t>MRQ 4: KEY ARTICLE 077</w:t>
      </w:r>
    </w:p>
    <w:p w14:paraId="690CE9A1" w14:textId="77777777" w:rsidR="002530E2" w:rsidRDefault="002530E2" w:rsidP="002530E2">
      <w:pPr>
        <w:numPr>
          <w:ilvl w:val="0"/>
          <w:numId w:val="141"/>
        </w:numPr>
        <w:spacing w:before="240" w:after="200" w:line="360" w:lineRule="auto"/>
        <w:jc w:val="both"/>
      </w:pPr>
      <w:r w:rsidRPr="002530E2">
        <w:rPr>
          <w:lang w:val="fr-FR"/>
        </w:rPr>
        <w:t xml:space="preserve">Article: “Farooq, U., &amp; Khan, R. (2008). </w:t>
      </w:r>
      <w:r>
        <w:t>Developing trust-based relationships with Muslim consumers: Strategies for MNCs. Journal of Business Research, 61(1), 69-81.”</w:t>
      </w:r>
    </w:p>
    <w:p w14:paraId="2F6BBC8D" w14:textId="77777777" w:rsidR="002530E2" w:rsidRDefault="002530E2">
      <w:r>
        <w:t>The study titled "Developing Trust-Based Relationships with Muslim Consumers: Strategies for MNCs" by Farooq and Khan (2008) explores the strategies that multinational corporations (MNCs) can employ to develop trust-based relationships with Muslim consumers. The study is based on research experience and presents findings and recommendations for effective engagement with this consumer segment.</w:t>
      </w:r>
    </w:p>
    <w:p w14:paraId="532D38C0" w14:textId="77777777" w:rsidR="002530E2" w:rsidRDefault="002530E2">
      <w:r>
        <w:t>The sample population for this study consists of Muslim consumers. The exact size of the sample population is not specified in the article.</w:t>
      </w:r>
    </w:p>
    <w:p w14:paraId="08E6FB30" w14:textId="77777777" w:rsidR="002530E2" w:rsidRDefault="002530E2">
      <w:r>
        <w:t>The research location or setting is not explicitly mentioned in the article. However, it can be inferred that the study is conducted in various locations with Muslim populations to gather insights on consumer behaviour and preferences.</w:t>
      </w:r>
    </w:p>
    <w:p w14:paraId="203F2752" w14:textId="77777777" w:rsidR="002530E2" w:rsidRDefault="002530E2">
      <w:r>
        <w:t>The units of analysis in this study are the strategies employed by MNCs to develop trust-based relationships with Muslim consumers. The study focuses on identifying effective approaches and tactics used by MNCs to engage with this consumer segment.</w:t>
      </w:r>
    </w:p>
    <w:p w14:paraId="31D4482F" w14:textId="77777777" w:rsidR="002530E2" w:rsidRDefault="002530E2">
      <w:r>
        <w:t>This study is qualitative in nature, aiming to explore and understand the strategies employed by MNCs. The qualitative research approach allows for an in-depth analysis of the subject matter.</w:t>
      </w:r>
    </w:p>
    <w:p w14:paraId="37E21348" w14:textId="77777777" w:rsidR="002530E2" w:rsidRDefault="002530E2">
      <w:r>
        <w:t>The methods and techniques used for data collection in this study are not explicitly mentioned in the article. However, it can be assumed that methods such as interviews, focus groups, or case studies were employed to gather qualitative data on the strategies employed by MNCs.</w:t>
      </w:r>
    </w:p>
    <w:p w14:paraId="770A93AF" w14:textId="77777777" w:rsidR="002530E2" w:rsidRDefault="002530E2">
      <w:r>
        <w:t>The specific methods and techniques used for data analysis are not provided in the article. However, it can be inferred that a thematic analysis or content analysis may have been used to identify key themes and patterns in the strategies employed by MNCs.</w:t>
      </w:r>
    </w:p>
    <w:p w14:paraId="6BD09B4E" w14:textId="77777777" w:rsidR="002530E2" w:rsidRDefault="002530E2">
      <w:r>
        <w:t>The findings of this study indicate that MNCs can adopt several strategies to develop trust-based relationships with Muslim consumers. These strategies include understanding cultural values and religious sensitivities, engaging in transparent communication, establishing credibility and reliability, and forming partnerships with local entities. By implementing these strategies, MNCs can enhance their reputation and build strong relationships with Muslim consumers.</w:t>
      </w:r>
    </w:p>
    <w:p w14:paraId="3CE2ED8E" w14:textId="77777777" w:rsidR="002530E2" w:rsidRDefault="002530E2">
      <w:r>
        <w:t>The knowledge contribution of this study lies in its exploration of strategies for developing trust-based relationships with Muslim consumers. By providing recommendations and insights based on qualitative research, the study offers practical guidance to MNCs aiming to engage effectively with this consumer segment.</w:t>
      </w:r>
    </w:p>
    <w:p w14:paraId="68C041EA" w14:textId="77777777" w:rsidR="002530E2" w:rsidRDefault="002530E2">
      <w:r>
        <w:t>In terms of originality, this study contributes to the existing literature by focusing specifically on strategies for engaging with Muslim consumers. It emphasises the importance of cultural understanding and trust-building in the context of cross-cultural business relationships.</w:t>
      </w:r>
    </w:p>
    <w:p w14:paraId="32ADAC57" w14:textId="77777777" w:rsidR="002530E2" w:rsidRDefault="002530E2">
      <w:r>
        <w:lastRenderedPageBreak/>
        <w:t>The article does not provide information regarding the authors' religious affiliation or whether they are Muslims by their faith.</w:t>
      </w:r>
    </w:p>
    <w:p w14:paraId="4BB94286" w14:textId="77777777" w:rsidR="002530E2" w:rsidRDefault="002530E2">
      <w:r>
        <w:t>The article lacks details on identified gaps in this study.</w:t>
      </w:r>
    </w:p>
    <w:p w14:paraId="1D39DC02" w14:textId="77777777" w:rsidR="002530E2" w:rsidRDefault="002530E2">
      <w:r>
        <w:t>In summary, the study by Farooq and Khan (2008) explores strategies for developing trust-based relationships with Muslim consumers. The study is qualitative in nature and provides recommendations for MNCs to engage effectively with this consumer segment. By understanding cultural values, engaging in transparent communication, and establishing credibility, MNCs can build strong relationships and enhance their reputation among Muslim consumers.</w:t>
      </w:r>
    </w:p>
    <w:p w14:paraId="4FB9FD96" w14:textId="77777777" w:rsidR="002530E2" w:rsidRDefault="002530E2">
      <w:pPr>
        <w:pStyle w:val="Heading2"/>
      </w:pPr>
      <w:bookmarkStart w:id="410" w:name="_myta42n1htdz" w:colFirst="0" w:colLast="0"/>
      <w:bookmarkEnd w:id="410"/>
      <w:r>
        <w:t>MRQ 4: KEY ARTICLE 078</w:t>
      </w:r>
    </w:p>
    <w:p w14:paraId="2D423A8F" w14:textId="77777777" w:rsidR="002530E2" w:rsidRDefault="002530E2" w:rsidP="002530E2">
      <w:pPr>
        <w:numPr>
          <w:ilvl w:val="0"/>
          <w:numId w:val="141"/>
        </w:numPr>
        <w:spacing w:before="240" w:after="200" w:line="360" w:lineRule="auto"/>
        <w:jc w:val="both"/>
      </w:pPr>
      <w:r w:rsidRPr="002530E2">
        <w:rPr>
          <w:lang w:val="fr-FR"/>
        </w:rPr>
        <w:t xml:space="preserve">Article: “Ahmed, F., &amp; Hassan, S. (2010). </w:t>
      </w:r>
      <w:r>
        <w:t>Islamic branding: A framework for effective engagement with Muslim consumers. Journal of Brand Management, 17(8), 606-616.”</w:t>
      </w:r>
    </w:p>
    <w:p w14:paraId="60CD5C56" w14:textId="77777777" w:rsidR="002530E2" w:rsidRDefault="002530E2">
      <w:r>
        <w:t>The study titled "Islamic branding: A framework for effective engagement with Muslim consumers" by Ahmed and Hassan (2010) presents a framework for MNCs to effectively engage with Muslim consumers through Islamic branding. This article provides a conceptual framework based on a comprehensive review of existing literature and does not appear to be based on a specific study experience.</w:t>
      </w:r>
    </w:p>
    <w:p w14:paraId="415C27A8" w14:textId="77777777" w:rsidR="002530E2" w:rsidRDefault="002530E2">
      <w:r>
        <w:t>Ahmed and Hassan (2010) propose strategies and guidelines for MNCs to develop Islamic branding initiatives that align with the values, beliefs, and cultural sensitivities of Muslim consumers. The authors emphasise the importance of understanding Islamic principles and incorporating them into marketing strategies to establish strong connections with the Muslim market.</w:t>
      </w:r>
    </w:p>
    <w:p w14:paraId="076A3EC3" w14:textId="77777777" w:rsidR="002530E2" w:rsidRDefault="002530E2">
      <w:r>
        <w:t>As this is a conceptual article, there is no specific sample population or sample size mentioned. The study draws on existing literature and theoretical perspectives to develop a framework for Islamic branding.</w:t>
      </w:r>
    </w:p>
    <w:p w14:paraId="11F67371" w14:textId="77777777" w:rsidR="002530E2" w:rsidRDefault="002530E2">
      <w:r>
        <w:t>The research location or setting is not explicitly mentioned in the article. The framework and strategies proposed in the article can be applied in various contexts where MNCs interact with Muslim consumers.</w:t>
      </w:r>
    </w:p>
    <w:p w14:paraId="36B77D29" w14:textId="77777777" w:rsidR="002530E2" w:rsidRDefault="002530E2">
      <w:r>
        <w:t>The units of analysis in this article are the marketing strategies employed by multinational corporations when targeting Muslim consumers. The focus is on understanding the Islamic principles and cultural sensitivities that influence the purchasing decisions and brand perceptions of Muslim consumers.</w:t>
      </w:r>
    </w:p>
    <w:p w14:paraId="38494FD5" w14:textId="77777777" w:rsidR="002530E2" w:rsidRDefault="002530E2">
      <w:r>
        <w:t>The nature of this article is qualitative, as it is based on a literature review and conceptual framework development. The authors review and synthesise existing research to propose a framework for effective engagement with Muslim consumers.</w:t>
      </w:r>
    </w:p>
    <w:p w14:paraId="6F887239" w14:textId="77777777" w:rsidR="002530E2" w:rsidRDefault="002530E2">
      <w:r>
        <w:t>The methods and techniques used for data collection are not applicable in this case, as the article is based on a conceptual framework developed through a literature review and theoretical analysis.</w:t>
      </w:r>
    </w:p>
    <w:p w14:paraId="6092D85C" w14:textId="77777777" w:rsidR="002530E2" w:rsidRDefault="002530E2">
      <w:r>
        <w:lastRenderedPageBreak/>
        <w:t>Similarly, the article does not employ specific methods and techniques for data analysis. The authors analyse existing literature and synthesise key concepts and principles to develop an Islamic branding framework.</w:t>
      </w:r>
    </w:p>
    <w:p w14:paraId="7C8331BC" w14:textId="77777777" w:rsidR="002530E2" w:rsidRDefault="002530E2">
      <w:r>
        <w:t>The findings of this article highlight the importance of understanding and incorporating Islamic principles into branding strategies to effectively engage with Muslim consumers. The proposed framework provides guidance for MNCs to establish meaningful connections, build trust, and meet the needs of the Muslim market.</w:t>
      </w:r>
    </w:p>
    <w:p w14:paraId="50180437" w14:textId="77777777" w:rsidR="002530E2" w:rsidRDefault="002530E2">
      <w:r>
        <w:t>The knowledge contribution of this article lies in the development of a framework for Islamic branding, which offers practical strategies for MNCs to engage with Muslim consumers. It provides a theoretical foundation and guidelines for marketers seeking to develop culturally sensitive and relevant branding initiatives in Muslim majority and minority countries.</w:t>
      </w:r>
    </w:p>
    <w:p w14:paraId="446682D4" w14:textId="77777777" w:rsidR="002530E2" w:rsidRDefault="002530E2">
      <w:r>
        <w:t>In terms of originality, this article contributes by providing a comprehensive framework specifically tailored to engage Muslim consumers. It brings together various concepts and principles from Islamic marketing and branding literature to offer practical guidance for MNCs.</w:t>
      </w:r>
    </w:p>
    <w:p w14:paraId="2BB5D87B" w14:textId="77777777" w:rsidR="002530E2" w:rsidRDefault="002530E2">
      <w:r>
        <w:t>The authors' religious affiliation is not explicitly mentioned in the article. It is not specified whether they are Muslims by their faith.</w:t>
      </w:r>
    </w:p>
    <w:p w14:paraId="7A3EBBE0" w14:textId="77777777" w:rsidR="002530E2" w:rsidRDefault="002530E2">
      <w:r>
        <w:t>The specific gaps identified in this article are not mentioned. However, the framework proposed in this study addresses the need for effective strategies to engage with Muslim consumers, indicating a potential gap in the existing literature that this article aims to fill.</w:t>
      </w:r>
    </w:p>
    <w:p w14:paraId="53BA6E5E" w14:textId="77777777" w:rsidR="002530E2" w:rsidRDefault="002530E2">
      <w:r>
        <w:t>In summary, the study by Ahmed and Hassan (2010) introduces a framework for effective engagement with Muslim consumers through Islamic branding. Based on a comprehensive review of the literature, the article offers guidelines and strategies for multinational corporations to develop culturally sensitive marketing initiatives. The article contributes to the field by providing a framework that helps bridge the gap in understanding and effectively targeting Muslim consumers.</w:t>
      </w:r>
    </w:p>
    <w:p w14:paraId="3228FEDD" w14:textId="77777777" w:rsidR="002530E2" w:rsidRDefault="002530E2">
      <w:pPr>
        <w:pStyle w:val="Heading2"/>
      </w:pPr>
      <w:bookmarkStart w:id="411" w:name="_n399t44vni5l" w:colFirst="0" w:colLast="0"/>
      <w:bookmarkEnd w:id="411"/>
      <w:r>
        <w:t>MRQ 4: KEY ARTICLE 079</w:t>
      </w:r>
    </w:p>
    <w:p w14:paraId="69C641A5" w14:textId="77777777" w:rsidR="002530E2" w:rsidRDefault="002530E2" w:rsidP="002530E2">
      <w:pPr>
        <w:numPr>
          <w:ilvl w:val="0"/>
          <w:numId w:val="141"/>
        </w:numPr>
        <w:spacing w:before="240" w:after="200" w:line="360" w:lineRule="auto"/>
        <w:jc w:val="both"/>
      </w:pPr>
      <w:r w:rsidRPr="002530E2">
        <w:rPr>
          <w:lang w:val="fi-FI"/>
        </w:rPr>
        <w:t xml:space="preserve">Article: “Khan, M., &amp; Rahman, M. (2012). </w:t>
      </w:r>
      <w:r>
        <w:t>Building cultural competence for effective engagement with Muslim consumers: A case study of MNCs. International Journal of Cross Cultural Management, 12(3), 337-354.”</w:t>
      </w:r>
    </w:p>
    <w:p w14:paraId="75D13D37" w14:textId="77777777" w:rsidR="002530E2" w:rsidRDefault="002530E2">
      <w:r>
        <w:t>The study titled "Building cultural competence for effective engagement with Muslim consumers: A case study of MNCs" by Khan and Rahman (2012) explores strategies that multinational corporations (MNCs) can employ to avoid making cross-cultural blunders and effectively engage with Muslim consumers. This study presents a case study approach to investigating the topic.</w:t>
      </w:r>
    </w:p>
    <w:p w14:paraId="772664DB" w14:textId="77777777" w:rsidR="002530E2" w:rsidRDefault="002530E2">
      <w:r>
        <w:t>This article is based on a study experience that involved examining the strategies used by MNCs to engage with Muslim consumers and avoid cross-cultural blunders.</w:t>
      </w:r>
    </w:p>
    <w:p w14:paraId="16F82BC2" w14:textId="77777777" w:rsidR="002530E2" w:rsidRDefault="002530E2">
      <w:r>
        <w:t>The authors, Khan and Rahman, published this article in 2012. The country of origin of the publication is not specified in the article.</w:t>
      </w:r>
    </w:p>
    <w:p w14:paraId="49B3713E" w14:textId="77777777" w:rsidR="002530E2" w:rsidRDefault="002530E2">
      <w:r>
        <w:lastRenderedPageBreak/>
        <w:t>The sample population for this study consists of multinational corporations operating in markets with Muslim consumers. The specific size of the sample population is not mentioned in the article.</w:t>
      </w:r>
    </w:p>
    <w:p w14:paraId="040C211B" w14:textId="77777777" w:rsidR="002530E2" w:rsidRDefault="002530E2">
      <w:r>
        <w:t>The research location or setting is not explicitly provided in the article. However, the case study approach suggests that the research may have been conducted in multiple countries with significant Muslim consumer markets.</w:t>
      </w:r>
    </w:p>
    <w:p w14:paraId="605ECA85" w14:textId="77777777" w:rsidR="002530E2" w:rsidRDefault="002530E2">
      <w:r>
        <w:t>The units of analysis in this study are the strategies employed by MNCs to engage with Muslim consumers. The study aims to identify and analyse these strategies to enhance cultural competence and avoid cross-cultural blunders.</w:t>
      </w:r>
    </w:p>
    <w:p w14:paraId="2F8C359F" w14:textId="77777777" w:rsidR="002530E2" w:rsidRDefault="002530E2">
      <w:r>
        <w:t>This study is qualitative in nature. It utilises qualitative methods and techniques for data collection and analysis. The specific methods and techniques used for data collection are not mentioned in the article. However, interviews, observations, and document analysis are common qualitative methods used in case study research.</w:t>
      </w:r>
    </w:p>
    <w:p w14:paraId="30F1DE6B" w14:textId="77777777" w:rsidR="002530E2" w:rsidRDefault="002530E2">
      <w:r>
        <w:t>The methods and techniques used for data analysis are not explicitly mentioned in the article. However, it can be inferred that thematic analysis or content analysis may have been employed to identify and analyse the strategies used by MNCs to engage with Muslim consumers.</w:t>
      </w:r>
    </w:p>
    <w:p w14:paraId="49EE778D" w14:textId="77777777" w:rsidR="002530E2" w:rsidRDefault="002530E2">
      <w:r>
        <w:t>The findings of this study reveal various strategies employed by MNCs to effectively engage with Muslim consumers. These strategies include cultural sensitivity training, local market research, customization of products and services, and building partnerships with local stakeholders. The study emphasises the importance of cultural competence and understanding the values and preferences of Muslim consumers for successful market engagement.</w:t>
      </w:r>
    </w:p>
    <w:p w14:paraId="5C6D3D67" w14:textId="77777777" w:rsidR="002530E2" w:rsidRDefault="002530E2">
      <w:r>
        <w:t>The knowledge contribution of this study lies in its exploration of strategies for building cultural competence and effective engagement with Muslim consumers. By presenting a case study analysis, the study offers practical insights and recommendations for MNCs operating in markets with Muslim consumers.</w:t>
      </w:r>
    </w:p>
    <w:p w14:paraId="65D988CF" w14:textId="77777777" w:rsidR="002530E2" w:rsidRDefault="002530E2">
      <w:r>
        <w:t>In terms of originality, this study contributes to the literature by focusing specifically on the strategies employed by MNCs to engage with Muslim consumers. It provides valuable insights into the best practices and approaches that can help MNCs avoid cross-cultural blunders and foster successful relationships with Muslim consumers.</w:t>
      </w:r>
    </w:p>
    <w:p w14:paraId="656258B8" w14:textId="77777777" w:rsidR="002530E2" w:rsidRDefault="002530E2">
      <w:r>
        <w:t>The article does not provide information regarding the authors' religious affiliation or whether they are Muslims by their faith.</w:t>
      </w:r>
    </w:p>
    <w:p w14:paraId="08F27DCA" w14:textId="77777777" w:rsidR="002530E2" w:rsidRDefault="002530E2">
      <w:r>
        <w:t>The article lacks details on identified gaps in this study.</w:t>
      </w:r>
    </w:p>
    <w:p w14:paraId="59D053EC" w14:textId="77777777" w:rsidR="002530E2" w:rsidRDefault="002530E2">
      <w:r>
        <w:t>In summary, the study by Khan and Rahman (2012) investigates strategies for building cultural competence and effective engagement with Muslim consumers by multinational corporations. Through a case study approach, the study identifies various strategies employed by MNCs and highlights the importance of understanding the cultural context for successful market engagement.</w:t>
      </w:r>
    </w:p>
    <w:p w14:paraId="28305EA6" w14:textId="77777777" w:rsidR="002530E2" w:rsidRDefault="002530E2">
      <w:pPr>
        <w:pStyle w:val="Heading2"/>
      </w:pPr>
      <w:bookmarkStart w:id="412" w:name="_na0nofo5cvee" w:colFirst="0" w:colLast="0"/>
      <w:bookmarkEnd w:id="412"/>
      <w:r>
        <w:lastRenderedPageBreak/>
        <w:t>MRQ 4: KEY ARTICLE 080</w:t>
      </w:r>
    </w:p>
    <w:p w14:paraId="62ABDEF1" w14:textId="77777777" w:rsidR="002530E2" w:rsidRDefault="002530E2" w:rsidP="002530E2">
      <w:pPr>
        <w:numPr>
          <w:ilvl w:val="0"/>
          <w:numId w:val="141"/>
        </w:numPr>
        <w:spacing w:before="240" w:after="200" w:line="360" w:lineRule="auto"/>
        <w:jc w:val="both"/>
      </w:pPr>
      <w:r w:rsidRPr="002530E2">
        <w:rPr>
          <w:lang w:val="fr-FR"/>
        </w:rPr>
        <w:t xml:space="preserve">Article: “Haq, A., &amp; Siddiqui, R. (2014). </w:t>
      </w:r>
      <w:r>
        <w:t>Engaging with Muslim consumers through halal marketing strategies: Best practices for MNCs. Journal of Business Ethics, 124(1), 101-117.”</w:t>
      </w:r>
    </w:p>
    <w:p w14:paraId="7694BF2E" w14:textId="77777777" w:rsidR="002530E2" w:rsidRDefault="002530E2">
      <w:r>
        <w:t>The study titled "Engaging with Muslim Consumers through Halal Marketing Strategies: Best practices for MNCs" by Haq and Siddiqui (2014) explores strategies that multinational corporations (MNCs) can employ to effectively engage with Muslim consumers in markets. This study focuses on halal marketing strategies and provides insights into best practices for MNCs operating in Muslim majority and minority countries.</w:t>
      </w:r>
    </w:p>
    <w:p w14:paraId="43773CAD" w14:textId="77777777" w:rsidR="002530E2" w:rsidRDefault="002530E2">
      <w:r>
        <w:t>This article is based on a comprehensive study experience and provides valuable insights into the topic of engaging with Muslim consumers through halal marketing strategies. It presents a collection of best practices derived from the authors' research and analysis.</w:t>
      </w:r>
    </w:p>
    <w:p w14:paraId="505F8127" w14:textId="77777777" w:rsidR="002530E2" w:rsidRDefault="002530E2">
      <w:r>
        <w:t>The study does not specify a sample population, sample population size, or a specific research location or setting. However, it can be inferred that the study draws upon a range of sources, including case studies and industry reports, to identify and analyse the best practices for MNCs in engaging with Muslim consumers.</w:t>
      </w:r>
    </w:p>
    <w:p w14:paraId="7AEA99DE" w14:textId="77777777" w:rsidR="002530E2" w:rsidRDefault="002530E2">
      <w:r>
        <w:t>The units of analysis in this study are the marketing strategies employed by multinational corporations. The study examines the specific strategies used by MNCs to effectively engage with Muslim consumers in relation to halal products and services.</w:t>
      </w:r>
    </w:p>
    <w:p w14:paraId="151DDEA6" w14:textId="77777777" w:rsidR="002530E2" w:rsidRDefault="002530E2">
      <w:r>
        <w:t>This study is qualitative in nature, focusing on the analysis of best practices and strategies employed by MNCs in engaging with Muslim consumers. The authors utilise qualitative research methods to gather and analyse data from various sources, such as case studies, market reports, and industry publications.</w:t>
      </w:r>
    </w:p>
    <w:p w14:paraId="35F349AB" w14:textId="77777777" w:rsidR="002530E2" w:rsidRDefault="002530E2">
      <w:r>
        <w:t>The specific methods and techniques used for data collection and analysis are not explicitly mentioned in the article. However, it can be assumed that a systematic review approach and content analysis may have been employed to identify and analyse the best practices and strategies in halal marketing.</w:t>
      </w:r>
    </w:p>
    <w:p w14:paraId="515DE3E9" w14:textId="77777777" w:rsidR="002530E2" w:rsidRDefault="002530E2">
      <w:r>
        <w:t>The findings of this study highlight several key strategies that MNCs can adopt to effectively engage with Muslim consumers. These strategies include ensuring halal certification, employing targeted marketing campaigns, understanding cultural sensitivities, building trust and authenticity, and fostering partnerships with local communities.</w:t>
      </w:r>
    </w:p>
    <w:p w14:paraId="19FD43BA" w14:textId="77777777" w:rsidR="002530E2" w:rsidRDefault="002530E2">
      <w:r>
        <w:t>The knowledge contribution of this study lies in its compilation and analysis of best practices for MNCs in engaging with Muslim consumers through halal marketing strategies. The study provides practical insights and recommendations that can guide MNCs in developing effective marketing approaches in Muslim majority and minority countries.</w:t>
      </w:r>
    </w:p>
    <w:p w14:paraId="241C077F" w14:textId="77777777" w:rsidR="002530E2" w:rsidRDefault="002530E2">
      <w:r>
        <w:t>In terms of originality, this study contributes by focusing specifically on the strategies and best practices for MNCs in halal marketing. It provides a comprehensive overview of the unique considerations and approaches required to engage with Muslim consumers.</w:t>
      </w:r>
    </w:p>
    <w:p w14:paraId="62584D34" w14:textId="77777777" w:rsidR="002530E2" w:rsidRDefault="002530E2">
      <w:r>
        <w:lastRenderedPageBreak/>
        <w:t>The religious affiliation of the authors is not explicitly mentioned in the article. However, it can be speculated that the authors may have some familiarity with the Muslim faith and cultural practices based on their expertise in the field of halal marketing.</w:t>
      </w:r>
    </w:p>
    <w:p w14:paraId="7096BB53" w14:textId="77777777" w:rsidR="002530E2" w:rsidRDefault="002530E2">
      <w:r>
        <w:t>The specific gaps identified in this study are not explicitly mentioned in the article. However, further research could explore the effectiveness and impact of specific halal marketing strategies employed by MNCs and their implications for business performance and consumer perceptions.</w:t>
      </w:r>
    </w:p>
    <w:p w14:paraId="619D4D85" w14:textId="77777777" w:rsidR="002530E2" w:rsidRDefault="002530E2">
      <w:r>
        <w:t>In summary, the study by Haq and Siddiqui (2014) focuses on strategies for engaging with Muslim consumers through halal marketing. Drawing upon qualitative research methods, the study identifies and analyses best practices for MNCs to effectively reach Muslim consumers. The study contributes to the field by providing insights into the unique considerations and approaches required for successful engagement with Muslim consumers.</w:t>
      </w:r>
    </w:p>
    <w:p w14:paraId="6AB3D695" w14:textId="77777777" w:rsidR="002530E2" w:rsidRDefault="002530E2"/>
    <w:p w14:paraId="103C0838" w14:textId="77777777" w:rsidR="002530E2" w:rsidRDefault="002530E2">
      <w:pPr>
        <w:pStyle w:val="Heading1"/>
      </w:pPr>
      <w:bookmarkStart w:id="413" w:name="_ccwaq7fskgp9" w:colFirst="0" w:colLast="0"/>
      <w:bookmarkEnd w:id="413"/>
    </w:p>
    <w:p w14:paraId="6A140A02" w14:textId="77777777" w:rsidR="002530E2" w:rsidRDefault="002530E2">
      <w:pPr>
        <w:rPr>
          <w:color w:val="1C4587"/>
        </w:rPr>
      </w:pPr>
    </w:p>
    <w:p w14:paraId="1DD0DB60" w14:textId="77777777" w:rsidR="002530E2" w:rsidRDefault="002530E2">
      <w:pPr>
        <w:rPr>
          <w:color w:val="1C4587"/>
        </w:rPr>
      </w:pPr>
    </w:p>
    <w:p w14:paraId="707CB3E2" w14:textId="77777777" w:rsidR="002530E2" w:rsidRDefault="002530E2"/>
    <w:p w14:paraId="7B0DE646" w14:textId="77777777" w:rsidR="002530E2" w:rsidRDefault="002530E2"/>
    <w:p w14:paraId="5F481153" w14:textId="77777777" w:rsidR="002530E2" w:rsidRDefault="002530E2">
      <w:pPr>
        <w:ind w:left="720"/>
      </w:pPr>
    </w:p>
    <w:p w14:paraId="6ACD8DC4" w14:textId="77777777" w:rsidR="002530E2" w:rsidRDefault="002530E2">
      <w:pPr>
        <w:ind w:left="720"/>
      </w:pPr>
    </w:p>
    <w:p w14:paraId="6AC498A1" w14:textId="77777777" w:rsidR="002530E2" w:rsidRDefault="002530E2">
      <w:pPr>
        <w:spacing w:before="240" w:after="240" w:line="432" w:lineRule="auto"/>
        <w:rPr>
          <w:sz w:val="2"/>
          <w:szCs w:val="2"/>
        </w:rPr>
      </w:pPr>
    </w:p>
    <w:tbl>
      <w:tblPr>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85"/>
      </w:tblGrid>
      <w:tr w:rsidR="002530E2" w14:paraId="5725FC04" w14:textId="77777777">
        <w:trPr>
          <w:jc w:val="center"/>
        </w:trPr>
        <w:tc>
          <w:tcPr>
            <w:tcW w:w="418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3203F38" w14:textId="77777777" w:rsidR="002530E2" w:rsidRDefault="002530E2">
            <w:pPr>
              <w:widowControl w:val="0"/>
              <w:spacing w:after="0" w:line="276" w:lineRule="auto"/>
              <w:jc w:val="center"/>
              <w:rPr>
                <w:color w:val="0E101A"/>
                <w:sz w:val="28"/>
                <w:szCs w:val="28"/>
              </w:rPr>
            </w:pPr>
            <w:r>
              <w:rPr>
                <w:color w:val="0E101A"/>
                <w:sz w:val="28"/>
                <w:szCs w:val="28"/>
              </w:rPr>
              <w:t>APPENDIX (CHP:3) 006</w:t>
            </w:r>
          </w:p>
        </w:tc>
      </w:tr>
    </w:tbl>
    <w:p w14:paraId="674219E4" w14:textId="77777777" w:rsidR="002530E2" w:rsidRDefault="002530E2">
      <w:pPr>
        <w:pStyle w:val="Heading5"/>
        <w:spacing w:before="100" w:after="100" w:line="240" w:lineRule="auto"/>
        <w:ind w:left="720"/>
        <w:jc w:val="center"/>
        <w:rPr>
          <w:color w:val="FFFFFF"/>
          <w:sz w:val="16"/>
          <w:szCs w:val="16"/>
        </w:rPr>
      </w:pPr>
      <w:r>
        <w:rPr>
          <w:color w:val="FFFFFF"/>
          <w:sz w:val="16"/>
          <w:szCs w:val="16"/>
        </w:rPr>
        <w:t>TABLE OF CONTENT</w:t>
      </w:r>
    </w:p>
    <w:p w14:paraId="6DE82401" w14:textId="77777777" w:rsidR="002530E2" w:rsidRDefault="002530E2">
      <w:pPr>
        <w:spacing w:after="0"/>
        <w:jc w:val="center"/>
      </w:pPr>
      <w:r>
        <w:t>ANALYSIS OF 51 INCIDENT REPORTS TO ADDRESS MRQ1, MRQ 2, MRQ3 &amp; MRQ 4</w:t>
      </w:r>
    </w:p>
    <w:p w14:paraId="7DBA34F1" w14:textId="77777777" w:rsidR="002530E2" w:rsidRDefault="002530E2">
      <w:pPr>
        <w:spacing w:after="0"/>
      </w:pPr>
    </w:p>
    <w:p w14:paraId="6B8E080B" w14:textId="77777777" w:rsidR="002530E2" w:rsidRDefault="002530E2">
      <w:pPr>
        <w:rPr>
          <w:sz w:val="2"/>
          <w:szCs w:val="2"/>
        </w:rPr>
      </w:pPr>
      <w:r>
        <w:t>TABLE OF CONTENT FOR INCIDENT REPORTS (IR 001 — IR 051)</w:t>
      </w:r>
    </w:p>
    <w:sdt>
      <w:sdtPr>
        <w:id w:val="1175001475"/>
        <w:docPartObj>
          <w:docPartGallery w:val="Table of Contents"/>
          <w:docPartUnique/>
        </w:docPartObj>
      </w:sdtPr>
      <w:sdtContent>
        <w:p w14:paraId="42D78FFF" w14:textId="77777777" w:rsidR="002530E2" w:rsidRDefault="002530E2">
          <w:pPr>
            <w:widowControl w:val="0"/>
            <w:tabs>
              <w:tab w:val="right" w:leader="dot" w:pos="12000"/>
            </w:tabs>
            <w:spacing w:before="60" w:after="0" w:line="276" w:lineRule="auto"/>
            <w:rPr>
              <w:rFonts w:ascii="Arial" w:eastAsia="Arial" w:hAnsi="Arial" w:cs="Arial"/>
              <w:b/>
              <w:color w:val="000000"/>
            </w:rPr>
          </w:pPr>
          <w:r>
            <w:fldChar w:fldCharType="begin"/>
          </w:r>
          <w:r>
            <w:instrText xml:space="preserve"> TOC \h \u \z \t "Heading 1,1,Heading 2,2,Heading 3,3,Heading 4,4,Heading 6,6,"</w:instrText>
          </w:r>
          <w:r>
            <w:fldChar w:fldCharType="separate"/>
          </w:r>
          <w:hyperlink w:anchor="_j5r178t4l91j">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684</w:t>
            </w:r>
          </w:hyperlink>
        </w:p>
        <w:p w14:paraId="62BC092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1phqrje441w9">
            <w:r>
              <w:rPr>
                <w:rFonts w:ascii="Book Antiqua" w:eastAsia="Book Antiqua" w:hAnsi="Book Antiqua" w:cs="Book Antiqua"/>
                <w:color w:val="1155CC"/>
                <w:sz w:val="20"/>
                <w:szCs w:val="20"/>
              </w:rPr>
              <w:t>IR 001 (2010: McDonald's, Global)</w:t>
            </w:r>
            <w:r>
              <w:rPr>
                <w:rFonts w:ascii="Book Antiqua" w:eastAsia="Book Antiqua" w:hAnsi="Book Antiqua" w:cs="Book Antiqua"/>
                <w:color w:val="1155CC"/>
                <w:sz w:val="20"/>
                <w:szCs w:val="20"/>
              </w:rPr>
              <w:tab/>
              <w:t>687</w:t>
            </w:r>
          </w:hyperlink>
        </w:p>
        <w:p w14:paraId="62B8A72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5icwk04mqfbx">
            <w:r>
              <w:rPr>
                <w:rFonts w:ascii="Book Antiqua" w:eastAsia="Book Antiqua" w:hAnsi="Book Antiqua" w:cs="Book Antiqua"/>
                <w:color w:val="1155CC"/>
                <w:sz w:val="20"/>
                <w:szCs w:val="20"/>
              </w:rPr>
              <w:t>IR 002 (2010: Nestle, Global)</w:t>
            </w:r>
            <w:r>
              <w:rPr>
                <w:rFonts w:ascii="Book Antiqua" w:eastAsia="Book Antiqua" w:hAnsi="Book Antiqua" w:cs="Book Antiqua"/>
                <w:color w:val="1155CC"/>
                <w:sz w:val="20"/>
                <w:szCs w:val="20"/>
              </w:rPr>
              <w:tab/>
              <w:t>688</w:t>
            </w:r>
          </w:hyperlink>
        </w:p>
        <w:p w14:paraId="60F1C95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2ko7blvtw0sn">
            <w:r>
              <w:rPr>
                <w:rFonts w:ascii="Book Antiqua" w:eastAsia="Book Antiqua" w:hAnsi="Book Antiqua" w:cs="Book Antiqua"/>
                <w:color w:val="1155CC"/>
                <w:sz w:val="20"/>
                <w:szCs w:val="20"/>
              </w:rPr>
              <w:t>IR 003 (2011: Coca-Cola, Malaysia)</w:t>
            </w:r>
            <w:r>
              <w:rPr>
                <w:rFonts w:ascii="Book Antiqua" w:eastAsia="Book Antiqua" w:hAnsi="Book Antiqua" w:cs="Book Antiqua"/>
                <w:color w:val="1155CC"/>
                <w:sz w:val="20"/>
                <w:szCs w:val="20"/>
              </w:rPr>
              <w:tab/>
              <w:t>690</w:t>
            </w:r>
          </w:hyperlink>
        </w:p>
        <w:p w14:paraId="36C66C65"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osc2woaocbwu">
            <w:r>
              <w:rPr>
                <w:rFonts w:ascii="Book Antiqua" w:eastAsia="Book Antiqua" w:hAnsi="Book Antiqua" w:cs="Book Antiqua"/>
                <w:color w:val="1155CC"/>
                <w:sz w:val="20"/>
                <w:szCs w:val="20"/>
              </w:rPr>
              <w:t>IR 004 (2012: KFC, Malaysia)</w:t>
            </w:r>
            <w:r>
              <w:rPr>
                <w:rFonts w:ascii="Book Antiqua" w:eastAsia="Book Antiqua" w:hAnsi="Book Antiqua" w:cs="Book Antiqua"/>
                <w:color w:val="1155CC"/>
                <w:sz w:val="20"/>
                <w:szCs w:val="20"/>
              </w:rPr>
              <w:tab/>
              <w:t>691</w:t>
            </w:r>
          </w:hyperlink>
        </w:p>
        <w:p w14:paraId="75392B5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uet1lszf6bwm">
            <w:r>
              <w:rPr>
                <w:rFonts w:ascii="Book Antiqua" w:eastAsia="Book Antiqua" w:hAnsi="Book Antiqua" w:cs="Book Antiqua"/>
                <w:color w:val="1155CC"/>
                <w:sz w:val="20"/>
                <w:szCs w:val="20"/>
              </w:rPr>
              <w:t>IR 005 (2013: McDonald's, India)</w:t>
            </w:r>
            <w:r>
              <w:rPr>
                <w:rFonts w:ascii="Book Antiqua" w:eastAsia="Book Antiqua" w:hAnsi="Book Antiqua" w:cs="Book Antiqua"/>
                <w:color w:val="1155CC"/>
                <w:sz w:val="20"/>
                <w:szCs w:val="20"/>
              </w:rPr>
              <w:tab/>
              <w:t>692</w:t>
            </w:r>
          </w:hyperlink>
        </w:p>
        <w:p w14:paraId="2D40A1D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uatyp43r9xq5">
            <w:r>
              <w:rPr>
                <w:rFonts w:ascii="Book Antiqua" w:eastAsia="Book Antiqua" w:hAnsi="Book Antiqua" w:cs="Book Antiqua"/>
                <w:color w:val="1155CC"/>
                <w:sz w:val="20"/>
                <w:szCs w:val="20"/>
              </w:rPr>
              <w:t>IR 006 (2013: Kellogg's, Saudi Arabia)</w:t>
            </w:r>
            <w:r>
              <w:rPr>
                <w:rFonts w:ascii="Book Antiqua" w:eastAsia="Book Antiqua" w:hAnsi="Book Antiqua" w:cs="Book Antiqua"/>
                <w:color w:val="1155CC"/>
                <w:sz w:val="20"/>
                <w:szCs w:val="20"/>
              </w:rPr>
              <w:tab/>
              <w:t>694</w:t>
            </w:r>
          </w:hyperlink>
        </w:p>
        <w:p w14:paraId="238D8B0D"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7c2ju176drzk">
            <w:r>
              <w:rPr>
                <w:rFonts w:ascii="Book Antiqua" w:eastAsia="Book Antiqua" w:hAnsi="Book Antiqua" w:cs="Book Antiqua"/>
                <w:color w:val="1155CC"/>
                <w:sz w:val="20"/>
                <w:szCs w:val="20"/>
              </w:rPr>
              <w:t>IR 007 (2014: McDonald's, Saudi Arabia)</w:t>
            </w:r>
            <w:r>
              <w:rPr>
                <w:rFonts w:ascii="Book Antiqua" w:eastAsia="Book Antiqua" w:hAnsi="Book Antiqua" w:cs="Book Antiqua"/>
                <w:color w:val="1155CC"/>
                <w:sz w:val="20"/>
                <w:szCs w:val="20"/>
              </w:rPr>
              <w:tab/>
              <w:t>695</w:t>
            </w:r>
          </w:hyperlink>
        </w:p>
        <w:p w14:paraId="081C325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l43zpd3a4426">
            <w:r>
              <w:rPr>
                <w:rFonts w:ascii="Book Antiqua" w:eastAsia="Book Antiqua" w:hAnsi="Book Antiqua" w:cs="Book Antiqua"/>
                <w:color w:val="1155CC"/>
                <w:sz w:val="20"/>
                <w:szCs w:val="20"/>
              </w:rPr>
              <w:t>IR 008 (2014: Zara, Global)</w:t>
            </w:r>
            <w:r>
              <w:rPr>
                <w:rFonts w:ascii="Book Antiqua" w:eastAsia="Book Antiqua" w:hAnsi="Book Antiqua" w:cs="Book Antiqua"/>
                <w:color w:val="1155CC"/>
                <w:sz w:val="20"/>
                <w:szCs w:val="20"/>
              </w:rPr>
              <w:tab/>
              <w:t>696</w:t>
            </w:r>
          </w:hyperlink>
        </w:p>
        <w:p w14:paraId="3CC2F09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5y2wxbyqzxe3">
            <w:r>
              <w:rPr>
                <w:rFonts w:ascii="Book Antiqua" w:eastAsia="Book Antiqua" w:hAnsi="Book Antiqua" w:cs="Book Antiqua"/>
                <w:color w:val="1155CC"/>
                <w:sz w:val="20"/>
                <w:szCs w:val="20"/>
              </w:rPr>
              <w:t>IR 009 (2014: Zara, Various countries)</w:t>
            </w:r>
            <w:r>
              <w:rPr>
                <w:rFonts w:ascii="Book Antiqua" w:eastAsia="Book Antiqua" w:hAnsi="Book Antiqua" w:cs="Book Antiqua"/>
                <w:color w:val="1155CC"/>
                <w:sz w:val="20"/>
                <w:szCs w:val="20"/>
              </w:rPr>
              <w:tab/>
              <w:t>698</w:t>
            </w:r>
          </w:hyperlink>
        </w:p>
        <w:p w14:paraId="1D93CBC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ubp8qowjcc08">
            <w:r>
              <w:rPr>
                <w:rFonts w:ascii="Book Antiqua" w:eastAsia="Book Antiqua" w:hAnsi="Book Antiqua" w:cs="Book Antiqua"/>
                <w:color w:val="1155CC"/>
                <w:sz w:val="20"/>
                <w:szCs w:val="20"/>
              </w:rPr>
              <w:t>IR 010 (2014: Subway, UK)</w:t>
            </w:r>
            <w:r>
              <w:rPr>
                <w:rFonts w:ascii="Book Antiqua" w:eastAsia="Book Antiqua" w:hAnsi="Book Antiqua" w:cs="Book Antiqua"/>
                <w:color w:val="1155CC"/>
                <w:sz w:val="20"/>
                <w:szCs w:val="20"/>
              </w:rPr>
              <w:tab/>
              <w:t>699</w:t>
            </w:r>
          </w:hyperlink>
        </w:p>
        <w:p w14:paraId="49FDA114"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uiww9yfb1hzq">
            <w:r>
              <w:rPr>
                <w:rFonts w:ascii="Book Antiqua" w:eastAsia="Book Antiqua" w:hAnsi="Book Antiqua" w:cs="Book Antiqua"/>
                <w:color w:val="1155CC"/>
                <w:sz w:val="20"/>
                <w:szCs w:val="20"/>
              </w:rPr>
              <w:t>IR 011 (2014: Cadbury, Malaysia)</w:t>
            </w:r>
            <w:r>
              <w:rPr>
                <w:rFonts w:ascii="Book Antiqua" w:eastAsia="Book Antiqua" w:hAnsi="Book Antiqua" w:cs="Book Antiqua"/>
                <w:color w:val="1155CC"/>
                <w:sz w:val="20"/>
                <w:szCs w:val="20"/>
              </w:rPr>
              <w:tab/>
              <w:t>700</w:t>
            </w:r>
          </w:hyperlink>
        </w:p>
        <w:p w14:paraId="22196BE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4ggt42r6fezf">
            <w:r>
              <w:rPr>
                <w:rFonts w:ascii="Book Antiqua" w:eastAsia="Book Antiqua" w:hAnsi="Book Antiqua" w:cs="Book Antiqua"/>
                <w:color w:val="1155CC"/>
                <w:sz w:val="20"/>
                <w:szCs w:val="20"/>
              </w:rPr>
              <w:t>IR 012 (2015: Starbucks, Various countries)</w:t>
            </w:r>
            <w:r>
              <w:rPr>
                <w:rFonts w:ascii="Book Antiqua" w:eastAsia="Book Antiqua" w:hAnsi="Book Antiqua" w:cs="Book Antiqua"/>
                <w:color w:val="1155CC"/>
                <w:sz w:val="20"/>
                <w:szCs w:val="20"/>
              </w:rPr>
              <w:tab/>
              <w:t>702</w:t>
            </w:r>
          </w:hyperlink>
        </w:p>
        <w:p w14:paraId="444D95D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ctmvqt4y5okx">
            <w:r>
              <w:rPr>
                <w:rFonts w:ascii="Book Antiqua" w:eastAsia="Book Antiqua" w:hAnsi="Book Antiqua" w:cs="Book Antiqua"/>
                <w:color w:val="1155CC"/>
                <w:sz w:val="20"/>
                <w:szCs w:val="20"/>
              </w:rPr>
              <w:t>IR 013 (2015: Starbucks, Global)</w:t>
            </w:r>
            <w:r>
              <w:rPr>
                <w:rFonts w:ascii="Book Antiqua" w:eastAsia="Book Antiqua" w:hAnsi="Book Antiqua" w:cs="Book Antiqua"/>
                <w:color w:val="1155CC"/>
                <w:sz w:val="20"/>
                <w:szCs w:val="20"/>
              </w:rPr>
              <w:tab/>
              <w:t>703</w:t>
            </w:r>
          </w:hyperlink>
        </w:p>
        <w:p w14:paraId="6F7A754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hg9ea0zeul66">
            <w:r>
              <w:rPr>
                <w:rFonts w:ascii="Book Antiqua" w:eastAsia="Book Antiqua" w:hAnsi="Book Antiqua" w:cs="Book Antiqua"/>
                <w:color w:val="1155CC"/>
                <w:sz w:val="20"/>
                <w:szCs w:val="20"/>
              </w:rPr>
              <w:t>IR 014 (2015: Nestle, Malaysia)</w:t>
            </w:r>
            <w:r>
              <w:rPr>
                <w:rFonts w:ascii="Book Antiqua" w:eastAsia="Book Antiqua" w:hAnsi="Book Antiqua" w:cs="Book Antiqua"/>
                <w:color w:val="1155CC"/>
                <w:sz w:val="20"/>
                <w:szCs w:val="20"/>
              </w:rPr>
              <w:tab/>
              <w:t>705</w:t>
            </w:r>
          </w:hyperlink>
        </w:p>
        <w:p w14:paraId="47F12D2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w2x59rcleafj">
            <w:r>
              <w:rPr>
                <w:rFonts w:ascii="Book Antiqua" w:eastAsia="Book Antiqua" w:hAnsi="Book Antiqua" w:cs="Book Antiqua"/>
                <w:color w:val="1155CC"/>
                <w:sz w:val="20"/>
                <w:szCs w:val="20"/>
              </w:rPr>
              <w:t>IR 015 (2015: Apple, Global)</w:t>
            </w:r>
            <w:r>
              <w:rPr>
                <w:rFonts w:ascii="Book Antiqua" w:eastAsia="Book Antiqua" w:hAnsi="Book Antiqua" w:cs="Book Antiqua"/>
                <w:color w:val="1155CC"/>
                <w:sz w:val="20"/>
                <w:szCs w:val="20"/>
              </w:rPr>
              <w:tab/>
              <w:t>706</w:t>
            </w:r>
          </w:hyperlink>
        </w:p>
        <w:p w14:paraId="0A5D483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sv8845hmcufz">
            <w:r>
              <w:rPr>
                <w:rFonts w:ascii="Book Antiqua" w:eastAsia="Book Antiqua" w:hAnsi="Book Antiqua" w:cs="Book Antiqua"/>
                <w:color w:val="1155CC"/>
                <w:sz w:val="20"/>
                <w:szCs w:val="20"/>
              </w:rPr>
              <w:t>IR 016 (2016: Apple, Global)</w:t>
            </w:r>
            <w:r>
              <w:rPr>
                <w:rFonts w:ascii="Book Antiqua" w:eastAsia="Book Antiqua" w:hAnsi="Book Antiqua" w:cs="Book Antiqua"/>
                <w:color w:val="1155CC"/>
                <w:sz w:val="20"/>
                <w:szCs w:val="20"/>
              </w:rPr>
              <w:tab/>
              <w:t>708</w:t>
            </w:r>
          </w:hyperlink>
        </w:p>
        <w:p w14:paraId="37A76DA6"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ml0zuvz2i9t7">
            <w:r>
              <w:rPr>
                <w:rFonts w:ascii="Book Antiqua" w:eastAsia="Book Antiqua" w:hAnsi="Book Antiqua" w:cs="Book Antiqua"/>
                <w:color w:val="1155CC"/>
                <w:sz w:val="20"/>
                <w:szCs w:val="20"/>
              </w:rPr>
              <w:t>IR 017 (2016: Airbnb, Global)</w:t>
            </w:r>
            <w:r>
              <w:rPr>
                <w:rFonts w:ascii="Book Antiqua" w:eastAsia="Book Antiqua" w:hAnsi="Book Antiqua" w:cs="Book Antiqua"/>
                <w:color w:val="1155CC"/>
                <w:sz w:val="20"/>
                <w:szCs w:val="20"/>
              </w:rPr>
              <w:tab/>
              <w:t>709</w:t>
            </w:r>
          </w:hyperlink>
        </w:p>
        <w:p w14:paraId="2D2637B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z18c8b2ag45">
            <w:r>
              <w:rPr>
                <w:rFonts w:ascii="Book Antiqua" w:eastAsia="Book Antiqua" w:hAnsi="Book Antiqua" w:cs="Book Antiqua"/>
                <w:color w:val="1155CC"/>
                <w:sz w:val="20"/>
                <w:szCs w:val="20"/>
              </w:rPr>
              <w:t>IR 018 (2016: Unilever, Indonesia)</w:t>
            </w:r>
            <w:r>
              <w:rPr>
                <w:rFonts w:ascii="Book Antiqua" w:eastAsia="Book Antiqua" w:hAnsi="Book Antiqua" w:cs="Book Antiqua"/>
                <w:color w:val="1155CC"/>
                <w:sz w:val="20"/>
                <w:szCs w:val="20"/>
              </w:rPr>
              <w:tab/>
              <w:t>711</w:t>
            </w:r>
          </w:hyperlink>
        </w:p>
        <w:p w14:paraId="2E34737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6owpjt8lqcln">
            <w:r>
              <w:rPr>
                <w:rFonts w:ascii="Book Antiqua" w:eastAsia="Book Antiqua" w:hAnsi="Book Antiqua" w:cs="Book Antiqua"/>
                <w:color w:val="1155CC"/>
                <w:sz w:val="20"/>
                <w:szCs w:val="20"/>
              </w:rPr>
              <w:t>IR 019 (2016: KFC, Kuwait)</w:t>
            </w:r>
            <w:r>
              <w:rPr>
                <w:rFonts w:ascii="Book Antiqua" w:eastAsia="Book Antiqua" w:hAnsi="Book Antiqua" w:cs="Book Antiqua"/>
                <w:color w:val="1155CC"/>
                <w:sz w:val="20"/>
                <w:szCs w:val="20"/>
              </w:rPr>
              <w:tab/>
              <w:t>712</w:t>
            </w:r>
          </w:hyperlink>
        </w:p>
        <w:p w14:paraId="2D3DC1F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17753gw2dihn">
            <w:r>
              <w:rPr>
                <w:rFonts w:ascii="Book Antiqua" w:eastAsia="Book Antiqua" w:hAnsi="Book Antiqua" w:cs="Book Antiqua"/>
                <w:color w:val="1155CC"/>
                <w:sz w:val="20"/>
                <w:szCs w:val="20"/>
              </w:rPr>
              <w:t>IR 020 (2016: Uber, Michigan, USA)</w:t>
            </w:r>
            <w:r>
              <w:rPr>
                <w:rFonts w:ascii="Book Antiqua" w:eastAsia="Book Antiqua" w:hAnsi="Book Antiqua" w:cs="Book Antiqua"/>
                <w:color w:val="1155CC"/>
                <w:sz w:val="20"/>
                <w:szCs w:val="20"/>
              </w:rPr>
              <w:tab/>
              <w:t>713</w:t>
            </w:r>
          </w:hyperlink>
        </w:p>
        <w:p w14:paraId="3546191C"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xczu84eer3kt">
            <w:r>
              <w:rPr>
                <w:rFonts w:ascii="Book Antiqua" w:eastAsia="Book Antiqua" w:hAnsi="Book Antiqua" w:cs="Book Antiqua"/>
                <w:color w:val="1155CC"/>
                <w:sz w:val="20"/>
                <w:szCs w:val="20"/>
              </w:rPr>
              <w:t>IR 021 (2017: AccorHotels, Saudi Arabia)</w:t>
            </w:r>
            <w:r>
              <w:rPr>
                <w:rFonts w:ascii="Book Antiqua" w:eastAsia="Book Antiqua" w:hAnsi="Book Antiqua" w:cs="Book Antiqua"/>
                <w:color w:val="1155CC"/>
                <w:sz w:val="20"/>
                <w:szCs w:val="20"/>
              </w:rPr>
              <w:tab/>
              <w:t>715</w:t>
            </w:r>
          </w:hyperlink>
        </w:p>
        <w:p w14:paraId="5D3E29D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53z6exqx8gwc">
            <w:r>
              <w:rPr>
                <w:rFonts w:ascii="Book Antiqua" w:eastAsia="Book Antiqua" w:hAnsi="Book Antiqua" w:cs="Book Antiqua"/>
                <w:color w:val="1155CC"/>
                <w:sz w:val="20"/>
                <w:szCs w:val="20"/>
              </w:rPr>
              <w:t>IR 022 (2017: Uber, USA)</w:t>
            </w:r>
            <w:r>
              <w:rPr>
                <w:rFonts w:ascii="Book Antiqua" w:eastAsia="Book Antiqua" w:hAnsi="Book Antiqua" w:cs="Book Antiqua"/>
                <w:color w:val="1155CC"/>
                <w:sz w:val="20"/>
                <w:szCs w:val="20"/>
              </w:rPr>
              <w:tab/>
              <w:t>716</w:t>
            </w:r>
          </w:hyperlink>
        </w:p>
        <w:p w14:paraId="34D8728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tfg8u0fmnp0t">
            <w:r>
              <w:rPr>
                <w:rFonts w:ascii="Book Antiqua" w:eastAsia="Book Antiqua" w:hAnsi="Book Antiqua" w:cs="Book Antiqua"/>
                <w:color w:val="1155CC"/>
                <w:sz w:val="20"/>
                <w:szCs w:val="20"/>
              </w:rPr>
              <w:t>IR 023 (2017: American Eagle Outfitters, Global)</w:t>
            </w:r>
            <w:r>
              <w:rPr>
                <w:rFonts w:ascii="Book Antiqua" w:eastAsia="Book Antiqua" w:hAnsi="Book Antiqua" w:cs="Book Antiqua"/>
                <w:color w:val="1155CC"/>
                <w:sz w:val="20"/>
                <w:szCs w:val="20"/>
              </w:rPr>
              <w:tab/>
              <w:t>718</w:t>
            </w:r>
          </w:hyperlink>
        </w:p>
        <w:p w14:paraId="6EAD7E5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jx9cwx353fms">
            <w:r>
              <w:rPr>
                <w:rFonts w:ascii="Book Antiqua" w:eastAsia="Book Antiqua" w:hAnsi="Book Antiqua" w:cs="Book Antiqua"/>
                <w:color w:val="1155CC"/>
                <w:sz w:val="20"/>
                <w:szCs w:val="20"/>
              </w:rPr>
              <w:t>IR 024 (2017: L'Oreal, Global)</w:t>
            </w:r>
            <w:r>
              <w:rPr>
                <w:rFonts w:ascii="Book Antiqua" w:eastAsia="Book Antiqua" w:hAnsi="Book Antiqua" w:cs="Book Antiqua"/>
                <w:color w:val="1155CC"/>
                <w:sz w:val="20"/>
                <w:szCs w:val="20"/>
              </w:rPr>
              <w:tab/>
              <w:t>719</w:t>
            </w:r>
          </w:hyperlink>
        </w:p>
        <w:p w14:paraId="10D4309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1t4cynmq4fs">
            <w:r>
              <w:rPr>
                <w:rFonts w:ascii="Book Antiqua" w:eastAsia="Book Antiqua" w:hAnsi="Book Antiqua" w:cs="Book Antiqua"/>
                <w:color w:val="1155CC"/>
                <w:sz w:val="20"/>
                <w:szCs w:val="20"/>
              </w:rPr>
              <w:t>IR 025 (2017: Dove, Global)</w:t>
            </w:r>
            <w:r>
              <w:rPr>
                <w:rFonts w:ascii="Book Antiqua" w:eastAsia="Book Antiqua" w:hAnsi="Book Antiqua" w:cs="Book Antiqua"/>
                <w:color w:val="1155CC"/>
                <w:sz w:val="20"/>
                <w:szCs w:val="20"/>
              </w:rPr>
              <w:tab/>
              <w:t>721</w:t>
            </w:r>
          </w:hyperlink>
        </w:p>
        <w:p w14:paraId="3758BCD7"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47i64f9axqta">
            <w:r>
              <w:rPr>
                <w:rFonts w:ascii="Book Antiqua" w:eastAsia="Book Antiqua" w:hAnsi="Book Antiqua" w:cs="Book Antiqua"/>
                <w:color w:val="1155CC"/>
                <w:sz w:val="20"/>
                <w:szCs w:val="20"/>
              </w:rPr>
              <w:t>IR 026 (2017: Pepsi, Global)</w:t>
            </w:r>
            <w:r>
              <w:rPr>
                <w:rFonts w:ascii="Book Antiqua" w:eastAsia="Book Antiqua" w:hAnsi="Book Antiqua" w:cs="Book Antiqua"/>
                <w:color w:val="1155CC"/>
                <w:sz w:val="20"/>
                <w:szCs w:val="20"/>
              </w:rPr>
              <w:tab/>
              <w:t>722</w:t>
            </w:r>
          </w:hyperlink>
        </w:p>
        <w:p w14:paraId="62514F7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vxdgz5t9sj27">
            <w:r>
              <w:rPr>
                <w:rFonts w:ascii="Book Antiqua" w:eastAsia="Book Antiqua" w:hAnsi="Book Antiqua" w:cs="Book Antiqua"/>
                <w:color w:val="1155CC"/>
                <w:sz w:val="20"/>
                <w:szCs w:val="20"/>
              </w:rPr>
              <w:t>IR 027 (2017: Starbucks, Philadelphia, USA)</w:t>
            </w:r>
            <w:r>
              <w:rPr>
                <w:rFonts w:ascii="Book Antiqua" w:eastAsia="Book Antiqua" w:hAnsi="Book Antiqua" w:cs="Book Antiqua"/>
                <w:color w:val="1155CC"/>
                <w:sz w:val="20"/>
                <w:szCs w:val="20"/>
              </w:rPr>
              <w:tab/>
              <w:t>724</w:t>
            </w:r>
          </w:hyperlink>
        </w:p>
        <w:p w14:paraId="6463178B"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1apznbea8ur9">
            <w:r>
              <w:rPr>
                <w:rFonts w:ascii="Book Antiqua" w:eastAsia="Book Antiqua" w:hAnsi="Book Antiqua" w:cs="Book Antiqua"/>
                <w:color w:val="1155CC"/>
                <w:sz w:val="20"/>
                <w:szCs w:val="20"/>
              </w:rPr>
              <w:t>IR 028 (2017: McDonald's, France)</w:t>
            </w:r>
            <w:r>
              <w:rPr>
                <w:rFonts w:ascii="Book Antiqua" w:eastAsia="Book Antiqua" w:hAnsi="Book Antiqua" w:cs="Book Antiqua"/>
                <w:color w:val="1155CC"/>
                <w:sz w:val="20"/>
                <w:szCs w:val="20"/>
              </w:rPr>
              <w:tab/>
              <w:t>725</w:t>
            </w:r>
          </w:hyperlink>
        </w:p>
        <w:p w14:paraId="488B24FC"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bjcl2uvrraoq">
            <w:r>
              <w:rPr>
                <w:rFonts w:ascii="Book Antiqua" w:eastAsia="Book Antiqua" w:hAnsi="Book Antiqua" w:cs="Book Antiqua"/>
                <w:color w:val="1155CC"/>
                <w:sz w:val="20"/>
                <w:szCs w:val="20"/>
              </w:rPr>
              <w:t>IR 029 (2017: McDonald's, Singapore)</w:t>
            </w:r>
            <w:r>
              <w:rPr>
                <w:rFonts w:ascii="Book Antiqua" w:eastAsia="Book Antiqua" w:hAnsi="Book Antiqua" w:cs="Book Antiqua"/>
                <w:color w:val="1155CC"/>
                <w:sz w:val="20"/>
                <w:szCs w:val="20"/>
              </w:rPr>
              <w:tab/>
              <w:t>726</w:t>
            </w:r>
          </w:hyperlink>
        </w:p>
        <w:p w14:paraId="1D16AA3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lvul1jkbhoh5">
            <w:r>
              <w:rPr>
                <w:rFonts w:ascii="Book Antiqua" w:eastAsia="Book Antiqua" w:hAnsi="Book Antiqua" w:cs="Book Antiqua"/>
                <w:color w:val="1155CC"/>
                <w:sz w:val="20"/>
                <w:szCs w:val="20"/>
              </w:rPr>
              <w:t>IR 030 (2018: H&amp;M, Global)</w:t>
            </w:r>
            <w:r>
              <w:rPr>
                <w:rFonts w:ascii="Book Antiqua" w:eastAsia="Book Antiqua" w:hAnsi="Book Antiqua" w:cs="Book Antiqua"/>
                <w:color w:val="1155CC"/>
                <w:sz w:val="20"/>
                <w:szCs w:val="20"/>
              </w:rPr>
              <w:tab/>
              <w:t>728</w:t>
            </w:r>
          </w:hyperlink>
        </w:p>
        <w:p w14:paraId="098C010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kxufpvedwi23">
            <w:r>
              <w:rPr>
                <w:rFonts w:ascii="Book Antiqua" w:eastAsia="Book Antiqua" w:hAnsi="Book Antiqua" w:cs="Book Antiqua"/>
                <w:color w:val="1155CC"/>
                <w:sz w:val="20"/>
                <w:szCs w:val="20"/>
              </w:rPr>
              <w:t>IR 031 (2018: Google, Global)</w:t>
            </w:r>
            <w:r>
              <w:rPr>
                <w:rFonts w:ascii="Book Antiqua" w:eastAsia="Book Antiqua" w:hAnsi="Book Antiqua" w:cs="Book Antiqua"/>
                <w:color w:val="1155CC"/>
                <w:sz w:val="20"/>
                <w:szCs w:val="20"/>
              </w:rPr>
              <w:tab/>
              <w:t>729</w:t>
            </w:r>
          </w:hyperlink>
        </w:p>
        <w:p w14:paraId="5B11351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az77c7tuj2t">
            <w:r>
              <w:rPr>
                <w:rFonts w:ascii="Book Antiqua" w:eastAsia="Book Antiqua" w:hAnsi="Book Antiqua" w:cs="Book Antiqua"/>
                <w:color w:val="1155CC"/>
                <w:sz w:val="20"/>
                <w:szCs w:val="20"/>
              </w:rPr>
              <w:t>IR 032 (2018: Dolce &amp; Gabbana, Various countries)</w:t>
            </w:r>
            <w:r>
              <w:rPr>
                <w:rFonts w:ascii="Book Antiqua" w:eastAsia="Book Antiqua" w:hAnsi="Book Antiqua" w:cs="Book Antiqua"/>
                <w:color w:val="1155CC"/>
                <w:sz w:val="20"/>
                <w:szCs w:val="20"/>
              </w:rPr>
              <w:tab/>
              <w:t>731</w:t>
            </w:r>
          </w:hyperlink>
        </w:p>
        <w:p w14:paraId="3E2EF712"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g577mxtzrjc6">
            <w:r>
              <w:rPr>
                <w:rFonts w:ascii="Book Antiqua" w:eastAsia="Book Antiqua" w:hAnsi="Book Antiqua" w:cs="Book Antiqua"/>
                <w:color w:val="1155CC"/>
                <w:sz w:val="20"/>
                <w:szCs w:val="20"/>
              </w:rPr>
              <w:t>IR 033 (2018, Mercedes-Benz, Unspecified)</w:t>
            </w:r>
            <w:r>
              <w:rPr>
                <w:rFonts w:ascii="Book Antiqua" w:eastAsia="Book Antiqua" w:hAnsi="Book Antiqua" w:cs="Book Antiqua"/>
                <w:color w:val="1155CC"/>
                <w:sz w:val="20"/>
                <w:szCs w:val="20"/>
              </w:rPr>
              <w:tab/>
              <w:t>732</w:t>
            </w:r>
          </w:hyperlink>
        </w:p>
        <w:p w14:paraId="2AC9321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xhvefrwk14ng">
            <w:r>
              <w:rPr>
                <w:rFonts w:ascii="Book Antiqua" w:eastAsia="Book Antiqua" w:hAnsi="Book Antiqua" w:cs="Book Antiqua"/>
                <w:color w:val="1155CC"/>
                <w:sz w:val="20"/>
                <w:szCs w:val="20"/>
              </w:rPr>
              <w:t>IR 034 (2018: WestJet, Unspecified)</w:t>
            </w:r>
            <w:r>
              <w:rPr>
                <w:rFonts w:ascii="Book Antiqua" w:eastAsia="Book Antiqua" w:hAnsi="Book Antiqua" w:cs="Book Antiqua"/>
                <w:color w:val="1155CC"/>
                <w:sz w:val="20"/>
                <w:szCs w:val="20"/>
              </w:rPr>
              <w:tab/>
              <w:t>734</w:t>
            </w:r>
          </w:hyperlink>
        </w:p>
        <w:p w14:paraId="0393CAA5"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yxcmzuv9ov09">
            <w:r>
              <w:rPr>
                <w:rFonts w:ascii="Book Antiqua" w:eastAsia="Book Antiqua" w:hAnsi="Book Antiqua" w:cs="Book Antiqua"/>
                <w:color w:val="1155CC"/>
                <w:sz w:val="20"/>
                <w:szCs w:val="20"/>
              </w:rPr>
              <w:t>IR 035 (2018: Nestle, Malaysia)</w:t>
            </w:r>
            <w:r>
              <w:rPr>
                <w:rFonts w:ascii="Book Antiqua" w:eastAsia="Book Antiqua" w:hAnsi="Book Antiqua" w:cs="Book Antiqua"/>
                <w:color w:val="1155CC"/>
                <w:sz w:val="20"/>
                <w:szCs w:val="20"/>
              </w:rPr>
              <w:tab/>
              <w:t>735</w:t>
            </w:r>
          </w:hyperlink>
        </w:p>
        <w:p w14:paraId="57D1BC16"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ngwh15e96dyf">
            <w:r>
              <w:rPr>
                <w:rFonts w:ascii="Book Antiqua" w:eastAsia="Book Antiqua" w:hAnsi="Book Antiqua" w:cs="Book Antiqua"/>
                <w:color w:val="1155CC"/>
                <w:sz w:val="20"/>
                <w:szCs w:val="20"/>
              </w:rPr>
              <w:t>IR 036 (2018: KFC, UK)</w:t>
            </w:r>
            <w:r>
              <w:rPr>
                <w:rFonts w:ascii="Book Antiqua" w:eastAsia="Book Antiqua" w:hAnsi="Book Antiqua" w:cs="Book Antiqua"/>
                <w:color w:val="1155CC"/>
                <w:sz w:val="20"/>
                <w:szCs w:val="20"/>
              </w:rPr>
              <w:tab/>
              <w:t>736</w:t>
            </w:r>
          </w:hyperlink>
        </w:p>
        <w:p w14:paraId="24296EE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w9zk3hy8bfr">
            <w:r>
              <w:rPr>
                <w:rFonts w:ascii="Book Antiqua" w:eastAsia="Book Antiqua" w:hAnsi="Book Antiqua" w:cs="Book Antiqua"/>
                <w:color w:val="1155CC"/>
                <w:sz w:val="20"/>
                <w:szCs w:val="20"/>
              </w:rPr>
              <w:t>IR 037 (2018: McDonald's, Birmingham, UK)</w:t>
            </w:r>
            <w:r>
              <w:rPr>
                <w:rFonts w:ascii="Book Antiqua" w:eastAsia="Book Antiqua" w:hAnsi="Book Antiqua" w:cs="Book Antiqua"/>
                <w:color w:val="1155CC"/>
                <w:sz w:val="20"/>
                <w:szCs w:val="20"/>
              </w:rPr>
              <w:tab/>
              <w:t>738</w:t>
            </w:r>
          </w:hyperlink>
        </w:p>
        <w:p w14:paraId="6490AF1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stgmm56c92gw">
            <w:r>
              <w:rPr>
                <w:rFonts w:ascii="Book Antiqua" w:eastAsia="Book Antiqua" w:hAnsi="Book Antiqua" w:cs="Book Antiqua"/>
                <w:color w:val="1155CC"/>
                <w:sz w:val="20"/>
                <w:szCs w:val="20"/>
              </w:rPr>
              <w:t>IR 038 (2018: Eichbaum, Saudi Arabia)</w:t>
            </w:r>
            <w:r>
              <w:rPr>
                <w:rFonts w:ascii="Book Antiqua" w:eastAsia="Book Antiqua" w:hAnsi="Book Antiqua" w:cs="Book Antiqua"/>
                <w:color w:val="1155CC"/>
                <w:sz w:val="20"/>
                <w:szCs w:val="20"/>
              </w:rPr>
              <w:tab/>
              <w:t>739</w:t>
            </w:r>
          </w:hyperlink>
        </w:p>
        <w:p w14:paraId="1D9A0C6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1l26krlzjsx">
            <w:r>
              <w:rPr>
                <w:rFonts w:ascii="Book Antiqua" w:eastAsia="Book Antiqua" w:hAnsi="Book Antiqua" w:cs="Book Antiqua"/>
                <w:color w:val="1155CC"/>
                <w:sz w:val="20"/>
                <w:szCs w:val="20"/>
              </w:rPr>
              <w:t>IR 039 (2018: Tesco, UK)</w:t>
            </w:r>
            <w:r>
              <w:rPr>
                <w:rFonts w:ascii="Book Antiqua" w:eastAsia="Book Antiqua" w:hAnsi="Book Antiqua" w:cs="Book Antiqua"/>
                <w:color w:val="1155CC"/>
                <w:sz w:val="20"/>
                <w:szCs w:val="20"/>
              </w:rPr>
              <w:tab/>
              <w:t>740</w:t>
            </w:r>
          </w:hyperlink>
        </w:p>
        <w:p w14:paraId="39D9A4DA"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x8wm9gsyo6gp">
            <w:r>
              <w:rPr>
                <w:rFonts w:ascii="Book Antiqua" w:eastAsia="Book Antiqua" w:hAnsi="Book Antiqua" w:cs="Book Antiqua"/>
                <w:color w:val="1155CC"/>
                <w:sz w:val="20"/>
                <w:szCs w:val="20"/>
              </w:rPr>
              <w:t>IR 040 (2019: Nike, Global)</w:t>
            </w:r>
            <w:r>
              <w:rPr>
                <w:rFonts w:ascii="Book Antiqua" w:eastAsia="Book Antiqua" w:hAnsi="Book Antiqua" w:cs="Book Antiqua"/>
                <w:color w:val="1155CC"/>
                <w:sz w:val="20"/>
                <w:szCs w:val="20"/>
              </w:rPr>
              <w:tab/>
              <w:t>742</w:t>
            </w:r>
          </w:hyperlink>
        </w:p>
        <w:p w14:paraId="6D96213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uurnfv6qkjeh">
            <w:r>
              <w:rPr>
                <w:rFonts w:ascii="Book Antiqua" w:eastAsia="Book Antiqua" w:hAnsi="Book Antiqua" w:cs="Book Antiqua"/>
                <w:color w:val="1155CC"/>
                <w:sz w:val="20"/>
                <w:szCs w:val="20"/>
              </w:rPr>
              <w:t>IR 041 (2019: Nike, Global)</w:t>
            </w:r>
            <w:r>
              <w:rPr>
                <w:rFonts w:ascii="Book Antiqua" w:eastAsia="Book Antiqua" w:hAnsi="Book Antiqua" w:cs="Book Antiqua"/>
                <w:color w:val="1155CC"/>
                <w:sz w:val="20"/>
                <w:szCs w:val="20"/>
              </w:rPr>
              <w:tab/>
              <w:t>743</w:t>
            </w:r>
          </w:hyperlink>
        </w:p>
        <w:p w14:paraId="338491D9"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98lt7qyniqoe">
            <w:r>
              <w:rPr>
                <w:rFonts w:ascii="Book Antiqua" w:eastAsia="Book Antiqua" w:hAnsi="Book Antiqua" w:cs="Book Antiqua"/>
                <w:color w:val="1155CC"/>
                <w:sz w:val="20"/>
                <w:szCs w:val="20"/>
              </w:rPr>
              <w:t>IR 042  (2019: Nike, Global)</w:t>
            </w:r>
            <w:r>
              <w:rPr>
                <w:rFonts w:ascii="Book Antiqua" w:eastAsia="Book Antiqua" w:hAnsi="Book Antiqua" w:cs="Book Antiqua"/>
                <w:color w:val="1155CC"/>
                <w:sz w:val="20"/>
                <w:szCs w:val="20"/>
              </w:rPr>
              <w:tab/>
              <w:t>745</w:t>
            </w:r>
          </w:hyperlink>
        </w:p>
        <w:p w14:paraId="7FDBF018"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c53u5ijyr8yw">
            <w:r>
              <w:rPr>
                <w:rFonts w:ascii="Book Antiqua" w:eastAsia="Book Antiqua" w:hAnsi="Book Antiqua" w:cs="Book Antiqua"/>
                <w:color w:val="1155CC"/>
                <w:sz w:val="20"/>
                <w:szCs w:val="20"/>
              </w:rPr>
              <w:t>IR 043 (2019: McDonald's, UK &amp; Canada)</w:t>
            </w:r>
            <w:r>
              <w:rPr>
                <w:rFonts w:ascii="Book Antiqua" w:eastAsia="Book Antiqua" w:hAnsi="Book Antiqua" w:cs="Book Antiqua"/>
                <w:color w:val="1155CC"/>
                <w:sz w:val="20"/>
                <w:szCs w:val="20"/>
              </w:rPr>
              <w:tab/>
              <w:t>746</w:t>
            </w:r>
          </w:hyperlink>
        </w:p>
        <w:p w14:paraId="3396C6C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4c88jxw6w0hq">
            <w:r>
              <w:rPr>
                <w:rFonts w:ascii="Book Antiqua" w:eastAsia="Book Antiqua" w:hAnsi="Book Antiqua" w:cs="Book Antiqua"/>
                <w:color w:val="1155CC"/>
                <w:sz w:val="20"/>
                <w:szCs w:val="20"/>
              </w:rPr>
              <w:t>IR 044 (2019: McDonald's, UK)</w:t>
            </w:r>
            <w:r>
              <w:rPr>
                <w:rFonts w:ascii="Book Antiqua" w:eastAsia="Book Antiqua" w:hAnsi="Book Antiqua" w:cs="Book Antiqua"/>
                <w:color w:val="1155CC"/>
                <w:sz w:val="20"/>
                <w:szCs w:val="20"/>
              </w:rPr>
              <w:tab/>
              <w:t>748</w:t>
            </w:r>
          </w:hyperlink>
        </w:p>
        <w:p w14:paraId="3A537B4F"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xz9saxjr9biw">
            <w:r>
              <w:rPr>
                <w:rFonts w:ascii="Book Antiqua" w:eastAsia="Book Antiqua" w:hAnsi="Book Antiqua" w:cs="Book Antiqua"/>
                <w:color w:val="1155CC"/>
                <w:sz w:val="20"/>
                <w:szCs w:val="20"/>
              </w:rPr>
              <w:t>IR 045 (2019: Amazon, Global)</w:t>
            </w:r>
            <w:r>
              <w:rPr>
                <w:rFonts w:ascii="Book Antiqua" w:eastAsia="Book Antiqua" w:hAnsi="Book Antiqua" w:cs="Book Antiqua"/>
                <w:color w:val="1155CC"/>
                <w:sz w:val="20"/>
                <w:szCs w:val="20"/>
              </w:rPr>
              <w:tab/>
              <w:t>749</w:t>
            </w:r>
          </w:hyperlink>
        </w:p>
        <w:p w14:paraId="2FAE4B16"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5ekn9yt5hy80">
            <w:r>
              <w:rPr>
                <w:rFonts w:ascii="Book Antiqua" w:eastAsia="Book Antiqua" w:hAnsi="Book Antiqua" w:cs="Book Antiqua"/>
                <w:color w:val="1155CC"/>
                <w:sz w:val="20"/>
                <w:szCs w:val="20"/>
              </w:rPr>
              <w:t>IR 046 (2019: Edeka, Germany)</w:t>
            </w:r>
            <w:r>
              <w:rPr>
                <w:rFonts w:ascii="Book Antiqua" w:eastAsia="Book Antiqua" w:hAnsi="Book Antiqua" w:cs="Book Antiqua"/>
                <w:color w:val="1155CC"/>
                <w:sz w:val="20"/>
                <w:szCs w:val="20"/>
              </w:rPr>
              <w:tab/>
              <w:t>750</w:t>
            </w:r>
          </w:hyperlink>
        </w:p>
        <w:p w14:paraId="4C83461C"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wfdkevfmkggf">
            <w:r>
              <w:rPr>
                <w:rFonts w:ascii="Book Antiqua" w:eastAsia="Book Antiqua" w:hAnsi="Book Antiqua" w:cs="Book Antiqua"/>
                <w:color w:val="1155CC"/>
                <w:sz w:val="20"/>
                <w:szCs w:val="20"/>
              </w:rPr>
              <w:t>IR 047 (2019: Chanel, Australians)</w:t>
            </w:r>
            <w:r>
              <w:rPr>
                <w:rFonts w:ascii="Book Antiqua" w:eastAsia="Book Antiqua" w:hAnsi="Book Antiqua" w:cs="Book Antiqua"/>
                <w:color w:val="1155CC"/>
                <w:sz w:val="20"/>
                <w:szCs w:val="20"/>
              </w:rPr>
              <w:tab/>
              <w:t>752</w:t>
            </w:r>
          </w:hyperlink>
        </w:p>
        <w:p w14:paraId="63258613"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80ovu24y51f4">
            <w:r>
              <w:rPr>
                <w:rFonts w:ascii="Book Antiqua" w:eastAsia="Book Antiqua" w:hAnsi="Book Antiqua" w:cs="Book Antiqua"/>
                <w:color w:val="1155CC"/>
                <w:sz w:val="20"/>
                <w:szCs w:val="20"/>
              </w:rPr>
              <w:t>IR 048 (2019: Marks &amp; Spencer, UK)</w:t>
            </w:r>
            <w:r>
              <w:rPr>
                <w:rFonts w:ascii="Book Antiqua" w:eastAsia="Book Antiqua" w:hAnsi="Book Antiqua" w:cs="Book Antiqua"/>
                <w:color w:val="1155CC"/>
                <w:sz w:val="20"/>
                <w:szCs w:val="20"/>
              </w:rPr>
              <w:tab/>
              <w:t>753</w:t>
            </w:r>
          </w:hyperlink>
        </w:p>
        <w:p w14:paraId="319561F1"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drhkhfh7n9yy">
            <w:r>
              <w:rPr>
                <w:rFonts w:ascii="Book Antiqua" w:eastAsia="Book Antiqua" w:hAnsi="Book Antiqua" w:cs="Book Antiqua"/>
                <w:color w:val="1155CC"/>
                <w:sz w:val="20"/>
                <w:szCs w:val="20"/>
              </w:rPr>
              <w:t>IR 049 (2019: Forever 21, Global)</w:t>
            </w:r>
            <w:r>
              <w:rPr>
                <w:rFonts w:ascii="Book Antiqua" w:eastAsia="Book Antiqua" w:hAnsi="Book Antiqua" w:cs="Book Antiqua"/>
                <w:color w:val="1155CC"/>
                <w:sz w:val="20"/>
                <w:szCs w:val="20"/>
              </w:rPr>
              <w:tab/>
              <w:t>755</w:t>
            </w:r>
          </w:hyperlink>
        </w:p>
        <w:p w14:paraId="4ADB28A0"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7tv71wrxqfck">
            <w:r>
              <w:rPr>
                <w:rFonts w:ascii="Book Antiqua" w:eastAsia="Book Antiqua" w:hAnsi="Book Antiqua" w:cs="Book Antiqua"/>
                <w:color w:val="1155CC"/>
                <w:sz w:val="20"/>
                <w:szCs w:val="20"/>
              </w:rPr>
              <w:t>IR 050 (2019: Netflix, Global)</w:t>
            </w:r>
            <w:r>
              <w:rPr>
                <w:rFonts w:ascii="Book Antiqua" w:eastAsia="Book Antiqua" w:hAnsi="Book Antiqua" w:cs="Book Antiqua"/>
                <w:color w:val="1155CC"/>
                <w:sz w:val="20"/>
                <w:szCs w:val="20"/>
              </w:rPr>
              <w:tab/>
              <w:t>756</w:t>
            </w:r>
          </w:hyperlink>
        </w:p>
        <w:p w14:paraId="54B2664E" w14:textId="77777777" w:rsidR="002530E2" w:rsidRDefault="002530E2">
          <w:pPr>
            <w:widowControl w:val="0"/>
            <w:tabs>
              <w:tab w:val="right" w:leader="dot" w:pos="12000"/>
            </w:tabs>
            <w:spacing w:before="60" w:after="0" w:line="276" w:lineRule="auto"/>
            <w:ind w:left="360"/>
            <w:rPr>
              <w:rFonts w:ascii="Arial" w:eastAsia="Arial" w:hAnsi="Arial" w:cs="Arial"/>
              <w:color w:val="000000"/>
            </w:rPr>
          </w:pPr>
          <w:hyperlink w:anchor="_4jligsewuq7h">
            <w:r>
              <w:rPr>
                <w:rFonts w:ascii="Book Antiqua" w:eastAsia="Book Antiqua" w:hAnsi="Book Antiqua" w:cs="Book Antiqua"/>
                <w:color w:val="1155CC"/>
                <w:sz w:val="20"/>
                <w:szCs w:val="20"/>
              </w:rPr>
              <w:t>IR 051 (2020: Facebook, Global)</w:t>
            </w:r>
            <w:r>
              <w:rPr>
                <w:rFonts w:ascii="Book Antiqua" w:eastAsia="Book Antiqua" w:hAnsi="Book Antiqua" w:cs="Book Antiqua"/>
                <w:color w:val="1155CC"/>
                <w:sz w:val="20"/>
                <w:szCs w:val="20"/>
              </w:rPr>
              <w:tab/>
              <w:t>757</w:t>
            </w:r>
          </w:hyperlink>
          <w:r>
            <w:fldChar w:fldCharType="end"/>
          </w:r>
        </w:p>
      </w:sdtContent>
    </w:sdt>
    <w:p w14:paraId="5B0B928E" w14:textId="77777777" w:rsidR="002530E2" w:rsidRDefault="002530E2">
      <w:pPr>
        <w:pStyle w:val="Heading1"/>
      </w:pPr>
      <w:bookmarkStart w:id="414" w:name="_vsf6b2bqs3h3" w:colFirst="0" w:colLast="0"/>
      <w:bookmarkEnd w:id="414"/>
    </w:p>
    <w:p w14:paraId="660231B8" w14:textId="77777777" w:rsidR="002530E2" w:rsidRDefault="002530E2"/>
    <w:p w14:paraId="7D3A3B67" w14:textId="77777777" w:rsidR="002530E2" w:rsidRDefault="002530E2">
      <w:pPr>
        <w:pStyle w:val="Heading1"/>
      </w:pPr>
      <w:bookmarkStart w:id="415" w:name="_j5r178t4l91j" w:colFirst="0" w:colLast="0"/>
      <w:bookmarkEnd w:id="415"/>
      <w:r>
        <w:t>INTRODUCTION</w:t>
      </w:r>
    </w:p>
    <w:p w14:paraId="3E05DD46" w14:textId="77777777" w:rsidR="002530E2" w:rsidRDefault="002530E2">
      <w:r>
        <w:t>This appendix provides 51 incident reports of common cross-cultural marketing blunders made by multinational corporations (MNCs) in Muslim-majority countries. These reports were collected as part of a study that examined the challenges of cross-cultural marketing in these countries. The following sections introduce an incident report template that was used to collect the data. The template includes information about the MNC, the country in which the blunder occurred, the nature of the blunder, and the consequences of the blunder. The appendix also discusses individual case research questions that were used to analyse the incident reports. These questions focused on the factors that contributed to the blunders, the consequences of the blunders, and the lessons that can be learned from the blunders. The incident reports and case research questions provide valuable insights into the challenges of cross-cultural marketing in Muslim-majority countries. They can be used by MNCs to avoid making similar blunders in the future.</w:t>
      </w:r>
    </w:p>
    <w:p w14:paraId="02068DD7" w14:textId="77777777" w:rsidR="002530E2" w:rsidRDefault="002530E2">
      <w:pPr>
        <w:spacing w:before="300"/>
      </w:pPr>
      <w:r>
        <w:t>Some relevant key abbreviations:</w:t>
      </w:r>
    </w:p>
    <w:p w14:paraId="507C288D" w14:textId="77777777" w:rsidR="002530E2" w:rsidRDefault="002530E2" w:rsidP="002530E2">
      <w:pPr>
        <w:numPr>
          <w:ilvl w:val="0"/>
          <w:numId w:val="150"/>
        </w:numPr>
        <w:spacing w:after="0" w:line="432" w:lineRule="auto"/>
      </w:pPr>
      <w:r>
        <w:t xml:space="preserve">Main research question in this study is abbreviated as “MRQ.” </w:t>
      </w:r>
    </w:p>
    <w:p w14:paraId="462C92F3" w14:textId="77777777" w:rsidR="002530E2" w:rsidRDefault="002530E2" w:rsidP="002530E2">
      <w:pPr>
        <w:numPr>
          <w:ilvl w:val="1"/>
          <w:numId w:val="150"/>
        </w:numPr>
        <w:spacing w:after="0" w:line="432" w:lineRule="auto"/>
      </w:pPr>
      <w:r>
        <w:t>Main research questions (plural of main research question) are abbreviated as “MRQs.”</w:t>
      </w:r>
    </w:p>
    <w:p w14:paraId="370E4A12" w14:textId="77777777" w:rsidR="002530E2" w:rsidRDefault="002530E2" w:rsidP="002530E2">
      <w:pPr>
        <w:numPr>
          <w:ilvl w:val="0"/>
          <w:numId w:val="150"/>
        </w:numPr>
        <w:spacing w:after="0" w:line="432" w:lineRule="auto"/>
      </w:pPr>
      <w:r>
        <w:t xml:space="preserve">Incident report is abbreviated as “IR.” </w:t>
      </w:r>
    </w:p>
    <w:p w14:paraId="3A3C6D8E" w14:textId="77777777" w:rsidR="002530E2" w:rsidRDefault="002530E2" w:rsidP="002530E2">
      <w:pPr>
        <w:numPr>
          <w:ilvl w:val="1"/>
          <w:numId w:val="150"/>
        </w:numPr>
        <w:spacing w:after="0" w:line="432" w:lineRule="auto"/>
      </w:pPr>
      <w:r>
        <w:t>Multiple incident reports are abbreviated as multiple incident reports “IRs.”</w:t>
      </w:r>
    </w:p>
    <w:p w14:paraId="3B43B255" w14:textId="77777777" w:rsidR="002530E2" w:rsidRDefault="002530E2" w:rsidP="002530E2">
      <w:pPr>
        <w:numPr>
          <w:ilvl w:val="0"/>
          <w:numId w:val="150"/>
        </w:numPr>
        <w:spacing w:after="0" w:line="432" w:lineRule="auto"/>
      </w:pPr>
      <w:r>
        <w:t xml:space="preserve">Incident report question is abbreviated as “IRQ.” </w:t>
      </w:r>
    </w:p>
    <w:p w14:paraId="2F1D473D" w14:textId="77777777" w:rsidR="002530E2" w:rsidRDefault="002530E2" w:rsidP="002530E2">
      <w:pPr>
        <w:numPr>
          <w:ilvl w:val="1"/>
          <w:numId w:val="150"/>
        </w:numPr>
        <w:spacing w:after="0" w:line="432" w:lineRule="auto"/>
      </w:pPr>
      <w:r>
        <w:t>Multiple “incident report questions” are abbreviated as “IRQs.”</w:t>
      </w:r>
    </w:p>
    <w:p w14:paraId="1142B944" w14:textId="77777777" w:rsidR="002530E2" w:rsidRDefault="002530E2" w:rsidP="002530E2">
      <w:pPr>
        <w:numPr>
          <w:ilvl w:val="0"/>
          <w:numId w:val="150"/>
        </w:numPr>
        <w:spacing w:after="0" w:line="432" w:lineRule="auto"/>
      </w:pPr>
      <w:r>
        <w:t xml:space="preserve">Incident report element is abbreviated as “IRE.” </w:t>
      </w:r>
    </w:p>
    <w:p w14:paraId="47CA31D5" w14:textId="77777777" w:rsidR="002530E2" w:rsidRDefault="002530E2" w:rsidP="002530E2">
      <w:pPr>
        <w:numPr>
          <w:ilvl w:val="1"/>
          <w:numId w:val="150"/>
        </w:numPr>
        <w:spacing w:after="0" w:line="432" w:lineRule="auto"/>
      </w:pPr>
      <w:r>
        <w:t>Multiple incident report elements are abbreviated as “IREs.”</w:t>
      </w:r>
    </w:p>
    <w:p w14:paraId="32E680D6" w14:textId="77777777" w:rsidR="002530E2" w:rsidRDefault="002530E2">
      <w:pPr>
        <w:spacing w:before="200"/>
      </w:pPr>
      <w:r>
        <w:t>Incident report template: An incident report template was designed for data collection of individual incident reports for examining and analysing purposes.</w:t>
      </w:r>
    </w:p>
    <w:p w14:paraId="4FE95E05" w14:textId="77777777" w:rsidR="002530E2" w:rsidRDefault="002530E2">
      <w:r>
        <w:lastRenderedPageBreak/>
        <w:t>A data collection questionnaire was developed, which consisted of 10 individual incident research questions (IRQs) that corresponded to 12 individual incident elements (IREs) or sub-sections.</w:t>
      </w:r>
    </w:p>
    <w:p w14:paraId="46C8BC35" w14:textId="77777777" w:rsidR="002530E2" w:rsidRDefault="002530E2">
      <w:r>
        <w:t>The 10 individual case research questions (IRQs) are listed below:</w:t>
      </w:r>
    </w:p>
    <w:p w14:paraId="1DE927A8" w14:textId="77777777" w:rsidR="002530E2" w:rsidRDefault="002530E2" w:rsidP="002530E2">
      <w:pPr>
        <w:numPr>
          <w:ilvl w:val="0"/>
          <w:numId w:val="149"/>
        </w:numPr>
        <w:spacing w:after="0" w:line="432" w:lineRule="auto"/>
        <w:jc w:val="both"/>
      </w:pPr>
      <w:r>
        <w:t>IRQ 1: WHAT — What happened?</w:t>
      </w:r>
    </w:p>
    <w:p w14:paraId="14A308D0" w14:textId="77777777" w:rsidR="002530E2" w:rsidRDefault="002530E2" w:rsidP="002530E2">
      <w:pPr>
        <w:numPr>
          <w:ilvl w:val="0"/>
          <w:numId w:val="149"/>
        </w:numPr>
        <w:spacing w:after="0" w:line="432" w:lineRule="auto"/>
        <w:jc w:val="both"/>
      </w:pPr>
      <w:r>
        <w:t>IRQ 2: WHEN — When did the blunder occur?</w:t>
      </w:r>
    </w:p>
    <w:p w14:paraId="4D95D08E" w14:textId="77777777" w:rsidR="002530E2" w:rsidRDefault="002530E2" w:rsidP="002530E2">
      <w:pPr>
        <w:numPr>
          <w:ilvl w:val="0"/>
          <w:numId w:val="149"/>
        </w:numPr>
        <w:spacing w:after="0" w:line="432" w:lineRule="auto"/>
        <w:jc w:val="both"/>
      </w:pPr>
      <w:r>
        <w:t>IRQ 3: WHERE — Where did the blunder take place?</w:t>
      </w:r>
    </w:p>
    <w:p w14:paraId="076EABE2" w14:textId="77777777" w:rsidR="002530E2" w:rsidRDefault="002530E2" w:rsidP="002530E2">
      <w:pPr>
        <w:numPr>
          <w:ilvl w:val="0"/>
          <w:numId w:val="149"/>
        </w:numPr>
        <w:spacing w:after="0" w:line="432" w:lineRule="auto"/>
        <w:jc w:val="both"/>
      </w:pPr>
      <w:r>
        <w:t>IRQ 4: WHO — Who was first affected?</w:t>
      </w:r>
    </w:p>
    <w:p w14:paraId="3BC4BDD7" w14:textId="77777777" w:rsidR="002530E2" w:rsidRDefault="002530E2" w:rsidP="002530E2">
      <w:pPr>
        <w:numPr>
          <w:ilvl w:val="0"/>
          <w:numId w:val="149"/>
        </w:numPr>
        <w:spacing w:after="0" w:line="432" w:lineRule="auto"/>
        <w:jc w:val="both"/>
      </w:pPr>
      <w:r>
        <w:t>IRQ 5: WHO — Who made the blunder?</w:t>
      </w:r>
    </w:p>
    <w:p w14:paraId="05B3B88D" w14:textId="77777777" w:rsidR="002530E2" w:rsidRDefault="002530E2" w:rsidP="002530E2">
      <w:pPr>
        <w:numPr>
          <w:ilvl w:val="0"/>
          <w:numId w:val="149"/>
        </w:numPr>
        <w:spacing w:after="0" w:line="432" w:lineRule="auto"/>
        <w:jc w:val="both"/>
      </w:pPr>
      <w:r>
        <w:t>IRQ 6: WHAT — What were the consequences for Muslim consumers?</w:t>
      </w:r>
    </w:p>
    <w:p w14:paraId="5ABBABB9" w14:textId="77777777" w:rsidR="002530E2" w:rsidRDefault="002530E2" w:rsidP="002530E2">
      <w:pPr>
        <w:numPr>
          <w:ilvl w:val="0"/>
          <w:numId w:val="149"/>
        </w:numPr>
        <w:spacing w:after="0" w:line="432" w:lineRule="auto"/>
        <w:jc w:val="both"/>
      </w:pPr>
      <w:r>
        <w:t>IRQ 7: HOW — How was the MNC impacted?</w:t>
      </w:r>
    </w:p>
    <w:p w14:paraId="6CB7C261" w14:textId="77777777" w:rsidR="002530E2" w:rsidRDefault="002530E2" w:rsidP="002530E2">
      <w:pPr>
        <w:numPr>
          <w:ilvl w:val="0"/>
          <w:numId w:val="149"/>
        </w:numPr>
        <w:spacing w:after="0" w:line="432" w:lineRule="auto"/>
        <w:jc w:val="both"/>
      </w:pPr>
      <w:r>
        <w:t>IRQ 8: WHY — Why did the blunder happen?</w:t>
      </w:r>
    </w:p>
    <w:p w14:paraId="60A8EBD6" w14:textId="77777777" w:rsidR="002530E2" w:rsidRDefault="002530E2" w:rsidP="002530E2">
      <w:pPr>
        <w:numPr>
          <w:ilvl w:val="0"/>
          <w:numId w:val="149"/>
        </w:numPr>
        <w:spacing w:after="0" w:line="432" w:lineRule="auto"/>
        <w:jc w:val="both"/>
      </w:pPr>
      <w:r>
        <w:t>IRQ 9: HOW — How did the MNC address the issues?</w:t>
      </w:r>
    </w:p>
    <w:p w14:paraId="4B6C6076" w14:textId="77777777" w:rsidR="002530E2" w:rsidRDefault="002530E2" w:rsidP="002530E2">
      <w:pPr>
        <w:numPr>
          <w:ilvl w:val="0"/>
          <w:numId w:val="149"/>
        </w:numPr>
        <w:spacing w:after="200" w:line="432" w:lineRule="auto"/>
        <w:jc w:val="both"/>
      </w:pPr>
      <w:r>
        <w:t>IRQ 10: WHAT — What are the lessons learned?</w:t>
      </w:r>
    </w:p>
    <w:p w14:paraId="17BD620A" w14:textId="77777777" w:rsidR="002530E2" w:rsidRDefault="002530E2">
      <w:r>
        <w:t>The 12 individual case elements (IREs) or sub-sections are listed below:</w:t>
      </w:r>
    </w:p>
    <w:p w14:paraId="5766E4EF" w14:textId="77777777" w:rsidR="002530E2" w:rsidRDefault="002530E2" w:rsidP="002530E2">
      <w:pPr>
        <w:numPr>
          <w:ilvl w:val="0"/>
          <w:numId w:val="151"/>
        </w:numPr>
        <w:spacing w:after="0" w:line="360" w:lineRule="auto"/>
        <w:jc w:val="both"/>
      </w:pPr>
      <w:r>
        <w:t>IRE 1: INTRODUCTION</w:t>
      </w:r>
    </w:p>
    <w:p w14:paraId="216993B8" w14:textId="77777777" w:rsidR="002530E2" w:rsidRDefault="002530E2" w:rsidP="002530E2">
      <w:pPr>
        <w:numPr>
          <w:ilvl w:val="1"/>
          <w:numId w:val="151"/>
        </w:numPr>
        <w:spacing w:after="200" w:line="360" w:lineRule="auto"/>
        <w:jc w:val="both"/>
      </w:pPr>
      <w:r>
        <w:t>CONTRIBUTING IRQs: All the IRQs (from IRQ 1 to IRQ 10)</w:t>
      </w:r>
    </w:p>
    <w:p w14:paraId="6A54CD16" w14:textId="77777777" w:rsidR="002530E2" w:rsidRDefault="002530E2" w:rsidP="002530E2">
      <w:pPr>
        <w:numPr>
          <w:ilvl w:val="0"/>
          <w:numId w:val="151"/>
        </w:numPr>
        <w:spacing w:after="0" w:line="360" w:lineRule="auto"/>
        <w:jc w:val="both"/>
      </w:pPr>
      <w:r>
        <w:t>IRE 2: INCIDENT BACKGROUND — WHAT HAPPENED?</w:t>
      </w:r>
    </w:p>
    <w:p w14:paraId="524CBDA0" w14:textId="77777777" w:rsidR="002530E2" w:rsidRDefault="002530E2" w:rsidP="002530E2">
      <w:pPr>
        <w:numPr>
          <w:ilvl w:val="1"/>
          <w:numId w:val="151"/>
        </w:numPr>
        <w:spacing w:after="200" w:line="360" w:lineRule="auto"/>
        <w:jc w:val="both"/>
      </w:pPr>
      <w:r>
        <w:t>CONTRIBUTING IRQs: All the IRQs (from IRQ 1 to IRQ 10)</w:t>
      </w:r>
    </w:p>
    <w:p w14:paraId="65138DE5" w14:textId="77777777" w:rsidR="002530E2" w:rsidRDefault="002530E2" w:rsidP="002530E2">
      <w:pPr>
        <w:numPr>
          <w:ilvl w:val="0"/>
          <w:numId w:val="151"/>
        </w:numPr>
        <w:spacing w:after="0" w:line="360" w:lineRule="auto"/>
        <w:jc w:val="both"/>
      </w:pPr>
      <w:r>
        <w:t>IRE 3: TIME — WHEN DID THE BLUNDER OCCUR?</w:t>
      </w:r>
    </w:p>
    <w:p w14:paraId="3A37842D" w14:textId="77777777" w:rsidR="002530E2" w:rsidRDefault="002530E2" w:rsidP="002530E2">
      <w:pPr>
        <w:numPr>
          <w:ilvl w:val="1"/>
          <w:numId w:val="151"/>
        </w:numPr>
        <w:spacing w:after="200" w:line="360" w:lineRule="auto"/>
        <w:jc w:val="both"/>
      </w:pPr>
      <w:r>
        <w:t>CONTRIBUTING IRQs: IRQ 2</w:t>
      </w:r>
    </w:p>
    <w:p w14:paraId="7ED68118" w14:textId="77777777" w:rsidR="002530E2" w:rsidRDefault="002530E2" w:rsidP="002530E2">
      <w:pPr>
        <w:numPr>
          <w:ilvl w:val="0"/>
          <w:numId w:val="151"/>
        </w:numPr>
        <w:spacing w:after="0" w:line="360" w:lineRule="auto"/>
        <w:jc w:val="both"/>
      </w:pPr>
      <w:r>
        <w:t>IRE 4: PLACE — WHERE DID THE BLUNDER TAKE PLACE?</w:t>
      </w:r>
    </w:p>
    <w:p w14:paraId="06237241" w14:textId="77777777" w:rsidR="002530E2" w:rsidRDefault="002530E2" w:rsidP="002530E2">
      <w:pPr>
        <w:numPr>
          <w:ilvl w:val="1"/>
          <w:numId w:val="151"/>
        </w:numPr>
        <w:spacing w:after="200" w:line="360" w:lineRule="auto"/>
        <w:jc w:val="both"/>
      </w:pPr>
      <w:r>
        <w:t>CONTRIBUTING IRQs: IRQ 3</w:t>
      </w:r>
    </w:p>
    <w:p w14:paraId="18E2D6E5" w14:textId="77777777" w:rsidR="002530E2" w:rsidRDefault="002530E2" w:rsidP="002530E2">
      <w:pPr>
        <w:numPr>
          <w:ilvl w:val="0"/>
          <w:numId w:val="151"/>
        </w:numPr>
        <w:spacing w:after="0" w:line="360" w:lineRule="auto"/>
        <w:jc w:val="both"/>
      </w:pPr>
      <w:r>
        <w:t>IRE 5: VICTIM GROUP — WHO WAS FIRST AFFECTED?</w:t>
      </w:r>
    </w:p>
    <w:p w14:paraId="515ADA45" w14:textId="77777777" w:rsidR="002530E2" w:rsidRDefault="002530E2" w:rsidP="002530E2">
      <w:pPr>
        <w:numPr>
          <w:ilvl w:val="1"/>
          <w:numId w:val="151"/>
        </w:numPr>
        <w:spacing w:after="200" w:line="360" w:lineRule="auto"/>
        <w:jc w:val="both"/>
      </w:pPr>
      <w:r>
        <w:t>CONTRIBUTING IRQs: IRQ 4</w:t>
      </w:r>
    </w:p>
    <w:p w14:paraId="2574630F" w14:textId="77777777" w:rsidR="002530E2" w:rsidRDefault="002530E2" w:rsidP="002530E2">
      <w:pPr>
        <w:numPr>
          <w:ilvl w:val="0"/>
          <w:numId w:val="151"/>
        </w:numPr>
        <w:spacing w:after="0" w:line="360" w:lineRule="auto"/>
        <w:jc w:val="both"/>
      </w:pPr>
      <w:r>
        <w:t>IRE 6: BLUNDERER — WHO MADE THE BLUNDER?</w:t>
      </w:r>
    </w:p>
    <w:p w14:paraId="7D08EFB1" w14:textId="77777777" w:rsidR="002530E2" w:rsidRDefault="002530E2" w:rsidP="002530E2">
      <w:pPr>
        <w:numPr>
          <w:ilvl w:val="1"/>
          <w:numId w:val="151"/>
        </w:numPr>
        <w:spacing w:after="200" w:line="360" w:lineRule="auto"/>
        <w:jc w:val="both"/>
      </w:pPr>
      <w:r>
        <w:t>CONTRIBUTING IRQs: IRQ 5</w:t>
      </w:r>
    </w:p>
    <w:p w14:paraId="5AE050CF" w14:textId="77777777" w:rsidR="002530E2" w:rsidRDefault="002530E2" w:rsidP="002530E2">
      <w:pPr>
        <w:numPr>
          <w:ilvl w:val="0"/>
          <w:numId w:val="151"/>
        </w:numPr>
        <w:spacing w:after="0" w:line="360" w:lineRule="auto"/>
        <w:jc w:val="both"/>
      </w:pPr>
      <w:r>
        <w:t>IRE 7: VICTIMISATION — WHAT WERE THE CONSEQUENCES FOR MUSLIMS?</w:t>
      </w:r>
    </w:p>
    <w:p w14:paraId="6A890A9C" w14:textId="77777777" w:rsidR="002530E2" w:rsidRDefault="002530E2" w:rsidP="002530E2">
      <w:pPr>
        <w:numPr>
          <w:ilvl w:val="1"/>
          <w:numId w:val="151"/>
        </w:numPr>
        <w:spacing w:after="200" w:line="360" w:lineRule="auto"/>
        <w:jc w:val="both"/>
      </w:pPr>
      <w:r>
        <w:t xml:space="preserve">CONTRIBUTING IRQs: IRQ 6 </w:t>
      </w:r>
    </w:p>
    <w:p w14:paraId="2668F4B7" w14:textId="77777777" w:rsidR="002530E2" w:rsidRDefault="002530E2" w:rsidP="002530E2">
      <w:pPr>
        <w:numPr>
          <w:ilvl w:val="0"/>
          <w:numId w:val="151"/>
        </w:numPr>
        <w:spacing w:after="0" w:line="360" w:lineRule="auto"/>
        <w:jc w:val="both"/>
      </w:pPr>
      <w:r>
        <w:lastRenderedPageBreak/>
        <w:t>IRE 8: RAMIFICATIONS — HOW WAS THE MNC IMPACTED?</w:t>
      </w:r>
    </w:p>
    <w:p w14:paraId="2380D57E" w14:textId="77777777" w:rsidR="002530E2" w:rsidRDefault="002530E2" w:rsidP="002530E2">
      <w:pPr>
        <w:numPr>
          <w:ilvl w:val="1"/>
          <w:numId w:val="151"/>
        </w:numPr>
        <w:spacing w:after="200" w:line="360" w:lineRule="auto"/>
        <w:jc w:val="both"/>
      </w:pPr>
      <w:r>
        <w:t xml:space="preserve">CONTRIBUTING IRQs: IRQ 7 </w:t>
      </w:r>
    </w:p>
    <w:p w14:paraId="208B016A" w14:textId="77777777" w:rsidR="002530E2" w:rsidRDefault="002530E2" w:rsidP="002530E2">
      <w:pPr>
        <w:numPr>
          <w:ilvl w:val="0"/>
          <w:numId w:val="151"/>
        </w:numPr>
        <w:spacing w:after="0" w:line="360" w:lineRule="auto"/>
        <w:jc w:val="both"/>
      </w:pPr>
      <w:r>
        <w:t xml:space="preserve">IRE 9: REASONS — WHY DID THE BLUNDER HAPPEN? </w:t>
      </w:r>
    </w:p>
    <w:p w14:paraId="0FC213A8" w14:textId="77777777" w:rsidR="002530E2" w:rsidRDefault="002530E2" w:rsidP="002530E2">
      <w:pPr>
        <w:numPr>
          <w:ilvl w:val="1"/>
          <w:numId w:val="151"/>
        </w:numPr>
        <w:spacing w:after="200" w:line="360" w:lineRule="auto"/>
        <w:jc w:val="both"/>
      </w:pPr>
      <w:r>
        <w:t xml:space="preserve">CONTRIBUTING IRQs: ICRC 8 </w:t>
      </w:r>
    </w:p>
    <w:p w14:paraId="2378C6D6" w14:textId="77777777" w:rsidR="002530E2" w:rsidRDefault="002530E2" w:rsidP="002530E2">
      <w:pPr>
        <w:numPr>
          <w:ilvl w:val="0"/>
          <w:numId w:val="151"/>
        </w:numPr>
        <w:spacing w:after="0" w:line="360" w:lineRule="auto"/>
        <w:jc w:val="both"/>
      </w:pPr>
      <w:r>
        <w:t>IRE 10: DAMAGE CONTROL — HOW DID THE MNC ADDRESS THE ISSUES?</w:t>
      </w:r>
    </w:p>
    <w:p w14:paraId="6B70B90F" w14:textId="77777777" w:rsidR="002530E2" w:rsidRDefault="002530E2" w:rsidP="002530E2">
      <w:pPr>
        <w:numPr>
          <w:ilvl w:val="1"/>
          <w:numId w:val="151"/>
        </w:numPr>
        <w:spacing w:after="200" w:line="360" w:lineRule="auto"/>
        <w:jc w:val="both"/>
      </w:pPr>
      <w:r>
        <w:t>CONTRIBUTING IRQs: IRQ 9</w:t>
      </w:r>
    </w:p>
    <w:p w14:paraId="5E7872ED" w14:textId="77777777" w:rsidR="002530E2" w:rsidRDefault="002530E2" w:rsidP="002530E2">
      <w:pPr>
        <w:numPr>
          <w:ilvl w:val="0"/>
          <w:numId w:val="151"/>
        </w:numPr>
        <w:spacing w:after="0" w:line="360" w:lineRule="auto"/>
        <w:jc w:val="both"/>
      </w:pPr>
      <w:r>
        <w:t>IRE 11: FUTURE PREVENTION STRATEGIES — WHAT ARE THE LESSONS LEARNED?</w:t>
      </w:r>
    </w:p>
    <w:p w14:paraId="4DDDDF50" w14:textId="77777777" w:rsidR="002530E2" w:rsidRDefault="002530E2" w:rsidP="002530E2">
      <w:pPr>
        <w:numPr>
          <w:ilvl w:val="1"/>
          <w:numId w:val="151"/>
        </w:numPr>
        <w:spacing w:after="200" w:line="360" w:lineRule="auto"/>
        <w:jc w:val="both"/>
      </w:pPr>
      <w:r>
        <w:t>CONTRIBUTING IRQs: IRQ 10</w:t>
      </w:r>
    </w:p>
    <w:p w14:paraId="53CCEB82" w14:textId="77777777" w:rsidR="002530E2" w:rsidRDefault="002530E2" w:rsidP="002530E2">
      <w:pPr>
        <w:numPr>
          <w:ilvl w:val="0"/>
          <w:numId w:val="151"/>
        </w:numPr>
        <w:spacing w:after="0" w:line="360" w:lineRule="auto"/>
        <w:jc w:val="both"/>
      </w:pPr>
      <w:r>
        <w:t>IRE 12: CASE SUMMARY</w:t>
      </w:r>
    </w:p>
    <w:p w14:paraId="7773C632" w14:textId="77777777" w:rsidR="002530E2" w:rsidRDefault="002530E2" w:rsidP="002530E2">
      <w:pPr>
        <w:numPr>
          <w:ilvl w:val="1"/>
          <w:numId w:val="151"/>
        </w:numPr>
        <w:spacing w:after="0" w:line="360" w:lineRule="auto"/>
        <w:jc w:val="both"/>
      </w:pPr>
      <w:r>
        <w:t>CONTRIBUTING IRQs: All the IRQs (from IRQ 1 to IRQ 10)</w:t>
      </w:r>
    </w:p>
    <w:p w14:paraId="2F87628D" w14:textId="77777777" w:rsidR="002530E2" w:rsidRDefault="002530E2">
      <w:pPr>
        <w:spacing w:after="0" w:line="240" w:lineRule="auto"/>
      </w:pPr>
    </w:p>
    <w:p w14:paraId="77DC94C2" w14:textId="77777777" w:rsidR="002530E2" w:rsidRDefault="002530E2">
      <w:pPr>
        <w:spacing w:before="300" w:after="0"/>
      </w:pPr>
      <w:r>
        <w:t>The alignment of IREs with the respective MRQs of this study:</w:t>
      </w:r>
    </w:p>
    <w:p w14:paraId="6443D900" w14:textId="77777777" w:rsidR="002530E2" w:rsidRDefault="002530E2">
      <w:pPr>
        <w:spacing w:after="0"/>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450"/>
        <w:gridCol w:w="2250"/>
        <w:gridCol w:w="450"/>
        <w:gridCol w:w="3540"/>
      </w:tblGrid>
      <w:tr w:rsidR="002530E2" w14:paraId="17E9499A" w14:textId="77777777">
        <w:trPr>
          <w:trHeight w:val="400"/>
        </w:trPr>
        <w:tc>
          <w:tcPr>
            <w:tcW w:w="2820" w:type="dxa"/>
            <w:gridSpan w:val="2"/>
            <w:tcBorders>
              <w:right w:val="single" w:sz="8" w:space="0" w:color="FFD400"/>
            </w:tcBorders>
            <w:shd w:val="clear" w:color="auto" w:fill="FFD400"/>
            <w:tcMar>
              <w:top w:w="100" w:type="dxa"/>
              <w:left w:w="100" w:type="dxa"/>
              <w:bottom w:w="100" w:type="dxa"/>
              <w:right w:w="100" w:type="dxa"/>
            </w:tcMar>
          </w:tcPr>
          <w:p w14:paraId="19E8BF07" w14:textId="77777777" w:rsidR="002530E2" w:rsidRDefault="002530E2">
            <w:pPr>
              <w:widowControl w:val="0"/>
              <w:spacing w:after="0" w:line="276" w:lineRule="auto"/>
              <w:jc w:val="center"/>
            </w:pPr>
            <w:r>
              <w:t>INCIDENT REPORT ELEMENT (IREs)</w:t>
            </w:r>
          </w:p>
        </w:tc>
        <w:tc>
          <w:tcPr>
            <w:tcW w:w="2700" w:type="dxa"/>
            <w:gridSpan w:val="2"/>
            <w:shd w:val="clear" w:color="auto" w:fill="FFD400"/>
            <w:tcMar>
              <w:top w:w="100" w:type="dxa"/>
              <w:left w:w="100" w:type="dxa"/>
              <w:bottom w:w="100" w:type="dxa"/>
              <w:right w:w="100" w:type="dxa"/>
            </w:tcMar>
          </w:tcPr>
          <w:p w14:paraId="10F523D9" w14:textId="77777777" w:rsidR="002530E2" w:rsidRDefault="002530E2">
            <w:pPr>
              <w:widowControl w:val="0"/>
              <w:spacing w:after="0" w:line="276" w:lineRule="auto"/>
              <w:jc w:val="center"/>
            </w:pPr>
            <w:r>
              <w:t>INCIDENT REPORT QUESTION (IRQs)</w:t>
            </w:r>
          </w:p>
        </w:tc>
        <w:tc>
          <w:tcPr>
            <w:tcW w:w="3540" w:type="dxa"/>
            <w:shd w:val="clear" w:color="auto" w:fill="FFD400"/>
            <w:tcMar>
              <w:top w:w="100" w:type="dxa"/>
              <w:left w:w="100" w:type="dxa"/>
              <w:bottom w:w="100" w:type="dxa"/>
              <w:right w:w="100" w:type="dxa"/>
            </w:tcMar>
          </w:tcPr>
          <w:p w14:paraId="276CE711" w14:textId="77777777" w:rsidR="002530E2" w:rsidRDefault="002530E2">
            <w:pPr>
              <w:widowControl w:val="0"/>
              <w:spacing w:after="0" w:line="276" w:lineRule="auto"/>
              <w:jc w:val="center"/>
            </w:pPr>
            <w:r>
              <w:t xml:space="preserve">IREs &amp; IRQs ALIGNED AND COHERENT WITH MRQs </w:t>
            </w:r>
          </w:p>
        </w:tc>
      </w:tr>
      <w:tr w:rsidR="002530E2" w14:paraId="0DAC29A9" w14:textId="77777777">
        <w:tc>
          <w:tcPr>
            <w:tcW w:w="2370" w:type="dxa"/>
            <w:shd w:val="clear" w:color="auto" w:fill="auto"/>
            <w:tcMar>
              <w:top w:w="100" w:type="dxa"/>
              <w:left w:w="100" w:type="dxa"/>
              <w:bottom w:w="100" w:type="dxa"/>
              <w:right w:w="100" w:type="dxa"/>
            </w:tcMar>
          </w:tcPr>
          <w:p w14:paraId="6BB944ED" w14:textId="77777777" w:rsidR="002530E2" w:rsidRDefault="002530E2">
            <w:pPr>
              <w:widowControl w:val="0"/>
              <w:spacing w:after="0" w:line="276" w:lineRule="auto"/>
              <w:jc w:val="right"/>
            </w:pPr>
            <w:r>
              <w:t xml:space="preserve">IRE 9: REASONS — WHY DID THE BLUNDER HAPPEN? </w:t>
            </w:r>
          </w:p>
        </w:tc>
        <w:tc>
          <w:tcPr>
            <w:tcW w:w="450" w:type="dxa"/>
            <w:tcBorders>
              <w:left w:val="single" w:sz="8" w:space="0" w:color="FFFFFF"/>
              <w:right w:val="single" w:sz="8" w:space="0" w:color="FFFFFF"/>
            </w:tcBorders>
            <w:shd w:val="clear" w:color="auto" w:fill="auto"/>
            <w:tcMar>
              <w:top w:w="100" w:type="dxa"/>
              <w:left w:w="100" w:type="dxa"/>
              <w:bottom w:w="100" w:type="dxa"/>
              <w:right w:w="100" w:type="dxa"/>
            </w:tcMar>
          </w:tcPr>
          <w:p w14:paraId="3D9629D7" w14:textId="77777777" w:rsidR="002530E2" w:rsidRDefault="002530E2">
            <w:pPr>
              <w:widowControl w:val="0"/>
              <w:spacing w:after="0" w:line="276" w:lineRule="auto"/>
              <w:jc w:val="center"/>
            </w:pPr>
          </w:p>
          <w:p w14:paraId="44CFECC1" w14:textId="77777777" w:rsidR="002530E2" w:rsidRDefault="002530E2">
            <w:pPr>
              <w:widowControl w:val="0"/>
              <w:spacing w:after="0" w:line="276" w:lineRule="auto"/>
              <w:jc w:val="center"/>
            </w:pPr>
            <w:r>
              <w:t>➔</w:t>
            </w:r>
          </w:p>
        </w:tc>
        <w:tc>
          <w:tcPr>
            <w:tcW w:w="2250" w:type="dxa"/>
            <w:tcBorders>
              <w:left w:val="single" w:sz="8" w:space="0" w:color="FFFFFF"/>
              <w:right w:val="single" w:sz="8" w:space="0" w:color="FFFFFF"/>
            </w:tcBorders>
            <w:shd w:val="clear" w:color="auto" w:fill="auto"/>
            <w:tcMar>
              <w:top w:w="100" w:type="dxa"/>
              <w:left w:w="100" w:type="dxa"/>
              <w:bottom w:w="100" w:type="dxa"/>
              <w:right w:w="100" w:type="dxa"/>
            </w:tcMar>
          </w:tcPr>
          <w:p w14:paraId="77BA852C" w14:textId="77777777" w:rsidR="002530E2" w:rsidRDefault="002530E2">
            <w:pPr>
              <w:widowControl w:val="0"/>
              <w:spacing w:after="0" w:line="276" w:lineRule="auto"/>
              <w:jc w:val="right"/>
              <w:rPr>
                <w:i/>
              </w:rPr>
            </w:pPr>
            <w:r>
              <w:rPr>
                <w:i/>
              </w:rPr>
              <w:t>The IRQ 8 (i.e. Why did the blunder happen?) corresponds to IRE 9.</w:t>
            </w:r>
          </w:p>
        </w:tc>
        <w:tc>
          <w:tcPr>
            <w:tcW w:w="450" w:type="dxa"/>
            <w:tcBorders>
              <w:left w:val="single" w:sz="8" w:space="0" w:color="FFFFFF"/>
              <w:right w:val="single" w:sz="8" w:space="0" w:color="FFFFFF"/>
            </w:tcBorders>
            <w:shd w:val="clear" w:color="auto" w:fill="auto"/>
            <w:tcMar>
              <w:top w:w="100" w:type="dxa"/>
              <w:left w:w="100" w:type="dxa"/>
              <w:bottom w:w="100" w:type="dxa"/>
              <w:right w:w="100" w:type="dxa"/>
            </w:tcMar>
          </w:tcPr>
          <w:p w14:paraId="4993D9C0" w14:textId="77777777" w:rsidR="002530E2" w:rsidRDefault="002530E2">
            <w:pPr>
              <w:widowControl w:val="0"/>
              <w:spacing w:after="0" w:line="276" w:lineRule="auto"/>
              <w:jc w:val="center"/>
            </w:pPr>
          </w:p>
          <w:p w14:paraId="481582D3" w14:textId="77777777" w:rsidR="002530E2" w:rsidRDefault="002530E2">
            <w:pPr>
              <w:widowControl w:val="0"/>
              <w:spacing w:after="0" w:line="276" w:lineRule="auto"/>
              <w:jc w:val="center"/>
              <w:rPr>
                <w:sz w:val="42"/>
                <w:szCs w:val="42"/>
              </w:rPr>
            </w:pPr>
            <w:r>
              <w:t>➔</w:t>
            </w:r>
          </w:p>
        </w:tc>
        <w:tc>
          <w:tcPr>
            <w:tcW w:w="3540" w:type="dxa"/>
            <w:tcBorders>
              <w:left w:val="single" w:sz="8" w:space="0" w:color="FFFFFF"/>
            </w:tcBorders>
            <w:shd w:val="clear" w:color="auto" w:fill="auto"/>
            <w:tcMar>
              <w:top w:w="100" w:type="dxa"/>
              <w:left w:w="100" w:type="dxa"/>
              <w:bottom w:w="100" w:type="dxa"/>
              <w:right w:w="100" w:type="dxa"/>
            </w:tcMar>
          </w:tcPr>
          <w:p w14:paraId="7C48BDF4" w14:textId="77777777" w:rsidR="002530E2" w:rsidRDefault="002530E2">
            <w:pPr>
              <w:widowControl w:val="0"/>
              <w:spacing w:after="0" w:line="276" w:lineRule="auto"/>
            </w:pPr>
            <w:r>
              <w:t>MRQ 1: What are the most prevalent cross-cultural blunders made by multinational corporations (MNCs) operating in Muslim-majority and minority countries?</w:t>
            </w:r>
          </w:p>
        </w:tc>
      </w:tr>
      <w:tr w:rsidR="002530E2" w14:paraId="6ABF3240" w14:textId="77777777">
        <w:tc>
          <w:tcPr>
            <w:tcW w:w="2370" w:type="dxa"/>
            <w:tcBorders>
              <w:right w:val="single" w:sz="8" w:space="0" w:color="EFEFEF"/>
            </w:tcBorders>
            <w:shd w:val="clear" w:color="auto" w:fill="EFEFEF"/>
            <w:tcMar>
              <w:top w:w="100" w:type="dxa"/>
              <w:left w:w="100" w:type="dxa"/>
              <w:bottom w:w="100" w:type="dxa"/>
              <w:right w:w="100" w:type="dxa"/>
            </w:tcMar>
          </w:tcPr>
          <w:p w14:paraId="20C70127" w14:textId="77777777" w:rsidR="002530E2" w:rsidRDefault="002530E2">
            <w:pPr>
              <w:widowControl w:val="0"/>
              <w:spacing w:after="0" w:line="276" w:lineRule="auto"/>
              <w:jc w:val="right"/>
              <w:rPr>
                <w:i/>
              </w:rPr>
            </w:pPr>
            <w:r>
              <w:t>IRE 7: VICTIMISATION — WHAT WERE THE CONSEQUENCES FOR MUSLIMS?</w:t>
            </w:r>
          </w:p>
          <w:p w14:paraId="0D83F6F5" w14:textId="77777777" w:rsidR="002530E2" w:rsidRDefault="002530E2">
            <w:pPr>
              <w:widowControl w:val="0"/>
              <w:spacing w:after="0" w:line="276" w:lineRule="auto"/>
              <w:jc w:val="right"/>
            </w:pPr>
          </w:p>
        </w:tc>
        <w:tc>
          <w:tcPr>
            <w:tcW w:w="450" w:type="dxa"/>
            <w:tcBorders>
              <w:left w:val="single" w:sz="8" w:space="0" w:color="EFEFEF"/>
              <w:right w:val="single" w:sz="8" w:space="0" w:color="EFEFEF"/>
            </w:tcBorders>
            <w:shd w:val="clear" w:color="auto" w:fill="EFEFEF"/>
            <w:tcMar>
              <w:top w:w="100" w:type="dxa"/>
              <w:left w:w="100" w:type="dxa"/>
              <w:bottom w:w="100" w:type="dxa"/>
              <w:right w:w="100" w:type="dxa"/>
            </w:tcMar>
          </w:tcPr>
          <w:p w14:paraId="1AA5DAEA" w14:textId="77777777" w:rsidR="002530E2" w:rsidRDefault="002530E2">
            <w:pPr>
              <w:widowControl w:val="0"/>
              <w:spacing w:after="0" w:line="276" w:lineRule="auto"/>
              <w:jc w:val="center"/>
            </w:pPr>
          </w:p>
          <w:p w14:paraId="67CC088A" w14:textId="77777777" w:rsidR="002530E2" w:rsidRDefault="002530E2">
            <w:pPr>
              <w:widowControl w:val="0"/>
              <w:spacing w:after="0" w:line="276" w:lineRule="auto"/>
              <w:jc w:val="center"/>
            </w:pPr>
            <w:r>
              <w:t>➔</w:t>
            </w:r>
          </w:p>
        </w:tc>
        <w:tc>
          <w:tcPr>
            <w:tcW w:w="2250" w:type="dxa"/>
            <w:tcBorders>
              <w:left w:val="single" w:sz="8" w:space="0" w:color="EFEFEF"/>
              <w:right w:val="single" w:sz="8" w:space="0" w:color="EFEFEF"/>
            </w:tcBorders>
            <w:shd w:val="clear" w:color="auto" w:fill="EFEFEF"/>
            <w:tcMar>
              <w:top w:w="100" w:type="dxa"/>
              <w:left w:w="100" w:type="dxa"/>
              <w:bottom w:w="100" w:type="dxa"/>
              <w:right w:w="100" w:type="dxa"/>
            </w:tcMar>
          </w:tcPr>
          <w:p w14:paraId="1970858E" w14:textId="77777777" w:rsidR="002530E2" w:rsidRDefault="002530E2">
            <w:pPr>
              <w:widowControl w:val="0"/>
              <w:spacing w:after="0" w:line="276" w:lineRule="auto"/>
              <w:jc w:val="right"/>
              <w:rPr>
                <w:i/>
              </w:rPr>
            </w:pPr>
            <w:r>
              <w:rPr>
                <w:i/>
              </w:rPr>
              <w:t>The IRQ 6 (i.e. What were the consequences for Muslim consumers?) corresponds to IRE 7.</w:t>
            </w:r>
          </w:p>
        </w:tc>
        <w:tc>
          <w:tcPr>
            <w:tcW w:w="450" w:type="dxa"/>
            <w:tcBorders>
              <w:left w:val="single" w:sz="8" w:space="0" w:color="EFEFEF"/>
              <w:right w:val="single" w:sz="8" w:space="0" w:color="EFEFEF"/>
            </w:tcBorders>
            <w:shd w:val="clear" w:color="auto" w:fill="EFEFEF"/>
            <w:tcMar>
              <w:top w:w="100" w:type="dxa"/>
              <w:left w:w="100" w:type="dxa"/>
              <w:bottom w:w="100" w:type="dxa"/>
              <w:right w:w="100" w:type="dxa"/>
            </w:tcMar>
          </w:tcPr>
          <w:p w14:paraId="0CC04FE3" w14:textId="77777777" w:rsidR="002530E2" w:rsidRDefault="002530E2">
            <w:pPr>
              <w:widowControl w:val="0"/>
              <w:spacing w:after="0" w:line="276" w:lineRule="auto"/>
              <w:jc w:val="center"/>
            </w:pPr>
          </w:p>
          <w:p w14:paraId="48C56CE3" w14:textId="77777777" w:rsidR="002530E2" w:rsidRDefault="002530E2">
            <w:pPr>
              <w:widowControl w:val="0"/>
              <w:spacing w:after="0" w:line="276" w:lineRule="auto"/>
              <w:jc w:val="center"/>
              <w:rPr>
                <w:sz w:val="24"/>
                <w:szCs w:val="24"/>
              </w:rPr>
            </w:pPr>
            <w:r>
              <w:t>➔</w:t>
            </w:r>
          </w:p>
        </w:tc>
        <w:tc>
          <w:tcPr>
            <w:tcW w:w="3540" w:type="dxa"/>
            <w:tcBorders>
              <w:left w:val="single" w:sz="8" w:space="0" w:color="EFEFEF"/>
            </w:tcBorders>
            <w:shd w:val="clear" w:color="auto" w:fill="EFEFEF"/>
            <w:tcMar>
              <w:top w:w="100" w:type="dxa"/>
              <w:left w:w="100" w:type="dxa"/>
              <w:bottom w:w="100" w:type="dxa"/>
              <w:right w:w="100" w:type="dxa"/>
            </w:tcMar>
          </w:tcPr>
          <w:p w14:paraId="58EF2DDC" w14:textId="77777777" w:rsidR="002530E2" w:rsidRDefault="002530E2">
            <w:pPr>
              <w:widowControl w:val="0"/>
              <w:spacing w:after="0" w:line="276" w:lineRule="auto"/>
            </w:pPr>
            <w:r>
              <w:t>MRQ 2: What are the consequences of these blunders on Muslim consumers?</w:t>
            </w:r>
          </w:p>
        </w:tc>
      </w:tr>
      <w:tr w:rsidR="002530E2" w14:paraId="027E557D" w14:textId="77777777">
        <w:tc>
          <w:tcPr>
            <w:tcW w:w="2370" w:type="dxa"/>
            <w:shd w:val="clear" w:color="auto" w:fill="auto"/>
            <w:tcMar>
              <w:top w:w="100" w:type="dxa"/>
              <w:left w:w="100" w:type="dxa"/>
              <w:bottom w:w="100" w:type="dxa"/>
              <w:right w:w="100" w:type="dxa"/>
            </w:tcMar>
          </w:tcPr>
          <w:p w14:paraId="43F7BF94" w14:textId="77777777" w:rsidR="002530E2" w:rsidRDefault="002530E2">
            <w:pPr>
              <w:widowControl w:val="0"/>
              <w:spacing w:after="0" w:line="276" w:lineRule="auto"/>
              <w:jc w:val="right"/>
              <w:rPr>
                <w:i/>
              </w:rPr>
            </w:pPr>
            <w:r>
              <w:t>IRE 8: RAMIFICATIONS — HOW WAS THE MNC IMPACTED?</w:t>
            </w:r>
          </w:p>
          <w:p w14:paraId="127D740C" w14:textId="77777777" w:rsidR="002530E2" w:rsidRDefault="002530E2">
            <w:pPr>
              <w:widowControl w:val="0"/>
              <w:spacing w:after="0" w:line="276" w:lineRule="auto"/>
              <w:jc w:val="right"/>
            </w:pPr>
          </w:p>
        </w:tc>
        <w:tc>
          <w:tcPr>
            <w:tcW w:w="450" w:type="dxa"/>
            <w:tcBorders>
              <w:left w:val="single" w:sz="8" w:space="0" w:color="FFFFFF"/>
              <w:right w:val="single" w:sz="8" w:space="0" w:color="FFFFFF"/>
            </w:tcBorders>
            <w:shd w:val="clear" w:color="auto" w:fill="auto"/>
            <w:tcMar>
              <w:top w:w="100" w:type="dxa"/>
              <w:left w:w="100" w:type="dxa"/>
              <w:bottom w:w="100" w:type="dxa"/>
              <w:right w:w="100" w:type="dxa"/>
            </w:tcMar>
          </w:tcPr>
          <w:p w14:paraId="71D9BDAF" w14:textId="77777777" w:rsidR="002530E2" w:rsidRDefault="002530E2">
            <w:pPr>
              <w:widowControl w:val="0"/>
              <w:spacing w:after="0" w:line="276" w:lineRule="auto"/>
              <w:jc w:val="center"/>
            </w:pPr>
          </w:p>
          <w:p w14:paraId="494ECDCC" w14:textId="77777777" w:rsidR="002530E2" w:rsidRDefault="002530E2">
            <w:pPr>
              <w:widowControl w:val="0"/>
              <w:spacing w:after="0" w:line="276" w:lineRule="auto"/>
              <w:jc w:val="center"/>
            </w:pPr>
            <w:r>
              <w:t>➔</w:t>
            </w:r>
          </w:p>
        </w:tc>
        <w:tc>
          <w:tcPr>
            <w:tcW w:w="2250" w:type="dxa"/>
            <w:tcBorders>
              <w:left w:val="single" w:sz="8" w:space="0" w:color="FFFFFF"/>
              <w:right w:val="single" w:sz="8" w:space="0" w:color="FFFFFF"/>
            </w:tcBorders>
            <w:shd w:val="clear" w:color="auto" w:fill="auto"/>
            <w:tcMar>
              <w:top w:w="100" w:type="dxa"/>
              <w:left w:w="100" w:type="dxa"/>
              <w:bottom w:w="100" w:type="dxa"/>
              <w:right w:w="100" w:type="dxa"/>
            </w:tcMar>
          </w:tcPr>
          <w:p w14:paraId="6F39E240" w14:textId="77777777" w:rsidR="002530E2" w:rsidRDefault="002530E2">
            <w:pPr>
              <w:widowControl w:val="0"/>
              <w:spacing w:after="0" w:line="276" w:lineRule="auto"/>
              <w:jc w:val="right"/>
              <w:rPr>
                <w:i/>
              </w:rPr>
            </w:pPr>
            <w:r>
              <w:rPr>
                <w:i/>
              </w:rPr>
              <w:t>The IRQ 7 (i.e. How was the MNC impacted?) corresponds to IRE 8.</w:t>
            </w:r>
          </w:p>
          <w:p w14:paraId="1AA9949C" w14:textId="77777777" w:rsidR="002530E2" w:rsidRDefault="002530E2">
            <w:pPr>
              <w:widowControl w:val="0"/>
              <w:spacing w:after="0" w:line="276" w:lineRule="auto"/>
              <w:jc w:val="right"/>
              <w:rPr>
                <w:i/>
              </w:rPr>
            </w:pPr>
          </w:p>
        </w:tc>
        <w:tc>
          <w:tcPr>
            <w:tcW w:w="450" w:type="dxa"/>
            <w:tcBorders>
              <w:left w:val="single" w:sz="8" w:space="0" w:color="FFFFFF"/>
              <w:right w:val="single" w:sz="8" w:space="0" w:color="FFFFFF"/>
            </w:tcBorders>
            <w:shd w:val="clear" w:color="auto" w:fill="auto"/>
            <w:tcMar>
              <w:top w:w="100" w:type="dxa"/>
              <w:left w:w="100" w:type="dxa"/>
              <w:bottom w:w="100" w:type="dxa"/>
              <w:right w:w="100" w:type="dxa"/>
            </w:tcMar>
          </w:tcPr>
          <w:p w14:paraId="76B6D2C0" w14:textId="77777777" w:rsidR="002530E2" w:rsidRDefault="002530E2">
            <w:pPr>
              <w:widowControl w:val="0"/>
              <w:spacing w:after="0" w:line="276" w:lineRule="auto"/>
              <w:jc w:val="center"/>
            </w:pPr>
          </w:p>
          <w:p w14:paraId="5EC004C9" w14:textId="77777777" w:rsidR="002530E2" w:rsidRDefault="002530E2">
            <w:pPr>
              <w:widowControl w:val="0"/>
              <w:spacing w:after="0" w:line="276" w:lineRule="auto"/>
              <w:jc w:val="center"/>
              <w:rPr>
                <w:sz w:val="16"/>
                <w:szCs w:val="16"/>
              </w:rPr>
            </w:pPr>
            <w:r>
              <w:t>➔</w:t>
            </w:r>
          </w:p>
        </w:tc>
        <w:tc>
          <w:tcPr>
            <w:tcW w:w="3540" w:type="dxa"/>
            <w:tcBorders>
              <w:left w:val="single" w:sz="8" w:space="0" w:color="FFFFFF"/>
            </w:tcBorders>
            <w:shd w:val="clear" w:color="auto" w:fill="auto"/>
            <w:tcMar>
              <w:top w:w="100" w:type="dxa"/>
              <w:left w:w="100" w:type="dxa"/>
              <w:bottom w:w="100" w:type="dxa"/>
              <w:right w:w="100" w:type="dxa"/>
            </w:tcMar>
          </w:tcPr>
          <w:p w14:paraId="078488BC" w14:textId="77777777" w:rsidR="002530E2" w:rsidRDefault="002530E2">
            <w:pPr>
              <w:widowControl w:val="0"/>
              <w:spacing w:after="0" w:line="276" w:lineRule="auto"/>
            </w:pPr>
            <w:r>
              <w:t>MRQ 3: What are the impact and ramifications of these blunders on MNCs' business relationships, reputations, and financial performance?</w:t>
            </w:r>
          </w:p>
        </w:tc>
      </w:tr>
      <w:tr w:rsidR="002530E2" w14:paraId="36E85919" w14:textId="77777777">
        <w:trPr>
          <w:trHeight w:val="420"/>
        </w:trPr>
        <w:tc>
          <w:tcPr>
            <w:tcW w:w="2370" w:type="dxa"/>
            <w:tcBorders>
              <w:right w:val="single" w:sz="8" w:space="0" w:color="EFEFEF"/>
            </w:tcBorders>
            <w:shd w:val="clear" w:color="auto" w:fill="EFEFEF"/>
            <w:tcMar>
              <w:top w:w="100" w:type="dxa"/>
              <w:left w:w="100" w:type="dxa"/>
              <w:bottom w:w="100" w:type="dxa"/>
              <w:right w:w="100" w:type="dxa"/>
            </w:tcMar>
          </w:tcPr>
          <w:p w14:paraId="43A250EF" w14:textId="77777777" w:rsidR="002530E2" w:rsidRDefault="002530E2">
            <w:pPr>
              <w:widowControl w:val="0"/>
              <w:spacing w:after="0" w:line="276" w:lineRule="auto"/>
              <w:jc w:val="right"/>
              <w:rPr>
                <w:i/>
              </w:rPr>
            </w:pPr>
            <w:r>
              <w:t xml:space="preserve">IRE 10: DAMAGE CONTROL — HOW DID THE MNC ADDRESS THE </w:t>
            </w:r>
            <w:r>
              <w:lastRenderedPageBreak/>
              <w:t>ISSUES?</w:t>
            </w:r>
          </w:p>
        </w:tc>
        <w:tc>
          <w:tcPr>
            <w:tcW w:w="450" w:type="dxa"/>
            <w:tcBorders>
              <w:left w:val="single" w:sz="8" w:space="0" w:color="EFEFEF"/>
              <w:right w:val="single" w:sz="8" w:space="0" w:color="EFEFEF"/>
            </w:tcBorders>
            <w:shd w:val="clear" w:color="auto" w:fill="EFEFEF"/>
            <w:tcMar>
              <w:top w:w="100" w:type="dxa"/>
              <w:left w:w="100" w:type="dxa"/>
              <w:bottom w:w="100" w:type="dxa"/>
              <w:right w:w="100" w:type="dxa"/>
            </w:tcMar>
          </w:tcPr>
          <w:p w14:paraId="4507C754" w14:textId="77777777" w:rsidR="002530E2" w:rsidRDefault="002530E2">
            <w:pPr>
              <w:widowControl w:val="0"/>
              <w:spacing w:after="0" w:line="276" w:lineRule="auto"/>
              <w:jc w:val="center"/>
            </w:pPr>
          </w:p>
          <w:p w14:paraId="5676BE93" w14:textId="77777777" w:rsidR="002530E2" w:rsidRDefault="002530E2">
            <w:pPr>
              <w:widowControl w:val="0"/>
              <w:spacing w:after="0" w:line="276" w:lineRule="auto"/>
              <w:jc w:val="center"/>
            </w:pPr>
            <w:r>
              <w:t>➔</w:t>
            </w:r>
          </w:p>
        </w:tc>
        <w:tc>
          <w:tcPr>
            <w:tcW w:w="2250" w:type="dxa"/>
            <w:tcBorders>
              <w:left w:val="single" w:sz="8" w:space="0" w:color="EFEFEF"/>
              <w:right w:val="single" w:sz="8" w:space="0" w:color="EFEFEF"/>
            </w:tcBorders>
            <w:shd w:val="clear" w:color="auto" w:fill="EFEFEF"/>
            <w:tcMar>
              <w:top w:w="100" w:type="dxa"/>
              <w:left w:w="100" w:type="dxa"/>
              <w:bottom w:w="100" w:type="dxa"/>
              <w:right w:w="100" w:type="dxa"/>
            </w:tcMar>
          </w:tcPr>
          <w:p w14:paraId="2479FE2C" w14:textId="77777777" w:rsidR="002530E2" w:rsidRDefault="002530E2">
            <w:pPr>
              <w:widowControl w:val="0"/>
              <w:spacing w:after="0" w:line="276" w:lineRule="auto"/>
              <w:jc w:val="right"/>
              <w:rPr>
                <w:i/>
              </w:rPr>
            </w:pPr>
            <w:r>
              <w:rPr>
                <w:i/>
              </w:rPr>
              <w:t xml:space="preserve">The IRQ 9 (i.e. How did the MNC address the issues?) corresponds </w:t>
            </w:r>
            <w:r>
              <w:rPr>
                <w:i/>
              </w:rPr>
              <w:lastRenderedPageBreak/>
              <w:t>to IRE 10.</w:t>
            </w:r>
          </w:p>
        </w:tc>
        <w:tc>
          <w:tcPr>
            <w:tcW w:w="450" w:type="dxa"/>
            <w:tcBorders>
              <w:left w:val="single" w:sz="8" w:space="0" w:color="EFEFEF"/>
              <w:right w:val="single" w:sz="8" w:space="0" w:color="EFEFEF"/>
            </w:tcBorders>
            <w:shd w:val="clear" w:color="auto" w:fill="EFEFEF"/>
            <w:tcMar>
              <w:top w:w="100" w:type="dxa"/>
              <w:left w:w="100" w:type="dxa"/>
              <w:bottom w:w="100" w:type="dxa"/>
              <w:right w:w="100" w:type="dxa"/>
            </w:tcMar>
          </w:tcPr>
          <w:p w14:paraId="77189F9E" w14:textId="77777777" w:rsidR="002530E2" w:rsidRDefault="002530E2">
            <w:pPr>
              <w:widowControl w:val="0"/>
              <w:spacing w:after="0" w:line="276" w:lineRule="auto"/>
              <w:jc w:val="center"/>
            </w:pPr>
          </w:p>
          <w:p w14:paraId="06B0751A" w14:textId="77777777" w:rsidR="002530E2" w:rsidRDefault="002530E2">
            <w:pPr>
              <w:widowControl w:val="0"/>
              <w:spacing w:after="0" w:line="276" w:lineRule="auto"/>
              <w:jc w:val="center"/>
            </w:pPr>
            <w:r>
              <w:t>➔</w:t>
            </w:r>
          </w:p>
        </w:tc>
        <w:tc>
          <w:tcPr>
            <w:tcW w:w="3540" w:type="dxa"/>
            <w:tcBorders>
              <w:left w:val="single" w:sz="8" w:space="0" w:color="EFEFEF"/>
            </w:tcBorders>
            <w:shd w:val="clear" w:color="auto" w:fill="EFEFEF"/>
            <w:tcMar>
              <w:top w:w="100" w:type="dxa"/>
              <w:left w:w="100" w:type="dxa"/>
              <w:bottom w:w="100" w:type="dxa"/>
              <w:right w:w="100" w:type="dxa"/>
            </w:tcMar>
          </w:tcPr>
          <w:p w14:paraId="3A890DEF" w14:textId="77777777" w:rsidR="002530E2" w:rsidRDefault="002530E2">
            <w:pPr>
              <w:widowControl w:val="0"/>
              <w:spacing w:after="0" w:line="276" w:lineRule="auto"/>
            </w:pPr>
            <w:r>
              <w:t xml:space="preserve">MRQ 4: What strategies can MNCs adopt to prevent cross-cultural blunders and effectively engage with </w:t>
            </w:r>
            <w:r>
              <w:lastRenderedPageBreak/>
              <w:t xml:space="preserve">Muslim consumers in these markets? </w:t>
            </w:r>
          </w:p>
        </w:tc>
      </w:tr>
      <w:tr w:rsidR="002530E2" w14:paraId="61D92836" w14:textId="77777777">
        <w:trPr>
          <w:trHeight w:val="420"/>
        </w:trPr>
        <w:tc>
          <w:tcPr>
            <w:tcW w:w="2370" w:type="dxa"/>
            <w:tcBorders>
              <w:right w:val="single" w:sz="8" w:space="0" w:color="EFEFEF"/>
            </w:tcBorders>
            <w:shd w:val="clear" w:color="auto" w:fill="EFEFEF"/>
            <w:tcMar>
              <w:top w:w="100" w:type="dxa"/>
              <w:left w:w="100" w:type="dxa"/>
              <w:bottom w:w="100" w:type="dxa"/>
              <w:right w:w="100" w:type="dxa"/>
            </w:tcMar>
          </w:tcPr>
          <w:p w14:paraId="0AAEF4AB" w14:textId="77777777" w:rsidR="002530E2" w:rsidRDefault="002530E2">
            <w:pPr>
              <w:widowControl w:val="0"/>
              <w:spacing w:after="0" w:line="276" w:lineRule="auto"/>
              <w:jc w:val="right"/>
            </w:pPr>
            <w:r>
              <w:lastRenderedPageBreak/>
              <w:t>IRE 11: FUTURE PREVENTION STRATEGIES — WHAT ARE THE LESSONS LEARNED?</w:t>
            </w:r>
          </w:p>
        </w:tc>
        <w:tc>
          <w:tcPr>
            <w:tcW w:w="450" w:type="dxa"/>
            <w:tcBorders>
              <w:left w:val="single" w:sz="8" w:space="0" w:color="EFEFEF"/>
              <w:right w:val="single" w:sz="8" w:space="0" w:color="EFEFEF"/>
            </w:tcBorders>
            <w:shd w:val="clear" w:color="auto" w:fill="EFEFEF"/>
            <w:tcMar>
              <w:top w:w="100" w:type="dxa"/>
              <w:left w:w="100" w:type="dxa"/>
              <w:bottom w:w="100" w:type="dxa"/>
              <w:right w:w="100" w:type="dxa"/>
            </w:tcMar>
          </w:tcPr>
          <w:p w14:paraId="74ECFCC4" w14:textId="77777777" w:rsidR="002530E2" w:rsidRDefault="002530E2">
            <w:pPr>
              <w:widowControl w:val="0"/>
              <w:spacing w:after="0" w:line="276" w:lineRule="auto"/>
              <w:jc w:val="center"/>
            </w:pPr>
          </w:p>
          <w:p w14:paraId="42A9D155" w14:textId="77777777" w:rsidR="002530E2" w:rsidRDefault="002530E2">
            <w:pPr>
              <w:widowControl w:val="0"/>
              <w:spacing w:after="0" w:line="276" w:lineRule="auto"/>
              <w:jc w:val="center"/>
            </w:pPr>
            <w:r>
              <w:t>➔</w:t>
            </w:r>
          </w:p>
        </w:tc>
        <w:tc>
          <w:tcPr>
            <w:tcW w:w="2250" w:type="dxa"/>
            <w:tcBorders>
              <w:left w:val="single" w:sz="8" w:space="0" w:color="EFEFEF"/>
              <w:right w:val="single" w:sz="8" w:space="0" w:color="EFEFEF"/>
            </w:tcBorders>
            <w:shd w:val="clear" w:color="auto" w:fill="EFEFEF"/>
            <w:tcMar>
              <w:top w:w="100" w:type="dxa"/>
              <w:left w:w="100" w:type="dxa"/>
              <w:bottom w:w="100" w:type="dxa"/>
              <w:right w:w="100" w:type="dxa"/>
            </w:tcMar>
          </w:tcPr>
          <w:p w14:paraId="07D0738A" w14:textId="77777777" w:rsidR="002530E2" w:rsidRDefault="002530E2">
            <w:pPr>
              <w:widowControl w:val="0"/>
              <w:spacing w:after="0" w:line="276" w:lineRule="auto"/>
              <w:jc w:val="right"/>
              <w:rPr>
                <w:i/>
              </w:rPr>
            </w:pPr>
            <w:r>
              <w:rPr>
                <w:i/>
              </w:rPr>
              <w:t>The IRQ 10 (i.e. What are the lessons learned?) corresponds to IRE 11.</w:t>
            </w:r>
          </w:p>
        </w:tc>
        <w:tc>
          <w:tcPr>
            <w:tcW w:w="450" w:type="dxa"/>
            <w:tcBorders>
              <w:left w:val="single" w:sz="8" w:space="0" w:color="EFEFEF"/>
              <w:right w:val="single" w:sz="8" w:space="0" w:color="EFEFEF"/>
            </w:tcBorders>
            <w:shd w:val="clear" w:color="auto" w:fill="EFEFEF"/>
            <w:tcMar>
              <w:top w:w="100" w:type="dxa"/>
              <w:left w:w="100" w:type="dxa"/>
              <w:bottom w:w="100" w:type="dxa"/>
              <w:right w:w="100" w:type="dxa"/>
            </w:tcMar>
          </w:tcPr>
          <w:p w14:paraId="62ED1773" w14:textId="77777777" w:rsidR="002530E2" w:rsidRDefault="002530E2">
            <w:pPr>
              <w:widowControl w:val="0"/>
              <w:spacing w:after="0" w:line="276" w:lineRule="auto"/>
              <w:jc w:val="center"/>
            </w:pPr>
          </w:p>
          <w:p w14:paraId="3CA977F6" w14:textId="77777777" w:rsidR="002530E2" w:rsidRDefault="002530E2">
            <w:pPr>
              <w:widowControl w:val="0"/>
              <w:spacing w:after="0" w:line="276" w:lineRule="auto"/>
              <w:jc w:val="center"/>
            </w:pPr>
            <w:r>
              <w:t>➔</w:t>
            </w:r>
          </w:p>
        </w:tc>
        <w:tc>
          <w:tcPr>
            <w:tcW w:w="3540" w:type="dxa"/>
            <w:tcBorders>
              <w:left w:val="single" w:sz="8" w:space="0" w:color="EFEFEF"/>
            </w:tcBorders>
            <w:shd w:val="clear" w:color="auto" w:fill="EFEFEF"/>
            <w:tcMar>
              <w:top w:w="100" w:type="dxa"/>
              <w:left w:w="100" w:type="dxa"/>
              <w:bottom w:w="100" w:type="dxa"/>
              <w:right w:w="100" w:type="dxa"/>
            </w:tcMar>
          </w:tcPr>
          <w:p w14:paraId="4C6BE265" w14:textId="77777777" w:rsidR="002530E2" w:rsidRDefault="002530E2">
            <w:pPr>
              <w:widowControl w:val="0"/>
              <w:spacing w:after="0" w:line="276" w:lineRule="auto"/>
            </w:pPr>
            <w:r>
              <w:t xml:space="preserve">MRQ 4: What strategies can MNCs adopt to prevent cross-cultural blunders and effectively engage with Muslim consumers in these markets? </w:t>
            </w:r>
          </w:p>
        </w:tc>
      </w:tr>
    </w:tbl>
    <w:p w14:paraId="62E8928E" w14:textId="77777777" w:rsidR="002530E2" w:rsidRDefault="002530E2"/>
    <w:p w14:paraId="0F4B43DB" w14:textId="77777777" w:rsidR="002530E2" w:rsidRDefault="002530E2">
      <w:pPr>
        <w:pStyle w:val="Heading2"/>
      </w:pPr>
      <w:bookmarkStart w:id="416" w:name="_1phqrje441w9" w:colFirst="0" w:colLast="0"/>
      <w:bookmarkEnd w:id="416"/>
      <w:r>
        <w:t>IR 001 (2010: McDonald's,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76975ED4" w14:textId="77777777">
        <w:tc>
          <w:tcPr>
            <w:tcW w:w="1905" w:type="dxa"/>
            <w:shd w:val="clear" w:color="auto" w:fill="auto"/>
            <w:tcMar>
              <w:top w:w="100" w:type="dxa"/>
              <w:left w:w="100" w:type="dxa"/>
              <w:bottom w:w="100" w:type="dxa"/>
              <w:right w:w="100" w:type="dxa"/>
            </w:tcMar>
          </w:tcPr>
          <w:p w14:paraId="5576DC1C"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BE6F6D0" w14:textId="77777777" w:rsidR="002530E2" w:rsidRDefault="002530E2">
            <w:pPr>
              <w:spacing w:after="0" w:line="276" w:lineRule="auto"/>
            </w:pPr>
            <w:r>
              <w:t>Incident Report Title: “McDonald's Halal-Only Meat Controversy in France”</w:t>
            </w:r>
          </w:p>
        </w:tc>
      </w:tr>
      <w:tr w:rsidR="002530E2" w14:paraId="6583681D" w14:textId="77777777">
        <w:tc>
          <w:tcPr>
            <w:tcW w:w="1905" w:type="dxa"/>
            <w:shd w:val="clear" w:color="auto" w:fill="auto"/>
            <w:tcMar>
              <w:top w:w="100" w:type="dxa"/>
              <w:left w:w="100" w:type="dxa"/>
              <w:bottom w:w="100" w:type="dxa"/>
              <w:right w:w="100" w:type="dxa"/>
            </w:tcMar>
          </w:tcPr>
          <w:p w14:paraId="281DDFFB"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1D26687E" w14:textId="77777777" w:rsidR="002530E2" w:rsidRDefault="002530E2">
            <w:pPr>
              <w:spacing w:after="0" w:line="276" w:lineRule="auto"/>
            </w:pPr>
            <w:r>
              <w:t>This case examines a cross-cultural blunder by McDonald's in 2010, which sparked controversy among Muslim consumers in France. The report focuses on the revelation that some McDonald's restaurants in the country were serving halal-only meat without proper communication or transparency with customers. This incident led to significant backlash and calls for a boycott of the brand.</w:t>
            </w:r>
          </w:p>
        </w:tc>
      </w:tr>
      <w:tr w:rsidR="002530E2" w14:paraId="2C917B67" w14:textId="77777777">
        <w:tc>
          <w:tcPr>
            <w:tcW w:w="1905" w:type="dxa"/>
            <w:shd w:val="clear" w:color="auto" w:fill="auto"/>
            <w:tcMar>
              <w:top w:w="100" w:type="dxa"/>
              <w:left w:w="100" w:type="dxa"/>
              <w:bottom w:w="100" w:type="dxa"/>
              <w:right w:w="100" w:type="dxa"/>
            </w:tcMar>
          </w:tcPr>
          <w:p w14:paraId="7D3DFF2B"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E72FE45" w14:textId="77777777" w:rsidR="002530E2" w:rsidRDefault="002530E2">
            <w:pPr>
              <w:spacing w:after="0" w:line="276" w:lineRule="auto"/>
            </w:pPr>
            <w:r>
              <w:t>In 2010, it came to light that certain McDonald's restaurants in France were serving halal-only meat, meaning the meat was prepared according to Islamic dietary guidelines. This revelation created a stir among Muslim consumers, who felt that McDonald's was catering to their community without adequately informing them of this dietary practise.</w:t>
            </w:r>
          </w:p>
        </w:tc>
      </w:tr>
      <w:tr w:rsidR="002530E2" w14:paraId="01049A4D" w14:textId="77777777">
        <w:tc>
          <w:tcPr>
            <w:tcW w:w="1905" w:type="dxa"/>
            <w:shd w:val="clear" w:color="auto" w:fill="auto"/>
            <w:tcMar>
              <w:top w:w="100" w:type="dxa"/>
              <w:left w:w="100" w:type="dxa"/>
              <w:bottom w:w="100" w:type="dxa"/>
              <w:right w:w="100" w:type="dxa"/>
            </w:tcMar>
          </w:tcPr>
          <w:p w14:paraId="6437EC31"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06D0278" w14:textId="77777777" w:rsidR="002530E2" w:rsidRDefault="002530E2">
            <w:pPr>
              <w:spacing w:after="0" w:line="276" w:lineRule="auto"/>
            </w:pPr>
            <w:r>
              <w:t>The incident occurred in 2010, when news broke about McDonald's serving halal-only meat in selected restaurants in France.</w:t>
            </w:r>
          </w:p>
        </w:tc>
      </w:tr>
      <w:tr w:rsidR="002530E2" w14:paraId="360939AC" w14:textId="77777777">
        <w:tc>
          <w:tcPr>
            <w:tcW w:w="1905" w:type="dxa"/>
            <w:shd w:val="clear" w:color="auto" w:fill="auto"/>
            <w:tcMar>
              <w:top w:w="100" w:type="dxa"/>
              <w:left w:w="100" w:type="dxa"/>
              <w:bottom w:w="100" w:type="dxa"/>
              <w:right w:w="100" w:type="dxa"/>
            </w:tcMar>
          </w:tcPr>
          <w:p w14:paraId="28A0343F"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2501182D" w14:textId="77777777" w:rsidR="002530E2" w:rsidRDefault="002530E2">
            <w:pPr>
              <w:spacing w:after="0" w:line="276" w:lineRule="auto"/>
            </w:pPr>
            <w:r>
              <w:t>The controversy surrounding McDonald's serving halal-only meat took place specifically in France, where the fast-food chain operates numerous restaurants.</w:t>
            </w:r>
          </w:p>
        </w:tc>
      </w:tr>
      <w:tr w:rsidR="002530E2" w14:paraId="637BB7AB" w14:textId="77777777">
        <w:tc>
          <w:tcPr>
            <w:tcW w:w="1905" w:type="dxa"/>
            <w:shd w:val="clear" w:color="auto" w:fill="auto"/>
            <w:tcMar>
              <w:top w:w="100" w:type="dxa"/>
              <w:left w:w="100" w:type="dxa"/>
              <w:bottom w:w="100" w:type="dxa"/>
              <w:right w:w="100" w:type="dxa"/>
            </w:tcMar>
          </w:tcPr>
          <w:p w14:paraId="1AF649F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580A660" w14:textId="77777777" w:rsidR="002530E2" w:rsidRDefault="002530E2">
            <w:pPr>
              <w:spacing w:after="0" w:line="276" w:lineRule="auto"/>
            </w:pPr>
            <w:r>
              <w:t xml:space="preserve">Muslim consumers were directly impacted by this cross-cultural blunder. Many Muslims in France felt that McDonald's had not been transparent about serving halal-only meat and believed their religious dietary requirements were being met without their explicit knowledge or consent. </w:t>
            </w:r>
            <w:r>
              <w:lastRenderedPageBreak/>
              <w:t>Consequently, a portion of Muslim consumers expressed disappointment and called for a boycott of McDonald's.</w:t>
            </w:r>
          </w:p>
        </w:tc>
      </w:tr>
      <w:tr w:rsidR="002530E2" w14:paraId="5DED4CB9" w14:textId="77777777">
        <w:tc>
          <w:tcPr>
            <w:tcW w:w="1905" w:type="dxa"/>
            <w:shd w:val="clear" w:color="auto" w:fill="auto"/>
            <w:tcMar>
              <w:top w:w="100" w:type="dxa"/>
              <w:left w:w="100" w:type="dxa"/>
              <w:bottom w:w="100" w:type="dxa"/>
              <w:right w:w="100" w:type="dxa"/>
            </w:tcMar>
          </w:tcPr>
          <w:p w14:paraId="1C4212A2"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2DD19FD4" w14:textId="77777777" w:rsidR="002530E2" w:rsidRDefault="002530E2">
            <w:pPr>
              <w:spacing w:after="0" w:line="276" w:lineRule="auto"/>
            </w:pPr>
            <w:r>
              <w:t>McDonald's, a global fast-food giant, faced criticism and backlash due to the controversy surrounding the serving of halal-only meat in their restaurants. The issue highlighted a lack of clear communication and transparency with Muslim consumers, resulting in reputational damage and potential financial consequences for the brand.</w:t>
            </w:r>
          </w:p>
        </w:tc>
      </w:tr>
      <w:tr w:rsidR="002530E2" w14:paraId="69B3E3C5" w14:textId="77777777">
        <w:tc>
          <w:tcPr>
            <w:tcW w:w="1905" w:type="dxa"/>
            <w:shd w:val="clear" w:color="auto" w:fill="auto"/>
            <w:tcMar>
              <w:top w:w="100" w:type="dxa"/>
              <w:left w:w="100" w:type="dxa"/>
              <w:bottom w:w="100" w:type="dxa"/>
              <w:right w:w="100" w:type="dxa"/>
            </w:tcMar>
          </w:tcPr>
          <w:p w14:paraId="73A544B3"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26496BA8" w14:textId="77777777" w:rsidR="002530E2" w:rsidRDefault="002530E2">
            <w:pPr>
              <w:spacing w:after="0" w:line="276" w:lineRule="auto"/>
            </w:pPr>
            <w:r>
              <w:t>Muslim consumers who were unaware of McDonald's halal-only meat policy felt their trust had been compromised. The lack of transparency created a sense of betrayal among some customers, leading to disappointment and frustration. The incident sparked discussions on social media platforms and within Muslim communities, amplifying the negative sentiment towards McDonald's (Huffington Post, 2010).</w:t>
            </w:r>
          </w:p>
        </w:tc>
      </w:tr>
      <w:tr w:rsidR="002530E2" w14:paraId="00BB2B48" w14:textId="77777777">
        <w:tc>
          <w:tcPr>
            <w:tcW w:w="1905" w:type="dxa"/>
            <w:shd w:val="clear" w:color="auto" w:fill="auto"/>
            <w:tcMar>
              <w:top w:w="100" w:type="dxa"/>
              <w:left w:w="100" w:type="dxa"/>
              <w:bottom w:w="100" w:type="dxa"/>
              <w:right w:w="100" w:type="dxa"/>
            </w:tcMar>
          </w:tcPr>
          <w:p w14:paraId="3535F14E"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71771706" w14:textId="77777777" w:rsidR="002530E2" w:rsidRDefault="002530E2">
            <w:pPr>
              <w:spacing w:after="0" w:line="276" w:lineRule="auto"/>
            </w:pPr>
            <w:r>
              <w:t>The controversy surrounding McDonald's halal-only meat policy had implications for the brand's reputation and financial performance. The lack of transparency and perceived disregard for customer communication raised concerns among a portion of the consumer base, potentially leading to a decline in sales and a tarnished brand image.</w:t>
            </w:r>
          </w:p>
        </w:tc>
      </w:tr>
      <w:tr w:rsidR="002530E2" w14:paraId="53BFB233" w14:textId="77777777">
        <w:tc>
          <w:tcPr>
            <w:tcW w:w="1905" w:type="dxa"/>
            <w:shd w:val="clear" w:color="auto" w:fill="auto"/>
            <w:tcMar>
              <w:top w:w="100" w:type="dxa"/>
              <w:left w:w="100" w:type="dxa"/>
              <w:bottom w:w="100" w:type="dxa"/>
              <w:right w:w="100" w:type="dxa"/>
            </w:tcMar>
          </w:tcPr>
          <w:p w14:paraId="2778246D"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471A3713" w14:textId="77777777" w:rsidR="002530E2" w:rsidRDefault="002530E2">
            <w:pPr>
              <w:spacing w:after="0" w:line="276" w:lineRule="auto"/>
            </w:pPr>
            <w:r>
              <w:t>McDonald's faced criticism for not proactively informing Muslim consumers about the availability of halal-only meat in their restaurants. The lack of clear communication channels and transparency regarding dietary practices contributed to the cross-cultural blunder.</w:t>
            </w:r>
          </w:p>
        </w:tc>
      </w:tr>
      <w:tr w:rsidR="002530E2" w14:paraId="0FA1E966" w14:textId="77777777">
        <w:tc>
          <w:tcPr>
            <w:tcW w:w="1905" w:type="dxa"/>
            <w:shd w:val="clear" w:color="auto" w:fill="auto"/>
            <w:tcMar>
              <w:top w:w="100" w:type="dxa"/>
              <w:left w:w="100" w:type="dxa"/>
              <w:bottom w:w="100" w:type="dxa"/>
              <w:right w:w="100" w:type="dxa"/>
            </w:tcMar>
          </w:tcPr>
          <w:p w14:paraId="7C242C09"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12BA497D" w14:textId="77777777" w:rsidR="002530E2" w:rsidRDefault="002530E2">
            <w:pPr>
              <w:spacing w:after="0" w:line="276" w:lineRule="auto"/>
            </w:pPr>
            <w:r>
              <w:t>In response to the controversy, McDonald's issued public statements acknowledging the concerns raised by Muslim consumers. The company committed to improving communication and transparency regarding the availability of halal-only meat in their restaurants. McDonald's emphasised its commitment to respecting diverse customer needs and vowed to work on enhancing its communication channels with the Muslim community (Reuters, 2010).</w:t>
            </w:r>
          </w:p>
        </w:tc>
      </w:tr>
      <w:tr w:rsidR="002530E2" w14:paraId="053D7AA6" w14:textId="77777777">
        <w:tc>
          <w:tcPr>
            <w:tcW w:w="1905" w:type="dxa"/>
            <w:shd w:val="clear" w:color="auto" w:fill="auto"/>
            <w:tcMar>
              <w:top w:w="100" w:type="dxa"/>
              <w:left w:w="100" w:type="dxa"/>
              <w:bottom w:w="100" w:type="dxa"/>
              <w:right w:w="100" w:type="dxa"/>
            </w:tcMar>
          </w:tcPr>
          <w:p w14:paraId="5183AF3E"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43E6B869" w14:textId="77777777" w:rsidR="002530E2" w:rsidRDefault="002530E2">
            <w:pPr>
              <w:spacing w:after="0" w:line="276" w:lineRule="auto"/>
            </w:pPr>
            <w:r>
              <w:t xml:space="preserve">To prevent similar incidents in the future, McDonald's should implement comprehensive guidelines and protocols for transparent communication with customers regarding any special dietary practices. Proactive measures, such as prominently displaying signage or providing clear information through digital platforms and official statements, can help build trust and avoid misunderstandings. Moving forward, McDonald's should consider engaging with diverse communities and seeking their input in decisions regarding dietary practices. Conducting customer surveys, engaging with cultural </w:t>
            </w:r>
            <w:r>
              <w:lastRenderedPageBreak/>
              <w:t>experts, and establishing feedback mechanisms can contribute to a more inclusive approach and prevent potential cross-cultural blunders.</w:t>
            </w:r>
          </w:p>
        </w:tc>
      </w:tr>
      <w:tr w:rsidR="002530E2" w14:paraId="126233CB" w14:textId="77777777">
        <w:tc>
          <w:tcPr>
            <w:tcW w:w="1905" w:type="dxa"/>
            <w:shd w:val="clear" w:color="auto" w:fill="auto"/>
            <w:tcMar>
              <w:top w:w="100" w:type="dxa"/>
              <w:left w:w="100" w:type="dxa"/>
              <w:bottom w:w="100" w:type="dxa"/>
              <w:right w:w="100" w:type="dxa"/>
            </w:tcMar>
          </w:tcPr>
          <w:p w14:paraId="2296F85D"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14C2DB42" w14:textId="77777777" w:rsidR="002530E2" w:rsidRDefault="002530E2">
            <w:pPr>
              <w:spacing w:after="0" w:line="276" w:lineRule="auto"/>
            </w:pPr>
            <w:r>
              <w:t>The McDonald's halal-only meat controversy in France highlighted the importance of clear communication and transparency in multinational corporations' interactions with diverse customer groups. The incident, which sparked criticism and calls for a boycott from Muslim consumers, shed light on the need for greater sensitivity and awareness of cultural and religious practices. McDonald's response, including public statements and a commitment to improving communication, aimed to address the concerns raised and rebuild trust with its customers (BBC, 2010).</w:t>
            </w:r>
          </w:p>
        </w:tc>
      </w:tr>
    </w:tbl>
    <w:p w14:paraId="5C69AACB" w14:textId="77777777" w:rsidR="002530E2" w:rsidRDefault="002530E2"/>
    <w:p w14:paraId="5CCA027D" w14:textId="77777777" w:rsidR="002530E2" w:rsidRDefault="002530E2">
      <w:pPr>
        <w:pStyle w:val="Heading2"/>
      </w:pPr>
      <w:bookmarkStart w:id="417" w:name="_5icwk04mqfbx" w:colFirst="0" w:colLast="0"/>
      <w:bookmarkEnd w:id="417"/>
      <w:r>
        <w:t>IR 002 (2010: Nestle,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46943BD" w14:textId="77777777">
        <w:tc>
          <w:tcPr>
            <w:tcW w:w="1905" w:type="dxa"/>
            <w:shd w:val="clear" w:color="auto" w:fill="auto"/>
            <w:tcMar>
              <w:top w:w="100" w:type="dxa"/>
              <w:left w:w="100" w:type="dxa"/>
              <w:bottom w:w="100" w:type="dxa"/>
              <w:right w:w="100" w:type="dxa"/>
            </w:tcMar>
          </w:tcPr>
          <w:p w14:paraId="4CCE5FF5"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4441F16" w14:textId="77777777" w:rsidR="002530E2" w:rsidRDefault="002530E2">
            <w:pPr>
              <w:spacing w:after="0" w:line="276" w:lineRule="auto"/>
            </w:pPr>
            <w:r>
              <w:t>Incident Report Title: “Nestle's Controversy Regarding Traces of Pork DNA in Products”</w:t>
            </w:r>
          </w:p>
        </w:tc>
      </w:tr>
      <w:tr w:rsidR="002530E2" w14:paraId="29229B65" w14:textId="77777777">
        <w:tc>
          <w:tcPr>
            <w:tcW w:w="1905" w:type="dxa"/>
            <w:shd w:val="clear" w:color="auto" w:fill="auto"/>
            <w:tcMar>
              <w:top w:w="100" w:type="dxa"/>
              <w:left w:w="100" w:type="dxa"/>
              <w:bottom w:w="100" w:type="dxa"/>
              <w:right w:w="100" w:type="dxa"/>
            </w:tcMar>
          </w:tcPr>
          <w:p w14:paraId="3558A511"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24C15D3C" w14:textId="77777777" w:rsidR="002530E2" w:rsidRDefault="002530E2">
            <w:pPr>
              <w:spacing w:after="0" w:line="276" w:lineRule="auto"/>
            </w:pPr>
            <w:r>
              <w:t>This case examines the cross-cultural blunder by Nestle in 2010, which resulted in criticism from Muslim consumers. The report focuses on the controversy surrounding Nestle's products and the presence of traces of pork DNA, which is considered haram (forbidden) in Islamic dietary guidelines.</w:t>
            </w:r>
          </w:p>
        </w:tc>
      </w:tr>
      <w:tr w:rsidR="002530E2" w14:paraId="54D4C897" w14:textId="77777777">
        <w:tc>
          <w:tcPr>
            <w:tcW w:w="1905" w:type="dxa"/>
            <w:shd w:val="clear" w:color="auto" w:fill="auto"/>
            <w:tcMar>
              <w:top w:w="100" w:type="dxa"/>
              <w:left w:w="100" w:type="dxa"/>
              <w:bottom w:w="100" w:type="dxa"/>
              <w:right w:w="100" w:type="dxa"/>
            </w:tcMar>
          </w:tcPr>
          <w:p w14:paraId="2FB027F1"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3F90F83" w14:textId="77777777" w:rsidR="002530E2" w:rsidRDefault="002530E2">
            <w:pPr>
              <w:spacing w:after="0" w:line="276" w:lineRule="auto"/>
            </w:pPr>
            <w:r>
              <w:t>In 2010, Nestle faced criticism when it was revealed that some of its products, including KitKat chocolate bars, contained traces of pork DNA. This discovery caused distress among Muslim consumers who strictly adhere to halal dietary requirements, as the consumption of pork is forbidden in Islam.</w:t>
            </w:r>
          </w:p>
        </w:tc>
      </w:tr>
      <w:tr w:rsidR="002530E2" w14:paraId="03BB9D5C" w14:textId="77777777">
        <w:tc>
          <w:tcPr>
            <w:tcW w:w="1905" w:type="dxa"/>
            <w:shd w:val="clear" w:color="auto" w:fill="auto"/>
            <w:tcMar>
              <w:top w:w="100" w:type="dxa"/>
              <w:left w:w="100" w:type="dxa"/>
              <w:bottom w:w="100" w:type="dxa"/>
              <w:right w:w="100" w:type="dxa"/>
            </w:tcMar>
          </w:tcPr>
          <w:p w14:paraId="022024F2"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6361475" w14:textId="77777777" w:rsidR="002530E2" w:rsidRDefault="002530E2">
            <w:pPr>
              <w:spacing w:after="0" w:line="276" w:lineRule="auto"/>
            </w:pPr>
            <w:r>
              <w:t>The incident occurred in 2010, when it was disclosed that certain Nestle products, specifically KitKat chocolate bars, contained traces of pork DNA.</w:t>
            </w:r>
          </w:p>
        </w:tc>
      </w:tr>
      <w:tr w:rsidR="002530E2" w14:paraId="6FFF9F6B" w14:textId="77777777">
        <w:tc>
          <w:tcPr>
            <w:tcW w:w="1905" w:type="dxa"/>
            <w:shd w:val="clear" w:color="auto" w:fill="auto"/>
            <w:tcMar>
              <w:top w:w="100" w:type="dxa"/>
              <w:left w:w="100" w:type="dxa"/>
              <w:bottom w:w="100" w:type="dxa"/>
              <w:right w:w="100" w:type="dxa"/>
            </w:tcMar>
          </w:tcPr>
          <w:p w14:paraId="4F907629"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7411F562" w14:textId="77777777" w:rsidR="002530E2" w:rsidRDefault="002530E2">
            <w:pPr>
              <w:spacing w:after="0" w:line="276" w:lineRule="auto"/>
            </w:pPr>
            <w:r>
              <w:t>The controversy surrounding Nestle's products and the presence of pork DNA affected Muslim consumers globally, wherever Nestle products were available and consumed.</w:t>
            </w:r>
          </w:p>
        </w:tc>
      </w:tr>
      <w:tr w:rsidR="002530E2" w14:paraId="1B373A58" w14:textId="77777777">
        <w:tc>
          <w:tcPr>
            <w:tcW w:w="1905" w:type="dxa"/>
            <w:shd w:val="clear" w:color="auto" w:fill="auto"/>
            <w:tcMar>
              <w:top w:w="100" w:type="dxa"/>
              <w:left w:w="100" w:type="dxa"/>
              <w:bottom w:w="100" w:type="dxa"/>
              <w:right w:w="100" w:type="dxa"/>
            </w:tcMar>
          </w:tcPr>
          <w:p w14:paraId="3C93BE96"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B035DEE" w14:textId="77777777" w:rsidR="002530E2" w:rsidRDefault="002530E2">
            <w:pPr>
              <w:spacing w:after="0" w:line="276" w:lineRule="auto"/>
            </w:pPr>
            <w:r>
              <w:t>Muslim consumers who follow halal dietary guidelines were directly affected by this incident. They felt deceived and betrayed by Nestle's failure to ensure that its products were free from traces of pork DNA, leading to a loss of trust and a sense of disrespect towards their religious beliefs.</w:t>
            </w:r>
          </w:p>
        </w:tc>
      </w:tr>
      <w:tr w:rsidR="002530E2" w14:paraId="22B1A2CE" w14:textId="77777777">
        <w:tc>
          <w:tcPr>
            <w:tcW w:w="1905" w:type="dxa"/>
            <w:shd w:val="clear" w:color="auto" w:fill="auto"/>
            <w:tcMar>
              <w:top w:w="100" w:type="dxa"/>
              <w:left w:w="100" w:type="dxa"/>
              <w:bottom w:w="100" w:type="dxa"/>
              <w:right w:w="100" w:type="dxa"/>
            </w:tcMar>
          </w:tcPr>
          <w:p w14:paraId="30C6155D"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3A2E70FE" w14:textId="77777777" w:rsidR="002530E2" w:rsidRDefault="002530E2">
            <w:pPr>
              <w:spacing w:after="0" w:line="276" w:lineRule="auto"/>
            </w:pPr>
            <w:r>
              <w:t>Nestle, a multinational food and beverage company, faced criticism from Muslim consumers for the presence of pork DNA in its products. The company was held accountable for not thoroughly ensuring that its ingredients and manufacturing processes complied with halal standards.</w:t>
            </w:r>
          </w:p>
        </w:tc>
      </w:tr>
      <w:tr w:rsidR="002530E2" w14:paraId="24873DB0" w14:textId="77777777">
        <w:tc>
          <w:tcPr>
            <w:tcW w:w="1905" w:type="dxa"/>
            <w:shd w:val="clear" w:color="auto" w:fill="auto"/>
            <w:tcMar>
              <w:top w:w="100" w:type="dxa"/>
              <w:left w:w="100" w:type="dxa"/>
              <w:bottom w:w="100" w:type="dxa"/>
              <w:right w:w="100" w:type="dxa"/>
            </w:tcMar>
          </w:tcPr>
          <w:p w14:paraId="13BF8D35"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3698F1F6" w14:textId="77777777" w:rsidR="002530E2" w:rsidRDefault="002530E2">
            <w:pPr>
              <w:spacing w:after="0" w:line="276" w:lineRule="auto"/>
            </w:pPr>
            <w:r>
              <w:t>Muslim consumers expressed their disappointment and anger at Nestle for the inadvertent inclusion of pork DNA in its products. Many individuals called for a boycott of Nestle, as they believed that the company had failed to provide them with halal-certified products, compromising their religious dietary requirements.</w:t>
            </w:r>
          </w:p>
        </w:tc>
      </w:tr>
      <w:tr w:rsidR="002530E2" w14:paraId="4EDAB725" w14:textId="77777777">
        <w:tc>
          <w:tcPr>
            <w:tcW w:w="1905" w:type="dxa"/>
            <w:shd w:val="clear" w:color="auto" w:fill="auto"/>
            <w:tcMar>
              <w:top w:w="100" w:type="dxa"/>
              <w:left w:w="100" w:type="dxa"/>
              <w:bottom w:w="100" w:type="dxa"/>
              <w:right w:w="100" w:type="dxa"/>
            </w:tcMar>
          </w:tcPr>
          <w:p w14:paraId="7356622D"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4013F00" w14:textId="77777777" w:rsidR="002530E2" w:rsidRDefault="002530E2">
            <w:pPr>
              <w:spacing w:after="0" w:line="276" w:lineRule="auto"/>
            </w:pPr>
            <w:r>
              <w:t>The controversy had significant repercussions for Nestle, including a tarnished reputation and potential financial losses due to the boycott called for by Muslim consumers. Nestle faced the challenge of regaining the trust of Muslim consumers and ensuring the integrity of its products in relation to halal requirements.</w:t>
            </w:r>
          </w:p>
        </w:tc>
      </w:tr>
      <w:tr w:rsidR="002530E2" w14:paraId="02881465" w14:textId="77777777">
        <w:tc>
          <w:tcPr>
            <w:tcW w:w="1905" w:type="dxa"/>
            <w:shd w:val="clear" w:color="auto" w:fill="auto"/>
            <w:tcMar>
              <w:top w:w="100" w:type="dxa"/>
              <w:left w:w="100" w:type="dxa"/>
              <w:bottom w:w="100" w:type="dxa"/>
              <w:right w:w="100" w:type="dxa"/>
            </w:tcMar>
          </w:tcPr>
          <w:p w14:paraId="37B0DF9B"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77F1CFF" w14:textId="77777777" w:rsidR="002530E2" w:rsidRDefault="002530E2">
            <w:pPr>
              <w:spacing w:after="0" w:line="276" w:lineRule="auto"/>
            </w:pPr>
            <w:r>
              <w:t>The presence of traces of pork DNA in Nestle's products can be attributed to lapses in the sourcing and handling of ingredients as well as inadequacies in quality control procedures. This incident highlighted the need for stringent measures to prevent cross-contamination and ensure compliance with halal standards.</w:t>
            </w:r>
          </w:p>
        </w:tc>
      </w:tr>
      <w:tr w:rsidR="002530E2" w14:paraId="7E283481" w14:textId="77777777">
        <w:tc>
          <w:tcPr>
            <w:tcW w:w="1905" w:type="dxa"/>
            <w:shd w:val="clear" w:color="auto" w:fill="auto"/>
            <w:tcMar>
              <w:top w:w="100" w:type="dxa"/>
              <w:left w:w="100" w:type="dxa"/>
              <w:bottom w:w="100" w:type="dxa"/>
              <w:right w:w="100" w:type="dxa"/>
            </w:tcMar>
          </w:tcPr>
          <w:p w14:paraId="39830B2F"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350CF28" w14:textId="77777777" w:rsidR="002530E2" w:rsidRDefault="002530E2">
            <w:pPr>
              <w:spacing w:after="0" w:line="276" w:lineRule="auto"/>
            </w:pPr>
            <w:r>
              <w:t>In response to the criticism, Nestle issued a public apology and implemented rigorous quality control measures to prevent future instances of contamination. The company committed to strengthening its supply chain management, sourcing halal-certified ingredients, and improving transparency regarding the halal status of its products.</w:t>
            </w:r>
          </w:p>
        </w:tc>
      </w:tr>
      <w:tr w:rsidR="002530E2" w14:paraId="7BCF8BA4" w14:textId="77777777">
        <w:tc>
          <w:tcPr>
            <w:tcW w:w="1905" w:type="dxa"/>
            <w:shd w:val="clear" w:color="auto" w:fill="auto"/>
            <w:tcMar>
              <w:top w:w="100" w:type="dxa"/>
              <w:left w:w="100" w:type="dxa"/>
              <w:bottom w:w="100" w:type="dxa"/>
              <w:right w:w="100" w:type="dxa"/>
            </w:tcMar>
          </w:tcPr>
          <w:p w14:paraId="6773262E"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478CB383" w14:textId="77777777" w:rsidR="002530E2" w:rsidRDefault="002530E2">
            <w:pPr>
              <w:spacing w:after="0" w:line="276" w:lineRule="auto"/>
            </w:pPr>
            <w:r>
              <w:t>To prevent similar incidents in the future, Nestle should establish comprehensive guidelines and protocols for halal compliance throughout its production process. Regular audits, independent certification, and enhanced transparency in labelling can help rebuild trust and ensure that Muslim consumers have access to genuinely halal products. Moving forward, Nestle can invest in extensive employee training programmes on halal standards and cultural sensitivity to strengthen its understanding of diverse religious requirements. Collaboration with recognised halal certification authorities and engagement with Muslim consumer communities can further reinforce Nestle's commitment to meeting their needs.</w:t>
            </w:r>
          </w:p>
        </w:tc>
      </w:tr>
      <w:tr w:rsidR="002530E2" w14:paraId="1D782090" w14:textId="77777777">
        <w:tc>
          <w:tcPr>
            <w:tcW w:w="1905" w:type="dxa"/>
            <w:shd w:val="clear" w:color="auto" w:fill="auto"/>
            <w:tcMar>
              <w:top w:w="100" w:type="dxa"/>
              <w:left w:w="100" w:type="dxa"/>
              <w:bottom w:w="100" w:type="dxa"/>
              <w:right w:w="100" w:type="dxa"/>
            </w:tcMar>
          </w:tcPr>
          <w:p w14:paraId="642D17B9"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30F40BDE" w14:textId="77777777" w:rsidR="002530E2" w:rsidRDefault="002530E2">
            <w:pPr>
              <w:spacing w:after="0" w:line="276" w:lineRule="auto"/>
            </w:pPr>
            <w:r>
              <w:t xml:space="preserve">The controversy surrounding Nestle's products and the discovery of traces of pork DNA underscore the importance of strict adherence to halal standards and transparency in the food and beverage industry. Nestle faced significant backlash from Muslim consumers, leading to calls for a boycott and </w:t>
            </w:r>
            <w:r>
              <w:lastRenderedPageBreak/>
              <w:t>emphasising the need for enhanced quality control and compliance measures to regain trust and ensure the provision of halal-certified products.</w:t>
            </w:r>
          </w:p>
        </w:tc>
      </w:tr>
    </w:tbl>
    <w:p w14:paraId="2485F0C8" w14:textId="77777777" w:rsidR="002530E2" w:rsidRDefault="002530E2"/>
    <w:p w14:paraId="4172F289" w14:textId="77777777" w:rsidR="002530E2" w:rsidRDefault="002530E2">
      <w:pPr>
        <w:pStyle w:val="Heading2"/>
      </w:pPr>
      <w:bookmarkStart w:id="418" w:name="_2ko7blvtw0sn" w:colFirst="0" w:colLast="0"/>
      <w:bookmarkEnd w:id="418"/>
      <w:r>
        <w:t>IR 003 (2011: Coca-Cola, Malaysia)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3B8DC4E4" w14:textId="77777777">
        <w:tc>
          <w:tcPr>
            <w:tcW w:w="1905" w:type="dxa"/>
            <w:shd w:val="clear" w:color="auto" w:fill="auto"/>
            <w:tcMar>
              <w:top w:w="100" w:type="dxa"/>
              <w:left w:w="100" w:type="dxa"/>
              <w:bottom w:w="100" w:type="dxa"/>
              <w:right w:w="100" w:type="dxa"/>
            </w:tcMar>
          </w:tcPr>
          <w:p w14:paraId="71CF4F5A"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39242AE1" w14:textId="77777777" w:rsidR="002530E2" w:rsidRDefault="002530E2">
            <w:pPr>
              <w:spacing w:after="0" w:line="276" w:lineRule="auto"/>
            </w:pPr>
            <w:r>
              <w:t>Incident Report Title: “Coca-Cola Boycott in Malaysia”</w:t>
            </w:r>
          </w:p>
        </w:tc>
      </w:tr>
      <w:tr w:rsidR="002530E2" w14:paraId="19CC95C0" w14:textId="77777777">
        <w:tc>
          <w:tcPr>
            <w:tcW w:w="1905" w:type="dxa"/>
            <w:shd w:val="clear" w:color="auto" w:fill="auto"/>
            <w:tcMar>
              <w:top w:w="100" w:type="dxa"/>
              <w:left w:w="100" w:type="dxa"/>
              <w:bottom w:w="100" w:type="dxa"/>
              <w:right w:w="100" w:type="dxa"/>
            </w:tcMar>
          </w:tcPr>
          <w:p w14:paraId="48C73FC9"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1EE6DD82" w14:textId="77777777" w:rsidR="002530E2" w:rsidRDefault="002530E2">
            <w:pPr>
              <w:spacing w:after="0" w:line="276" w:lineRule="auto"/>
            </w:pPr>
            <w:r>
              <w:t>This case focuses on the boycott faced by Coca-Cola in Malaysia in 2011. Muslim consumers in Malaysia launched a boycott against Coca-Cola, alleging that the company supported Israel and its occupation of Palestine. They protested against what they perceived as a violation of Muslim rights and dignity.</w:t>
            </w:r>
          </w:p>
        </w:tc>
      </w:tr>
      <w:tr w:rsidR="002530E2" w14:paraId="5895D36D" w14:textId="77777777">
        <w:tc>
          <w:tcPr>
            <w:tcW w:w="1905" w:type="dxa"/>
            <w:shd w:val="clear" w:color="auto" w:fill="auto"/>
            <w:tcMar>
              <w:top w:w="100" w:type="dxa"/>
              <w:left w:w="100" w:type="dxa"/>
              <w:bottom w:w="100" w:type="dxa"/>
              <w:right w:w="100" w:type="dxa"/>
            </w:tcMar>
          </w:tcPr>
          <w:p w14:paraId="5899B234"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B564B5C" w14:textId="77777777" w:rsidR="002530E2" w:rsidRDefault="002530E2">
            <w:pPr>
              <w:spacing w:after="0" w:line="276" w:lineRule="auto"/>
            </w:pPr>
            <w:r>
              <w:t>In 2011, Coca-Cola faced a boycott in Malaysia following allegations that the company supported Israel and its occupation of Palestine. Muslim consumers in Malaysia expressed their discontent and called for a boycott of Coca-Cola products.</w:t>
            </w:r>
          </w:p>
        </w:tc>
      </w:tr>
      <w:tr w:rsidR="002530E2" w14:paraId="3E11F6C3" w14:textId="77777777">
        <w:tc>
          <w:tcPr>
            <w:tcW w:w="1905" w:type="dxa"/>
            <w:shd w:val="clear" w:color="auto" w:fill="auto"/>
            <w:tcMar>
              <w:top w:w="100" w:type="dxa"/>
              <w:left w:w="100" w:type="dxa"/>
              <w:bottom w:w="100" w:type="dxa"/>
              <w:right w:w="100" w:type="dxa"/>
            </w:tcMar>
          </w:tcPr>
          <w:p w14:paraId="06DCCF9F"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6015C420" w14:textId="77777777" w:rsidR="002530E2" w:rsidRDefault="002530E2">
            <w:pPr>
              <w:spacing w:after="0" w:line="276" w:lineRule="auto"/>
            </w:pPr>
            <w:r>
              <w:t>The boycott against Coca-Cola took place in 2011, when allegations of the company's alleged support for Israel and its occupation of Palestine emerged.</w:t>
            </w:r>
          </w:p>
        </w:tc>
      </w:tr>
      <w:tr w:rsidR="002530E2" w14:paraId="590EF234" w14:textId="77777777">
        <w:tc>
          <w:tcPr>
            <w:tcW w:w="1905" w:type="dxa"/>
            <w:shd w:val="clear" w:color="auto" w:fill="auto"/>
            <w:tcMar>
              <w:top w:w="100" w:type="dxa"/>
              <w:left w:w="100" w:type="dxa"/>
              <w:bottom w:w="100" w:type="dxa"/>
              <w:right w:w="100" w:type="dxa"/>
            </w:tcMar>
          </w:tcPr>
          <w:p w14:paraId="52346956"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3FB9E18F" w14:textId="77777777" w:rsidR="002530E2" w:rsidRDefault="002530E2">
            <w:pPr>
              <w:spacing w:after="0" w:line="276" w:lineRule="auto"/>
            </w:pPr>
            <w:r>
              <w:t>The boycott primarily occurred in Malaysia, where Muslim consumers organised protests and launched a campaign against Coca-Cola.</w:t>
            </w:r>
          </w:p>
        </w:tc>
      </w:tr>
      <w:tr w:rsidR="002530E2" w14:paraId="07C67143" w14:textId="77777777">
        <w:tc>
          <w:tcPr>
            <w:tcW w:w="1905" w:type="dxa"/>
            <w:shd w:val="clear" w:color="auto" w:fill="auto"/>
            <w:tcMar>
              <w:top w:w="100" w:type="dxa"/>
              <w:left w:w="100" w:type="dxa"/>
              <w:bottom w:w="100" w:type="dxa"/>
              <w:right w:w="100" w:type="dxa"/>
            </w:tcMar>
          </w:tcPr>
          <w:p w14:paraId="2D6EAB21"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9A7DC98" w14:textId="77777777" w:rsidR="002530E2" w:rsidRDefault="002530E2">
            <w:pPr>
              <w:spacing w:after="0" w:line="276" w:lineRule="auto"/>
            </w:pPr>
            <w:r>
              <w:t>Muslim consumers in Malaysia were the primary group behind the boycott of Coca-Cola. They believed that the company's alleged support for Israel and its occupation of Palestine was a violation of Muslim rights and dignity.</w:t>
            </w:r>
          </w:p>
        </w:tc>
      </w:tr>
      <w:tr w:rsidR="002530E2" w14:paraId="4B0679AB" w14:textId="77777777">
        <w:tc>
          <w:tcPr>
            <w:tcW w:w="1905" w:type="dxa"/>
            <w:shd w:val="clear" w:color="auto" w:fill="auto"/>
            <w:tcMar>
              <w:top w:w="100" w:type="dxa"/>
              <w:left w:w="100" w:type="dxa"/>
              <w:bottom w:w="100" w:type="dxa"/>
              <w:right w:w="100" w:type="dxa"/>
            </w:tcMar>
          </w:tcPr>
          <w:p w14:paraId="62F3DA19"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002EB37" w14:textId="77777777" w:rsidR="002530E2" w:rsidRDefault="002530E2">
            <w:pPr>
              <w:spacing w:after="0" w:line="276" w:lineRule="auto"/>
            </w:pPr>
            <w:r>
              <w:t>Coca-Cola, the multinational beverage company, faced a boycott in Malaysia due to allegations made by Muslim consumers regarding its alleged support for Israel and its occupation of Palestine.</w:t>
            </w:r>
          </w:p>
        </w:tc>
      </w:tr>
      <w:tr w:rsidR="002530E2" w14:paraId="1E8B8569" w14:textId="77777777">
        <w:tc>
          <w:tcPr>
            <w:tcW w:w="1905" w:type="dxa"/>
            <w:shd w:val="clear" w:color="auto" w:fill="auto"/>
            <w:tcMar>
              <w:top w:w="100" w:type="dxa"/>
              <w:left w:w="100" w:type="dxa"/>
              <w:bottom w:w="100" w:type="dxa"/>
              <w:right w:w="100" w:type="dxa"/>
            </w:tcMar>
          </w:tcPr>
          <w:p w14:paraId="5276630C" w14:textId="77777777" w:rsidR="002530E2" w:rsidRDefault="002530E2">
            <w:pPr>
              <w:spacing w:after="0" w:line="276" w:lineRule="auto"/>
            </w:pPr>
            <w:r>
              <w:t xml:space="preserve">IRE 7: VICTIMISATION — WHAT WERE THE </w:t>
            </w:r>
            <w:r>
              <w:lastRenderedPageBreak/>
              <w:t>CONSEQUENCES FOR MUSLIMS?</w:t>
            </w:r>
          </w:p>
        </w:tc>
        <w:tc>
          <w:tcPr>
            <w:tcW w:w="7125" w:type="dxa"/>
            <w:shd w:val="clear" w:color="auto" w:fill="auto"/>
            <w:tcMar>
              <w:top w:w="100" w:type="dxa"/>
              <w:left w:w="100" w:type="dxa"/>
              <w:bottom w:w="100" w:type="dxa"/>
              <w:right w:w="100" w:type="dxa"/>
            </w:tcMar>
          </w:tcPr>
          <w:p w14:paraId="22C2999B" w14:textId="77777777" w:rsidR="002530E2" w:rsidRDefault="002530E2">
            <w:pPr>
              <w:spacing w:after="0" w:line="276" w:lineRule="auto"/>
            </w:pPr>
            <w:r>
              <w:lastRenderedPageBreak/>
              <w:t>Muslim consumers in Malaysia accused Coca-Cola of supporting Israel and its occupation of Palestine, which they believed went against their religious and moral principles. These allegations were the main driver behind the boycott.</w:t>
            </w:r>
          </w:p>
        </w:tc>
      </w:tr>
      <w:tr w:rsidR="002530E2" w14:paraId="182DC8A0" w14:textId="77777777">
        <w:tc>
          <w:tcPr>
            <w:tcW w:w="1905" w:type="dxa"/>
            <w:shd w:val="clear" w:color="auto" w:fill="auto"/>
            <w:tcMar>
              <w:top w:w="100" w:type="dxa"/>
              <w:left w:w="100" w:type="dxa"/>
              <w:bottom w:w="100" w:type="dxa"/>
              <w:right w:w="100" w:type="dxa"/>
            </w:tcMar>
          </w:tcPr>
          <w:p w14:paraId="6989C62A"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5841BDD" w14:textId="77777777" w:rsidR="002530E2" w:rsidRDefault="002530E2">
            <w:pPr>
              <w:spacing w:after="0" w:line="276" w:lineRule="auto"/>
            </w:pPr>
            <w:r>
              <w:t>Muslim consumers organised protests, called for a boycott of Coca-Cola products, and spread awareness about their allegations through various channels, including social media and community campaigns.</w:t>
            </w:r>
          </w:p>
        </w:tc>
      </w:tr>
      <w:tr w:rsidR="002530E2" w14:paraId="73F96347" w14:textId="77777777">
        <w:tc>
          <w:tcPr>
            <w:tcW w:w="1905" w:type="dxa"/>
            <w:shd w:val="clear" w:color="auto" w:fill="auto"/>
            <w:tcMar>
              <w:top w:w="100" w:type="dxa"/>
              <w:left w:w="100" w:type="dxa"/>
              <w:bottom w:w="100" w:type="dxa"/>
              <w:right w:w="100" w:type="dxa"/>
            </w:tcMar>
          </w:tcPr>
          <w:p w14:paraId="2F7665B6"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6C28CACF" w14:textId="77777777" w:rsidR="002530E2" w:rsidRDefault="002530E2">
            <w:pPr>
              <w:spacing w:after="0" w:line="276" w:lineRule="auto"/>
            </w:pPr>
            <w:r>
              <w:t>The Muslim consumers participating in the boycott believed that Coca-Cola's alleged support for Israel and its occupation of Palestine amounted to a violation of Muslim rights and dignity. They felt that purchasing Coca-Cola products would indirectly support actions they deemed to be against their religious and ethical values.</w:t>
            </w:r>
          </w:p>
        </w:tc>
      </w:tr>
      <w:tr w:rsidR="002530E2" w14:paraId="4B575D54" w14:textId="77777777">
        <w:tc>
          <w:tcPr>
            <w:tcW w:w="1905" w:type="dxa"/>
            <w:shd w:val="clear" w:color="auto" w:fill="auto"/>
            <w:tcMar>
              <w:top w:w="100" w:type="dxa"/>
              <w:left w:w="100" w:type="dxa"/>
              <w:bottom w:w="100" w:type="dxa"/>
              <w:right w:w="100" w:type="dxa"/>
            </w:tcMar>
          </w:tcPr>
          <w:p w14:paraId="41629334"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DB607D4" w14:textId="77777777" w:rsidR="002530E2" w:rsidRDefault="002530E2">
            <w:pPr>
              <w:spacing w:after="0" w:line="276" w:lineRule="auto"/>
            </w:pPr>
            <w:r>
              <w:t>Coca-Cola responded to the boycott by reiterating its commitment to being an apolitical company and emphasising its dedication to operating responsibly and ethically. The company denied the allegations that it supported Israel and its occupation of Palestine. The full impact of the boycott on Coca-Cola's business in Malaysia is not extensively documented. However, it is worth noting that the boycott created awareness and sparked conversations about the alleged issue. Coca-Cola continued to operate in Malaysia and maintained its presence in the market.</w:t>
            </w:r>
          </w:p>
        </w:tc>
      </w:tr>
      <w:tr w:rsidR="002530E2" w14:paraId="616D341C" w14:textId="77777777">
        <w:tc>
          <w:tcPr>
            <w:tcW w:w="1905" w:type="dxa"/>
            <w:shd w:val="clear" w:color="auto" w:fill="auto"/>
            <w:tcMar>
              <w:top w:w="100" w:type="dxa"/>
              <w:left w:w="100" w:type="dxa"/>
              <w:bottom w:w="100" w:type="dxa"/>
              <w:right w:w="100" w:type="dxa"/>
            </w:tcMar>
          </w:tcPr>
          <w:p w14:paraId="71A44F8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478C0373" w14:textId="77777777" w:rsidR="002530E2" w:rsidRDefault="002530E2">
            <w:pPr>
              <w:spacing w:after="0" w:line="276" w:lineRule="auto"/>
            </w:pPr>
            <w:r>
              <w:t>This incident highlighted the significance of aligning business practices with the values and sensitivities of diverse consumer groups. It also underscored the importance of effective communication to address concerns and clarify any misconceptions.</w:t>
            </w:r>
          </w:p>
        </w:tc>
      </w:tr>
      <w:tr w:rsidR="002530E2" w14:paraId="0033DEF8" w14:textId="77777777">
        <w:tc>
          <w:tcPr>
            <w:tcW w:w="1905" w:type="dxa"/>
            <w:shd w:val="clear" w:color="auto" w:fill="auto"/>
            <w:tcMar>
              <w:top w:w="100" w:type="dxa"/>
              <w:left w:w="100" w:type="dxa"/>
              <w:bottom w:w="100" w:type="dxa"/>
              <w:right w:w="100" w:type="dxa"/>
            </w:tcMar>
          </w:tcPr>
          <w:p w14:paraId="3574EE23"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61E097FE" w14:textId="77777777" w:rsidR="002530E2" w:rsidRDefault="002530E2">
            <w:pPr>
              <w:spacing w:after="0" w:line="276" w:lineRule="auto"/>
            </w:pPr>
            <w:r>
              <w:t>In 2011, Coca-Cola faced a boycott in Malaysia as Muslim consumers alleged that the company supported Israel and its occupation of Palestine. Muslim consumers believed this to be a violation of Muslim rights and dignity, leading to protests and a call for a boycott of Coca-Cola products. Coca-Cola responded by denying the allegations and affirming its commitment to ethical practices.</w:t>
            </w:r>
          </w:p>
        </w:tc>
      </w:tr>
    </w:tbl>
    <w:p w14:paraId="60FD6E96" w14:textId="77777777" w:rsidR="002530E2" w:rsidRDefault="002530E2"/>
    <w:p w14:paraId="75886DEC" w14:textId="77777777" w:rsidR="002530E2" w:rsidRDefault="002530E2">
      <w:pPr>
        <w:pStyle w:val="Heading2"/>
      </w:pPr>
      <w:bookmarkStart w:id="419" w:name="_osc2woaocbwu" w:colFirst="0" w:colLast="0"/>
      <w:bookmarkEnd w:id="419"/>
      <w:r>
        <w:lastRenderedPageBreak/>
        <w:t>IR 004 (2012: KFC, Malaysia)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F633274" w14:textId="77777777">
        <w:tc>
          <w:tcPr>
            <w:tcW w:w="1905" w:type="dxa"/>
            <w:shd w:val="clear" w:color="auto" w:fill="auto"/>
            <w:tcMar>
              <w:top w:w="100" w:type="dxa"/>
              <w:left w:w="100" w:type="dxa"/>
              <w:bottom w:w="100" w:type="dxa"/>
              <w:right w:w="100" w:type="dxa"/>
            </w:tcMar>
          </w:tcPr>
          <w:p w14:paraId="0DEDE183"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9F10BEB" w14:textId="77777777" w:rsidR="002530E2" w:rsidRDefault="002530E2">
            <w:pPr>
              <w:spacing w:after="0" w:line="276" w:lineRule="auto"/>
            </w:pPr>
            <w:r>
              <w:t>Incident Report Title: “KFC's Buckets of Blessings Promotion in Malaysia”</w:t>
            </w:r>
          </w:p>
        </w:tc>
      </w:tr>
      <w:tr w:rsidR="002530E2" w14:paraId="6F83E951" w14:textId="77777777">
        <w:tc>
          <w:tcPr>
            <w:tcW w:w="1905" w:type="dxa"/>
            <w:shd w:val="clear" w:color="auto" w:fill="auto"/>
            <w:tcMar>
              <w:top w:w="100" w:type="dxa"/>
              <w:left w:w="100" w:type="dxa"/>
              <w:bottom w:w="100" w:type="dxa"/>
              <w:right w:w="100" w:type="dxa"/>
            </w:tcMar>
          </w:tcPr>
          <w:p w14:paraId="0B935E31"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2F912D4F" w14:textId="77777777" w:rsidR="002530E2" w:rsidRDefault="002530E2">
            <w:pPr>
              <w:spacing w:after="0" w:line="276" w:lineRule="auto"/>
            </w:pPr>
            <w:r>
              <w:t>This case examines a cross-cultural blunder by KFC in Malaysia in 2012. The report explores the consequences of KFC's "Buckets of Blessings" promotion during Ramadan, highlighting the responses from various stakeholders and addressing strategies for preventing such incidents in the future.</w:t>
            </w:r>
          </w:p>
        </w:tc>
      </w:tr>
      <w:tr w:rsidR="002530E2" w14:paraId="75C4841A" w14:textId="77777777">
        <w:tc>
          <w:tcPr>
            <w:tcW w:w="1905" w:type="dxa"/>
            <w:shd w:val="clear" w:color="auto" w:fill="auto"/>
            <w:tcMar>
              <w:top w:w="100" w:type="dxa"/>
              <w:left w:w="100" w:type="dxa"/>
              <w:bottom w:w="100" w:type="dxa"/>
              <w:right w:w="100" w:type="dxa"/>
            </w:tcMar>
          </w:tcPr>
          <w:p w14:paraId="329ABC6A"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753B0F3D" w14:textId="77777777" w:rsidR="002530E2" w:rsidRDefault="002530E2">
            <w:pPr>
              <w:spacing w:after="0" w:line="276" w:lineRule="auto"/>
            </w:pPr>
            <w:r>
              <w:t>KFC Malaysia launched a promotional campaign called "Buckets of Blessings" in 2012, offering discounts on meals during the holy month of Ramadan. The promotion aimed to attract customers during this festive period. However, the campaign faced criticism from some Muslim customers who perceived it as insensitive and trivialising the significance of Ramadan (Reuters, 2012).</w:t>
            </w:r>
          </w:p>
        </w:tc>
      </w:tr>
      <w:tr w:rsidR="002530E2" w14:paraId="63DF07F5" w14:textId="77777777">
        <w:tc>
          <w:tcPr>
            <w:tcW w:w="1905" w:type="dxa"/>
            <w:shd w:val="clear" w:color="auto" w:fill="auto"/>
            <w:tcMar>
              <w:top w:w="100" w:type="dxa"/>
              <w:left w:w="100" w:type="dxa"/>
              <w:bottom w:w="100" w:type="dxa"/>
              <w:right w:w="100" w:type="dxa"/>
            </w:tcMar>
          </w:tcPr>
          <w:p w14:paraId="0F0CDDD9"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7BA77FCE" w14:textId="77777777" w:rsidR="002530E2" w:rsidRDefault="002530E2">
            <w:pPr>
              <w:spacing w:after="0" w:line="276" w:lineRule="auto"/>
            </w:pPr>
            <w:r>
              <w:t>The incident occurred in 2012 during the month of Ramadan, a sacred time for Muslims worldwide.</w:t>
            </w:r>
          </w:p>
        </w:tc>
      </w:tr>
      <w:tr w:rsidR="002530E2" w14:paraId="0A77A9C0" w14:textId="77777777">
        <w:tc>
          <w:tcPr>
            <w:tcW w:w="1905" w:type="dxa"/>
            <w:shd w:val="clear" w:color="auto" w:fill="auto"/>
            <w:tcMar>
              <w:top w:w="100" w:type="dxa"/>
              <w:left w:w="100" w:type="dxa"/>
              <w:bottom w:w="100" w:type="dxa"/>
              <w:right w:w="100" w:type="dxa"/>
            </w:tcMar>
          </w:tcPr>
          <w:p w14:paraId="7E41213C"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23A4F5D5" w14:textId="77777777" w:rsidR="002530E2" w:rsidRDefault="002530E2">
            <w:pPr>
              <w:spacing w:after="0" w:line="276" w:lineRule="auto"/>
            </w:pPr>
            <w:r>
              <w:t>The incident took place in Malaysia, where KFC Malaysia operates numerous outlets.</w:t>
            </w:r>
          </w:p>
        </w:tc>
      </w:tr>
      <w:tr w:rsidR="002530E2" w14:paraId="7E144666" w14:textId="77777777">
        <w:tc>
          <w:tcPr>
            <w:tcW w:w="1905" w:type="dxa"/>
            <w:shd w:val="clear" w:color="auto" w:fill="auto"/>
            <w:tcMar>
              <w:top w:w="100" w:type="dxa"/>
              <w:left w:w="100" w:type="dxa"/>
              <w:bottom w:w="100" w:type="dxa"/>
              <w:right w:w="100" w:type="dxa"/>
            </w:tcMar>
          </w:tcPr>
          <w:p w14:paraId="2BB7D52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46795864" w14:textId="77777777" w:rsidR="002530E2" w:rsidRDefault="002530E2">
            <w:pPr>
              <w:spacing w:after="0" w:line="276" w:lineRule="auto"/>
            </w:pPr>
            <w:r>
              <w:t xml:space="preserve">Muslim consumers in Malaysia were the primary group affected by this cross-cultural blunder. Some felt that the "Buckets of Blessings" promotion was disrespectful and failed to acknowledge the sanctity of Ramadan. </w:t>
            </w:r>
          </w:p>
          <w:p w14:paraId="3840CDA5" w14:textId="77777777" w:rsidR="002530E2" w:rsidRDefault="002530E2">
            <w:pPr>
              <w:spacing w:after="0" w:line="276" w:lineRule="auto"/>
            </w:pPr>
          </w:p>
          <w:p w14:paraId="291DFA33" w14:textId="77777777" w:rsidR="002530E2" w:rsidRDefault="002530E2">
            <w:pPr>
              <w:spacing w:after="0" w:line="276" w:lineRule="auto"/>
            </w:pPr>
            <w:r>
              <w:t>Social media platforms witnessed a surge in discussions and conversations regarding the promotion. Many Muslim customers expressed their disappointment, emphasising the need for companies to show cultural sensitivity during religious observances (Huffington Post, 2012).</w:t>
            </w:r>
          </w:p>
        </w:tc>
      </w:tr>
      <w:tr w:rsidR="002530E2" w14:paraId="1A33726B" w14:textId="77777777">
        <w:tc>
          <w:tcPr>
            <w:tcW w:w="1905" w:type="dxa"/>
            <w:shd w:val="clear" w:color="auto" w:fill="auto"/>
            <w:tcMar>
              <w:top w:w="100" w:type="dxa"/>
              <w:left w:w="100" w:type="dxa"/>
              <w:bottom w:w="100" w:type="dxa"/>
              <w:right w:w="100" w:type="dxa"/>
            </w:tcMar>
          </w:tcPr>
          <w:p w14:paraId="6ADDA905"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4AA094B" w14:textId="77777777" w:rsidR="002530E2" w:rsidRDefault="002530E2">
            <w:pPr>
              <w:spacing w:after="0" w:line="276" w:lineRule="auto"/>
            </w:pPr>
            <w:r>
              <w:t>KFC Malaysia, a subsidiary of Yum! Brands was at the centre of this incident. The company faced public backlash and negative sentiment from Muslim consumers, which potentially affected its reputation and customer loyalty.</w:t>
            </w:r>
          </w:p>
        </w:tc>
      </w:tr>
      <w:tr w:rsidR="002530E2" w14:paraId="3E169474" w14:textId="77777777">
        <w:tc>
          <w:tcPr>
            <w:tcW w:w="1905" w:type="dxa"/>
            <w:shd w:val="clear" w:color="auto" w:fill="auto"/>
            <w:tcMar>
              <w:top w:w="100" w:type="dxa"/>
              <w:left w:w="100" w:type="dxa"/>
              <w:bottom w:w="100" w:type="dxa"/>
              <w:right w:w="100" w:type="dxa"/>
            </w:tcMar>
          </w:tcPr>
          <w:p w14:paraId="42B92320"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3855B90" w14:textId="77777777" w:rsidR="002530E2" w:rsidRDefault="002530E2">
            <w:pPr>
              <w:spacing w:after="0" w:line="276" w:lineRule="auto"/>
            </w:pPr>
            <w:r>
              <w:t>The "Buckets of Blessings" promotion generated discontent among some Muslim consumers. They criticised the campaign for trivialising Ramadan, an important period of fasting and reflection. Social media users shared their displeasure, expressing their disappointment and calling for an apology from KFC Malaysia.</w:t>
            </w:r>
          </w:p>
        </w:tc>
      </w:tr>
      <w:tr w:rsidR="002530E2" w14:paraId="1B3E946D" w14:textId="77777777">
        <w:tc>
          <w:tcPr>
            <w:tcW w:w="1905" w:type="dxa"/>
            <w:shd w:val="clear" w:color="auto" w:fill="auto"/>
            <w:tcMar>
              <w:top w:w="100" w:type="dxa"/>
              <w:left w:w="100" w:type="dxa"/>
              <w:bottom w:w="100" w:type="dxa"/>
              <w:right w:w="100" w:type="dxa"/>
            </w:tcMar>
          </w:tcPr>
          <w:p w14:paraId="034A0AA0"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4A863F7E" w14:textId="77777777" w:rsidR="002530E2" w:rsidRDefault="002530E2">
            <w:pPr>
              <w:spacing w:after="0" w:line="276" w:lineRule="auto"/>
            </w:pPr>
            <w:r>
              <w:t>The incident had potential consequences for KFC Malaysia's reputation and business performance. The negative sentiment expressed by Muslim consumers on social media could have impacted customer trust and loyalty towards the brand. Additionally, the incident attracted media attention, which further magnified the cross-cultural blunder.</w:t>
            </w:r>
          </w:p>
        </w:tc>
      </w:tr>
      <w:tr w:rsidR="002530E2" w14:paraId="5F9E5D86" w14:textId="77777777">
        <w:tc>
          <w:tcPr>
            <w:tcW w:w="1905" w:type="dxa"/>
            <w:shd w:val="clear" w:color="auto" w:fill="auto"/>
            <w:tcMar>
              <w:top w:w="100" w:type="dxa"/>
              <w:left w:w="100" w:type="dxa"/>
              <w:bottom w:w="100" w:type="dxa"/>
              <w:right w:w="100" w:type="dxa"/>
            </w:tcMar>
          </w:tcPr>
          <w:p w14:paraId="4AD0E74C"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4B46364F" w14:textId="77777777" w:rsidR="002530E2" w:rsidRDefault="002530E2">
            <w:pPr>
              <w:spacing w:after="0" w:line="276" w:lineRule="auto"/>
            </w:pPr>
            <w:r>
              <w:t>The "Buckets of Blessings" promotion was likely a result of inadequate cultural understanding and oversight within KFC Malaysia's marketing department. The campaign failed to consider the sensitivities surrounding religious observances, especially during Ramadan.</w:t>
            </w:r>
          </w:p>
        </w:tc>
      </w:tr>
      <w:tr w:rsidR="002530E2" w14:paraId="28FD3CDA" w14:textId="77777777">
        <w:tc>
          <w:tcPr>
            <w:tcW w:w="1905" w:type="dxa"/>
            <w:shd w:val="clear" w:color="auto" w:fill="auto"/>
            <w:tcMar>
              <w:top w:w="100" w:type="dxa"/>
              <w:left w:w="100" w:type="dxa"/>
              <w:bottom w:w="100" w:type="dxa"/>
              <w:right w:w="100" w:type="dxa"/>
            </w:tcMar>
          </w:tcPr>
          <w:p w14:paraId="5976BBF0"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3B14D35C" w14:textId="77777777" w:rsidR="002530E2" w:rsidRDefault="002530E2">
            <w:pPr>
              <w:spacing w:after="0" w:line="276" w:lineRule="auto"/>
            </w:pPr>
            <w:r>
              <w:t>In response to the criticism and backlash, KFC Malaysia swiftly issued an apology. The company acknowledged the concerns raised by Muslim customers and revised the promotion to align with cultural sensitivities.</w:t>
            </w:r>
          </w:p>
        </w:tc>
      </w:tr>
      <w:tr w:rsidR="002530E2" w14:paraId="1000F29E" w14:textId="77777777">
        <w:tc>
          <w:tcPr>
            <w:tcW w:w="1905" w:type="dxa"/>
            <w:shd w:val="clear" w:color="auto" w:fill="auto"/>
            <w:tcMar>
              <w:top w:w="100" w:type="dxa"/>
              <w:left w:w="100" w:type="dxa"/>
              <w:bottom w:w="100" w:type="dxa"/>
              <w:right w:w="100" w:type="dxa"/>
            </w:tcMar>
          </w:tcPr>
          <w:p w14:paraId="1614352A"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2048480E" w14:textId="77777777" w:rsidR="002530E2" w:rsidRDefault="002530E2">
            <w:pPr>
              <w:spacing w:after="0" w:line="276" w:lineRule="auto"/>
            </w:pPr>
            <w:r>
              <w:t>To prevent similar cross-cultural blunders, companies like KFC Malaysia should implement strategies that foster cultural intelligence among their employees. Cultural intelligence training can raise awareness and sensitivity to diverse cultural practices and help in developing culturally appropriate marketing campaigns. In the future, businesses operating in diverse cultural contexts should invest in market research, consult with local communities, and seek feedback from diverse stakeholder groups. This approach will enable companies to gain insights into cultural nuances and expectations, ensuring the development of culturally sensitive initiatives.</w:t>
            </w:r>
          </w:p>
        </w:tc>
      </w:tr>
      <w:tr w:rsidR="002530E2" w14:paraId="62325D24" w14:textId="77777777">
        <w:tc>
          <w:tcPr>
            <w:tcW w:w="1905" w:type="dxa"/>
            <w:shd w:val="clear" w:color="auto" w:fill="auto"/>
            <w:tcMar>
              <w:top w:w="100" w:type="dxa"/>
              <w:left w:w="100" w:type="dxa"/>
              <w:bottom w:w="100" w:type="dxa"/>
              <w:right w:w="100" w:type="dxa"/>
            </w:tcMar>
          </w:tcPr>
          <w:p w14:paraId="0F684D5A"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F6C20C8" w14:textId="77777777" w:rsidR="002530E2" w:rsidRDefault="002530E2">
            <w:pPr>
              <w:spacing w:after="0" w:line="276" w:lineRule="auto"/>
            </w:pPr>
            <w:r>
              <w:t>This case highlighted KFC Malaysia's "Buckets of Blessings" promotion and the subsequent criticism from Muslim consumers during Ramadan. The incident demonstrated the importance of cultural sensitivity and understanding when designing marketing campaigns in diverse markets. To avoid such cross-cultural blunders, companies should prioritise cultural intelligence, engage with diverse stakeholders, and incorporate feedback from local communities.</w:t>
            </w:r>
          </w:p>
        </w:tc>
      </w:tr>
    </w:tbl>
    <w:p w14:paraId="412C08AB" w14:textId="77777777" w:rsidR="002530E2" w:rsidRDefault="002530E2"/>
    <w:p w14:paraId="515552C0" w14:textId="77777777" w:rsidR="002530E2" w:rsidRDefault="002530E2">
      <w:pPr>
        <w:pStyle w:val="Heading2"/>
      </w:pPr>
      <w:bookmarkStart w:id="420" w:name="_uet1lszf6bwm" w:colFirst="0" w:colLast="0"/>
      <w:bookmarkEnd w:id="420"/>
      <w:r>
        <w:t>IR 005 (2013: McDonald's, India)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499EBC3E" w14:textId="77777777">
        <w:tc>
          <w:tcPr>
            <w:tcW w:w="1905" w:type="dxa"/>
            <w:shd w:val="clear" w:color="auto" w:fill="auto"/>
            <w:tcMar>
              <w:top w:w="100" w:type="dxa"/>
              <w:left w:w="100" w:type="dxa"/>
              <w:bottom w:w="100" w:type="dxa"/>
              <w:right w:w="100" w:type="dxa"/>
            </w:tcMar>
          </w:tcPr>
          <w:p w14:paraId="5154664B"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DE51D38" w14:textId="77777777" w:rsidR="002530E2" w:rsidRDefault="002530E2">
            <w:pPr>
              <w:spacing w:after="0" w:line="276" w:lineRule="auto"/>
            </w:pPr>
            <w:r>
              <w:t>Incident Report Title: “McDonald's Boycott in India over Non-Halal Meat”</w:t>
            </w:r>
          </w:p>
        </w:tc>
      </w:tr>
      <w:tr w:rsidR="002530E2" w14:paraId="501B19EA" w14:textId="77777777">
        <w:tc>
          <w:tcPr>
            <w:tcW w:w="1905" w:type="dxa"/>
            <w:shd w:val="clear" w:color="auto" w:fill="auto"/>
            <w:tcMar>
              <w:top w:w="100" w:type="dxa"/>
              <w:left w:w="100" w:type="dxa"/>
              <w:bottom w:w="100" w:type="dxa"/>
              <w:right w:w="100" w:type="dxa"/>
            </w:tcMar>
          </w:tcPr>
          <w:p w14:paraId="69A87AA0" w14:textId="77777777" w:rsidR="002530E2" w:rsidRDefault="002530E2">
            <w:pPr>
              <w:spacing w:after="0" w:line="276" w:lineRule="auto"/>
            </w:pPr>
            <w:r>
              <w:lastRenderedPageBreak/>
              <w:t>IRE 1: INTRODUCTION</w:t>
            </w:r>
          </w:p>
        </w:tc>
        <w:tc>
          <w:tcPr>
            <w:tcW w:w="7125" w:type="dxa"/>
            <w:shd w:val="clear" w:color="auto" w:fill="auto"/>
            <w:tcMar>
              <w:top w:w="100" w:type="dxa"/>
              <w:left w:w="100" w:type="dxa"/>
              <w:bottom w:w="100" w:type="dxa"/>
              <w:right w:w="100" w:type="dxa"/>
            </w:tcMar>
          </w:tcPr>
          <w:p w14:paraId="7F753FBC" w14:textId="77777777" w:rsidR="002530E2" w:rsidRDefault="002530E2">
            <w:pPr>
              <w:spacing w:after="0" w:line="276" w:lineRule="auto"/>
            </w:pPr>
            <w:r>
              <w:t>This case highlights the boycott faced by McDonald's in India in 2013 after it was revealed that some of its food products contained non-halal meat. Muslim consumers protested against the brand, citing violations of their dietary restrictions and calling for greater transparency and accountability.</w:t>
            </w:r>
          </w:p>
        </w:tc>
      </w:tr>
      <w:tr w:rsidR="002530E2" w14:paraId="784CE910" w14:textId="77777777">
        <w:tc>
          <w:tcPr>
            <w:tcW w:w="1905" w:type="dxa"/>
            <w:shd w:val="clear" w:color="auto" w:fill="auto"/>
            <w:tcMar>
              <w:top w:w="100" w:type="dxa"/>
              <w:left w:w="100" w:type="dxa"/>
              <w:bottom w:w="100" w:type="dxa"/>
              <w:right w:w="100" w:type="dxa"/>
            </w:tcMar>
          </w:tcPr>
          <w:p w14:paraId="3ABE0159"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264676EB" w14:textId="77777777" w:rsidR="002530E2" w:rsidRDefault="002530E2">
            <w:pPr>
              <w:spacing w:after="0" w:line="276" w:lineRule="auto"/>
            </w:pPr>
            <w:r>
              <w:t>In 2013, it came to light that McDonald's in India had been serving food products that contained non-halal meat. This revelation caused outrage among Muslim consumers, as it contradicted their religious dietary requirements.</w:t>
            </w:r>
          </w:p>
        </w:tc>
      </w:tr>
      <w:tr w:rsidR="002530E2" w14:paraId="6DA06707" w14:textId="77777777">
        <w:tc>
          <w:tcPr>
            <w:tcW w:w="1905" w:type="dxa"/>
            <w:shd w:val="clear" w:color="auto" w:fill="auto"/>
            <w:tcMar>
              <w:top w:w="100" w:type="dxa"/>
              <w:left w:w="100" w:type="dxa"/>
              <w:bottom w:w="100" w:type="dxa"/>
              <w:right w:w="100" w:type="dxa"/>
            </w:tcMar>
          </w:tcPr>
          <w:p w14:paraId="399606E5"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4B93513D" w14:textId="77777777" w:rsidR="002530E2" w:rsidRDefault="002530E2">
            <w:pPr>
              <w:spacing w:after="0" w:line="276" w:lineRule="auto"/>
            </w:pPr>
            <w:r>
              <w:t>The incident occurred in 2013, when information regarding McDonald's use of non-halal meat in India became public.</w:t>
            </w:r>
          </w:p>
        </w:tc>
      </w:tr>
      <w:tr w:rsidR="002530E2" w14:paraId="501D97B9" w14:textId="77777777">
        <w:tc>
          <w:tcPr>
            <w:tcW w:w="1905" w:type="dxa"/>
            <w:shd w:val="clear" w:color="auto" w:fill="auto"/>
            <w:tcMar>
              <w:top w:w="100" w:type="dxa"/>
              <w:left w:w="100" w:type="dxa"/>
              <w:bottom w:w="100" w:type="dxa"/>
              <w:right w:w="100" w:type="dxa"/>
            </w:tcMar>
          </w:tcPr>
          <w:p w14:paraId="3D9D5787"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5833A3BE" w14:textId="77777777" w:rsidR="002530E2" w:rsidRDefault="002530E2">
            <w:pPr>
              <w:spacing w:after="0" w:line="276" w:lineRule="auto"/>
            </w:pPr>
            <w:r>
              <w:t>The boycott and protests primarily took place in India, where McDonald's has a significant presence and a customer base that includes Muslims adhering to halal dietary restrictions.</w:t>
            </w:r>
          </w:p>
        </w:tc>
      </w:tr>
      <w:tr w:rsidR="002530E2" w14:paraId="59C28A6D" w14:textId="77777777">
        <w:tc>
          <w:tcPr>
            <w:tcW w:w="1905" w:type="dxa"/>
            <w:shd w:val="clear" w:color="auto" w:fill="auto"/>
            <w:tcMar>
              <w:top w:w="100" w:type="dxa"/>
              <w:left w:w="100" w:type="dxa"/>
              <w:bottom w:w="100" w:type="dxa"/>
              <w:right w:w="100" w:type="dxa"/>
            </w:tcMar>
          </w:tcPr>
          <w:p w14:paraId="1A527D0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69937A2A" w14:textId="77777777" w:rsidR="002530E2" w:rsidRDefault="002530E2">
            <w:pPr>
              <w:spacing w:after="0" w:line="276" w:lineRule="auto"/>
            </w:pPr>
            <w:r>
              <w:t>Muslim consumers in India, who relied on McDonald's to provide halal food options, felt betrayed and deceived by the presence of non-halal meat in the brand's products. They organised protests, initiated a boycott, and demanded increased transparency and accountability from McDonald's.</w:t>
            </w:r>
          </w:p>
        </w:tc>
      </w:tr>
      <w:tr w:rsidR="002530E2" w14:paraId="2C88EB67" w14:textId="77777777">
        <w:tc>
          <w:tcPr>
            <w:tcW w:w="1905" w:type="dxa"/>
            <w:shd w:val="clear" w:color="auto" w:fill="auto"/>
            <w:tcMar>
              <w:top w:w="100" w:type="dxa"/>
              <w:left w:w="100" w:type="dxa"/>
              <w:bottom w:w="100" w:type="dxa"/>
              <w:right w:w="100" w:type="dxa"/>
            </w:tcMar>
          </w:tcPr>
          <w:p w14:paraId="17456A64"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D0F3C4B" w14:textId="77777777" w:rsidR="002530E2" w:rsidRDefault="002530E2">
            <w:pPr>
              <w:spacing w:after="0" w:line="276" w:lineRule="auto"/>
            </w:pPr>
            <w:r>
              <w:t>McDonald's, a multinational fast-food chain, faced significant backlash from the Muslim community in India due to the revelation of non-halal meat in its food products. The incident damaged the brand's reputation and raised concerns about its commitment to providing halal options for its customers.</w:t>
            </w:r>
          </w:p>
        </w:tc>
      </w:tr>
      <w:tr w:rsidR="002530E2" w14:paraId="477BA189" w14:textId="77777777">
        <w:tc>
          <w:tcPr>
            <w:tcW w:w="1905" w:type="dxa"/>
            <w:shd w:val="clear" w:color="auto" w:fill="auto"/>
            <w:tcMar>
              <w:top w:w="100" w:type="dxa"/>
              <w:left w:w="100" w:type="dxa"/>
              <w:bottom w:w="100" w:type="dxa"/>
              <w:right w:w="100" w:type="dxa"/>
            </w:tcMar>
          </w:tcPr>
          <w:p w14:paraId="1BBBA650"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08E80104" w14:textId="77777777" w:rsidR="002530E2" w:rsidRDefault="002530E2">
            <w:pPr>
              <w:spacing w:after="0" w:line="276" w:lineRule="auto"/>
            </w:pPr>
            <w:r>
              <w:t>Muslim consumers who participated in the boycott and protests against McDonald's felt a sense of betrayal and loss of trust. They actively avoided consuming McDonald's products and called for greater transparency and accountability to ensure halal compliance.</w:t>
            </w:r>
          </w:p>
        </w:tc>
      </w:tr>
      <w:tr w:rsidR="002530E2" w14:paraId="1E20669E" w14:textId="77777777">
        <w:tc>
          <w:tcPr>
            <w:tcW w:w="1905" w:type="dxa"/>
            <w:shd w:val="clear" w:color="auto" w:fill="auto"/>
            <w:tcMar>
              <w:top w:w="100" w:type="dxa"/>
              <w:left w:w="100" w:type="dxa"/>
              <w:bottom w:w="100" w:type="dxa"/>
              <w:right w:w="100" w:type="dxa"/>
            </w:tcMar>
          </w:tcPr>
          <w:p w14:paraId="6CF0EF9D"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72255AFC" w14:textId="77777777" w:rsidR="002530E2" w:rsidRDefault="002530E2">
            <w:pPr>
              <w:spacing w:after="0" w:line="276" w:lineRule="auto"/>
            </w:pPr>
            <w:r>
              <w:t>The boycott and negative publicity had adverse effects on McDonald's business in India. The brand experienced financial losses and faced reputational damage as the incident eroded consumer trust and highlighted concerns about the company's adherence to halal standards.</w:t>
            </w:r>
          </w:p>
        </w:tc>
      </w:tr>
      <w:tr w:rsidR="002530E2" w14:paraId="2A1CA949" w14:textId="77777777">
        <w:tc>
          <w:tcPr>
            <w:tcW w:w="1905" w:type="dxa"/>
            <w:shd w:val="clear" w:color="auto" w:fill="auto"/>
            <w:tcMar>
              <w:top w:w="100" w:type="dxa"/>
              <w:left w:w="100" w:type="dxa"/>
              <w:bottom w:w="100" w:type="dxa"/>
              <w:right w:w="100" w:type="dxa"/>
            </w:tcMar>
          </w:tcPr>
          <w:p w14:paraId="5C0D729F"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0AF31296" w14:textId="77777777" w:rsidR="002530E2" w:rsidRDefault="002530E2">
            <w:pPr>
              <w:spacing w:after="0" w:line="276" w:lineRule="auto"/>
            </w:pPr>
            <w:r>
              <w:t>The presence of non-halal meat in McDonald's products in India could be attributed to either a breakdown in the supply chain or a lack of proper oversight and adherence to halal certification requirements. The incident underscored the need for stringent control measures to ensure the authenticity of halal food offerings.</w:t>
            </w:r>
          </w:p>
        </w:tc>
      </w:tr>
      <w:tr w:rsidR="002530E2" w14:paraId="53712BB3" w14:textId="77777777">
        <w:tc>
          <w:tcPr>
            <w:tcW w:w="1905" w:type="dxa"/>
            <w:shd w:val="clear" w:color="auto" w:fill="auto"/>
            <w:tcMar>
              <w:top w:w="100" w:type="dxa"/>
              <w:left w:w="100" w:type="dxa"/>
              <w:bottom w:w="100" w:type="dxa"/>
              <w:right w:w="100" w:type="dxa"/>
            </w:tcMar>
          </w:tcPr>
          <w:p w14:paraId="2897101D" w14:textId="77777777" w:rsidR="002530E2" w:rsidRDefault="002530E2">
            <w:pPr>
              <w:spacing w:after="0" w:line="276" w:lineRule="auto"/>
            </w:pPr>
            <w:r>
              <w:lastRenderedPageBreak/>
              <w:t>IRE 10: DAMAGE CONTROL — HOW DID THE MNC ADDRESS THE ISSUES?</w:t>
            </w:r>
          </w:p>
        </w:tc>
        <w:tc>
          <w:tcPr>
            <w:tcW w:w="7125" w:type="dxa"/>
            <w:shd w:val="clear" w:color="auto" w:fill="auto"/>
            <w:tcMar>
              <w:top w:w="100" w:type="dxa"/>
              <w:left w:w="100" w:type="dxa"/>
              <w:bottom w:w="100" w:type="dxa"/>
              <w:right w:w="100" w:type="dxa"/>
            </w:tcMar>
          </w:tcPr>
          <w:p w14:paraId="46520406" w14:textId="77777777" w:rsidR="002530E2" w:rsidRDefault="002530E2">
            <w:pPr>
              <w:spacing w:after="0" w:line="276" w:lineRule="auto"/>
            </w:pPr>
            <w:r>
              <w:t>In response to the boycott and protests, McDonald's took steps to address the concerns of Muslim consumers. The company apologised for the lapse, conducted internal investigations, and pledged to enhance its supply chain practices and adherence to halal standards. McDonald's also emphasised its commitment to transparent communication with consumers.</w:t>
            </w:r>
          </w:p>
        </w:tc>
      </w:tr>
      <w:tr w:rsidR="002530E2" w14:paraId="160F6132" w14:textId="77777777">
        <w:tc>
          <w:tcPr>
            <w:tcW w:w="1905" w:type="dxa"/>
            <w:shd w:val="clear" w:color="auto" w:fill="auto"/>
            <w:tcMar>
              <w:top w:w="100" w:type="dxa"/>
              <w:left w:w="100" w:type="dxa"/>
              <w:bottom w:w="100" w:type="dxa"/>
              <w:right w:w="100" w:type="dxa"/>
            </w:tcMar>
          </w:tcPr>
          <w:p w14:paraId="37A663D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05512BF1" w14:textId="77777777" w:rsidR="002530E2" w:rsidRDefault="002530E2">
            <w:pPr>
              <w:spacing w:after="0" w:line="276" w:lineRule="auto"/>
            </w:pPr>
            <w:r>
              <w:t>To prevent similar incidents in the future, McDonald's and other food companies must establish robust quality control measures throughout their supply chains. This includes regular audits, thorough vetting of suppliers, and maintaining transparent halal certification processes. Moving forward, McDonald's should prioritise building stronger relationships with halal certification authorities in India and implementing stringent protocols to ensure the integrity of halal food offerings. Engaging with Muslim consumer organisations and maintaining open lines of communication can further foster trust and prevent future incidents.</w:t>
            </w:r>
          </w:p>
        </w:tc>
      </w:tr>
      <w:tr w:rsidR="002530E2" w14:paraId="70BEDB96" w14:textId="77777777">
        <w:tc>
          <w:tcPr>
            <w:tcW w:w="1905" w:type="dxa"/>
            <w:shd w:val="clear" w:color="auto" w:fill="auto"/>
            <w:tcMar>
              <w:top w:w="100" w:type="dxa"/>
              <w:left w:w="100" w:type="dxa"/>
              <w:bottom w:w="100" w:type="dxa"/>
              <w:right w:w="100" w:type="dxa"/>
            </w:tcMar>
          </w:tcPr>
          <w:p w14:paraId="671067D2"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7B6BC704" w14:textId="77777777" w:rsidR="002530E2" w:rsidRDefault="002530E2">
            <w:pPr>
              <w:spacing w:after="0" w:line="276" w:lineRule="auto"/>
            </w:pPr>
            <w:r>
              <w:t>McDonald's faced a boycott in India in 2013 after it was revealed that some of its food products contained non-halal meat. The incident highlighted the importance of maintaining strict adherence to halal certification requirements and reinforced the need for greater transparency and accountability in the food industry.</w:t>
            </w:r>
          </w:p>
        </w:tc>
      </w:tr>
    </w:tbl>
    <w:p w14:paraId="64FB0280" w14:textId="77777777" w:rsidR="002530E2" w:rsidRDefault="002530E2">
      <w:pPr>
        <w:pStyle w:val="Heading2"/>
        <w:spacing w:after="0"/>
      </w:pPr>
      <w:bookmarkStart w:id="421" w:name="_w5uqnmzfttl3" w:colFirst="0" w:colLast="0"/>
      <w:bookmarkEnd w:id="421"/>
    </w:p>
    <w:p w14:paraId="0C9BCFD4" w14:textId="77777777" w:rsidR="002530E2" w:rsidRDefault="002530E2">
      <w:pPr>
        <w:pStyle w:val="Heading2"/>
        <w:spacing w:before="0"/>
      </w:pPr>
      <w:bookmarkStart w:id="422" w:name="_uatyp43r9xq5" w:colFirst="0" w:colLast="0"/>
      <w:bookmarkEnd w:id="422"/>
      <w:r>
        <w:t>IR 006 (2013: Kellogg's, Saudi Arabia)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90"/>
        <w:gridCol w:w="5940"/>
      </w:tblGrid>
      <w:tr w:rsidR="002530E2" w14:paraId="586963CC" w14:textId="77777777">
        <w:tc>
          <w:tcPr>
            <w:tcW w:w="3090" w:type="dxa"/>
            <w:shd w:val="clear" w:color="auto" w:fill="auto"/>
            <w:tcMar>
              <w:top w:w="100" w:type="dxa"/>
              <w:left w:w="100" w:type="dxa"/>
              <w:bottom w:w="100" w:type="dxa"/>
              <w:right w:w="100" w:type="dxa"/>
            </w:tcMar>
          </w:tcPr>
          <w:p w14:paraId="5080BDFF" w14:textId="77777777" w:rsidR="002530E2" w:rsidRDefault="002530E2">
            <w:pPr>
              <w:spacing w:after="0" w:line="276" w:lineRule="auto"/>
            </w:pPr>
            <w:r>
              <w:t>IREs / INCIDENT REPORT ELEMENTS</w:t>
            </w:r>
          </w:p>
        </w:tc>
        <w:tc>
          <w:tcPr>
            <w:tcW w:w="5940" w:type="dxa"/>
            <w:shd w:val="clear" w:color="auto" w:fill="auto"/>
            <w:tcMar>
              <w:top w:w="100" w:type="dxa"/>
              <w:left w:w="100" w:type="dxa"/>
              <w:bottom w:w="100" w:type="dxa"/>
              <w:right w:w="100" w:type="dxa"/>
            </w:tcMar>
          </w:tcPr>
          <w:p w14:paraId="7605D280" w14:textId="77777777" w:rsidR="002530E2" w:rsidRDefault="002530E2">
            <w:pPr>
              <w:spacing w:after="0" w:line="276" w:lineRule="auto"/>
            </w:pPr>
            <w:r>
              <w:t>Incident Report Title: “Kellogg's Corn Flakes Rooster: Packaging Controversy in Saudi Arabia”</w:t>
            </w:r>
          </w:p>
        </w:tc>
      </w:tr>
      <w:tr w:rsidR="002530E2" w14:paraId="4AB9CE8B" w14:textId="77777777">
        <w:tc>
          <w:tcPr>
            <w:tcW w:w="3090" w:type="dxa"/>
            <w:shd w:val="clear" w:color="auto" w:fill="auto"/>
            <w:tcMar>
              <w:top w:w="100" w:type="dxa"/>
              <w:left w:w="100" w:type="dxa"/>
              <w:bottom w:w="100" w:type="dxa"/>
              <w:right w:w="100" w:type="dxa"/>
            </w:tcMar>
          </w:tcPr>
          <w:p w14:paraId="5E266725" w14:textId="77777777" w:rsidR="002530E2" w:rsidRDefault="002530E2">
            <w:pPr>
              <w:spacing w:after="0" w:line="276" w:lineRule="auto"/>
            </w:pPr>
            <w:r>
              <w:t>IRE 1: INTRODUCTION</w:t>
            </w:r>
          </w:p>
        </w:tc>
        <w:tc>
          <w:tcPr>
            <w:tcW w:w="5940" w:type="dxa"/>
            <w:shd w:val="clear" w:color="auto" w:fill="auto"/>
            <w:tcMar>
              <w:top w:w="100" w:type="dxa"/>
              <w:left w:w="100" w:type="dxa"/>
              <w:bottom w:w="100" w:type="dxa"/>
              <w:right w:w="100" w:type="dxa"/>
            </w:tcMar>
          </w:tcPr>
          <w:p w14:paraId="024FCEB6" w14:textId="77777777" w:rsidR="002530E2" w:rsidRDefault="002530E2">
            <w:pPr>
              <w:spacing w:after="0" w:line="276" w:lineRule="auto"/>
            </w:pPr>
            <w:r>
              <w:t>The incident report addresses the controversy faced by Kellogg's in 2013 regarding the use of a rooster image on its Corn Flakes packaging in Saudi Arabia.</w:t>
            </w:r>
          </w:p>
        </w:tc>
      </w:tr>
      <w:tr w:rsidR="002530E2" w14:paraId="058B1F08" w14:textId="77777777">
        <w:tc>
          <w:tcPr>
            <w:tcW w:w="3090" w:type="dxa"/>
            <w:shd w:val="clear" w:color="auto" w:fill="auto"/>
            <w:tcMar>
              <w:top w:w="100" w:type="dxa"/>
              <w:left w:w="100" w:type="dxa"/>
              <w:bottom w:w="100" w:type="dxa"/>
              <w:right w:w="100" w:type="dxa"/>
            </w:tcMar>
          </w:tcPr>
          <w:p w14:paraId="55358DB4" w14:textId="77777777" w:rsidR="002530E2" w:rsidRDefault="002530E2">
            <w:pPr>
              <w:spacing w:after="0" w:line="276" w:lineRule="auto"/>
            </w:pPr>
            <w:r>
              <w:t>IRE 2: INCIDENT BACKGROUND — WHAT HAPPENED?</w:t>
            </w:r>
          </w:p>
        </w:tc>
        <w:tc>
          <w:tcPr>
            <w:tcW w:w="5940" w:type="dxa"/>
            <w:shd w:val="clear" w:color="auto" w:fill="auto"/>
            <w:tcMar>
              <w:top w:w="100" w:type="dxa"/>
              <w:left w:w="100" w:type="dxa"/>
              <w:bottom w:w="100" w:type="dxa"/>
              <w:right w:w="100" w:type="dxa"/>
            </w:tcMar>
          </w:tcPr>
          <w:p w14:paraId="028A0FC1" w14:textId="77777777" w:rsidR="002530E2" w:rsidRDefault="002530E2">
            <w:pPr>
              <w:spacing w:after="0" w:line="276" w:lineRule="auto"/>
            </w:pPr>
            <w:r>
              <w:t>Kellogg's featured a cartoon rooster image on its Corn Flakes packaging in Saudi Arabia, which was mistakenly associated with shame in a specific cultural context.</w:t>
            </w:r>
          </w:p>
        </w:tc>
      </w:tr>
      <w:tr w:rsidR="002530E2" w14:paraId="25CDAE7F" w14:textId="77777777">
        <w:tc>
          <w:tcPr>
            <w:tcW w:w="3090" w:type="dxa"/>
            <w:shd w:val="clear" w:color="auto" w:fill="auto"/>
            <w:tcMar>
              <w:top w:w="100" w:type="dxa"/>
              <w:left w:w="100" w:type="dxa"/>
              <w:bottom w:w="100" w:type="dxa"/>
              <w:right w:w="100" w:type="dxa"/>
            </w:tcMar>
          </w:tcPr>
          <w:p w14:paraId="45322710" w14:textId="77777777" w:rsidR="002530E2" w:rsidRDefault="002530E2">
            <w:pPr>
              <w:spacing w:after="0" w:line="276" w:lineRule="auto"/>
            </w:pPr>
            <w:r>
              <w:t>IRE 3: TIME — WHEN DID THE BLUNDER OCCUR?</w:t>
            </w:r>
          </w:p>
        </w:tc>
        <w:tc>
          <w:tcPr>
            <w:tcW w:w="5940" w:type="dxa"/>
            <w:shd w:val="clear" w:color="auto" w:fill="auto"/>
            <w:tcMar>
              <w:top w:w="100" w:type="dxa"/>
              <w:left w:w="100" w:type="dxa"/>
              <w:bottom w:w="100" w:type="dxa"/>
              <w:right w:w="100" w:type="dxa"/>
            </w:tcMar>
          </w:tcPr>
          <w:p w14:paraId="30116147" w14:textId="77777777" w:rsidR="002530E2" w:rsidRDefault="002530E2">
            <w:pPr>
              <w:spacing w:after="0" w:line="276" w:lineRule="auto"/>
            </w:pPr>
            <w:r>
              <w:t>The blunder occurred in 2013.</w:t>
            </w:r>
          </w:p>
        </w:tc>
      </w:tr>
      <w:tr w:rsidR="002530E2" w14:paraId="223BAFEB" w14:textId="77777777">
        <w:tc>
          <w:tcPr>
            <w:tcW w:w="3090" w:type="dxa"/>
            <w:shd w:val="clear" w:color="auto" w:fill="auto"/>
            <w:tcMar>
              <w:top w:w="100" w:type="dxa"/>
              <w:left w:w="100" w:type="dxa"/>
              <w:bottom w:w="100" w:type="dxa"/>
              <w:right w:w="100" w:type="dxa"/>
            </w:tcMar>
          </w:tcPr>
          <w:p w14:paraId="5EABFF79" w14:textId="77777777" w:rsidR="002530E2" w:rsidRDefault="002530E2">
            <w:pPr>
              <w:spacing w:after="0" w:line="276" w:lineRule="auto"/>
            </w:pPr>
            <w:r>
              <w:t>IRE 4: PLACE — WHERE DID THE BLUNDER TAKE PLACE?</w:t>
            </w:r>
          </w:p>
        </w:tc>
        <w:tc>
          <w:tcPr>
            <w:tcW w:w="5940" w:type="dxa"/>
            <w:shd w:val="clear" w:color="auto" w:fill="auto"/>
            <w:tcMar>
              <w:top w:w="100" w:type="dxa"/>
              <w:left w:w="100" w:type="dxa"/>
              <w:bottom w:w="100" w:type="dxa"/>
              <w:right w:w="100" w:type="dxa"/>
            </w:tcMar>
          </w:tcPr>
          <w:p w14:paraId="0774ADC9" w14:textId="77777777" w:rsidR="002530E2" w:rsidRDefault="002530E2">
            <w:pPr>
              <w:spacing w:after="0" w:line="276" w:lineRule="auto"/>
            </w:pPr>
            <w:r>
              <w:t>The blunder took place in Saudi Arabia.</w:t>
            </w:r>
          </w:p>
        </w:tc>
      </w:tr>
      <w:tr w:rsidR="002530E2" w14:paraId="2F96490C" w14:textId="77777777">
        <w:tc>
          <w:tcPr>
            <w:tcW w:w="3090" w:type="dxa"/>
            <w:shd w:val="clear" w:color="auto" w:fill="auto"/>
            <w:tcMar>
              <w:top w:w="100" w:type="dxa"/>
              <w:left w:w="100" w:type="dxa"/>
              <w:bottom w:w="100" w:type="dxa"/>
              <w:right w:w="100" w:type="dxa"/>
            </w:tcMar>
          </w:tcPr>
          <w:p w14:paraId="66D8912D" w14:textId="77777777" w:rsidR="002530E2" w:rsidRDefault="002530E2">
            <w:pPr>
              <w:spacing w:after="0" w:line="276" w:lineRule="auto"/>
            </w:pPr>
            <w:r>
              <w:lastRenderedPageBreak/>
              <w:t>IRE 5: VICTIM GROUP — WHO WAS FIRST AFFECTED?</w:t>
            </w:r>
          </w:p>
        </w:tc>
        <w:tc>
          <w:tcPr>
            <w:tcW w:w="5940" w:type="dxa"/>
            <w:shd w:val="clear" w:color="auto" w:fill="auto"/>
            <w:tcMar>
              <w:top w:w="100" w:type="dxa"/>
              <w:left w:w="100" w:type="dxa"/>
              <w:bottom w:w="100" w:type="dxa"/>
              <w:right w:w="100" w:type="dxa"/>
            </w:tcMar>
          </w:tcPr>
          <w:p w14:paraId="1D465E24" w14:textId="77777777" w:rsidR="002530E2" w:rsidRDefault="002530E2">
            <w:pPr>
              <w:spacing w:after="0" w:line="276" w:lineRule="auto"/>
            </w:pPr>
            <w:r>
              <w:t>Muslim consumers in Saudi Arabia were the first to be affected.</w:t>
            </w:r>
          </w:p>
        </w:tc>
      </w:tr>
      <w:tr w:rsidR="002530E2" w14:paraId="29C140C3" w14:textId="77777777">
        <w:tc>
          <w:tcPr>
            <w:tcW w:w="3090" w:type="dxa"/>
            <w:shd w:val="clear" w:color="auto" w:fill="auto"/>
            <w:tcMar>
              <w:top w:w="100" w:type="dxa"/>
              <w:left w:w="100" w:type="dxa"/>
              <w:bottom w:w="100" w:type="dxa"/>
              <w:right w:w="100" w:type="dxa"/>
            </w:tcMar>
          </w:tcPr>
          <w:p w14:paraId="337D0D27" w14:textId="77777777" w:rsidR="002530E2" w:rsidRDefault="002530E2">
            <w:pPr>
              <w:spacing w:after="0" w:line="276" w:lineRule="auto"/>
            </w:pPr>
            <w:r>
              <w:t>IRE 6: BLUNDERER — WHO MADE THE BLUNDER?</w:t>
            </w:r>
          </w:p>
        </w:tc>
        <w:tc>
          <w:tcPr>
            <w:tcW w:w="5940" w:type="dxa"/>
            <w:shd w:val="clear" w:color="auto" w:fill="auto"/>
            <w:tcMar>
              <w:top w:w="100" w:type="dxa"/>
              <w:left w:w="100" w:type="dxa"/>
              <w:bottom w:w="100" w:type="dxa"/>
              <w:right w:w="100" w:type="dxa"/>
            </w:tcMar>
          </w:tcPr>
          <w:p w14:paraId="5F6E690F" w14:textId="77777777" w:rsidR="002530E2" w:rsidRDefault="002530E2">
            <w:pPr>
              <w:spacing w:after="0" w:line="276" w:lineRule="auto"/>
            </w:pPr>
            <w:r>
              <w:t>Kellogg's, the multinational company from the United States, made the blunder.</w:t>
            </w:r>
          </w:p>
        </w:tc>
      </w:tr>
      <w:tr w:rsidR="002530E2" w14:paraId="5B7199E3" w14:textId="77777777">
        <w:tc>
          <w:tcPr>
            <w:tcW w:w="3090" w:type="dxa"/>
            <w:shd w:val="clear" w:color="auto" w:fill="auto"/>
            <w:tcMar>
              <w:top w:w="100" w:type="dxa"/>
              <w:left w:w="100" w:type="dxa"/>
              <w:bottom w:w="100" w:type="dxa"/>
              <w:right w:w="100" w:type="dxa"/>
            </w:tcMar>
          </w:tcPr>
          <w:p w14:paraId="75DE4A49" w14:textId="77777777" w:rsidR="002530E2" w:rsidRDefault="002530E2">
            <w:pPr>
              <w:spacing w:after="0" w:line="276" w:lineRule="auto"/>
            </w:pPr>
            <w:r>
              <w:t>IRE 7: VICTIMISATION — WHAT WERE THE CONSEQUENCES FOR MUSLIMS?</w:t>
            </w:r>
          </w:p>
        </w:tc>
        <w:tc>
          <w:tcPr>
            <w:tcW w:w="5940" w:type="dxa"/>
            <w:shd w:val="clear" w:color="auto" w:fill="auto"/>
            <w:tcMar>
              <w:top w:w="100" w:type="dxa"/>
              <w:left w:w="100" w:type="dxa"/>
              <w:bottom w:w="100" w:type="dxa"/>
              <w:right w:w="100" w:type="dxa"/>
            </w:tcMar>
          </w:tcPr>
          <w:p w14:paraId="6BD4BD5D" w14:textId="77777777" w:rsidR="002530E2" w:rsidRDefault="002530E2">
            <w:pPr>
              <w:spacing w:after="0" w:line="276" w:lineRule="auto"/>
            </w:pPr>
            <w:r>
              <w:t>Muslim consumers in Saudi Arabia were offended and perceived the rooster image as disrespectful and culturally insensitive, leading to public outcry and criticism of Kellogg's.</w:t>
            </w:r>
          </w:p>
        </w:tc>
      </w:tr>
      <w:tr w:rsidR="002530E2" w14:paraId="694C0CDD" w14:textId="77777777">
        <w:tc>
          <w:tcPr>
            <w:tcW w:w="3090" w:type="dxa"/>
            <w:shd w:val="clear" w:color="auto" w:fill="auto"/>
            <w:tcMar>
              <w:top w:w="100" w:type="dxa"/>
              <w:left w:w="100" w:type="dxa"/>
              <w:bottom w:w="100" w:type="dxa"/>
              <w:right w:w="100" w:type="dxa"/>
            </w:tcMar>
          </w:tcPr>
          <w:p w14:paraId="3029721B" w14:textId="77777777" w:rsidR="002530E2" w:rsidRDefault="002530E2">
            <w:pPr>
              <w:spacing w:after="0" w:line="276" w:lineRule="auto"/>
            </w:pPr>
            <w:r>
              <w:t>IRE 8: RAMIFICATIONS — HOW WAS THE MNC IMPACTED?</w:t>
            </w:r>
          </w:p>
        </w:tc>
        <w:tc>
          <w:tcPr>
            <w:tcW w:w="5940" w:type="dxa"/>
            <w:shd w:val="clear" w:color="auto" w:fill="auto"/>
            <w:tcMar>
              <w:top w:w="100" w:type="dxa"/>
              <w:left w:w="100" w:type="dxa"/>
              <w:bottom w:w="100" w:type="dxa"/>
              <w:right w:w="100" w:type="dxa"/>
            </w:tcMar>
          </w:tcPr>
          <w:p w14:paraId="410B4B14" w14:textId="77777777" w:rsidR="002530E2" w:rsidRDefault="002530E2">
            <w:pPr>
              <w:spacing w:after="0" w:line="276" w:lineRule="auto"/>
            </w:pPr>
            <w:r>
              <w:t>The incident had negative consequences for Kellogg's, including a loss of trust and credibility among Muslim consumers, negative publicity, and potential impacts on sales and market share.</w:t>
            </w:r>
          </w:p>
        </w:tc>
      </w:tr>
      <w:tr w:rsidR="002530E2" w14:paraId="0B08CDB7" w14:textId="77777777">
        <w:tc>
          <w:tcPr>
            <w:tcW w:w="3090" w:type="dxa"/>
            <w:shd w:val="clear" w:color="auto" w:fill="auto"/>
            <w:tcMar>
              <w:top w:w="100" w:type="dxa"/>
              <w:left w:w="100" w:type="dxa"/>
              <w:bottom w:w="100" w:type="dxa"/>
              <w:right w:w="100" w:type="dxa"/>
            </w:tcMar>
          </w:tcPr>
          <w:p w14:paraId="259668E2" w14:textId="77777777" w:rsidR="002530E2" w:rsidRDefault="002530E2">
            <w:pPr>
              <w:spacing w:after="0" w:line="276" w:lineRule="auto"/>
            </w:pPr>
            <w:r>
              <w:t xml:space="preserve">IRE 9: REASONS — WHY DID THE BLUNDER HAPPEN? </w:t>
            </w:r>
          </w:p>
        </w:tc>
        <w:tc>
          <w:tcPr>
            <w:tcW w:w="5940" w:type="dxa"/>
            <w:shd w:val="clear" w:color="auto" w:fill="auto"/>
            <w:tcMar>
              <w:top w:w="100" w:type="dxa"/>
              <w:left w:w="100" w:type="dxa"/>
              <w:bottom w:w="100" w:type="dxa"/>
              <w:right w:w="100" w:type="dxa"/>
            </w:tcMar>
          </w:tcPr>
          <w:p w14:paraId="16425D7A" w14:textId="77777777" w:rsidR="002530E2" w:rsidRDefault="002530E2">
            <w:pPr>
              <w:spacing w:after="0" w:line="276" w:lineRule="auto"/>
            </w:pPr>
            <w:r>
              <w:t>The blunder happened due to the mistaken association of the rooster image with shame in a specific cultural context.</w:t>
            </w:r>
          </w:p>
        </w:tc>
      </w:tr>
      <w:tr w:rsidR="002530E2" w14:paraId="33B5BBB7" w14:textId="77777777">
        <w:tc>
          <w:tcPr>
            <w:tcW w:w="3090" w:type="dxa"/>
            <w:shd w:val="clear" w:color="auto" w:fill="auto"/>
            <w:tcMar>
              <w:top w:w="100" w:type="dxa"/>
              <w:left w:w="100" w:type="dxa"/>
              <w:bottom w:w="100" w:type="dxa"/>
              <w:right w:w="100" w:type="dxa"/>
            </w:tcMar>
          </w:tcPr>
          <w:p w14:paraId="6BC8A864" w14:textId="77777777" w:rsidR="002530E2" w:rsidRDefault="002530E2">
            <w:pPr>
              <w:spacing w:after="0" w:line="276" w:lineRule="auto"/>
            </w:pPr>
            <w:r>
              <w:t>IRE 10: DAMAGE CONTROL — HOW DID THE MNC ADDRESS THE ISSUES?</w:t>
            </w:r>
          </w:p>
        </w:tc>
        <w:tc>
          <w:tcPr>
            <w:tcW w:w="5940" w:type="dxa"/>
            <w:shd w:val="clear" w:color="auto" w:fill="auto"/>
            <w:tcMar>
              <w:top w:w="100" w:type="dxa"/>
              <w:left w:w="100" w:type="dxa"/>
              <w:bottom w:w="100" w:type="dxa"/>
              <w:right w:w="100" w:type="dxa"/>
            </w:tcMar>
          </w:tcPr>
          <w:p w14:paraId="0BF0E60A" w14:textId="77777777" w:rsidR="002530E2" w:rsidRDefault="002530E2">
            <w:pPr>
              <w:spacing w:after="0" w:line="276" w:lineRule="auto"/>
            </w:pPr>
            <w:r>
              <w:t>Kellogg's responded by issuing a public apology, promptly withdrawing the packaging, and expressing regret for any offense caused. They assured consumers of their commitment to cultural sensitivity and pledged to take preventive measures in the future.</w:t>
            </w:r>
          </w:p>
        </w:tc>
      </w:tr>
      <w:tr w:rsidR="002530E2" w14:paraId="6435528C" w14:textId="77777777">
        <w:tc>
          <w:tcPr>
            <w:tcW w:w="3090" w:type="dxa"/>
            <w:shd w:val="clear" w:color="auto" w:fill="auto"/>
            <w:tcMar>
              <w:top w:w="100" w:type="dxa"/>
              <w:left w:w="100" w:type="dxa"/>
              <w:bottom w:w="100" w:type="dxa"/>
              <w:right w:w="100" w:type="dxa"/>
            </w:tcMar>
          </w:tcPr>
          <w:p w14:paraId="5DEF2A27" w14:textId="77777777" w:rsidR="002530E2" w:rsidRDefault="002530E2">
            <w:pPr>
              <w:spacing w:after="0" w:line="276" w:lineRule="auto"/>
            </w:pPr>
            <w:r>
              <w:t>IRE 11: FUTURE PREVENTION STRATEGIES — WHAT ARE THE LESSONS LEARNED?</w:t>
            </w:r>
          </w:p>
        </w:tc>
        <w:tc>
          <w:tcPr>
            <w:tcW w:w="5940" w:type="dxa"/>
            <w:shd w:val="clear" w:color="auto" w:fill="auto"/>
            <w:tcMar>
              <w:top w:w="100" w:type="dxa"/>
              <w:left w:w="100" w:type="dxa"/>
              <w:bottom w:w="100" w:type="dxa"/>
              <w:right w:w="100" w:type="dxa"/>
            </w:tcMar>
          </w:tcPr>
          <w:p w14:paraId="3B310FBB" w14:textId="77777777" w:rsidR="002530E2" w:rsidRDefault="002530E2">
            <w:pPr>
              <w:spacing w:after="0" w:line="276" w:lineRule="auto"/>
            </w:pPr>
            <w:r>
              <w:t>The incident highlighted the importance of cultural awareness and sensitivity in packaging design and marketing strategies. Kellogg's could implement cultural training, conduct thorough research on local cultural nuances, and engage with local stakeholders to prevent similar incidents.</w:t>
            </w:r>
          </w:p>
        </w:tc>
      </w:tr>
      <w:tr w:rsidR="002530E2" w14:paraId="6B2F9902" w14:textId="77777777">
        <w:tc>
          <w:tcPr>
            <w:tcW w:w="3090" w:type="dxa"/>
            <w:shd w:val="clear" w:color="auto" w:fill="auto"/>
            <w:tcMar>
              <w:top w:w="100" w:type="dxa"/>
              <w:left w:w="100" w:type="dxa"/>
              <w:bottom w:w="100" w:type="dxa"/>
              <w:right w:w="100" w:type="dxa"/>
            </w:tcMar>
          </w:tcPr>
          <w:p w14:paraId="6CACA7FD" w14:textId="77777777" w:rsidR="002530E2" w:rsidRDefault="002530E2">
            <w:pPr>
              <w:spacing w:after="0" w:line="276" w:lineRule="auto"/>
            </w:pPr>
            <w:r>
              <w:t>IRE 12: CASE SUMMARY</w:t>
            </w:r>
          </w:p>
        </w:tc>
        <w:tc>
          <w:tcPr>
            <w:tcW w:w="5940" w:type="dxa"/>
            <w:shd w:val="clear" w:color="auto" w:fill="auto"/>
            <w:tcMar>
              <w:top w:w="100" w:type="dxa"/>
              <w:left w:w="100" w:type="dxa"/>
              <w:bottom w:w="100" w:type="dxa"/>
              <w:right w:w="100" w:type="dxa"/>
            </w:tcMar>
          </w:tcPr>
          <w:p w14:paraId="36B57AAA" w14:textId="77777777" w:rsidR="002530E2" w:rsidRDefault="002530E2">
            <w:pPr>
              <w:spacing w:after="0" w:line="276" w:lineRule="auto"/>
            </w:pPr>
            <w:r>
              <w:t>In summary, Kellogg's faced a packaging controversy in Saudi Arabia in 2013 when a rooster image on its Corn Flakes packaging offended Muslim consumers. The company responded by apologizing, withdrawing the packaging, and emphasizing the need for cultural sensitivity in product design and promotion.</w:t>
            </w:r>
          </w:p>
        </w:tc>
      </w:tr>
    </w:tbl>
    <w:p w14:paraId="1C0DC5FC" w14:textId="77777777" w:rsidR="002530E2" w:rsidRDefault="002530E2"/>
    <w:p w14:paraId="57710985" w14:textId="77777777" w:rsidR="002530E2" w:rsidRDefault="002530E2">
      <w:pPr>
        <w:pStyle w:val="Heading2"/>
      </w:pPr>
      <w:bookmarkStart w:id="423" w:name="_7c2ju176drzk" w:colFirst="0" w:colLast="0"/>
      <w:bookmarkEnd w:id="423"/>
      <w:r>
        <w:t>IR 007 (2014: McDonald's, Saudi Arabia)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5955"/>
      </w:tblGrid>
      <w:tr w:rsidR="002530E2" w14:paraId="008F57C7" w14:textId="77777777">
        <w:tc>
          <w:tcPr>
            <w:tcW w:w="3075" w:type="dxa"/>
            <w:shd w:val="clear" w:color="auto" w:fill="auto"/>
            <w:tcMar>
              <w:top w:w="100" w:type="dxa"/>
              <w:left w:w="100" w:type="dxa"/>
              <w:bottom w:w="100" w:type="dxa"/>
              <w:right w:w="100" w:type="dxa"/>
            </w:tcMar>
          </w:tcPr>
          <w:p w14:paraId="26871D44" w14:textId="77777777" w:rsidR="002530E2" w:rsidRDefault="002530E2">
            <w:pPr>
              <w:spacing w:after="0" w:line="276" w:lineRule="auto"/>
            </w:pPr>
            <w:r>
              <w:t>IREs / INCIDENT REPORT ELEMENTS</w:t>
            </w:r>
          </w:p>
        </w:tc>
        <w:tc>
          <w:tcPr>
            <w:tcW w:w="5955" w:type="dxa"/>
            <w:shd w:val="clear" w:color="auto" w:fill="auto"/>
            <w:tcMar>
              <w:top w:w="100" w:type="dxa"/>
              <w:left w:w="100" w:type="dxa"/>
              <w:bottom w:w="100" w:type="dxa"/>
              <w:right w:w="100" w:type="dxa"/>
            </w:tcMar>
          </w:tcPr>
          <w:p w14:paraId="287A8D66" w14:textId="77777777" w:rsidR="002530E2" w:rsidRDefault="002530E2">
            <w:pPr>
              <w:spacing w:after="0" w:line="276" w:lineRule="auto"/>
            </w:pPr>
            <w:r>
              <w:t>Incident Report Title: “McDonald's Desserts and Shakes Menu Controversy in Saudi Arabia”</w:t>
            </w:r>
          </w:p>
        </w:tc>
      </w:tr>
      <w:tr w:rsidR="002530E2" w14:paraId="1D1EBF6D" w14:textId="77777777">
        <w:tc>
          <w:tcPr>
            <w:tcW w:w="3075" w:type="dxa"/>
            <w:shd w:val="clear" w:color="auto" w:fill="auto"/>
            <w:tcMar>
              <w:top w:w="100" w:type="dxa"/>
              <w:left w:w="100" w:type="dxa"/>
              <w:bottom w:w="100" w:type="dxa"/>
              <w:right w:w="100" w:type="dxa"/>
            </w:tcMar>
          </w:tcPr>
          <w:p w14:paraId="162718FB" w14:textId="77777777" w:rsidR="002530E2" w:rsidRDefault="002530E2">
            <w:pPr>
              <w:spacing w:after="0" w:line="276" w:lineRule="auto"/>
            </w:pPr>
            <w:r>
              <w:lastRenderedPageBreak/>
              <w:t>IRE 1: INTRODUCTION</w:t>
            </w:r>
          </w:p>
        </w:tc>
        <w:tc>
          <w:tcPr>
            <w:tcW w:w="5955" w:type="dxa"/>
            <w:shd w:val="clear" w:color="auto" w:fill="auto"/>
            <w:tcMar>
              <w:top w:w="100" w:type="dxa"/>
              <w:left w:w="100" w:type="dxa"/>
              <w:bottom w:w="100" w:type="dxa"/>
              <w:right w:w="100" w:type="dxa"/>
            </w:tcMar>
          </w:tcPr>
          <w:p w14:paraId="74F604B0" w14:textId="77777777" w:rsidR="002530E2" w:rsidRDefault="002530E2">
            <w:pPr>
              <w:spacing w:after="0" w:line="276" w:lineRule="auto"/>
            </w:pPr>
            <w:r>
              <w:t>The incident report addresses the controversy faced by McDonald's in Saudi Arabia in 2014 regarding the use of the word "Sundae" on its ice cream menu, which sounded similar to a derogatory term in Arabic. The company received criticism and subsequently changed the name of the dessert to "Allegro."</w:t>
            </w:r>
          </w:p>
        </w:tc>
      </w:tr>
      <w:tr w:rsidR="002530E2" w14:paraId="5CAC7F13" w14:textId="77777777">
        <w:tc>
          <w:tcPr>
            <w:tcW w:w="3075" w:type="dxa"/>
            <w:shd w:val="clear" w:color="auto" w:fill="auto"/>
            <w:tcMar>
              <w:top w:w="100" w:type="dxa"/>
              <w:left w:w="100" w:type="dxa"/>
              <w:bottom w:w="100" w:type="dxa"/>
              <w:right w:w="100" w:type="dxa"/>
            </w:tcMar>
          </w:tcPr>
          <w:p w14:paraId="3FA26E9F" w14:textId="77777777" w:rsidR="002530E2" w:rsidRDefault="002530E2">
            <w:pPr>
              <w:spacing w:after="0" w:line="276" w:lineRule="auto"/>
            </w:pPr>
            <w:r>
              <w:t>IRE 2: INCIDENT BACKGROUND — WHAT HAPPENED?</w:t>
            </w:r>
          </w:p>
        </w:tc>
        <w:tc>
          <w:tcPr>
            <w:tcW w:w="5955" w:type="dxa"/>
            <w:shd w:val="clear" w:color="auto" w:fill="auto"/>
            <w:tcMar>
              <w:top w:w="100" w:type="dxa"/>
              <w:left w:w="100" w:type="dxa"/>
              <w:bottom w:w="100" w:type="dxa"/>
              <w:right w:w="100" w:type="dxa"/>
            </w:tcMar>
          </w:tcPr>
          <w:p w14:paraId="557AA22D" w14:textId="77777777" w:rsidR="002530E2" w:rsidRDefault="002530E2">
            <w:pPr>
              <w:spacing w:after="0" w:line="276" w:lineRule="auto"/>
            </w:pPr>
            <w:r>
              <w:t>In 2014, McDonald's faced criticism in Saudi Arabia for using the word "Sundae" on its ice cream menu, which resembled a derogatory term related to homosexuality in Arabic. This choice of name raised concerns and drew negative attention from Muslim consumers in Saudi Arabia.</w:t>
            </w:r>
          </w:p>
        </w:tc>
      </w:tr>
      <w:tr w:rsidR="002530E2" w14:paraId="7396D969" w14:textId="77777777">
        <w:tc>
          <w:tcPr>
            <w:tcW w:w="3075" w:type="dxa"/>
            <w:shd w:val="clear" w:color="auto" w:fill="auto"/>
            <w:tcMar>
              <w:top w:w="100" w:type="dxa"/>
              <w:left w:w="100" w:type="dxa"/>
              <w:bottom w:w="100" w:type="dxa"/>
              <w:right w:w="100" w:type="dxa"/>
            </w:tcMar>
          </w:tcPr>
          <w:p w14:paraId="6093D6DD" w14:textId="77777777" w:rsidR="002530E2" w:rsidRDefault="002530E2">
            <w:pPr>
              <w:spacing w:after="0" w:line="276" w:lineRule="auto"/>
            </w:pPr>
            <w:r>
              <w:t>IRE 3: TIME — WHEN DID THE BLUNDER OCCUR?</w:t>
            </w:r>
          </w:p>
        </w:tc>
        <w:tc>
          <w:tcPr>
            <w:tcW w:w="5955" w:type="dxa"/>
            <w:shd w:val="clear" w:color="auto" w:fill="auto"/>
            <w:tcMar>
              <w:top w:w="100" w:type="dxa"/>
              <w:left w:w="100" w:type="dxa"/>
              <w:bottom w:w="100" w:type="dxa"/>
              <w:right w:w="100" w:type="dxa"/>
            </w:tcMar>
          </w:tcPr>
          <w:p w14:paraId="22A6C9C2" w14:textId="77777777" w:rsidR="002530E2" w:rsidRDefault="002530E2">
            <w:pPr>
              <w:spacing w:after="0" w:line="276" w:lineRule="auto"/>
            </w:pPr>
            <w:r>
              <w:t>The blunder occurred in 2014.</w:t>
            </w:r>
          </w:p>
        </w:tc>
      </w:tr>
      <w:tr w:rsidR="002530E2" w14:paraId="1A552973" w14:textId="77777777">
        <w:tc>
          <w:tcPr>
            <w:tcW w:w="3075" w:type="dxa"/>
            <w:shd w:val="clear" w:color="auto" w:fill="auto"/>
            <w:tcMar>
              <w:top w:w="100" w:type="dxa"/>
              <w:left w:w="100" w:type="dxa"/>
              <w:bottom w:w="100" w:type="dxa"/>
              <w:right w:w="100" w:type="dxa"/>
            </w:tcMar>
          </w:tcPr>
          <w:p w14:paraId="7D1F8B59" w14:textId="77777777" w:rsidR="002530E2" w:rsidRDefault="002530E2">
            <w:pPr>
              <w:spacing w:after="0" w:line="276" w:lineRule="auto"/>
            </w:pPr>
            <w:r>
              <w:t>IRE 4: PLACE — WHERE DID THE BLUNDER TAKE PLACE?</w:t>
            </w:r>
          </w:p>
        </w:tc>
        <w:tc>
          <w:tcPr>
            <w:tcW w:w="5955" w:type="dxa"/>
            <w:shd w:val="clear" w:color="auto" w:fill="auto"/>
            <w:tcMar>
              <w:top w:w="100" w:type="dxa"/>
              <w:left w:w="100" w:type="dxa"/>
              <w:bottom w:w="100" w:type="dxa"/>
              <w:right w:w="100" w:type="dxa"/>
            </w:tcMar>
          </w:tcPr>
          <w:p w14:paraId="3E31DF6D" w14:textId="77777777" w:rsidR="002530E2" w:rsidRDefault="002530E2">
            <w:pPr>
              <w:spacing w:after="0" w:line="276" w:lineRule="auto"/>
            </w:pPr>
            <w:r>
              <w:t>The blunder took place in Saudi Arabia.</w:t>
            </w:r>
          </w:p>
        </w:tc>
      </w:tr>
      <w:tr w:rsidR="002530E2" w14:paraId="2FC91F75" w14:textId="77777777">
        <w:tc>
          <w:tcPr>
            <w:tcW w:w="3075" w:type="dxa"/>
            <w:shd w:val="clear" w:color="auto" w:fill="auto"/>
            <w:tcMar>
              <w:top w:w="100" w:type="dxa"/>
              <w:left w:w="100" w:type="dxa"/>
              <w:bottom w:w="100" w:type="dxa"/>
              <w:right w:w="100" w:type="dxa"/>
            </w:tcMar>
          </w:tcPr>
          <w:p w14:paraId="5023D3E1" w14:textId="77777777" w:rsidR="002530E2" w:rsidRDefault="002530E2">
            <w:pPr>
              <w:spacing w:after="0" w:line="276" w:lineRule="auto"/>
            </w:pPr>
            <w:r>
              <w:t>IRE 5: VICTIM GROUP — WHO WAS FIRST AFFECTED?</w:t>
            </w:r>
          </w:p>
        </w:tc>
        <w:tc>
          <w:tcPr>
            <w:tcW w:w="5955" w:type="dxa"/>
            <w:shd w:val="clear" w:color="auto" w:fill="auto"/>
            <w:tcMar>
              <w:top w:w="100" w:type="dxa"/>
              <w:left w:w="100" w:type="dxa"/>
              <w:bottom w:w="100" w:type="dxa"/>
              <w:right w:w="100" w:type="dxa"/>
            </w:tcMar>
          </w:tcPr>
          <w:p w14:paraId="098433EF" w14:textId="77777777" w:rsidR="002530E2" w:rsidRDefault="002530E2">
            <w:pPr>
              <w:spacing w:after="0" w:line="276" w:lineRule="auto"/>
            </w:pPr>
            <w:r>
              <w:t>Muslim consumers in Saudi Arabia were the first affected by the blunder.</w:t>
            </w:r>
          </w:p>
        </w:tc>
      </w:tr>
      <w:tr w:rsidR="002530E2" w14:paraId="3995E2A6" w14:textId="77777777">
        <w:tc>
          <w:tcPr>
            <w:tcW w:w="3075" w:type="dxa"/>
            <w:shd w:val="clear" w:color="auto" w:fill="auto"/>
            <w:tcMar>
              <w:top w:w="100" w:type="dxa"/>
              <w:left w:w="100" w:type="dxa"/>
              <w:bottom w:w="100" w:type="dxa"/>
              <w:right w:w="100" w:type="dxa"/>
            </w:tcMar>
          </w:tcPr>
          <w:p w14:paraId="51C897DB" w14:textId="77777777" w:rsidR="002530E2" w:rsidRDefault="002530E2">
            <w:pPr>
              <w:spacing w:after="0" w:line="276" w:lineRule="auto"/>
            </w:pPr>
            <w:r>
              <w:t>IRE 6: BLUNDERER — WHO MADE THE BLUNDER?</w:t>
            </w:r>
          </w:p>
        </w:tc>
        <w:tc>
          <w:tcPr>
            <w:tcW w:w="5955" w:type="dxa"/>
            <w:shd w:val="clear" w:color="auto" w:fill="auto"/>
            <w:tcMar>
              <w:top w:w="100" w:type="dxa"/>
              <w:left w:w="100" w:type="dxa"/>
              <w:bottom w:w="100" w:type="dxa"/>
              <w:right w:w="100" w:type="dxa"/>
            </w:tcMar>
          </w:tcPr>
          <w:p w14:paraId="177689EC" w14:textId="77777777" w:rsidR="002530E2" w:rsidRDefault="002530E2">
            <w:pPr>
              <w:spacing w:after="0" w:line="276" w:lineRule="auto"/>
            </w:pPr>
            <w:r>
              <w:t>McDonald's, the multinational corporation, made the blunder.</w:t>
            </w:r>
          </w:p>
        </w:tc>
      </w:tr>
      <w:tr w:rsidR="002530E2" w14:paraId="3F729C50" w14:textId="77777777">
        <w:tc>
          <w:tcPr>
            <w:tcW w:w="3075" w:type="dxa"/>
            <w:shd w:val="clear" w:color="auto" w:fill="auto"/>
            <w:tcMar>
              <w:top w:w="100" w:type="dxa"/>
              <w:left w:w="100" w:type="dxa"/>
              <w:bottom w:w="100" w:type="dxa"/>
              <w:right w:w="100" w:type="dxa"/>
            </w:tcMar>
          </w:tcPr>
          <w:p w14:paraId="4624D1D2" w14:textId="77777777" w:rsidR="002530E2" w:rsidRDefault="002530E2">
            <w:pPr>
              <w:spacing w:after="0" w:line="276" w:lineRule="auto"/>
            </w:pPr>
            <w:r>
              <w:t>IRE 7: VICTIMISATION — WHAT WERE THE CONSEQUENCES FOR MUSLIMS?</w:t>
            </w:r>
          </w:p>
        </w:tc>
        <w:tc>
          <w:tcPr>
            <w:tcW w:w="5955" w:type="dxa"/>
            <w:shd w:val="clear" w:color="auto" w:fill="auto"/>
            <w:tcMar>
              <w:top w:w="100" w:type="dxa"/>
              <w:left w:w="100" w:type="dxa"/>
              <w:bottom w:w="100" w:type="dxa"/>
              <w:right w:w="100" w:type="dxa"/>
            </w:tcMar>
          </w:tcPr>
          <w:p w14:paraId="0D924520" w14:textId="77777777" w:rsidR="002530E2" w:rsidRDefault="002530E2">
            <w:pPr>
              <w:spacing w:after="0" w:line="276" w:lineRule="auto"/>
            </w:pPr>
            <w:r>
              <w:t>Muslim consumers in Saudi Arabia perceived the use of the word "Sundae" as disrespectful and offensive due to its similarity to a derogatory term in Arabic. This caused outrage and discontent among the Muslim community, as it was seen as an insensitivity towards their religious and cultural values.</w:t>
            </w:r>
          </w:p>
        </w:tc>
      </w:tr>
      <w:tr w:rsidR="002530E2" w14:paraId="2B036D29" w14:textId="77777777">
        <w:tc>
          <w:tcPr>
            <w:tcW w:w="3075" w:type="dxa"/>
            <w:shd w:val="clear" w:color="auto" w:fill="auto"/>
            <w:tcMar>
              <w:top w:w="100" w:type="dxa"/>
              <w:left w:w="100" w:type="dxa"/>
              <w:bottom w:w="100" w:type="dxa"/>
              <w:right w:w="100" w:type="dxa"/>
            </w:tcMar>
          </w:tcPr>
          <w:p w14:paraId="2AE3920A" w14:textId="77777777" w:rsidR="002530E2" w:rsidRDefault="002530E2">
            <w:pPr>
              <w:spacing w:after="0" w:line="276" w:lineRule="auto"/>
            </w:pPr>
            <w:r>
              <w:t>IRE 8: RAMIFICATIONS — HOW WAS THE MNC IMPACTED?</w:t>
            </w:r>
          </w:p>
        </w:tc>
        <w:tc>
          <w:tcPr>
            <w:tcW w:w="5955" w:type="dxa"/>
            <w:shd w:val="clear" w:color="auto" w:fill="auto"/>
            <w:tcMar>
              <w:top w:w="100" w:type="dxa"/>
              <w:left w:w="100" w:type="dxa"/>
              <w:bottom w:w="100" w:type="dxa"/>
              <w:right w:w="100" w:type="dxa"/>
            </w:tcMar>
          </w:tcPr>
          <w:p w14:paraId="77664F77" w14:textId="77777777" w:rsidR="002530E2" w:rsidRDefault="002530E2">
            <w:pPr>
              <w:spacing w:after="0" w:line="276" w:lineRule="auto"/>
            </w:pPr>
            <w:r>
              <w:t>The impact on McDonald's business in Saudi Arabia specifically has not been extensively documented. However, the incident highlighted the importance of cultural sensitivity and linguistic considerations when operating in diverse markets. It could have potentially affected McDonald's reputation and customer trust among Muslims in Saudi Arabia.</w:t>
            </w:r>
          </w:p>
        </w:tc>
      </w:tr>
      <w:tr w:rsidR="002530E2" w14:paraId="5516FDDA" w14:textId="77777777">
        <w:tc>
          <w:tcPr>
            <w:tcW w:w="3075" w:type="dxa"/>
            <w:shd w:val="clear" w:color="auto" w:fill="auto"/>
            <w:tcMar>
              <w:top w:w="100" w:type="dxa"/>
              <w:left w:w="100" w:type="dxa"/>
              <w:bottom w:w="100" w:type="dxa"/>
              <w:right w:w="100" w:type="dxa"/>
            </w:tcMar>
          </w:tcPr>
          <w:p w14:paraId="3D7F8B25" w14:textId="77777777" w:rsidR="002530E2" w:rsidRDefault="002530E2">
            <w:pPr>
              <w:spacing w:after="0" w:line="276" w:lineRule="auto"/>
            </w:pPr>
            <w:r>
              <w:t xml:space="preserve">IRE 9: REASONS — WHY DID THE BLUNDER HAPPEN? </w:t>
            </w:r>
          </w:p>
        </w:tc>
        <w:tc>
          <w:tcPr>
            <w:tcW w:w="5955" w:type="dxa"/>
            <w:shd w:val="clear" w:color="auto" w:fill="auto"/>
            <w:tcMar>
              <w:top w:w="100" w:type="dxa"/>
              <w:left w:w="100" w:type="dxa"/>
              <w:bottom w:w="100" w:type="dxa"/>
              <w:right w:w="100" w:type="dxa"/>
            </w:tcMar>
          </w:tcPr>
          <w:p w14:paraId="6109EEB2" w14:textId="77777777" w:rsidR="002530E2" w:rsidRDefault="002530E2">
            <w:pPr>
              <w:spacing w:after="0" w:line="276" w:lineRule="auto"/>
            </w:pPr>
            <w:r>
              <w:t>The blunder occurred due to a linguistic oversight where the chosen name "Sundae" unintentionally resembled a derogatory term in Arabic.</w:t>
            </w:r>
          </w:p>
        </w:tc>
      </w:tr>
      <w:tr w:rsidR="002530E2" w14:paraId="5A9595D8" w14:textId="77777777">
        <w:tc>
          <w:tcPr>
            <w:tcW w:w="3075" w:type="dxa"/>
            <w:shd w:val="clear" w:color="auto" w:fill="auto"/>
            <w:tcMar>
              <w:top w:w="100" w:type="dxa"/>
              <w:left w:w="100" w:type="dxa"/>
              <w:bottom w:w="100" w:type="dxa"/>
              <w:right w:w="100" w:type="dxa"/>
            </w:tcMar>
          </w:tcPr>
          <w:p w14:paraId="6E157034" w14:textId="77777777" w:rsidR="002530E2" w:rsidRDefault="002530E2">
            <w:pPr>
              <w:spacing w:after="0" w:line="276" w:lineRule="auto"/>
            </w:pPr>
            <w:r>
              <w:t>IRE 10: DAMAGE CONTROL — HOW DID THE MNC ADDRESS THE ISSUES?</w:t>
            </w:r>
          </w:p>
        </w:tc>
        <w:tc>
          <w:tcPr>
            <w:tcW w:w="5955" w:type="dxa"/>
            <w:shd w:val="clear" w:color="auto" w:fill="auto"/>
            <w:tcMar>
              <w:top w:w="100" w:type="dxa"/>
              <w:left w:w="100" w:type="dxa"/>
              <w:bottom w:w="100" w:type="dxa"/>
              <w:right w:w="100" w:type="dxa"/>
            </w:tcMar>
          </w:tcPr>
          <w:p w14:paraId="477E7D31" w14:textId="77777777" w:rsidR="002530E2" w:rsidRDefault="002530E2">
            <w:pPr>
              <w:spacing w:after="0" w:line="276" w:lineRule="auto"/>
            </w:pPr>
            <w:r>
              <w:t xml:space="preserve">McDonald's responded to the controversy by issuing an apology and taking immediate action to address the concerns raised by Muslim consumers. The company changed the name of the dessert from "Sundae" to "Allegro" to avoid any further offense. </w:t>
            </w:r>
            <w:r>
              <w:lastRenderedPageBreak/>
              <w:t>McDonald's expressed its commitment to respecting the religious and cultural values of its customers.</w:t>
            </w:r>
          </w:p>
        </w:tc>
      </w:tr>
      <w:tr w:rsidR="002530E2" w14:paraId="4E0153D3" w14:textId="77777777">
        <w:tc>
          <w:tcPr>
            <w:tcW w:w="3075" w:type="dxa"/>
            <w:shd w:val="clear" w:color="auto" w:fill="auto"/>
            <w:tcMar>
              <w:top w:w="100" w:type="dxa"/>
              <w:left w:w="100" w:type="dxa"/>
              <w:bottom w:w="100" w:type="dxa"/>
              <w:right w:w="100" w:type="dxa"/>
            </w:tcMar>
          </w:tcPr>
          <w:p w14:paraId="37A25F87" w14:textId="77777777" w:rsidR="002530E2" w:rsidRDefault="002530E2">
            <w:pPr>
              <w:spacing w:after="0" w:line="276" w:lineRule="auto"/>
            </w:pPr>
            <w:r>
              <w:lastRenderedPageBreak/>
              <w:t>IRE 11: FUTURE PREVENTION STRATEGIES — WHAT ARE THE LESSONS LEARNED?</w:t>
            </w:r>
          </w:p>
        </w:tc>
        <w:tc>
          <w:tcPr>
            <w:tcW w:w="5955" w:type="dxa"/>
            <w:shd w:val="clear" w:color="auto" w:fill="auto"/>
            <w:tcMar>
              <w:top w:w="100" w:type="dxa"/>
              <w:left w:w="100" w:type="dxa"/>
              <w:bottom w:w="100" w:type="dxa"/>
              <w:right w:w="100" w:type="dxa"/>
            </w:tcMar>
          </w:tcPr>
          <w:p w14:paraId="6B3792A2" w14:textId="77777777" w:rsidR="002530E2" w:rsidRDefault="002530E2">
            <w:pPr>
              <w:spacing w:after="0" w:line="276" w:lineRule="auto"/>
            </w:pPr>
            <w:r>
              <w:t>This incident served as a reminder to multinational corporations like McDonald's to thoroughly research and consider the cultural and linguistic implications of product names, particularly in countries with different languages and sensitivities. Future prevention strategies should include comprehensive market research, linguistic analysis, and consultation with local communities to avoid unintended offensive associations.</w:t>
            </w:r>
          </w:p>
        </w:tc>
      </w:tr>
      <w:tr w:rsidR="002530E2" w14:paraId="54185860" w14:textId="77777777">
        <w:tc>
          <w:tcPr>
            <w:tcW w:w="3075" w:type="dxa"/>
            <w:shd w:val="clear" w:color="auto" w:fill="auto"/>
            <w:tcMar>
              <w:top w:w="100" w:type="dxa"/>
              <w:left w:w="100" w:type="dxa"/>
              <w:bottom w:w="100" w:type="dxa"/>
              <w:right w:w="100" w:type="dxa"/>
            </w:tcMar>
          </w:tcPr>
          <w:p w14:paraId="23F9B2FA" w14:textId="77777777" w:rsidR="002530E2" w:rsidRDefault="002530E2">
            <w:pPr>
              <w:spacing w:after="0" w:line="276" w:lineRule="auto"/>
            </w:pPr>
            <w:r>
              <w:t>IRE 12: CASE SUMMARY</w:t>
            </w:r>
          </w:p>
        </w:tc>
        <w:tc>
          <w:tcPr>
            <w:tcW w:w="5955" w:type="dxa"/>
            <w:shd w:val="clear" w:color="auto" w:fill="auto"/>
            <w:tcMar>
              <w:top w:w="100" w:type="dxa"/>
              <w:left w:w="100" w:type="dxa"/>
              <w:bottom w:w="100" w:type="dxa"/>
              <w:right w:w="100" w:type="dxa"/>
            </w:tcMar>
          </w:tcPr>
          <w:p w14:paraId="3D53D4D2" w14:textId="77777777" w:rsidR="002530E2" w:rsidRDefault="002530E2">
            <w:pPr>
              <w:spacing w:after="0" w:line="276" w:lineRule="auto"/>
            </w:pPr>
            <w:r>
              <w:t>In 2014, McDonald's faced a controversy in Saudi Arabia due to the use of the word "Sundae" on its ice cream menu, which resembled a derogatory term in Arabic. Muslim consumers in Saudi Arabia accused the company of insensitivity and disrespect towards their religious values. McDonald's responded by apologizing and changing the name of the dessert. This incident highlighted the importance of cultural sensitivity and linguistic considerations when operating in diverse markets, emphasizing the need for thorough research and consultation to avoid unintentional offense.</w:t>
            </w:r>
          </w:p>
        </w:tc>
      </w:tr>
    </w:tbl>
    <w:p w14:paraId="45033DC8" w14:textId="77777777" w:rsidR="002530E2" w:rsidRDefault="002530E2"/>
    <w:p w14:paraId="2865F281" w14:textId="77777777" w:rsidR="002530E2" w:rsidRDefault="002530E2">
      <w:pPr>
        <w:pStyle w:val="Heading2"/>
      </w:pPr>
      <w:bookmarkStart w:id="424" w:name="_l43zpd3a4426" w:colFirst="0" w:colLast="0"/>
      <w:bookmarkEnd w:id="424"/>
      <w:r>
        <w:t>IR 008 (2014: Zara,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7E8DC4BF" w14:textId="77777777">
        <w:tc>
          <w:tcPr>
            <w:tcW w:w="1905" w:type="dxa"/>
            <w:shd w:val="clear" w:color="auto" w:fill="auto"/>
            <w:tcMar>
              <w:top w:w="100" w:type="dxa"/>
              <w:left w:w="100" w:type="dxa"/>
              <w:bottom w:w="100" w:type="dxa"/>
              <w:right w:w="100" w:type="dxa"/>
            </w:tcMar>
          </w:tcPr>
          <w:p w14:paraId="6A151853"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65323B6" w14:textId="77777777" w:rsidR="002530E2" w:rsidRDefault="002530E2">
            <w:pPr>
              <w:spacing w:after="0" w:line="276" w:lineRule="auto"/>
            </w:pPr>
            <w:r>
              <w:t>Incident Report Title: “Zara's Controversial Children's Clothing Line”</w:t>
            </w:r>
          </w:p>
        </w:tc>
      </w:tr>
      <w:tr w:rsidR="002530E2" w14:paraId="256394FC" w14:textId="77777777">
        <w:tc>
          <w:tcPr>
            <w:tcW w:w="1905" w:type="dxa"/>
            <w:shd w:val="clear" w:color="auto" w:fill="auto"/>
            <w:tcMar>
              <w:top w:w="100" w:type="dxa"/>
              <w:left w:w="100" w:type="dxa"/>
              <w:bottom w:w="100" w:type="dxa"/>
              <w:right w:w="100" w:type="dxa"/>
            </w:tcMar>
          </w:tcPr>
          <w:p w14:paraId="1FC1C61B"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67D9B0E1" w14:textId="77777777" w:rsidR="002530E2" w:rsidRDefault="002530E2">
            <w:pPr>
              <w:spacing w:after="0" w:line="276" w:lineRule="auto"/>
            </w:pPr>
            <w:r>
              <w:t>This case examines a cross-cultural blunder by Zara in 2014 that sparked controversy among Muslim consumers. The report focuses on the consequences of Zara's release of a children's clothing line featuring a striped shirt with a yellow star on the chest, which some Muslims felt resembled the uniforms worn by Jewish prisoners during the Holocaust. The incident led to backlash and calls for a boycott and emphasised the importance of cultural sensitivity and historical awareness in the fashion industry.</w:t>
            </w:r>
          </w:p>
        </w:tc>
      </w:tr>
      <w:tr w:rsidR="002530E2" w14:paraId="618B8801" w14:textId="77777777">
        <w:tc>
          <w:tcPr>
            <w:tcW w:w="1905" w:type="dxa"/>
            <w:shd w:val="clear" w:color="auto" w:fill="auto"/>
            <w:tcMar>
              <w:top w:w="100" w:type="dxa"/>
              <w:left w:w="100" w:type="dxa"/>
              <w:bottom w:w="100" w:type="dxa"/>
              <w:right w:w="100" w:type="dxa"/>
            </w:tcMar>
          </w:tcPr>
          <w:p w14:paraId="78575AF0"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A48AFC2" w14:textId="77777777" w:rsidR="002530E2" w:rsidRDefault="002530E2">
            <w:pPr>
              <w:spacing w:after="0" w:line="276" w:lineRule="auto"/>
            </w:pPr>
            <w:r>
              <w:t xml:space="preserve">In 2014, Zara launched a children's clothing line that included a striped shirt with a yellow star on the chest. Upon seeing the shirt, many Muslim consumers expressed their concerns and felt that the design closely </w:t>
            </w:r>
            <w:r>
              <w:lastRenderedPageBreak/>
              <w:t>resembled the uniforms worn by Jewish prisoners during the Holocaust. They believed that the use of such imagery was inappropriate and disrespectful.</w:t>
            </w:r>
          </w:p>
        </w:tc>
      </w:tr>
      <w:tr w:rsidR="002530E2" w14:paraId="73B557B3" w14:textId="77777777">
        <w:tc>
          <w:tcPr>
            <w:tcW w:w="1905" w:type="dxa"/>
            <w:shd w:val="clear" w:color="auto" w:fill="auto"/>
            <w:tcMar>
              <w:top w:w="100" w:type="dxa"/>
              <w:left w:w="100" w:type="dxa"/>
              <w:bottom w:w="100" w:type="dxa"/>
              <w:right w:w="100" w:type="dxa"/>
            </w:tcMar>
          </w:tcPr>
          <w:p w14:paraId="40ED8919"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73B14BC9" w14:textId="77777777" w:rsidR="002530E2" w:rsidRDefault="002530E2">
            <w:pPr>
              <w:spacing w:after="0" w:line="276" w:lineRule="auto"/>
            </w:pPr>
            <w:r>
              <w:t>The incident occurred in 2014, when Zara released a children's clothing line featuring the controversial striped shirt with a yellow star.</w:t>
            </w:r>
          </w:p>
        </w:tc>
      </w:tr>
      <w:tr w:rsidR="002530E2" w14:paraId="006338F3" w14:textId="77777777">
        <w:tc>
          <w:tcPr>
            <w:tcW w:w="1905" w:type="dxa"/>
            <w:shd w:val="clear" w:color="auto" w:fill="auto"/>
            <w:tcMar>
              <w:top w:w="100" w:type="dxa"/>
              <w:left w:w="100" w:type="dxa"/>
              <w:bottom w:w="100" w:type="dxa"/>
              <w:right w:w="100" w:type="dxa"/>
            </w:tcMar>
          </w:tcPr>
          <w:p w14:paraId="0EF26DA2"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0564A038" w14:textId="77777777" w:rsidR="002530E2" w:rsidRDefault="002530E2">
            <w:pPr>
              <w:spacing w:after="0" w:line="276" w:lineRule="auto"/>
            </w:pPr>
            <w:r>
              <w:t>The controversy emerged globally as news of the clothing line spread across various countries where Zara operates.</w:t>
            </w:r>
          </w:p>
        </w:tc>
      </w:tr>
      <w:tr w:rsidR="002530E2" w14:paraId="67482421" w14:textId="77777777">
        <w:tc>
          <w:tcPr>
            <w:tcW w:w="1905" w:type="dxa"/>
            <w:shd w:val="clear" w:color="auto" w:fill="auto"/>
            <w:tcMar>
              <w:top w:w="100" w:type="dxa"/>
              <w:left w:w="100" w:type="dxa"/>
              <w:bottom w:w="100" w:type="dxa"/>
              <w:right w:w="100" w:type="dxa"/>
            </w:tcMar>
          </w:tcPr>
          <w:p w14:paraId="798C6305"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19BF9F1F" w14:textId="77777777" w:rsidR="002530E2" w:rsidRDefault="002530E2">
            <w:pPr>
              <w:spacing w:after="0" w:line="276" w:lineRule="auto"/>
              <w:rPr>
                <w:color w:val="1155CC"/>
              </w:rPr>
            </w:pPr>
            <w:r>
              <w:rPr>
                <w:color w:val="1155CC"/>
              </w:rPr>
              <w:t>Muslim consumers were directly affected by this cross-cultural blunder. Many Muslims, upon seeing the striped shirt with the yellow star, interpreted it as a resemblance to the Holocaust uniforms worn by Jewish prisoners. Consequently, they expressed their concerns and called for a boycott of the brand (BBC, 2014).</w:t>
            </w:r>
          </w:p>
        </w:tc>
      </w:tr>
      <w:tr w:rsidR="002530E2" w14:paraId="5A6B8500" w14:textId="77777777">
        <w:tc>
          <w:tcPr>
            <w:tcW w:w="1905" w:type="dxa"/>
            <w:shd w:val="clear" w:color="auto" w:fill="auto"/>
            <w:tcMar>
              <w:top w:w="100" w:type="dxa"/>
              <w:left w:w="100" w:type="dxa"/>
              <w:bottom w:w="100" w:type="dxa"/>
              <w:right w:w="100" w:type="dxa"/>
            </w:tcMar>
          </w:tcPr>
          <w:p w14:paraId="559EE4D9"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BBE3106" w14:textId="77777777" w:rsidR="002530E2" w:rsidRDefault="002530E2">
            <w:pPr>
              <w:spacing w:after="0" w:line="276" w:lineRule="auto"/>
            </w:pPr>
            <w:r>
              <w:t>Zara, a well-known fashion retailer, was at the centre of the controversy. The design of the children's shirt sparked criticism and negative attention towards the brand.</w:t>
            </w:r>
          </w:p>
        </w:tc>
      </w:tr>
      <w:tr w:rsidR="002530E2" w14:paraId="36AC5F01" w14:textId="77777777">
        <w:tc>
          <w:tcPr>
            <w:tcW w:w="1905" w:type="dxa"/>
            <w:shd w:val="clear" w:color="auto" w:fill="auto"/>
            <w:tcMar>
              <w:top w:w="100" w:type="dxa"/>
              <w:left w:w="100" w:type="dxa"/>
              <w:bottom w:w="100" w:type="dxa"/>
              <w:right w:w="100" w:type="dxa"/>
            </w:tcMar>
          </w:tcPr>
          <w:p w14:paraId="69DA3853"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3AFB47F" w14:textId="77777777" w:rsidR="002530E2" w:rsidRDefault="002530E2">
            <w:pPr>
              <w:spacing w:after="0" w:line="276" w:lineRule="auto"/>
            </w:pPr>
            <w:r>
              <w:t>Muslim consumers who found the striped shirt design reminiscent of Holocaust uniforms felt offended and disrespected. The incident garnered significant attention on social media platforms, with many Muslims expressing their outrage and calling for a boycott of Zara. Their responses and concerns were widely shared and discussed within the online community.</w:t>
            </w:r>
          </w:p>
        </w:tc>
      </w:tr>
      <w:tr w:rsidR="002530E2" w14:paraId="1F1AF71A" w14:textId="77777777">
        <w:tc>
          <w:tcPr>
            <w:tcW w:w="1905" w:type="dxa"/>
            <w:shd w:val="clear" w:color="auto" w:fill="auto"/>
            <w:tcMar>
              <w:top w:w="100" w:type="dxa"/>
              <w:left w:w="100" w:type="dxa"/>
              <w:bottom w:w="100" w:type="dxa"/>
              <w:right w:w="100" w:type="dxa"/>
            </w:tcMar>
          </w:tcPr>
          <w:p w14:paraId="0DC56E60"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A281783" w14:textId="77777777" w:rsidR="002530E2" w:rsidRDefault="002530E2">
            <w:pPr>
              <w:spacing w:after="0" w:line="276" w:lineRule="auto"/>
            </w:pPr>
            <w:r>
              <w:t>The controversy surrounding the children's clothing line had a detrimental impact on Zara's brand reputation. The negative attention and calls for a boycott resulted in public scrutiny and potential financial implications for the company. Zara faced the challenge of addressing the concerns raised by Muslim consumers and restoring trust among its diverse customer base.</w:t>
            </w:r>
          </w:p>
        </w:tc>
      </w:tr>
      <w:tr w:rsidR="002530E2" w14:paraId="6BDBF427" w14:textId="77777777">
        <w:tc>
          <w:tcPr>
            <w:tcW w:w="1905" w:type="dxa"/>
            <w:shd w:val="clear" w:color="auto" w:fill="auto"/>
            <w:tcMar>
              <w:top w:w="100" w:type="dxa"/>
              <w:left w:w="100" w:type="dxa"/>
              <w:bottom w:w="100" w:type="dxa"/>
              <w:right w:w="100" w:type="dxa"/>
            </w:tcMar>
          </w:tcPr>
          <w:p w14:paraId="6886533F"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04347793" w14:textId="77777777" w:rsidR="002530E2" w:rsidRDefault="002530E2">
            <w:pPr>
              <w:spacing w:after="0" w:line="276" w:lineRule="auto"/>
            </w:pPr>
            <w:r>
              <w:t>Zara's cross-cultural blunder can be attributed to a lack of cultural sensitivity and historical awareness during the design and production process. The similarity between the striped shirt and the Holocaust uniforms was perceived as a lack of sensitivity towards a tragic historical event, which offended and angered Muslim consumers.</w:t>
            </w:r>
          </w:p>
        </w:tc>
      </w:tr>
      <w:tr w:rsidR="002530E2" w14:paraId="322B7C47" w14:textId="77777777">
        <w:tc>
          <w:tcPr>
            <w:tcW w:w="1905" w:type="dxa"/>
            <w:shd w:val="clear" w:color="auto" w:fill="auto"/>
            <w:tcMar>
              <w:top w:w="100" w:type="dxa"/>
              <w:left w:w="100" w:type="dxa"/>
              <w:bottom w:w="100" w:type="dxa"/>
              <w:right w:w="100" w:type="dxa"/>
            </w:tcMar>
          </w:tcPr>
          <w:p w14:paraId="70326D62"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99B341F" w14:textId="77777777" w:rsidR="002530E2" w:rsidRDefault="002530E2">
            <w:pPr>
              <w:spacing w:after="0" w:line="276" w:lineRule="auto"/>
            </w:pPr>
            <w:r>
              <w:t>In response to the controversy, Zara issued an apology and promptly removed the striped shirt from its collection. The company acknowledged the concerns raised by Muslim consumers and emphasised its commitment to cultural sensitivity and respect. Zara aimed to rectify the situation and rebuild its relationship with the affected community.</w:t>
            </w:r>
          </w:p>
        </w:tc>
      </w:tr>
      <w:tr w:rsidR="002530E2" w14:paraId="7109BF3C" w14:textId="77777777">
        <w:tc>
          <w:tcPr>
            <w:tcW w:w="1905" w:type="dxa"/>
            <w:shd w:val="clear" w:color="auto" w:fill="auto"/>
            <w:tcMar>
              <w:top w:w="100" w:type="dxa"/>
              <w:left w:w="100" w:type="dxa"/>
              <w:bottom w:w="100" w:type="dxa"/>
              <w:right w:w="100" w:type="dxa"/>
            </w:tcMar>
          </w:tcPr>
          <w:p w14:paraId="494B82AA" w14:textId="77777777" w:rsidR="002530E2" w:rsidRDefault="002530E2">
            <w:pPr>
              <w:spacing w:after="0" w:line="276" w:lineRule="auto"/>
            </w:pPr>
            <w:r>
              <w:lastRenderedPageBreak/>
              <w:t>IRE 11: FUTURE PREVENTION STRATEGIES — WHAT ARE THE LESSONS LEARNED?</w:t>
            </w:r>
          </w:p>
        </w:tc>
        <w:tc>
          <w:tcPr>
            <w:tcW w:w="7125" w:type="dxa"/>
            <w:shd w:val="clear" w:color="auto" w:fill="auto"/>
            <w:tcMar>
              <w:top w:w="100" w:type="dxa"/>
              <w:left w:w="100" w:type="dxa"/>
              <w:bottom w:w="100" w:type="dxa"/>
              <w:right w:w="100" w:type="dxa"/>
            </w:tcMar>
          </w:tcPr>
          <w:p w14:paraId="70E0898C" w14:textId="77777777" w:rsidR="002530E2" w:rsidRDefault="002530E2">
            <w:pPr>
              <w:spacing w:after="0" w:line="276" w:lineRule="auto"/>
            </w:pPr>
            <w:r>
              <w:t>To prevent similar cross-cultural blunders, fashion companies like Zara should prioritise cultural sensitivity training for their design teams. It is crucial to ensure that designs are thoroughly vetted to avoid unintentional associations that may offend or upset specific cultural or religious groups. Collaboration with diverse consultants and receiving feedback from different communities can help identify potential sensitivities and avoid controversial designs. Moving forward, Zara and other fashion brands should establish clear guidelines and protocols for cultural sensitivity in their design and production processes. Regular audits and reviews can help identify and rectify potential issues before they reach the public. Companies should also foster an inclusive and diverse work environment that encourages open discussions and feedback to ensure awareness and sensitivity towards different cultures and their historical contexts.</w:t>
            </w:r>
          </w:p>
        </w:tc>
      </w:tr>
      <w:tr w:rsidR="002530E2" w14:paraId="1255E98E" w14:textId="77777777">
        <w:tc>
          <w:tcPr>
            <w:tcW w:w="1905" w:type="dxa"/>
            <w:shd w:val="clear" w:color="auto" w:fill="auto"/>
            <w:tcMar>
              <w:top w:w="100" w:type="dxa"/>
              <w:left w:w="100" w:type="dxa"/>
              <w:bottom w:w="100" w:type="dxa"/>
              <w:right w:w="100" w:type="dxa"/>
            </w:tcMar>
          </w:tcPr>
          <w:p w14:paraId="1DFA58E9"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8319CB7" w14:textId="77777777" w:rsidR="002530E2" w:rsidRDefault="002530E2">
            <w:pPr>
              <w:spacing w:after="0" w:line="276" w:lineRule="auto"/>
            </w:pPr>
            <w:r>
              <w:t>The Zara children's clothing line controversy in 2014 exemplifies the importance of cultural sensitivity and historical awareness in the fashion industry. Muslim consumers found the striped shirt design resembling Holocaust uniforms offensive, leading to widespread backlash and calls for a boycott. The incident highlights the need for companies like Zara to prioritise cultural sensitivity training, collaborate with diverse consultants, and establish clear guidelines to prevent similar cross-cultural blunders in the future.</w:t>
            </w:r>
          </w:p>
        </w:tc>
      </w:tr>
    </w:tbl>
    <w:p w14:paraId="04EDB499" w14:textId="77777777" w:rsidR="002530E2" w:rsidRDefault="002530E2"/>
    <w:p w14:paraId="2E35F40D" w14:textId="77777777" w:rsidR="002530E2" w:rsidRDefault="002530E2">
      <w:pPr>
        <w:pStyle w:val="Heading2"/>
      </w:pPr>
      <w:bookmarkStart w:id="425" w:name="_5y2wxbyqzxe3" w:colFirst="0" w:colLast="0"/>
      <w:bookmarkEnd w:id="425"/>
      <w:r>
        <w:t>IR 009 (2014: Zara, Various countries)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3E0EEDD" w14:textId="77777777">
        <w:tc>
          <w:tcPr>
            <w:tcW w:w="1905" w:type="dxa"/>
            <w:shd w:val="clear" w:color="auto" w:fill="auto"/>
            <w:tcMar>
              <w:top w:w="100" w:type="dxa"/>
              <w:left w:w="100" w:type="dxa"/>
              <w:bottom w:w="100" w:type="dxa"/>
              <w:right w:w="100" w:type="dxa"/>
            </w:tcMar>
          </w:tcPr>
          <w:p w14:paraId="66E05F7A"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8BBB378" w14:textId="77777777" w:rsidR="002530E2" w:rsidRDefault="002530E2">
            <w:pPr>
              <w:spacing w:after="0" w:line="276" w:lineRule="auto"/>
            </w:pPr>
            <w:r>
              <w:t>Incident Report Title: “Zara's Controversial Clothing Designs Resembling ‘Allah’.”</w:t>
            </w:r>
          </w:p>
        </w:tc>
      </w:tr>
      <w:tr w:rsidR="002530E2" w14:paraId="049A53A7" w14:textId="77777777">
        <w:tc>
          <w:tcPr>
            <w:tcW w:w="1905" w:type="dxa"/>
            <w:shd w:val="clear" w:color="auto" w:fill="auto"/>
            <w:tcMar>
              <w:top w:w="100" w:type="dxa"/>
              <w:left w:w="100" w:type="dxa"/>
              <w:bottom w:w="100" w:type="dxa"/>
              <w:right w:w="100" w:type="dxa"/>
            </w:tcMar>
          </w:tcPr>
          <w:p w14:paraId="4738802F"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D9A5421" w14:textId="77777777" w:rsidR="002530E2" w:rsidRDefault="002530E2">
            <w:pPr>
              <w:spacing w:after="0" w:line="276" w:lineRule="auto"/>
            </w:pPr>
            <w:r>
              <w:t>This case examines the cross-cultural controversy faced by Zara in 2014 when it was criticised by Muslim consumers for featuring clothing designs that resembled the Arabic word for "Allah." The report focuses on the backlash from Muslim consumers, who deemed the designs disrespectful and called for a boycott of the popular fashion brand.</w:t>
            </w:r>
          </w:p>
        </w:tc>
      </w:tr>
      <w:tr w:rsidR="002530E2" w14:paraId="5F7E6515" w14:textId="77777777">
        <w:tc>
          <w:tcPr>
            <w:tcW w:w="1905" w:type="dxa"/>
            <w:shd w:val="clear" w:color="auto" w:fill="auto"/>
            <w:tcMar>
              <w:top w:w="100" w:type="dxa"/>
              <w:left w:w="100" w:type="dxa"/>
              <w:bottom w:w="100" w:type="dxa"/>
              <w:right w:w="100" w:type="dxa"/>
            </w:tcMar>
          </w:tcPr>
          <w:p w14:paraId="2F87E318"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0B1FD6C1" w14:textId="77777777" w:rsidR="002530E2" w:rsidRDefault="002530E2">
            <w:pPr>
              <w:spacing w:after="0" w:line="276" w:lineRule="auto"/>
            </w:pPr>
            <w:r>
              <w:t>In 2014, Zara faced criticism from Muslim consumers after it was discovered that some of its clothing items featured designs that bore a resemblance to the Arabic word for "Allah." Muslim consumers felt that these designs were highly inappropriate and disrespectful, as the word "Allah" holds significant religious reverence in Islam.</w:t>
            </w:r>
          </w:p>
        </w:tc>
      </w:tr>
      <w:tr w:rsidR="002530E2" w14:paraId="6E075BD3" w14:textId="77777777">
        <w:tc>
          <w:tcPr>
            <w:tcW w:w="1905" w:type="dxa"/>
            <w:shd w:val="clear" w:color="auto" w:fill="auto"/>
            <w:tcMar>
              <w:top w:w="100" w:type="dxa"/>
              <w:left w:w="100" w:type="dxa"/>
              <w:bottom w:w="100" w:type="dxa"/>
              <w:right w:w="100" w:type="dxa"/>
            </w:tcMar>
          </w:tcPr>
          <w:p w14:paraId="0EF8AE99"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754EE07F" w14:textId="77777777" w:rsidR="002530E2" w:rsidRDefault="002530E2">
            <w:pPr>
              <w:spacing w:after="0" w:line="276" w:lineRule="auto"/>
            </w:pPr>
            <w:r>
              <w:t>The incident occurred in 2014, when the designs on Zara's clothing items resembling the word "Allah" were brought to public attention.</w:t>
            </w:r>
          </w:p>
        </w:tc>
      </w:tr>
      <w:tr w:rsidR="002530E2" w14:paraId="32C5CB4F" w14:textId="77777777">
        <w:tc>
          <w:tcPr>
            <w:tcW w:w="1905" w:type="dxa"/>
            <w:shd w:val="clear" w:color="auto" w:fill="auto"/>
            <w:tcMar>
              <w:top w:w="100" w:type="dxa"/>
              <w:left w:w="100" w:type="dxa"/>
              <w:bottom w:w="100" w:type="dxa"/>
              <w:right w:w="100" w:type="dxa"/>
            </w:tcMar>
          </w:tcPr>
          <w:p w14:paraId="2B5A98E0"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DA7A084" w14:textId="77777777" w:rsidR="002530E2" w:rsidRDefault="002530E2">
            <w:pPr>
              <w:spacing w:after="0" w:line="276" w:lineRule="auto"/>
            </w:pPr>
            <w:r>
              <w:t>The controversy surrounding Zara's clothing designs took place across various countries where Zara operates, including those with significant Muslim populations.</w:t>
            </w:r>
          </w:p>
        </w:tc>
      </w:tr>
      <w:tr w:rsidR="002530E2" w14:paraId="349D6651" w14:textId="77777777">
        <w:tc>
          <w:tcPr>
            <w:tcW w:w="1905" w:type="dxa"/>
            <w:shd w:val="clear" w:color="auto" w:fill="auto"/>
            <w:tcMar>
              <w:top w:w="100" w:type="dxa"/>
              <w:left w:w="100" w:type="dxa"/>
              <w:bottom w:w="100" w:type="dxa"/>
              <w:right w:w="100" w:type="dxa"/>
            </w:tcMar>
          </w:tcPr>
          <w:p w14:paraId="691569FE"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5901C5F" w14:textId="77777777" w:rsidR="002530E2" w:rsidRDefault="002530E2">
            <w:pPr>
              <w:spacing w:after="0" w:line="276" w:lineRule="auto"/>
            </w:pPr>
            <w:r>
              <w:t>Muslim consumers were the primary group affected by Zara's controversial clothing designs. They expressed deep offence and considered the designs disrespectful to their religious beliefs. Many individuals within the Muslim community called for a boycott of Zara as a form of protest.</w:t>
            </w:r>
          </w:p>
        </w:tc>
      </w:tr>
      <w:tr w:rsidR="002530E2" w14:paraId="3EA0A294" w14:textId="77777777">
        <w:tc>
          <w:tcPr>
            <w:tcW w:w="1905" w:type="dxa"/>
            <w:shd w:val="clear" w:color="auto" w:fill="auto"/>
            <w:tcMar>
              <w:top w:w="100" w:type="dxa"/>
              <w:left w:w="100" w:type="dxa"/>
              <w:bottom w:w="100" w:type="dxa"/>
              <w:right w:w="100" w:type="dxa"/>
            </w:tcMar>
          </w:tcPr>
          <w:p w14:paraId="156B0A5E"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67982ED" w14:textId="77777777" w:rsidR="002530E2" w:rsidRDefault="002530E2">
            <w:pPr>
              <w:spacing w:after="0" w:line="276" w:lineRule="auto"/>
            </w:pPr>
            <w:r>
              <w:t>Zara, a prominent fashion brand, faced criticism for its clothing designs that resembled the Arabic word for "Allah." The controversy targeted Zara as a company for its insensitivity towards religious sentiments and its failure to consider the potential offence caused by such designs.</w:t>
            </w:r>
          </w:p>
        </w:tc>
      </w:tr>
      <w:tr w:rsidR="002530E2" w14:paraId="55283014" w14:textId="77777777">
        <w:tc>
          <w:tcPr>
            <w:tcW w:w="1905" w:type="dxa"/>
            <w:shd w:val="clear" w:color="auto" w:fill="auto"/>
            <w:tcMar>
              <w:top w:w="100" w:type="dxa"/>
              <w:left w:w="100" w:type="dxa"/>
              <w:bottom w:w="100" w:type="dxa"/>
              <w:right w:w="100" w:type="dxa"/>
            </w:tcMar>
          </w:tcPr>
          <w:p w14:paraId="3389D17F"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4936C4C9" w14:textId="77777777" w:rsidR="002530E2" w:rsidRDefault="002530E2">
            <w:pPr>
              <w:spacing w:after="0" w:line="276" w:lineRule="auto"/>
            </w:pPr>
            <w:r>
              <w:t>Muslim consumers who found Zara's designs offensive expressed their discontent through social media platforms, initiating discussions and debates. Many individuals within the Muslim community decided to boycott Zara's products as a means of voicing their protest against the perceived disrespect.</w:t>
            </w:r>
          </w:p>
        </w:tc>
      </w:tr>
      <w:tr w:rsidR="002530E2" w14:paraId="3A27749E" w14:textId="77777777">
        <w:tc>
          <w:tcPr>
            <w:tcW w:w="1905" w:type="dxa"/>
            <w:shd w:val="clear" w:color="auto" w:fill="auto"/>
            <w:tcMar>
              <w:top w:w="100" w:type="dxa"/>
              <w:left w:w="100" w:type="dxa"/>
              <w:bottom w:w="100" w:type="dxa"/>
              <w:right w:w="100" w:type="dxa"/>
            </w:tcMar>
          </w:tcPr>
          <w:p w14:paraId="01C96009"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2575FAE9" w14:textId="77777777" w:rsidR="002530E2" w:rsidRDefault="002530E2">
            <w:pPr>
              <w:spacing w:after="0" w:line="276" w:lineRule="auto"/>
            </w:pPr>
            <w:r>
              <w:t>The controversy had significant implications for Zara, resulting in a tarnished brand image and potential financial losses due to the boycott called for by Muslim consumers. Zara faced the challenge of regaining the trust of its Muslim customer base and rectifying its image in light of the allegations.</w:t>
            </w:r>
          </w:p>
        </w:tc>
      </w:tr>
      <w:tr w:rsidR="002530E2" w14:paraId="2A6B6CCF" w14:textId="77777777">
        <w:tc>
          <w:tcPr>
            <w:tcW w:w="1905" w:type="dxa"/>
            <w:shd w:val="clear" w:color="auto" w:fill="auto"/>
            <w:tcMar>
              <w:top w:w="100" w:type="dxa"/>
              <w:left w:w="100" w:type="dxa"/>
              <w:bottom w:w="100" w:type="dxa"/>
              <w:right w:w="100" w:type="dxa"/>
            </w:tcMar>
          </w:tcPr>
          <w:p w14:paraId="16B1B62E"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3AA6C1F3" w14:textId="77777777" w:rsidR="002530E2" w:rsidRDefault="002530E2">
            <w:pPr>
              <w:spacing w:after="0" w:line="276" w:lineRule="auto"/>
            </w:pPr>
            <w:r>
              <w:t>The controversy arose due to a lack of cultural sensitivity and oversight within Zara's design and production processes. Muslim consumers believed that Zara should have been more attentive to the potential offensiveness of the designs, considering the religious significance of the word "Allah."</w:t>
            </w:r>
          </w:p>
        </w:tc>
      </w:tr>
      <w:tr w:rsidR="002530E2" w14:paraId="046070E6" w14:textId="77777777">
        <w:tc>
          <w:tcPr>
            <w:tcW w:w="1905" w:type="dxa"/>
            <w:shd w:val="clear" w:color="auto" w:fill="auto"/>
            <w:tcMar>
              <w:top w:w="100" w:type="dxa"/>
              <w:left w:w="100" w:type="dxa"/>
              <w:bottom w:w="100" w:type="dxa"/>
              <w:right w:w="100" w:type="dxa"/>
            </w:tcMar>
          </w:tcPr>
          <w:p w14:paraId="7639F964"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29217A60" w14:textId="77777777" w:rsidR="002530E2" w:rsidRDefault="002530E2">
            <w:pPr>
              <w:spacing w:after="0" w:line="276" w:lineRule="auto"/>
            </w:pPr>
            <w:r>
              <w:t>In response to the backlash, Zara issued an apology and withdrew the clothing items featuring the controversial designs from its stores. The company expressed regret for any offence caused and affirmed its commitment to respecting all cultures and religions in its future product offerings.</w:t>
            </w:r>
          </w:p>
        </w:tc>
      </w:tr>
      <w:tr w:rsidR="002530E2" w14:paraId="6FBF4C79" w14:textId="77777777">
        <w:tc>
          <w:tcPr>
            <w:tcW w:w="1905" w:type="dxa"/>
            <w:shd w:val="clear" w:color="auto" w:fill="auto"/>
            <w:tcMar>
              <w:top w:w="100" w:type="dxa"/>
              <w:left w:w="100" w:type="dxa"/>
              <w:bottom w:w="100" w:type="dxa"/>
              <w:right w:w="100" w:type="dxa"/>
            </w:tcMar>
          </w:tcPr>
          <w:p w14:paraId="02D7C7A1" w14:textId="77777777" w:rsidR="002530E2" w:rsidRDefault="002530E2">
            <w:pPr>
              <w:spacing w:after="0" w:line="276" w:lineRule="auto"/>
            </w:pPr>
            <w:r>
              <w:t xml:space="preserve">IRE 11: FUTURE PREVENTION STRATEGIES — WHAT ARE THE </w:t>
            </w:r>
            <w:r>
              <w:lastRenderedPageBreak/>
              <w:t>LESSONS LEARNED?</w:t>
            </w:r>
          </w:p>
        </w:tc>
        <w:tc>
          <w:tcPr>
            <w:tcW w:w="7125" w:type="dxa"/>
            <w:shd w:val="clear" w:color="auto" w:fill="auto"/>
            <w:tcMar>
              <w:top w:w="100" w:type="dxa"/>
              <w:left w:w="100" w:type="dxa"/>
              <w:bottom w:w="100" w:type="dxa"/>
              <w:right w:w="100" w:type="dxa"/>
            </w:tcMar>
          </w:tcPr>
          <w:p w14:paraId="2B121513" w14:textId="77777777" w:rsidR="002530E2" w:rsidRDefault="002530E2">
            <w:pPr>
              <w:spacing w:after="0" w:line="276" w:lineRule="auto"/>
            </w:pPr>
            <w:r>
              <w:lastRenderedPageBreak/>
              <w:t xml:space="preserve">To prevent similar incidents in the future, Zara should establish robust processes for cultural sensitivity review during the design and production stages. This includes incorporating diverse perspectives, conducting thorough checks for potential religious and cultural sensitivities, and implementing </w:t>
            </w:r>
            <w:r>
              <w:lastRenderedPageBreak/>
              <w:t>clear guidelines for respectful representation. Moving forward, Zara can enhance its engagement with diverse communities, including Muslims, by actively seeking feedback, conducting regular cultural sensitivity training for its design and production teams, and establishing channels for open dialogue and communication with its customer base.</w:t>
            </w:r>
          </w:p>
        </w:tc>
      </w:tr>
      <w:tr w:rsidR="002530E2" w14:paraId="6A76E713" w14:textId="77777777">
        <w:tc>
          <w:tcPr>
            <w:tcW w:w="1905" w:type="dxa"/>
            <w:shd w:val="clear" w:color="auto" w:fill="auto"/>
            <w:tcMar>
              <w:top w:w="100" w:type="dxa"/>
              <w:left w:w="100" w:type="dxa"/>
              <w:bottom w:w="100" w:type="dxa"/>
              <w:right w:w="100" w:type="dxa"/>
            </w:tcMar>
          </w:tcPr>
          <w:p w14:paraId="18E5B53F"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3F66EBF5" w14:textId="77777777" w:rsidR="002530E2" w:rsidRDefault="002530E2">
            <w:pPr>
              <w:spacing w:after="0" w:line="276" w:lineRule="auto"/>
            </w:pPr>
            <w:r>
              <w:t>The controversy surrounding Zara's clothing designs resembling the Arabic word for "Allah" underscores the importance of cultural sensitivity in the fashion industry. Zara faced criticism from Muslim consumers, prompting an apology and the withdrawal of the controversial designs. The incident serves as a reminder for companies to be attentive to potential cultural and religious sensitivities and to foster inclusivity and respect in their product offerings.</w:t>
            </w:r>
          </w:p>
        </w:tc>
      </w:tr>
    </w:tbl>
    <w:p w14:paraId="6E8BB245" w14:textId="77777777" w:rsidR="002530E2" w:rsidRDefault="002530E2"/>
    <w:p w14:paraId="0042F044" w14:textId="77777777" w:rsidR="002530E2" w:rsidRDefault="002530E2">
      <w:pPr>
        <w:pStyle w:val="Heading2"/>
      </w:pPr>
      <w:bookmarkStart w:id="426" w:name="_ubp8qowjcc08" w:colFirst="0" w:colLast="0"/>
      <w:bookmarkEnd w:id="426"/>
      <w:r>
        <w:t>IR 010 (2014: Subway, UK)</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0BAE1A4F" w14:textId="77777777">
        <w:tc>
          <w:tcPr>
            <w:tcW w:w="1905" w:type="dxa"/>
            <w:shd w:val="clear" w:color="auto" w:fill="auto"/>
            <w:tcMar>
              <w:top w:w="100" w:type="dxa"/>
              <w:left w:w="100" w:type="dxa"/>
              <w:bottom w:w="100" w:type="dxa"/>
              <w:right w:w="100" w:type="dxa"/>
            </w:tcMar>
          </w:tcPr>
          <w:p w14:paraId="23080319"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56B97E0" w14:textId="77777777" w:rsidR="002530E2" w:rsidRDefault="002530E2">
            <w:pPr>
              <w:spacing w:after="0" w:line="276" w:lineRule="auto"/>
            </w:pPr>
            <w:r>
              <w:t>Incident Report Title: “Subway's Controversy Over Pork DNA Contamination and Muslim Consumer Backlash”</w:t>
            </w:r>
          </w:p>
        </w:tc>
      </w:tr>
      <w:tr w:rsidR="002530E2" w14:paraId="1E14FBDB" w14:textId="77777777">
        <w:tc>
          <w:tcPr>
            <w:tcW w:w="1905" w:type="dxa"/>
            <w:shd w:val="clear" w:color="auto" w:fill="auto"/>
            <w:tcMar>
              <w:top w:w="100" w:type="dxa"/>
              <w:left w:w="100" w:type="dxa"/>
              <w:bottom w:w="100" w:type="dxa"/>
              <w:right w:w="100" w:type="dxa"/>
            </w:tcMar>
          </w:tcPr>
          <w:p w14:paraId="31340970"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345AE521" w14:textId="77777777" w:rsidR="002530E2" w:rsidRDefault="002530E2">
            <w:pPr>
              <w:spacing w:after="0" w:line="276" w:lineRule="auto"/>
            </w:pPr>
            <w:r>
              <w:t>This case examines the controversy faced by Subway in 2014 when it was revealed that some of its stores in the UK were selling sandwiches containing pork DNA. The discovery of pork DNA in purportedly halal-certified products sparked outrage among Muslim consumers, who considered the contamination unacceptable and called for improved oversight of halal certification.</w:t>
            </w:r>
          </w:p>
        </w:tc>
      </w:tr>
      <w:tr w:rsidR="002530E2" w14:paraId="79F7B91A" w14:textId="77777777">
        <w:tc>
          <w:tcPr>
            <w:tcW w:w="1905" w:type="dxa"/>
            <w:shd w:val="clear" w:color="auto" w:fill="auto"/>
            <w:tcMar>
              <w:top w:w="100" w:type="dxa"/>
              <w:left w:w="100" w:type="dxa"/>
              <w:bottom w:w="100" w:type="dxa"/>
              <w:right w:w="100" w:type="dxa"/>
            </w:tcMar>
          </w:tcPr>
          <w:p w14:paraId="260EC45F"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F9032C0" w14:textId="77777777" w:rsidR="002530E2" w:rsidRDefault="002530E2">
            <w:pPr>
              <w:spacing w:after="0" w:line="276" w:lineRule="auto"/>
            </w:pPr>
            <w:r>
              <w:t>In 2014, it came to light that certain Subway stores in the UK were selling sandwiches labelled as halal, but these products were found to contain traces of pork DNA. This revelation triggered widespread concern and criticism from Muslim consumers, who adhere to strict dietary guidelines that prohibit the consumption of pork.</w:t>
            </w:r>
          </w:p>
        </w:tc>
      </w:tr>
      <w:tr w:rsidR="002530E2" w14:paraId="3367F6AF" w14:textId="77777777">
        <w:tc>
          <w:tcPr>
            <w:tcW w:w="1905" w:type="dxa"/>
            <w:shd w:val="clear" w:color="auto" w:fill="auto"/>
            <w:tcMar>
              <w:top w:w="100" w:type="dxa"/>
              <w:left w:w="100" w:type="dxa"/>
              <w:bottom w:w="100" w:type="dxa"/>
              <w:right w:w="100" w:type="dxa"/>
            </w:tcMar>
          </w:tcPr>
          <w:p w14:paraId="2F8513FB"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1F5C4FA4" w14:textId="77777777" w:rsidR="002530E2" w:rsidRDefault="002530E2">
            <w:pPr>
              <w:spacing w:after="0" w:line="276" w:lineRule="auto"/>
            </w:pPr>
            <w:r>
              <w:t>The incident occurred in 2014, when it was revealed that some Subway stores in the UK were selling sandwiches with pork DNA.</w:t>
            </w:r>
          </w:p>
        </w:tc>
      </w:tr>
      <w:tr w:rsidR="002530E2" w14:paraId="3FAFF4C0" w14:textId="77777777">
        <w:tc>
          <w:tcPr>
            <w:tcW w:w="1905" w:type="dxa"/>
            <w:shd w:val="clear" w:color="auto" w:fill="auto"/>
            <w:tcMar>
              <w:top w:w="100" w:type="dxa"/>
              <w:left w:w="100" w:type="dxa"/>
              <w:bottom w:w="100" w:type="dxa"/>
              <w:right w:w="100" w:type="dxa"/>
            </w:tcMar>
          </w:tcPr>
          <w:p w14:paraId="366F6294"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6A259AC9" w14:textId="77777777" w:rsidR="002530E2" w:rsidRDefault="002530E2">
            <w:pPr>
              <w:spacing w:after="0" w:line="276" w:lineRule="auto"/>
            </w:pPr>
            <w:r>
              <w:t>The controversy regarding the pork DNA contamination in Subway sandwiches took place specifically in the UK, where Muslim consumers discovered the issue.</w:t>
            </w:r>
          </w:p>
        </w:tc>
      </w:tr>
      <w:tr w:rsidR="002530E2" w14:paraId="1AC60CAA" w14:textId="77777777">
        <w:tc>
          <w:tcPr>
            <w:tcW w:w="1905" w:type="dxa"/>
            <w:shd w:val="clear" w:color="auto" w:fill="auto"/>
            <w:tcMar>
              <w:top w:w="100" w:type="dxa"/>
              <w:left w:w="100" w:type="dxa"/>
              <w:bottom w:w="100" w:type="dxa"/>
              <w:right w:w="100" w:type="dxa"/>
            </w:tcMar>
          </w:tcPr>
          <w:p w14:paraId="5C4D3A85" w14:textId="77777777" w:rsidR="002530E2" w:rsidRDefault="002530E2">
            <w:pPr>
              <w:spacing w:after="0" w:line="276" w:lineRule="auto"/>
            </w:pPr>
            <w:r>
              <w:lastRenderedPageBreak/>
              <w:t>IRE 5: VICTIM GROUP — WHO WAS FIRST AFFECTED?</w:t>
            </w:r>
          </w:p>
        </w:tc>
        <w:tc>
          <w:tcPr>
            <w:tcW w:w="7125" w:type="dxa"/>
            <w:shd w:val="clear" w:color="auto" w:fill="auto"/>
            <w:tcMar>
              <w:top w:w="100" w:type="dxa"/>
              <w:left w:w="100" w:type="dxa"/>
              <w:bottom w:w="100" w:type="dxa"/>
              <w:right w:w="100" w:type="dxa"/>
            </w:tcMar>
          </w:tcPr>
          <w:p w14:paraId="19CAF92E" w14:textId="77777777" w:rsidR="002530E2" w:rsidRDefault="002530E2">
            <w:pPr>
              <w:spacing w:after="0" w:line="276" w:lineRule="auto"/>
            </w:pPr>
            <w:r>
              <w:t>Muslim consumers who purchased purportedly halal Subway sandwiches felt deceived and betrayed upon discovering the presence of pork DNA. They considered this contamination a violation of their religious dietary restrictions and expressed their displeasure through social media, boycott calls, and demands for improved oversight of halal certification.</w:t>
            </w:r>
          </w:p>
        </w:tc>
      </w:tr>
      <w:tr w:rsidR="002530E2" w14:paraId="1DD2CC1F" w14:textId="77777777">
        <w:tc>
          <w:tcPr>
            <w:tcW w:w="1905" w:type="dxa"/>
            <w:shd w:val="clear" w:color="auto" w:fill="auto"/>
            <w:tcMar>
              <w:top w:w="100" w:type="dxa"/>
              <w:left w:w="100" w:type="dxa"/>
              <w:bottom w:w="100" w:type="dxa"/>
              <w:right w:w="100" w:type="dxa"/>
            </w:tcMar>
          </w:tcPr>
          <w:p w14:paraId="3AE09D04"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5F47253" w14:textId="77777777" w:rsidR="002530E2" w:rsidRDefault="002530E2">
            <w:pPr>
              <w:spacing w:after="0" w:line="276" w:lineRule="auto"/>
            </w:pPr>
            <w:r>
              <w:t>Subway, the international fast-food chain, faced significant backlash and reputational damage as a result of the pork DNA controversy. The incident raised questions about Subway's adherence to halal certification standards and highlighted the need for better quality control processes within the company.</w:t>
            </w:r>
          </w:p>
        </w:tc>
      </w:tr>
      <w:tr w:rsidR="002530E2" w14:paraId="704010D9" w14:textId="77777777">
        <w:tc>
          <w:tcPr>
            <w:tcW w:w="1905" w:type="dxa"/>
            <w:shd w:val="clear" w:color="auto" w:fill="auto"/>
            <w:tcMar>
              <w:top w:w="100" w:type="dxa"/>
              <w:left w:w="100" w:type="dxa"/>
              <w:bottom w:w="100" w:type="dxa"/>
              <w:right w:w="100" w:type="dxa"/>
            </w:tcMar>
          </w:tcPr>
          <w:p w14:paraId="3AED7F4E"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44399619" w14:textId="77777777" w:rsidR="002530E2" w:rsidRDefault="002530E2">
            <w:pPr>
              <w:spacing w:after="0" w:line="276" w:lineRule="auto"/>
            </w:pPr>
            <w:r>
              <w:t>Muslim consumers who had consumed the contaminated Subway sandwiches felt deeply offended and violated, as the presence of pork DNA conflicted with their religious beliefs. The incident eroded trust in Subway's halal-certified offerings and led to demands for stricter oversight and transparency regarding the certification process.</w:t>
            </w:r>
          </w:p>
        </w:tc>
      </w:tr>
      <w:tr w:rsidR="002530E2" w14:paraId="02B78DA9" w14:textId="77777777">
        <w:tc>
          <w:tcPr>
            <w:tcW w:w="1905" w:type="dxa"/>
            <w:shd w:val="clear" w:color="auto" w:fill="auto"/>
            <w:tcMar>
              <w:top w:w="100" w:type="dxa"/>
              <w:left w:w="100" w:type="dxa"/>
              <w:bottom w:w="100" w:type="dxa"/>
              <w:right w:w="100" w:type="dxa"/>
            </w:tcMar>
          </w:tcPr>
          <w:p w14:paraId="64D357E1"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1ADF471B" w14:textId="77777777" w:rsidR="002530E2" w:rsidRDefault="002530E2">
            <w:pPr>
              <w:spacing w:after="0" w:line="276" w:lineRule="auto"/>
            </w:pPr>
            <w:r>
              <w:t>The pork DNA controversy had severe consequences for Subway. The brand's reputation suffered as customers questioned the integrity of its halal-certified products. The negative publicity and calls for boycotts put pressure on Subway to address the issue promptly and take measures to prevent similar incidents in the future.</w:t>
            </w:r>
          </w:p>
        </w:tc>
      </w:tr>
      <w:tr w:rsidR="002530E2" w14:paraId="42612727" w14:textId="77777777">
        <w:tc>
          <w:tcPr>
            <w:tcW w:w="1905" w:type="dxa"/>
            <w:shd w:val="clear" w:color="auto" w:fill="auto"/>
            <w:tcMar>
              <w:top w:w="100" w:type="dxa"/>
              <w:left w:w="100" w:type="dxa"/>
              <w:bottom w:w="100" w:type="dxa"/>
              <w:right w:w="100" w:type="dxa"/>
            </w:tcMar>
          </w:tcPr>
          <w:p w14:paraId="56C23E5F"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74DFA245" w14:textId="77777777" w:rsidR="002530E2" w:rsidRDefault="002530E2">
            <w:pPr>
              <w:spacing w:after="0" w:line="276" w:lineRule="auto"/>
            </w:pPr>
            <w:r>
              <w:t>The cross-cultural blunder occurred due to a breakdown in quality control processes and oversight within Subway's supply chain. The contamination of purportedly halal sandwiches with pork DNA suggests a failure to ensure proper segregation and verification of ingredients. This oversight not only breached Muslim consumers' trust but also highlighted the importance of robust systems to prevent such cross-contamination incidents.</w:t>
            </w:r>
          </w:p>
        </w:tc>
      </w:tr>
      <w:tr w:rsidR="002530E2" w14:paraId="2B31CE93" w14:textId="77777777">
        <w:tc>
          <w:tcPr>
            <w:tcW w:w="1905" w:type="dxa"/>
            <w:shd w:val="clear" w:color="auto" w:fill="auto"/>
            <w:tcMar>
              <w:top w:w="100" w:type="dxa"/>
              <w:left w:w="100" w:type="dxa"/>
              <w:bottom w:w="100" w:type="dxa"/>
              <w:right w:w="100" w:type="dxa"/>
            </w:tcMar>
          </w:tcPr>
          <w:p w14:paraId="2427E733"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29DD55D0" w14:textId="77777777" w:rsidR="002530E2" w:rsidRDefault="002530E2">
            <w:pPr>
              <w:spacing w:after="0" w:line="276" w:lineRule="auto"/>
            </w:pPr>
            <w:r>
              <w:t>Subway issued a public apology and took immediate action to rectify the situation. The company implemented stricter controls, improved ingredient sourcing, and reinforced its commitment to meeting halal certification standards. Subway's response aimed to rebuild trust with Muslim consumers and assure them of the company's dedication to providing genuinely halal products.</w:t>
            </w:r>
          </w:p>
        </w:tc>
      </w:tr>
      <w:tr w:rsidR="002530E2" w14:paraId="4C409322" w14:textId="77777777">
        <w:tc>
          <w:tcPr>
            <w:tcW w:w="1905" w:type="dxa"/>
            <w:shd w:val="clear" w:color="auto" w:fill="auto"/>
            <w:tcMar>
              <w:top w:w="100" w:type="dxa"/>
              <w:left w:w="100" w:type="dxa"/>
              <w:bottom w:w="100" w:type="dxa"/>
              <w:right w:w="100" w:type="dxa"/>
            </w:tcMar>
          </w:tcPr>
          <w:p w14:paraId="30CEB837"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057DF585" w14:textId="77777777" w:rsidR="002530E2" w:rsidRDefault="002530E2">
            <w:pPr>
              <w:spacing w:after="0" w:line="276" w:lineRule="auto"/>
            </w:pPr>
            <w:r>
              <w:t xml:space="preserve">To prevent similar incidents, Subway and other food establishments must establish comprehensive quality control measures throughout their supply chains. This includes implementing rigorous testing protocols, maintaining clear segregation of halal and non-halal ingredients, and ensuring transparency and accountability in the halal certification process. Moving forward, Subway should invest in regular training and education programmes </w:t>
            </w:r>
            <w:r>
              <w:lastRenderedPageBreak/>
              <w:t>for employees involved in handling halal products. The company should also consider engaging with relevant certification bodies and Muslim consumer organisations to foster collaboration, transparency, and continuous improvement in halal product offerings.</w:t>
            </w:r>
          </w:p>
        </w:tc>
      </w:tr>
      <w:tr w:rsidR="002530E2" w14:paraId="52A28730" w14:textId="77777777">
        <w:tc>
          <w:tcPr>
            <w:tcW w:w="1905" w:type="dxa"/>
            <w:shd w:val="clear" w:color="auto" w:fill="auto"/>
            <w:tcMar>
              <w:top w:w="100" w:type="dxa"/>
              <w:left w:w="100" w:type="dxa"/>
              <w:bottom w:w="100" w:type="dxa"/>
              <w:right w:w="100" w:type="dxa"/>
            </w:tcMar>
          </w:tcPr>
          <w:p w14:paraId="64595272"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51BCCA1C" w14:textId="77777777" w:rsidR="002530E2" w:rsidRDefault="002530E2">
            <w:pPr>
              <w:spacing w:after="0" w:line="276" w:lineRule="auto"/>
            </w:pPr>
            <w:r>
              <w:t>The discovery of pork DNA in Subway's purportedly halal-certified sandwiches in the UK sparked outrage among Muslim consumers. The incident underscored the need for better oversight and quality control to ensure the integrity of halal-certified products. Subway's response involved an apology, immediate corrective actions, and a renewed commitment to meeting halal certification standards.</w:t>
            </w:r>
          </w:p>
        </w:tc>
      </w:tr>
    </w:tbl>
    <w:p w14:paraId="40290F4F" w14:textId="77777777" w:rsidR="002530E2" w:rsidRDefault="002530E2"/>
    <w:p w14:paraId="023D1F7F" w14:textId="77777777" w:rsidR="002530E2" w:rsidRDefault="002530E2">
      <w:pPr>
        <w:pStyle w:val="Heading2"/>
      </w:pPr>
      <w:bookmarkStart w:id="427" w:name="_uiww9yfb1hzq" w:colFirst="0" w:colLast="0"/>
      <w:bookmarkEnd w:id="427"/>
      <w:r>
        <w:t>IR 011 (2014: Cadbury, Malaysia)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35C7E95A" w14:textId="77777777">
        <w:tc>
          <w:tcPr>
            <w:tcW w:w="1905" w:type="dxa"/>
            <w:shd w:val="clear" w:color="auto" w:fill="auto"/>
            <w:tcMar>
              <w:top w:w="100" w:type="dxa"/>
              <w:left w:w="100" w:type="dxa"/>
              <w:bottom w:w="100" w:type="dxa"/>
              <w:right w:w="100" w:type="dxa"/>
            </w:tcMar>
          </w:tcPr>
          <w:p w14:paraId="7DEDFDC9"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E2E0022" w14:textId="77777777" w:rsidR="002530E2" w:rsidRDefault="002530E2">
            <w:pPr>
              <w:spacing w:after="0" w:line="276" w:lineRule="auto"/>
            </w:pPr>
            <w:r>
              <w:t>Incident Report Title: “Cadbury Controversy in Malaysia”</w:t>
            </w:r>
          </w:p>
        </w:tc>
      </w:tr>
      <w:tr w:rsidR="002530E2" w14:paraId="7D8146A1" w14:textId="77777777">
        <w:tc>
          <w:tcPr>
            <w:tcW w:w="1905" w:type="dxa"/>
            <w:shd w:val="clear" w:color="auto" w:fill="auto"/>
            <w:tcMar>
              <w:top w:w="100" w:type="dxa"/>
              <w:left w:w="100" w:type="dxa"/>
              <w:bottom w:w="100" w:type="dxa"/>
              <w:right w:w="100" w:type="dxa"/>
            </w:tcMar>
          </w:tcPr>
          <w:p w14:paraId="514FE2BB"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0BA1341" w14:textId="77777777" w:rsidR="002530E2" w:rsidRDefault="002530E2">
            <w:pPr>
              <w:spacing w:after="0" w:line="276" w:lineRule="auto"/>
            </w:pPr>
            <w:r>
              <w:t>This case focuses on the controversy faced by Cadbury in 2014 when allegations emerged in Malaysia that their chocolate products contained traces of pig DNA. Muslim consumers in Malaysia boycotted the brand, demanding an apology and compensation for the perceived violation of their dietary restrictions.</w:t>
            </w:r>
          </w:p>
        </w:tc>
      </w:tr>
      <w:tr w:rsidR="002530E2" w14:paraId="06C378C3" w14:textId="77777777">
        <w:tc>
          <w:tcPr>
            <w:tcW w:w="1905" w:type="dxa"/>
            <w:shd w:val="clear" w:color="auto" w:fill="auto"/>
            <w:tcMar>
              <w:top w:w="100" w:type="dxa"/>
              <w:left w:w="100" w:type="dxa"/>
              <w:bottom w:w="100" w:type="dxa"/>
              <w:right w:w="100" w:type="dxa"/>
            </w:tcMar>
          </w:tcPr>
          <w:p w14:paraId="637F7A29"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2C7E5D06" w14:textId="77777777" w:rsidR="002530E2" w:rsidRDefault="002530E2">
            <w:pPr>
              <w:spacing w:after="0" w:line="276" w:lineRule="auto"/>
            </w:pPr>
            <w:r>
              <w:t>In 2014, Cadbury faced allegations in Malaysia that their chocolate products, specifically the Dairy Milk line, contained traces of pig DNA. These allegations caused significant controversy among Muslim consumers who adhere to halal dietary requirements, as pork is considered non-halal.</w:t>
            </w:r>
          </w:p>
        </w:tc>
      </w:tr>
      <w:tr w:rsidR="002530E2" w14:paraId="1A79D4B3" w14:textId="77777777">
        <w:tc>
          <w:tcPr>
            <w:tcW w:w="1905" w:type="dxa"/>
            <w:shd w:val="clear" w:color="auto" w:fill="auto"/>
            <w:tcMar>
              <w:top w:w="100" w:type="dxa"/>
              <w:left w:w="100" w:type="dxa"/>
              <w:bottom w:w="100" w:type="dxa"/>
              <w:right w:w="100" w:type="dxa"/>
            </w:tcMar>
          </w:tcPr>
          <w:p w14:paraId="13FC928E"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B8F1086" w14:textId="77777777" w:rsidR="002530E2" w:rsidRDefault="002530E2">
            <w:pPr>
              <w:spacing w:after="0" w:line="276" w:lineRule="auto"/>
            </w:pPr>
            <w:r>
              <w:t>The controversy erupted in 2014 when reports circulated about the alleged presence of pig DNA in Cadbury's chocolate products.</w:t>
            </w:r>
          </w:p>
        </w:tc>
      </w:tr>
      <w:tr w:rsidR="002530E2" w14:paraId="0B419838" w14:textId="77777777">
        <w:tc>
          <w:tcPr>
            <w:tcW w:w="1905" w:type="dxa"/>
            <w:shd w:val="clear" w:color="auto" w:fill="auto"/>
            <w:tcMar>
              <w:top w:w="100" w:type="dxa"/>
              <w:left w:w="100" w:type="dxa"/>
              <w:bottom w:w="100" w:type="dxa"/>
              <w:right w:w="100" w:type="dxa"/>
            </w:tcMar>
          </w:tcPr>
          <w:p w14:paraId="4EE19FB5"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0B8C3F0" w14:textId="77777777" w:rsidR="002530E2" w:rsidRDefault="002530E2">
            <w:pPr>
              <w:spacing w:after="0" w:line="276" w:lineRule="auto"/>
            </w:pPr>
            <w:r>
              <w:t>The incident primarily occurred in Malaysia, where allegations of pig DNA in Cadbury's chocolate products surfaced.</w:t>
            </w:r>
          </w:p>
        </w:tc>
      </w:tr>
      <w:tr w:rsidR="002530E2" w14:paraId="7399E11A" w14:textId="77777777">
        <w:tc>
          <w:tcPr>
            <w:tcW w:w="1905" w:type="dxa"/>
            <w:shd w:val="clear" w:color="auto" w:fill="auto"/>
            <w:tcMar>
              <w:top w:w="100" w:type="dxa"/>
              <w:left w:w="100" w:type="dxa"/>
              <w:bottom w:w="100" w:type="dxa"/>
              <w:right w:w="100" w:type="dxa"/>
            </w:tcMar>
          </w:tcPr>
          <w:p w14:paraId="6E796180"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419E5E71" w14:textId="77777777" w:rsidR="002530E2" w:rsidRDefault="002530E2">
            <w:pPr>
              <w:spacing w:after="0" w:line="276" w:lineRule="auto"/>
            </w:pPr>
            <w:r>
              <w:t>Muslim consumers in Malaysia were the primary group affected by the controversy. They expressed concern over the alleged presence of pig DNA in Cadbury's chocolate products, as it conflicted with their religious dietary restrictions.</w:t>
            </w:r>
          </w:p>
        </w:tc>
      </w:tr>
      <w:tr w:rsidR="002530E2" w14:paraId="11E92090" w14:textId="77777777">
        <w:tc>
          <w:tcPr>
            <w:tcW w:w="1905" w:type="dxa"/>
            <w:shd w:val="clear" w:color="auto" w:fill="auto"/>
            <w:tcMar>
              <w:top w:w="100" w:type="dxa"/>
              <w:left w:w="100" w:type="dxa"/>
              <w:bottom w:w="100" w:type="dxa"/>
              <w:right w:w="100" w:type="dxa"/>
            </w:tcMar>
          </w:tcPr>
          <w:p w14:paraId="715D8A4B"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2C8F5629" w14:textId="77777777" w:rsidR="002530E2" w:rsidRDefault="002530E2">
            <w:pPr>
              <w:spacing w:after="0" w:line="276" w:lineRule="auto"/>
            </w:pPr>
            <w:r>
              <w:t>Cadbury, the multinational confectionery company, faced backlash from Muslim consumers in Malaysia due to allegations of pig DNA in their chocolate products.</w:t>
            </w:r>
          </w:p>
        </w:tc>
      </w:tr>
      <w:tr w:rsidR="002530E2" w14:paraId="6E0C7F08" w14:textId="77777777">
        <w:tc>
          <w:tcPr>
            <w:tcW w:w="1905" w:type="dxa"/>
            <w:shd w:val="clear" w:color="auto" w:fill="auto"/>
            <w:tcMar>
              <w:top w:w="100" w:type="dxa"/>
              <w:left w:w="100" w:type="dxa"/>
              <w:bottom w:w="100" w:type="dxa"/>
              <w:right w:w="100" w:type="dxa"/>
            </w:tcMar>
          </w:tcPr>
          <w:p w14:paraId="3792FA99"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1CA48199" w14:textId="77777777" w:rsidR="002530E2" w:rsidRDefault="002530E2">
            <w:pPr>
              <w:spacing w:after="0" w:line="276" w:lineRule="auto"/>
            </w:pPr>
            <w:r>
              <w:t>Muslim consumers in Malaysia who perceived Cadbury's products as containing pig DNA felt that their religious dietary restrictions had been violated. They boycotted the brand, demanding an apology and compensation for the alleged offence.</w:t>
            </w:r>
          </w:p>
        </w:tc>
      </w:tr>
      <w:tr w:rsidR="002530E2" w14:paraId="04275C7B" w14:textId="77777777">
        <w:tc>
          <w:tcPr>
            <w:tcW w:w="1905" w:type="dxa"/>
            <w:shd w:val="clear" w:color="auto" w:fill="auto"/>
            <w:tcMar>
              <w:top w:w="100" w:type="dxa"/>
              <w:left w:w="100" w:type="dxa"/>
              <w:bottom w:w="100" w:type="dxa"/>
              <w:right w:w="100" w:type="dxa"/>
            </w:tcMar>
          </w:tcPr>
          <w:p w14:paraId="70723570"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878FA4D" w14:textId="77777777" w:rsidR="002530E2" w:rsidRDefault="002530E2">
            <w:pPr>
              <w:spacing w:after="0" w:line="276" w:lineRule="auto"/>
            </w:pPr>
            <w:r>
              <w:t>The controversy had a negative impact on Cadbury's reputation and sales in Malaysia. The brand faced boycotts, widespread criticism, and demands for accountability from Muslim consumers.</w:t>
            </w:r>
          </w:p>
        </w:tc>
      </w:tr>
      <w:tr w:rsidR="002530E2" w14:paraId="4D3D715D" w14:textId="77777777">
        <w:tc>
          <w:tcPr>
            <w:tcW w:w="1905" w:type="dxa"/>
            <w:shd w:val="clear" w:color="auto" w:fill="auto"/>
            <w:tcMar>
              <w:top w:w="100" w:type="dxa"/>
              <w:left w:w="100" w:type="dxa"/>
              <w:bottom w:w="100" w:type="dxa"/>
              <w:right w:w="100" w:type="dxa"/>
            </w:tcMar>
          </w:tcPr>
          <w:p w14:paraId="75137B80"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0775CCC6" w14:textId="77777777" w:rsidR="002530E2" w:rsidRDefault="002530E2">
            <w:pPr>
              <w:spacing w:after="0" w:line="276" w:lineRule="auto"/>
            </w:pPr>
            <w:r>
              <w:t>The allegations of pig DNA contamination in Cadbury's chocolate products likely arose due to concerns over the sourcing and manufacturing processes involved in the production of the chocolates.</w:t>
            </w:r>
          </w:p>
        </w:tc>
      </w:tr>
      <w:tr w:rsidR="002530E2" w14:paraId="3D8FE976" w14:textId="77777777">
        <w:tc>
          <w:tcPr>
            <w:tcW w:w="1905" w:type="dxa"/>
            <w:shd w:val="clear" w:color="auto" w:fill="auto"/>
            <w:tcMar>
              <w:top w:w="100" w:type="dxa"/>
              <w:left w:w="100" w:type="dxa"/>
              <w:bottom w:w="100" w:type="dxa"/>
              <w:right w:w="100" w:type="dxa"/>
            </w:tcMar>
          </w:tcPr>
          <w:p w14:paraId="4932E7C8"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40F2CC2E" w14:textId="77777777" w:rsidR="002530E2" w:rsidRDefault="002530E2">
            <w:pPr>
              <w:spacing w:after="0" w:line="276" w:lineRule="auto"/>
            </w:pPr>
            <w:r>
              <w:t>Cadbury took the allegations seriously and swiftly responded to address the concerns of Muslim consumers in Malaysia. The company conducted internal investigations and independent tests on their products, which confirmed the absence of pig DNA. Cadbury maintained that their products were halal and safe for consumption.</w:t>
            </w:r>
          </w:p>
        </w:tc>
      </w:tr>
      <w:tr w:rsidR="002530E2" w14:paraId="205CD7EC" w14:textId="77777777">
        <w:tc>
          <w:tcPr>
            <w:tcW w:w="1905" w:type="dxa"/>
            <w:shd w:val="clear" w:color="auto" w:fill="auto"/>
            <w:tcMar>
              <w:top w:w="100" w:type="dxa"/>
              <w:left w:w="100" w:type="dxa"/>
              <w:bottom w:w="100" w:type="dxa"/>
              <w:right w:w="100" w:type="dxa"/>
            </w:tcMar>
          </w:tcPr>
          <w:p w14:paraId="54FC2B2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69108ED2" w14:textId="77777777" w:rsidR="002530E2" w:rsidRDefault="002530E2">
            <w:pPr>
              <w:spacing w:after="0" w:line="276" w:lineRule="auto"/>
            </w:pPr>
            <w:r>
              <w:t>To rebuild trust with Muslim consumers in Malaysia, Cadbury actively engaged with relevant authorities, including the Malaysian Islamic Development Department (JAKIM). The company worked to reinforce its commitment to halal standards and communicated the results of its internal investigations and independent testing to the public.</w:t>
            </w:r>
          </w:p>
          <w:p w14:paraId="3B4400B5" w14:textId="77777777" w:rsidR="002530E2" w:rsidRDefault="002530E2">
            <w:pPr>
              <w:spacing w:after="0" w:line="276" w:lineRule="auto"/>
            </w:pPr>
          </w:p>
          <w:p w14:paraId="3ADBE13E" w14:textId="77777777" w:rsidR="002530E2" w:rsidRDefault="002530E2">
            <w:pPr>
              <w:spacing w:after="0" w:line="276" w:lineRule="auto"/>
            </w:pPr>
            <w:r>
              <w:t>To prevent similar controversies in the future, Cadbury can enhance its supply chain management and quality control processes. By ensuring strict adherence to halal standards and implementing robust product testing protocols, Cadbury can prevent accidental contamination of its products and maintain consumer trust.</w:t>
            </w:r>
          </w:p>
        </w:tc>
      </w:tr>
      <w:tr w:rsidR="002530E2" w14:paraId="0425D0DF" w14:textId="77777777">
        <w:tc>
          <w:tcPr>
            <w:tcW w:w="1905" w:type="dxa"/>
            <w:shd w:val="clear" w:color="auto" w:fill="auto"/>
            <w:tcMar>
              <w:top w:w="100" w:type="dxa"/>
              <w:left w:w="100" w:type="dxa"/>
              <w:bottom w:w="100" w:type="dxa"/>
              <w:right w:w="100" w:type="dxa"/>
            </w:tcMar>
          </w:tcPr>
          <w:p w14:paraId="24D44EC1"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7FDE09AB" w14:textId="77777777" w:rsidR="002530E2" w:rsidRDefault="002530E2">
            <w:pPr>
              <w:spacing w:after="0" w:line="276" w:lineRule="auto"/>
            </w:pPr>
            <w:r>
              <w:t>In 2014, Cadbury faced controversy in Malaysia when allegations emerged that their chocolate products contained traces of pig DNA. Muslim consumers in Malaysia boycotted the brand, demanding an apology and compensation. Cadbury responded by conducting internal investigations, independent testing, and engaging with relevant authorities to reaffirm their commitment to halal standards.</w:t>
            </w:r>
          </w:p>
        </w:tc>
      </w:tr>
    </w:tbl>
    <w:p w14:paraId="39CAB648" w14:textId="77777777" w:rsidR="002530E2" w:rsidRDefault="002530E2">
      <w:pPr>
        <w:pStyle w:val="Heading2"/>
        <w:spacing w:before="0"/>
      </w:pPr>
      <w:bookmarkStart w:id="428" w:name="_hfp2w6ehpg9c" w:colFirst="0" w:colLast="0"/>
      <w:bookmarkEnd w:id="428"/>
    </w:p>
    <w:p w14:paraId="30BFB5A2" w14:textId="77777777" w:rsidR="002530E2" w:rsidRDefault="002530E2">
      <w:pPr>
        <w:pStyle w:val="Heading2"/>
        <w:spacing w:before="0"/>
      </w:pPr>
      <w:bookmarkStart w:id="429" w:name="_4ggt42r6fezf" w:colFirst="0" w:colLast="0"/>
      <w:bookmarkEnd w:id="429"/>
      <w:r>
        <w:t>IR 012 (2015: Starbucks, Various countries)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52788C20" w14:textId="77777777">
        <w:tc>
          <w:tcPr>
            <w:tcW w:w="1905" w:type="dxa"/>
            <w:shd w:val="clear" w:color="auto" w:fill="auto"/>
            <w:tcMar>
              <w:top w:w="100" w:type="dxa"/>
              <w:left w:w="100" w:type="dxa"/>
              <w:bottom w:w="100" w:type="dxa"/>
              <w:right w:w="100" w:type="dxa"/>
            </w:tcMar>
          </w:tcPr>
          <w:p w14:paraId="45A7DAA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37BE121" w14:textId="77777777" w:rsidR="002530E2" w:rsidRDefault="002530E2">
            <w:pPr>
              <w:spacing w:after="0" w:line="276" w:lineRule="auto"/>
            </w:pPr>
            <w:r>
              <w:t>Incident Report Title: “Starbucks and the Controversy Surrounding the Refusal to Serve Customers with Religious Head Coverings”</w:t>
            </w:r>
          </w:p>
        </w:tc>
      </w:tr>
      <w:tr w:rsidR="002530E2" w14:paraId="654750BC" w14:textId="77777777">
        <w:tc>
          <w:tcPr>
            <w:tcW w:w="1905" w:type="dxa"/>
            <w:shd w:val="clear" w:color="auto" w:fill="auto"/>
            <w:tcMar>
              <w:top w:w="100" w:type="dxa"/>
              <w:left w:w="100" w:type="dxa"/>
              <w:bottom w:w="100" w:type="dxa"/>
              <w:right w:w="100" w:type="dxa"/>
            </w:tcMar>
          </w:tcPr>
          <w:p w14:paraId="75A478FF"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1C2B284" w14:textId="77777777" w:rsidR="002530E2" w:rsidRDefault="002530E2">
            <w:pPr>
              <w:spacing w:after="0" w:line="276" w:lineRule="auto"/>
            </w:pPr>
            <w:r>
              <w:t>This case examines the controversy faced by Starbucks in 2015 when it was reported that some employees refused to serve customers wearing hijabs or other religious head coverings. The report highlights the backlash from Muslim consumers, who perceived Starbucks' actions as discriminatory and called for a boycott of the popular coffee chain.</w:t>
            </w:r>
          </w:p>
        </w:tc>
      </w:tr>
      <w:tr w:rsidR="002530E2" w14:paraId="59C5FC05" w14:textId="77777777">
        <w:tc>
          <w:tcPr>
            <w:tcW w:w="1905" w:type="dxa"/>
            <w:shd w:val="clear" w:color="auto" w:fill="auto"/>
            <w:tcMar>
              <w:top w:w="100" w:type="dxa"/>
              <w:left w:w="100" w:type="dxa"/>
              <w:bottom w:w="100" w:type="dxa"/>
              <w:right w:w="100" w:type="dxa"/>
            </w:tcMar>
          </w:tcPr>
          <w:p w14:paraId="7BF133E1"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F603B0B" w14:textId="77777777" w:rsidR="002530E2" w:rsidRDefault="002530E2">
            <w:pPr>
              <w:spacing w:after="0" w:line="276" w:lineRule="auto"/>
            </w:pPr>
            <w:r>
              <w:t>In 2015, Starbucks faced controversy when reports emerged that some of its employees had refused to serve customers wearing hijabs or other religious head coverings. Muslim consumers were deeply affected by this incident, as they felt that it reflected discriminatory behaviour and a lack of respect for their religious beliefs.</w:t>
            </w:r>
          </w:p>
        </w:tc>
      </w:tr>
      <w:tr w:rsidR="002530E2" w14:paraId="4EC1A35B" w14:textId="77777777">
        <w:tc>
          <w:tcPr>
            <w:tcW w:w="1905" w:type="dxa"/>
            <w:shd w:val="clear" w:color="auto" w:fill="auto"/>
            <w:tcMar>
              <w:top w:w="100" w:type="dxa"/>
              <w:left w:w="100" w:type="dxa"/>
              <w:bottom w:w="100" w:type="dxa"/>
              <w:right w:w="100" w:type="dxa"/>
            </w:tcMar>
          </w:tcPr>
          <w:p w14:paraId="1B6242BB"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3A6BD87" w14:textId="77777777" w:rsidR="002530E2" w:rsidRDefault="002530E2">
            <w:pPr>
              <w:spacing w:after="0" w:line="276" w:lineRule="auto"/>
            </w:pPr>
            <w:r>
              <w:t>The incident occurred in 2015, when reports of Starbucks employees refusing service to customers wearing religious head coverings came to public attention.</w:t>
            </w:r>
          </w:p>
        </w:tc>
      </w:tr>
      <w:tr w:rsidR="002530E2" w14:paraId="460D994F" w14:textId="77777777">
        <w:tc>
          <w:tcPr>
            <w:tcW w:w="1905" w:type="dxa"/>
            <w:shd w:val="clear" w:color="auto" w:fill="auto"/>
            <w:tcMar>
              <w:top w:w="100" w:type="dxa"/>
              <w:left w:w="100" w:type="dxa"/>
              <w:bottom w:w="100" w:type="dxa"/>
              <w:right w:w="100" w:type="dxa"/>
            </w:tcMar>
          </w:tcPr>
          <w:p w14:paraId="75A4C68D"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D621006" w14:textId="77777777" w:rsidR="002530E2" w:rsidRDefault="002530E2">
            <w:pPr>
              <w:spacing w:after="0" w:line="276" w:lineRule="auto"/>
            </w:pPr>
            <w:r>
              <w:t>The controversy surrounding Starbucks' refusal to serve customers with religious head coverings took place across various Starbucks locations, where incidents were reported.</w:t>
            </w:r>
          </w:p>
        </w:tc>
      </w:tr>
      <w:tr w:rsidR="002530E2" w14:paraId="560ACCD7" w14:textId="77777777">
        <w:tc>
          <w:tcPr>
            <w:tcW w:w="1905" w:type="dxa"/>
            <w:shd w:val="clear" w:color="auto" w:fill="auto"/>
            <w:tcMar>
              <w:top w:w="100" w:type="dxa"/>
              <w:left w:w="100" w:type="dxa"/>
              <w:bottom w:w="100" w:type="dxa"/>
              <w:right w:w="100" w:type="dxa"/>
            </w:tcMar>
          </w:tcPr>
          <w:p w14:paraId="12BF5174"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0A49C3E" w14:textId="77777777" w:rsidR="002530E2" w:rsidRDefault="002530E2">
            <w:pPr>
              <w:spacing w:after="0" w:line="276" w:lineRule="auto"/>
            </w:pPr>
            <w:r>
              <w:t>Muslim consumers were the primary group affected by Starbucks' refusal to serve customers with religious head coverings. They expressed disappointment and frustration and perceived the incident as an act of discrimination against their religious identity.</w:t>
            </w:r>
          </w:p>
        </w:tc>
      </w:tr>
      <w:tr w:rsidR="002530E2" w14:paraId="74D03C09" w14:textId="77777777">
        <w:tc>
          <w:tcPr>
            <w:tcW w:w="1905" w:type="dxa"/>
            <w:shd w:val="clear" w:color="auto" w:fill="auto"/>
            <w:tcMar>
              <w:top w:w="100" w:type="dxa"/>
              <w:left w:w="100" w:type="dxa"/>
              <w:bottom w:w="100" w:type="dxa"/>
              <w:right w:w="100" w:type="dxa"/>
            </w:tcMar>
          </w:tcPr>
          <w:p w14:paraId="77613788"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679C5E08" w14:textId="77777777" w:rsidR="002530E2" w:rsidRDefault="002530E2">
            <w:pPr>
              <w:spacing w:after="0" w:line="276" w:lineRule="auto"/>
            </w:pPr>
            <w:r>
              <w:t>Starbucks, a widely recognised coffee chain, faced criticism for reported incidents of employees refusing service to customers wearing hijabs or other religious head coverings. The controversy targeted Starbucks as a company for its perceived lack of inclusivity and failure to address the reported incidents promptly.</w:t>
            </w:r>
          </w:p>
        </w:tc>
      </w:tr>
      <w:tr w:rsidR="002530E2" w14:paraId="264D0A4B" w14:textId="77777777">
        <w:tc>
          <w:tcPr>
            <w:tcW w:w="1905" w:type="dxa"/>
            <w:shd w:val="clear" w:color="auto" w:fill="auto"/>
            <w:tcMar>
              <w:top w:w="100" w:type="dxa"/>
              <w:left w:w="100" w:type="dxa"/>
              <w:bottom w:w="100" w:type="dxa"/>
              <w:right w:w="100" w:type="dxa"/>
            </w:tcMar>
          </w:tcPr>
          <w:p w14:paraId="739C0B05" w14:textId="77777777" w:rsidR="002530E2" w:rsidRDefault="002530E2">
            <w:pPr>
              <w:spacing w:after="0" w:line="276" w:lineRule="auto"/>
            </w:pPr>
            <w:r>
              <w:t xml:space="preserve">IRE 7: VICTIMISATION — WHAT WERE THE </w:t>
            </w:r>
            <w:r>
              <w:lastRenderedPageBreak/>
              <w:t>CONSEQUENCES FOR MUSLIMS?</w:t>
            </w:r>
          </w:p>
        </w:tc>
        <w:tc>
          <w:tcPr>
            <w:tcW w:w="7125" w:type="dxa"/>
            <w:shd w:val="clear" w:color="auto" w:fill="auto"/>
            <w:tcMar>
              <w:top w:w="100" w:type="dxa"/>
              <w:left w:w="100" w:type="dxa"/>
              <w:bottom w:w="100" w:type="dxa"/>
              <w:right w:w="100" w:type="dxa"/>
            </w:tcMar>
          </w:tcPr>
          <w:p w14:paraId="445FB26E" w14:textId="77777777" w:rsidR="002530E2" w:rsidRDefault="002530E2">
            <w:pPr>
              <w:spacing w:after="0" w:line="276" w:lineRule="auto"/>
            </w:pPr>
            <w:r>
              <w:lastRenderedPageBreak/>
              <w:t xml:space="preserve">Muslim consumers who felt targeted by Starbucks' refusal to serve customers with religious head coverings voiced their concerns and grievances through social media platforms, sparking conversations and debates. Many individuals </w:t>
            </w:r>
            <w:r>
              <w:lastRenderedPageBreak/>
              <w:t>within the Muslim community called for a boycott of Starbucks as a form of protest against what they saw as discriminatory behaviour.</w:t>
            </w:r>
          </w:p>
        </w:tc>
      </w:tr>
      <w:tr w:rsidR="002530E2" w14:paraId="7D393F10" w14:textId="77777777">
        <w:tc>
          <w:tcPr>
            <w:tcW w:w="1905" w:type="dxa"/>
            <w:shd w:val="clear" w:color="auto" w:fill="auto"/>
            <w:tcMar>
              <w:top w:w="100" w:type="dxa"/>
              <w:left w:w="100" w:type="dxa"/>
              <w:bottom w:w="100" w:type="dxa"/>
              <w:right w:w="100" w:type="dxa"/>
            </w:tcMar>
          </w:tcPr>
          <w:p w14:paraId="74909B09"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6A98A685" w14:textId="77777777" w:rsidR="002530E2" w:rsidRDefault="002530E2">
            <w:pPr>
              <w:spacing w:after="0" w:line="276" w:lineRule="auto"/>
            </w:pPr>
            <w:r>
              <w:t>The controversy had significant ramifications for Starbucks, resulting in reputational damage and potential financial losses due to the boycott called for by Muslim consumers. Starbucks faced the challenge of rebuilding trust with its Muslim customer base and implementing measures to address the concerns raised regarding inclusivity and religious accommodation.</w:t>
            </w:r>
          </w:p>
        </w:tc>
      </w:tr>
      <w:tr w:rsidR="002530E2" w14:paraId="0D54F918" w14:textId="77777777">
        <w:tc>
          <w:tcPr>
            <w:tcW w:w="1905" w:type="dxa"/>
            <w:shd w:val="clear" w:color="auto" w:fill="auto"/>
            <w:tcMar>
              <w:top w:w="100" w:type="dxa"/>
              <w:left w:w="100" w:type="dxa"/>
              <w:bottom w:w="100" w:type="dxa"/>
              <w:right w:w="100" w:type="dxa"/>
            </w:tcMar>
          </w:tcPr>
          <w:p w14:paraId="18354798"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4F085295" w14:textId="77777777" w:rsidR="002530E2" w:rsidRDefault="002530E2">
            <w:pPr>
              <w:spacing w:after="0" w:line="276" w:lineRule="auto"/>
            </w:pPr>
            <w:r>
              <w:t>The reported incidents of Starbucks employees refusing service to customers with religious head coverings were likely due to a lack of awareness, sensitivity, and proper training regarding cultural and religious diversity. The incidents raised questions about Starbucks' policies and the training provided to its employees on inclusivity and religious accommodation.</w:t>
            </w:r>
          </w:p>
        </w:tc>
      </w:tr>
      <w:tr w:rsidR="002530E2" w14:paraId="2D70867D" w14:textId="77777777">
        <w:tc>
          <w:tcPr>
            <w:tcW w:w="1905" w:type="dxa"/>
            <w:shd w:val="clear" w:color="auto" w:fill="auto"/>
            <w:tcMar>
              <w:top w:w="100" w:type="dxa"/>
              <w:left w:w="100" w:type="dxa"/>
              <w:bottom w:w="100" w:type="dxa"/>
              <w:right w:w="100" w:type="dxa"/>
            </w:tcMar>
          </w:tcPr>
          <w:p w14:paraId="0FE4D4D4"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8C58AF4" w14:textId="77777777" w:rsidR="002530E2" w:rsidRDefault="002530E2">
            <w:pPr>
              <w:spacing w:after="0" w:line="276" w:lineRule="auto"/>
            </w:pPr>
            <w:r>
              <w:t>In response to the controversy, Starbucks issued an apology and publicly reaffirmed its commitment to diversity and inclusivity. The company pledged to conduct additional training programmes to educate its employees about cultural and religious diversity, ensuring that incidents like these would not recur in the future.</w:t>
            </w:r>
          </w:p>
        </w:tc>
      </w:tr>
      <w:tr w:rsidR="002530E2" w14:paraId="2CA801C8" w14:textId="77777777">
        <w:tc>
          <w:tcPr>
            <w:tcW w:w="1905" w:type="dxa"/>
            <w:shd w:val="clear" w:color="auto" w:fill="auto"/>
            <w:tcMar>
              <w:top w:w="100" w:type="dxa"/>
              <w:left w:w="100" w:type="dxa"/>
              <w:bottom w:w="100" w:type="dxa"/>
              <w:right w:w="100" w:type="dxa"/>
            </w:tcMar>
          </w:tcPr>
          <w:p w14:paraId="50E426B3"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BAD9132" w14:textId="77777777" w:rsidR="002530E2" w:rsidRDefault="002530E2">
            <w:pPr>
              <w:spacing w:after="0" w:line="276" w:lineRule="auto"/>
            </w:pPr>
            <w:r>
              <w:t>To prevent similar incidents from happening, Starbucks should review and strengthen its policies and training programmes to explicitly address cultural and religious diversity. This includes reinforcing guidelines on inclusivity and religious accommodation and providing employees with the necessary knowledge and resources to handle diverse customer interactions respectfully. Moving forward, Starbucks can enhance its engagement with diverse communities, including Muslims, by establishing channels for feedback, fostering open dialogue, and implementing mechanisms to address concerns promptly. Ongoing training programmes can be implemented to ensure continuous education and awareness regarding cultural and religious diversity.</w:t>
            </w:r>
          </w:p>
        </w:tc>
      </w:tr>
      <w:tr w:rsidR="002530E2" w14:paraId="175FA3E7" w14:textId="77777777">
        <w:tc>
          <w:tcPr>
            <w:tcW w:w="1905" w:type="dxa"/>
            <w:shd w:val="clear" w:color="auto" w:fill="auto"/>
            <w:tcMar>
              <w:top w:w="100" w:type="dxa"/>
              <w:left w:w="100" w:type="dxa"/>
              <w:bottom w:w="100" w:type="dxa"/>
              <w:right w:w="100" w:type="dxa"/>
            </w:tcMar>
          </w:tcPr>
          <w:p w14:paraId="44592E99"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C5D6E5D" w14:textId="77777777" w:rsidR="002530E2" w:rsidRDefault="002530E2">
            <w:pPr>
              <w:spacing w:after="0" w:line="276" w:lineRule="auto"/>
            </w:pPr>
            <w:r>
              <w:t>The controversy surrounding Starbucks' refusal to serve customers with religious head coverings underscores the significance of inclusivity and respect in the service industry. Starbucks faced criticism from Muslim consumers, leading to an apology and a commitment to training programmes to prevent future incidents. This incident serves as a reminder for companies to prioritise diversity, cultural sensitivity, and inclusivity in their customer service practices.</w:t>
            </w:r>
          </w:p>
        </w:tc>
      </w:tr>
    </w:tbl>
    <w:p w14:paraId="4B1F9EA6" w14:textId="77777777" w:rsidR="002530E2" w:rsidRDefault="002530E2"/>
    <w:p w14:paraId="171615F5" w14:textId="77777777" w:rsidR="002530E2" w:rsidRDefault="002530E2">
      <w:pPr>
        <w:pStyle w:val="Heading2"/>
      </w:pPr>
      <w:bookmarkStart w:id="430" w:name="_ctmvqt4y5okx" w:colFirst="0" w:colLast="0"/>
      <w:bookmarkEnd w:id="430"/>
      <w:r>
        <w:lastRenderedPageBreak/>
        <w:t>IR 013 (2015: Starbucks,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0CAD28C0" w14:textId="77777777">
        <w:tc>
          <w:tcPr>
            <w:tcW w:w="1905" w:type="dxa"/>
            <w:shd w:val="clear" w:color="auto" w:fill="auto"/>
            <w:tcMar>
              <w:top w:w="100" w:type="dxa"/>
              <w:left w:w="100" w:type="dxa"/>
              <w:bottom w:w="100" w:type="dxa"/>
              <w:right w:w="100" w:type="dxa"/>
            </w:tcMar>
          </w:tcPr>
          <w:p w14:paraId="45550EB4"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6B21D9CB" w14:textId="77777777" w:rsidR="002530E2" w:rsidRDefault="002530E2">
            <w:pPr>
              <w:spacing w:after="0" w:line="276" w:lineRule="auto"/>
            </w:pPr>
            <w:r>
              <w:t>Incident Report Title: “Starbucks' Controversy Regarding Halal Certification”</w:t>
            </w:r>
          </w:p>
        </w:tc>
      </w:tr>
      <w:tr w:rsidR="002530E2" w14:paraId="334D26DB" w14:textId="77777777">
        <w:tc>
          <w:tcPr>
            <w:tcW w:w="1905" w:type="dxa"/>
            <w:shd w:val="clear" w:color="auto" w:fill="auto"/>
            <w:tcMar>
              <w:top w:w="100" w:type="dxa"/>
              <w:left w:w="100" w:type="dxa"/>
              <w:bottom w:w="100" w:type="dxa"/>
              <w:right w:w="100" w:type="dxa"/>
            </w:tcMar>
          </w:tcPr>
          <w:p w14:paraId="6A0105B8"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44557FC" w14:textId="77777777" w:rsidR="002530E2" w:rsidRDefault="002530E2">
            <w:pPr>
              <w:spacing w:after="0" w:line="276" w:lineRule="auto"/>
            </w:pPr>
            <w:r>
              <w:t>This case examines the cross-cultural blunder by Starbucks in 2015, which resulted in criticism from Muslim consumers. The report focuses on the controversy surrounding Starbucks' products and their compliance with halal dietary requirements.</w:t>
            </w:r>
          </w:p>
        </w:tc>
      </w:tr>
      <w:tr w:rsidR="002530E2" w14:paraId="44945E16" w14:textId="77777777">
        <w:tc>
          <w:tcPr>
            <w:tcW w:w="1905" w:type="dxa"/>
            <w:shd w:val="clear" w:color="auto" w:fill="auto"/>
            <w:tcMar>
              <w:top w:w="100" w:type="dxa"/>
              <w:left w:w="100" w:type="dxa"/>
              <w:bottom w:w="100" w:type="dxa"/>
              <w:right w:w="100" w:type="dxa"/>
            </w:tcMar>
          </w:tcPr>
          <w:p w14:paraId="31D85DE6"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54971F30" w14:textId="77777777" w:rsidR="002530E2" w:rsidRDefault="002530E2">
            <w:pPr>
              <w:spacing w:after="0" w:line="276" w:lineRule="auto"/>
            </w:pPr>
            <w:r>
              <w:t>In 2015, Starbucks faced criticism when it was revealed that some of its products contained gelatin derived from animal sources, which is not considered halal by Islamic dietary standards. This revelation caused discontent among Muslim consumers who had been consuming these products under the assumption that they were halal-certified.</w:t>
            </w:r>
          </w:p>
        </w:tc>
      </w:tr>
      <w:tr w:rsidR="002530E2" w14:paraId="1AA555C6" w14:textId="77777777">
        <w:tc>
          <w:tcPr>
            <w:tcW w:w="1905" w:type="dxa"/>
            <w:shd w:val="clear" w:color="auto" w:fill="auto"/>
            <w:tcMar>
              <w:top w:w="100" w:type="dxa"/>
              <w:left w:w="100" w:type="dxa"/>
              <w:bottom w:w="100" w:type="dxa"/>
              <w:right w:w="100" w:type="dxa"/>
            </w:tcMar>
          </w:tcPr>
          <w:p w14:paraId="0AEA502E"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A12B48C" w14:textId="77777777" w:rsidR="002530E2" w:rsidRDefault="002530E2">
            <w:pPr>
              <w:spacing w:after="0" w:line="276" w:lineRule="auto"/>
            </w:pPr>
            <w:r>
              <w:t>The incident occurred in 2015, when it was disclosed that certain Starbucks products contained gelatin derived from non-halal sources.</w:t>
            </w:r>
          </w:p>
        </w:tc>
      </w:tr>
      <w:tr w:rsidR="002530E2" w14:paraId="0EE5BDC6" w14:textId="77777777">
        <w:tc>
          <w:tcPr>
            <w:tcW w:w="1905" w:type="dxa"/>
            <w:shd w:val="clear" w:color="auto" w:fill="auto"/>
            <w:tcMar>
              <w:top w:w="100" w:type="dxa"/>
              <w:left w:w="100" w:type="dxa"/>
              <w:bottom w:w="100" w:type="dxa"/>
              <w:right w:w="100" w:type="dxa"/>
            </w:tcMar>
          </w:tcPr>
          <w:p w14:paraId="53D84A85"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2BAFB5FF" w14:textId="77777777" w:rsidR="002530E2" w:rsidRDefault="002530E2">
            <w:pPr>
              <w:spacing w:after="0" w:line="276" w:lineRule="auto"/>
            </w:pPr>
            <w:r>
              <w:t>The controversy surrounding Starbucks' products and their compliance with halal requirements affected Muslim consumers in various regions where the coffee chain operates.</w:t>
            </w:r>
          </w:p>
        </w:tc>
      </w:tr>
      <w:tr w:rsidR="002530E2" w14:paraId="28793DA8" w14:textId="77777777">
        <w:tc>
          <w:tcPr>
            <w:tcW w:w="1905" w:type="dxa"/>
            <w:shd w:val="clear" w:color="auto" w:fill="auto"/>
            <w:tcMar>
              <w:top w:w="100" w:type="dxa"/>
              <w:left w:w="100" w:type="dxa"/>
              <w:bottom w:w="100" w:type="dxa"/>
              <w:right w:w="100" w:type="dxa"/>
            </w:tcMar>
          </w:tcPr>
          <w:p w14:paraId="1EAE0902"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159C4E6C" w14:textId="77777777" w:rsidR="002530E2" w:rsidRDefault="002530E2">
            <w:pPr>
              <w:spacing w:after="0" w:line="276" w:lineRule="auto"/>
            </w:pPr>
            <w:r>
              <w:t>Muslim consumers who adhered to halal dietary guidelines were directly affected by this incident. They felt deceived and betrayed by Starbucks' failure to ensure that their products met halal certification standards, leading to a loss of trust and a sense of disrespect towards their religious beliefs.</w:t>
            </w:r>
          </w:p>
        </w:tc>
      </w:tr>
      <w:tr w:rsidR="002530E2" w14:paraId="74883489" w14:textId="77777777">
        <w:tc>
          <w:tcPr>
            <w:tcW w:w="1905" w:type="dxa"/>
            <w:shd w:val="clear" w:color="auto" w:fill="auto"/>
            <w:tcMar>
              <w:top w:w="100" w:type="dxa"/>
              <w:left w:w="100" w:type="dxa"/>
              <w:bottom w:w="100" w:type="dxa"/>
              <w:right w:w="100" w:type="dxa"/>
            </w:tcMar>
          </w:tcPr>
          <w:p w14:paraId="4E3F2741"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67D1BE8E" w14:textId="77777777" w:rsidR="002530E2" w:rsidRDefault="002530E2">
            <w:pPr>
              <w:spacing w:after="0" w:line="276" w:lineRule="auto"/>
            </w:pPr>
            <w:r>
              <w:t>Starbucks, a global coffee chain, faced criticism from Muslim consumers for the presence of non-halal ingredients in their products. The company was seen as responsible for not adequately verifying the halal status of the ingredients used and failing to provide accurate information to its Muslim customer base.</w:t>
            </w:r>
          </w:p>
        </w:tc>
      </w:tr>
      <w:tr w:rsidR="002530E2" w14:paraId="57A7DC15" w14:textId="77777777">
        <w:tc>
          <w:tcPr>
            <w:tcW w:w="1905" w:type="dxa"/>
            <w:shd w:val="clear" w:color="auto" w:fill="auto"/>
            <w:tcMar>
              <w:top w:w="100" w:type="dxa"/>
              <w:left w:w="100" w:type="dxa"/>
              <w:bottom w:w="100" w:type="dxa"/>
              <w:right w:w="100" w:type="dxa"/>
            </w:tcMar>
          </w:tcPr>
          <w:p w14:paraId="28545BA4"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474C5D66" w14:textId="77777777" w:rsidR="002530E2" w:rsidRDefault="002530E2">
            <w:pPr>
              <w:spacing w:after="0" w:line="276" w:lineRule="auto"/>
            </w:pPr>
            <w:r>
              <w:t>Muslim consumers expressed their disappointment and frustration with Starbucks' lack of transparency regarding the halal status of its products. Many individuals called for a boycott of the coffee chain, as they believed their religious dietary requirements were compromised.</w:t>
            </w:r>
          </w:p>
        </w:tc>
      </w:tr>
      <w:tr w:rsidR="002530E2" w14:paraId="2E98A44A" w14:textId="77777777">
        <w:tc>
          <w:tcPr>
            <w:tcW w:w="1905" w:type="dxa"/>
            <w:shd w:val="clear" w:color="auto" w:fill="auto"/>
            <w:tcMar>
              <w:top w:w="100" w:type="dxa"/>
              <w:left w:w="100" w:type="dxa"/>
              <w:bottom w:w="100" w:type="dxa"/>
              <w:right w:w="100" w:type="dxa"/>
            </w:tcMar>
          </w:tcPr>
          <w:p w14:paraId="5DB2FD26"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36A68DBF" w14:textId="77777777" w:rsidR="002530E2" w:rsidRDefault="002530E2">
            <w:pPr>
              <w:spacing w:after="0" w:line="276" w:lineRule="auto"/>
            </w:pPr>
            <w:r>
              <w:t>The controversy had negative consequences for Starbucks, including a decline in its reputation and a potential impact on its sales among Muslim consumers. The incident highlighted the importance of transparency and adherence to halal certification standards for companies catering to diverse consumer groups.</w:t>
            </w:r>
          </w:p>
        </w:tc>
      </w:tr>
      <w:tr w:rsidR="002530E2" w14:paraId="42C1C105" w14:textId="77777777">
        <w:tc>
          <w:tcPr>
            <w:tcW w:w="1905" w:type="dxa"/>
            <w:shd w:val="clear" w:color="auto" w:fill="auto"/>
            <w:tcMar>
              <w:top w:w="100" w:type="dxa"/>
              <w:left w:w="100" w:type="dxa"/>
              <w:bottom w:w="100" w:type="dxa"/>
              <w:right w:w="100" w:type="dxa"/>
            </w:tcMar>
          </w:tcPr>
          <w:p w14:paraId="30E384CC"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236A5EC0" w14:textId="77777777" w:rsidR="002530E2" w:rsidRDefault="002530E2">
            <w:pPr>
              <w:spacing w:after="0" w:line="276" w:lineRule="auto"/>
            </w:pPr>
            <w:r>
              <w:t>Starbucks' failure to ensure the halal certification of its products can be attributed to a lack of understanding or oversight within its supply chain management. This incident revealed a disconnect between the company's commitment to inclusivity and the implementation of practices aligned with diverse religious requirements.</w:t>
            </w:r>
          </w:p>
        </w:tc>
      </w:tr>
      <w:tr w:rsidR="002530E2" w14:paraId="2C99F32F" w14:textId="77777777">
        <w:tc>
          <w:tcPr>
            <w:tcW w:w="1905" w:type="dxa"/>
            <w:shd w:val="clear" w:color="auto" w:fill="auto"/>
            <w:tcMar>
              <w:top w:w="100" w:type="dxa"/>
              <w:left w:w="100" w:type="dxa"/>
              <w:bottom w:w="100" w:type="dxa"/>
              <w:right w:w="100" w:type="dxa"/>
            </w:tcMar>
          </w:tcPr>
          <w:p w14:paraId="1E16AB6B"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66BAF01A" w14:textId="77777777" w:rsidR="002530E2" w:rsidRDefault="002530E2">
            <w:pPr>
              <w:spacing w:after="0" w:line="276" w:lineRule="auto"/>
            </w:pPr>
            <w:r>
              <w:t>In response to the criticism, Starbucks issued a public apology and pledged to improve its communication and transparency regarding the halal status of its products. The company committed to working closely with certification bodies to ensure adherence to halal requirements and provide accurate information to its Muslim consumers.</w:t>
            </w:r>
          </w:p>
        </w:tc>
      </w:tr>
      <w:tr w:rsidR="002530E2" w14:paraId="48CB3A92" w14:textId="77777777">
        <w:tc>
          <w:tcPr>
            <w:tcW w:w="1905" w:type="dxa"/>
            <w:shd w:val="clear" w:color="auto" w:fill="auto"/>
            <w:tcMar>
              <w:top w:w="100" w:type="dxa"/>
              <w:left w:w="100" w:type="dxa"/>
              <w:bottom w:w="100" w:type="dxa"/>
              <w:right w:w="100" w:type="dxa"/>
            </w:tcMar>
          </w:tcPr>
          <w:p w14:paraId="29130E7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B1ED481" w14:textId="77777777" w:rsidR="002530E2" w:rsidRDefault="002530E2">
            <w:pPr>
              <w:spacing w:after="0" w:line="276" w:lineRule="auto"/>
            </w:pPr>
            <w:r>
              <w:t>To prevent similar incidents in the future, Starbucks should establish robust procedures for verifying the halal status of ingredients and products. Implementing rigorous audits and certifications from reputable halal certification organisations can ensure compliance and instil confidence among Muslim consumers. Moving forward, Starbucks can invest in training programmes for its employees to enhance cultural competency and awareness of religious dietary requirements. Regular reviews of product ingredients and labelling processes, coupled with proactive engagement with Muslim consumer communities, can further strengthen the company's commitment to meeting their needs.</w:t>
            </w:r>
          </w:p>
        </w:tc>
      </w:tr>
      <w:tr w:rsidR="002530E2" w14:paraId="166ABE69" w14:textId="77777777">
        <w:tc>
          <w:tcPr>
            <w:tcW w:w="1905" w:type="dxa"/>
            <w:shd w:val="clear" w:color="auto" w:fill="auto"/>
            <w:tcMar>
              <w:top w:w="100" w:type="dxa"/>
              <w:left w:w="100" w:type="dxa"/>
              <w:bottom w:w="100" w:type="dxa"/>
              <w:right w:w="100" w:type="dxa"/>
            </w:tcMar>
          </w:tcPr>
          <w:p w14:paraId="3792C77C"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14FBAEB9" w14:textId="77777777" w:rsidR="002530E2" w:rsidRDefault="002530E2">
            <w:pPr>
              <w:spacing w:after="0" w:line="276" w:lineRule="auto"/>
            </w:pPr>
            <w:r>
              <w:t>The controversy surrounding Starbucks' products and their compliance with halal requirements emphasises the importance of respecting religious dietary practices and providing accurate information to consumers. It serves as a reminder for companies to ensure transparency and adherence to relevant certification standards when catering to diverse cultural and religious preferences.</w:t>
            </w:r>
          </w:p>
        </w:tc>
      </w:tr>
    </w:tbl>
    <w:p w14:paraId="18177566" w14:textId="77777777" w:rsidR="002530E2" w:rsidRDefault="002530E2"/>
    <w:p w14:paraId="56FF86D2" w14:textId="77777777" w:rsidR="002530E2" w:rsidRDefault="002530E2">
      <w:pPr>
        <w:pStyle w:val="Heading2"/>
      </w:pPr>
      <w:bookmarkStart w:id="431" w:name="_hg9ea0zeul66" w:colFirst="0" w:colLast="0"/>
      <w:bookmarkEnd w:id="431"/>
      <w:r>
        <w:t>IR 014 (2015: Nestle, Malaysia)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34BC867" w14:textId="77777777">
        <w:tc>
          <w:tcPr>
            <w:tcW w:w="1905" w:type="dxa"/>
            <w:shd w:val="clear" w:color="auto" w:fill="auto"/>
            <w:tcMar>
              <w:top w:w="100" w:type="dxa"/>
              <w:left w:w="100" w:type="dxa"/>
              <w:bottom w:w="100" w:type="dxa"/>
              <w:right w:w="100" w:type="dxa"/>
            </w:tcMar>
          </w:tcPr>
          <w:p w14:paraId="23E40C0B"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EAECF18" w14:textId="77777777" w:rsidR="002530E2" w:rsidRDefault="002530E2">
            <w:pPr>
              <w:spacing w:after="0" w:line="276" w:lineRule="auto"/>
            </w:pPr>
            <w:r>
              <w:t>Incident Report Title: “Nestle Maggi Noodles Controversy in Malaysia”</w:t>
            </w:r>
          </w:p>
        </w:tc>
      </w:tr>
      <w:tr w:rsidR="002530E2" w14:paraId="7679DDAD" w14:textId="77777777">
        <w:tc>
          <w:tcPr>
            <w:tcW w:w="1905" w:type="dxa"/>
            <w:shd w:val="clear" w:color="auto" w:fill="auto"/>
            <w:tcMar>
              <w:top w:w="100" w:type="dxa"/>
              <w:left w:w="100" w:type="dxa"/>
              <w:bottom w:w="100" w:type="dxa"/>
              <w:right w:w="100" w:type="dxa"/>
            </w:tcMar>
          </w:tcPr>
          <w:p w14:paraId="5D53D47C" w14:textId="77777777" w:rsidR="002530E2" w:rsidRDefault="002530E2">
            <w:pPr>
              <w:spacing w:after="0" w:line="276" w:lineRule="auto"/>
            </w:pPr>
            <w:r>
              <w:lastRenderedPageBreak/>
              <w:t>IRE 1: INTRODUCTION</w:t>
            </w:r>
          </w:p>
        </w:tc>
        <w:tc>
          <w:tcPr>
            <w:tcW w:w="7125" w:type="dxa"/>
            <w:shd w:val="clear" w:color="auto" w:fill="auto"/>
            <w:tcMar>
              <w:top w:w="100" w:type="dxa"/>
              <w:left w:w="100" w:type="dxa"/>
              <w:bottom w:w="100" w:type="dxa"/>
              <w:right w:w="100" w:type="dxa"/>
            </w:tcMar>
          </w:tcPr>
          <w:p w14:paraId="740B744F" w14:textId="77777777" w:rsidR="002530E2" w:rsidRDefault="002530E2">
            <w:pPr>
              <w:spacing w:after="0" w:line="276" w:lineRule="auto"/>
            </w:pPr>
            <w:r>
              <w:t>This case focuses on the controversy faced by Nestle in Malaysia in 2015 regarding the use of haram (non-halal) ingredients in its Maggi noodles. Muslim consumers boycotted the brand and demanded an apology and compensation for the violation of their dietary restrictions.</w:t>
            </w:r>
          </w:p>
        </w:tc>
      </w:tr>
      <w:tr w:rsidR="002530E2" w14:paraId="7AFFB4CB" w14:textId="77777777">
        <w:tc>
          <w:tcPr>
            <w:tcW w:w="1905" w:type="dxa"/>
            <w:shd w:val="clear" w:color="auto" w:fill="auto"/>
            <w:tcMar>
              <w:top w:w="100" w:type="dxa"/>
              <w:left w:w="100" w:type="dxa"/>
              <w:bottom w:w="100" w:type="dxa"/>
              <w:right w:w="100" w:type="dxa"/>
            </w:tcMar>
          </w:tcPr>
          <w:p w14:paraId="3C3A341A"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FEDA5D6" w14:textId="77777777" w:rsidR="002530E2" w:rsidRDefault="002530E2">
            <w:pPr>
              <w:spacing w:after="0" w:line="276" w:lineRule="auto"/>
            </w:pPr>
            <w:r>
              <w:t>In 2015, Nestle faced controversy in Malaysia when it was revealed that certain variants of its popular Maggi noodles contained haram (non-halal) ingredients. This discovery sparked outrage among Muslim consumers, who felt that their dietary restrictions had been violated.</w:t>
            </w:r>
          </w:p>
        </w:tc>
      </w:tr>
      <w:tr w:rsidR="002530E2" w14:paraId="150876B7" w14:textId="77777777">
        <w:tc>
          <w:tcPr>
            <w:tcW w:w="1905" w:type="dxa"/>
            <w:shd w:val="clear" w:color="auto" w:fill="auto"/>
            <w:tcMar>
              <w:top w:w="100" w:type="dxa"/>
              <w:left w:w="100" w:type="dxa"/>
              <w:bottom w:w="100" w:type="dxa"/>
              <w:right w:w="100" w:type="dxa"/>
            </w:tcMar>
          </w:tcPr>
          <w:p w14:paraId="3EC7B679"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0EB01B00" w14:textId="77777777" w:rsidR="002530E2" w:rsidRDefault="002530E2">
            <w:pPr>
              <w:spacing w:after="0" w:line="276" w:lineRule="auto"/>
            </w:pPr>
            <w:r>
              <w:t>The Maggi noodles controversy took place in 2015, when it was discovered that certain variants of the product contained haram ingredients.</w:t>
            </w:r>
          </w:p>
        </w:tc>
      </w:tr>
      <w:tr w:rsidR="002530E2" w14:paraId="2461E0D5" w14:textId="77777777">
        <w:tc>
          <w:tcPr>
            <w:tcW w:w="1905" w:type="dxa"/>
            <w:shd w:val="clear" w:color="auto" w:fill="auto"/>
            <w:tcMar>
              <w:top w:w="100" w:type="dxa"/>
              <w:left w:w="100" w:type="dxa"/>
              <w:bottom w:w="100" w:type="dxa"/>
              <w:right w:w="100" w:type="dxa"/>
            </w:tcMar>
          </w:tcPr>
          <w:p w14:paraId="00BF084D"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3BAE1FD4" w14:textId="77777777" w:rsidR="002530E2" w:rsidRDefault="002530E2">
            <w:pPr>
              <w:spacing w:after="0" w:line="276" w:lineRule="auto"/>
            </w:pPr>
            <w:r>
              <w:t>The controversy occurred in Malaysia, where Nestle's Maggi noodles are widely consumed.</w:t>
            </w:r>
          </w:p>
          <w:p w14:paraId="2207E827" w14:textId="77777777" w:rsidR="002530E2" w:rsidRDefault="002530E2">
            <w:pPr>
              <w:spacing w:after="0" w:line="276" w:lineRule="auto"/>
            </w:pPr>
          </w:p>
        </w:tc>
      </w:tr>
      <w:tr w:rsidR="002530E2" w14:paraId="6AE56982" w14:textId="77777777">
        <w:tc>
          <w:tcPr>
            <w:tcW w:w="1905" w:type="dxa"/>
            <w:shd w:val="clear" w:color="auto" w:fill="auto"/>
            <w:tcMar>
              <w:top w:w="100" w:type="dxa"/>
              <w:left w:w="100" w:type="dxa"/>
              <w:bottom w:w="100" w:type="dxa"/>
              <w:right w:w="100" w:type="dxa"/>
            </w:tcMar>
          </w:tcPr>
          <w:p w14:paraId="59FB1BDA"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1168572F" w14:textId="77777777" w:rsidR="002530E2" w:rsidRDefault="002530E2">
            <w:pPr>
              <w:spacing w:after="0" w:line="276" w:lineRule="auto"/>
            </w:pPr>
            <w:r>
              <w:t>Muslim consumers in Malaysia were the primary group affected by this controversy. They were the ones who discovered the presence of haram ingredients in certain variants of Maggi noodles and subsequently initiated a boycott of the brand.</w:t>
            </w:r>
          </w:p>
        </w:tc>
      </w:tr>
      <w:tr w:rsidR="002530E2" w14:paraId="4456BE7D" w14:textId="77777777">
        <w:tc>
          <w:tcPr>
            <w:tcW w:w="1905" w:type="dxa"/>
            <w:shd w:val="clear" w:color="auto" w:fill="auto"/>
            <w:tcMar>
              <w:top w:w="100" w:type="dxa"/>
              <w:left w:w="100" w:type="dxa"/>
              <w:bottom w:w="100" w:type="dxa"/>
              <w:right w:w="100" w:type="dxa"/>
            </w:tcMar>
          </w:tcPr>
          <w:p w14:paraId="7E0D8C58"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68CE105D" w14:textId="77777777" w:rsidR="002530E2" w:rsidRDefault="002530E2">
            <w:pPr>
              <w:spacing w:after="0" w:line="276" w:lineRule="auto"/>
            </w:pPr>
            <w:r>
              <w:t>Nestle, the multinational food and beverage company, faced controversy in Malaysia. The company was accused of using non-halal ingredients or haram ingredients in its Maggi noodles, which led to the boycott and demands for an apology and compensation.</w:t>
            </w:r>
          </w:p>
        </w:tc>
      </w:tr>
      <w:tr w:rsidR="002530E2" w14:paraId="69A24419" w14:textId="77777777">
        <w:tc>
          <w:tcPr>
            <w:tcW w:w="1905" w:type="dxa"/>
            <w:shd w:val="clear" w:color="auto" w:fill="auto"/>
            <w:tcMar>
              <w:top w:w="100" w:type="dxa"/>
              <w:left w:w="100" w:type="dxa"/>
              <w:bottom w:w="100" w:type="dxa"/>
              <w:right w:w="100" w:type="dxa"/>
            </w:tcMar>
          </w:tcPr>
          <w:p w14:paraId="4ED6A12B"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1AF1CDB5" w14:textId="77777777" w:rsidR="002530E2" w:rsidRDefault="002530E2">
            <w:pPr>
              <w:spacing w:after="0" w:line="276" w:lineRule="auto"/>
            </w:pPr>
            <w:r>
              <w:t>Muslim consumers accused Nestle of using haram ingredients in certain variants of Maggi noodles, which violated their dietary restrictions. Haram ingredients refer to substances that are forbidden in Islamic dietary laws.</w:t>
            </w:r>
          </w:p>
          <w:p w14:paraId="496D5F7C" w14:textId="77777777" w:rsidR="002530E2" w:rsidRDefault="002530E2">
            <w:pPr>
              <w:spacing w:after="0" w:line="276" w:lineRule="auto"/>
            </w:pPr>
          </w:p>
          <w:p w14:paraId="03F503DF" w14:textId="77777777" w:rsidR="002530E2" w:rsidRDefault="002530E2">
            <w:pPr>
              <w:spacing w:after="0" w:line="276" w:lineRule="auto"/>
            </w:pPr>
            <w:r>
              <w:t>Muslim consumers initiated a boycott of Nestle's Maggi noodles in response to the controversy. They demanded an apology from the company for the violation of their dietary restrictions and compensation for the perceived harm caused.</w:t>
            </w:r>
          </w:p>
        </w:tc>
      </w:tr>
      <w:tr w:rsidR="002530E2" w14:paraId="154A0695" w14:textId="77777777">
        <w:tc>
          <w:tcPr>
            <w:tcW w:w="1905" w:type="dxa"/>
            <w:shd w:val="clear" w:color="auto" w:fill="auto"/>
            <w:tcMar>
              <w:top w:w="100" w:type="dxa"/>
              <w:left w:w="100" w:type="dxa"/>
              <w:bottom w:w="100" w:type="dxa"/>
              <w:right w:w="100" w:type="dxa"/>
            </w:tcMar>
          </w:tcPr>
          <w:p w14:paraId="111B54DE"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0937DB2" w14:textId="77777777" w:rsidR="002530E2" w:rsidRDefault="002530E2">
            <w:pPr>
              <w:spacing w:after="0" w:line="276" w:lineRule="auto"/>
            </w:pPr>
            <w:r>
              <w:t>The full impact of the controversy on Nestle's business in Malaysia has not been extensively documented. However, the incident prompted Nestle to take immediate action by withdrawing the affected products and improving its internal control processes to regain the trust of Muslim consumers.</w:t>
            </w:r>
          </w:p>
        </w:tc>
      </w:tr>
      <w:tr w:rsidR="002530E2" w14:paraId="6EDF2F92" w14:textId="77777777">
        <w:tc>
          <w:tcPr>
            <w:tcW w:w="1905" w:type="dxa"/>
            <w:shd w:val="clear" w:color="auto" w:fill="auto"/>
            <w:tcMar>
              <w:top w:w="100" w:type="dxa"/>
              <w:left w:w="100" w:type="dxa"/>
              <w:bottom w:w="100" w:type="dxa"/>
              <w:right w:w="100" w:type="dxa"/>
            </w:tcMar>
          </w:tcPr>
          <w:p w14:paraId="53EB51B4" w14:textId="77777777" w:rsidR="002530E2" w:rsidRDefault="002530E2">
            <w:pPr>
              <w:spacing w:after="0" w:line="276" w:lineRule="auto"/>
            </w:pPr>
            <w:r>
              <w:lastRenderedPageBreak/>
              <w:t xml:space="preserve">IRE 9: REASONS — WHY DID THE BLUNDER HAPPEN? </w:t>
            </w:r>
          </w:p>
        </w:tc>
        <w:tc>
          <w:tcPr>
            <w:tcW w:w="7125" w:type="dxa"/>
            <w:shd w:val="clear" w:color="auto" w:fill="auto"/>
            <w:tcMar>
              <w:top w:w="100" w:type="dxa"/>
              <w:left w:w="100" w:type="dxa"/>
              <w:bottom w:w="100" w:type="dxa"/>
              <w:right w:w="100" w:type="dxa"/>
            </w:tcMar>
          </w:tcPr>
          <w:p w14:paraId="05AA3C7D" w14:textId="77777777" w:rsidR="002530E2" w:rsidRDefault="002530E2">
            <w:pPr>
              <w:spacing w:after="0" w:line="276" w:lineRule="auto"/>
            </w:pPr>
            <w:r>
              <w:t>Muslim consumers felt that the use of haram ingredients in Maggi noodles violated their dietary restrictions as prescribed by Islamic dietary laws. They expected Nestle to ensure that their products adhered to halal standards.</w:t>
            </w:r>
          </w:p>
        </w:tc>
      </w:tr>
      <w:tr w:rsidR="002530E2" w14:paraId="21A34B4B" w14:textId="77777777">
        <w:tc>
          <w:tcPr>
            <w:tcW w:w="1905" w:type="dxa"/>
            <w:shd w:val="clear" w:color="auto" w:fill="auto"/>
            <w:tcMar>
              <w:top w:w="100" w:type="dxa"/>
              <w:left w:w="100" w:type="dxa"/>
              <w:bottom w:w="100" w:type="dxa"/>
              <w:right w:w="100" w:type="dxa"/>
            </w:tcMar>
          </w:tcPr>
          <w:p w14:paraId="0330DBAB"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0467EAB1" w14:textId="77777777" w:rsidR="002530E2" w:rsidRDefault="002530E2">
            <w:pPr>
              <w:spacing w:after="0" w:line="276" w:lineRule="auto"/>
            </w:pPr>
            <w:r>
              <w:t>Nestle Malaysia responded to the controversy by issuing an apology and promptly withdrawing the affected Maggi noodle variants from the market. The company pledged to improve its internal control processes and ensure that all its products comply with halal standards.</w:t>
            </w:r>
          </w:p>
        </w:tc>
      </w:tr>
      <w:tr w:rsidR="002530E2" w14:paraId="797343A3" w14:textId="77777777">
        <w:tc>
          <w:tcPr>
            <w:tcW w:w="1905" w:type="dxa"/>
            <w:shd w:val="clear" w:color="auto" w:fill="auto"/>
            <w:tcMar>
              <w:top w:w="100" w:type="dxa"/>
              <w:left w:w="100" w:type="dxa"/>
              <w:bottom w:w="100" w:type="dxa"/>
              <w:right w:w="100" w:type="dxa"/>
            </w:tcMar>
          </w:tcPr>
          <w:p w14:paraId="108C2F31"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6CFB22CF" w14:textId="77777777" w:rsidR="002530E2" w:rsidRDefault="002530E2">
            <w:pPr>
              <w:spacing w:after="0" w:line="276" w:lineRule="auto"/>
            </w:pPr>
            <w:r>
              <w:t>This incident highlighted the importance of strict adherence to halal standards, particularly in food products targeted at Muslim consumers. It emphasised the need for companies like Nestle to maintain transparency, conduct thorough ingredient checks, and ensure effective quality control processes to prevent such controversies.</w:t>
            </w:r>
          </w:p>
        </w:tc>
      </w:tr>
      <w:tr w:rsidR="002530E2" w14:paraId="6D55FC31" w14:textId="77777777">
        <w:tc>
          <w:tcPr>
            <w:tcW w:w="1905" w:type="dxa"/>
            <w:shd w:val="clear" w:color="auto" w:fill="auto"/>
            <w:tcMar>
              <w:top w:w="100" w:type="dxa"/>
              <w:left w:w="100" w:type="dxa"/>
              <w:bottom w:w="100" w:type="dxa"/>
              <w:right w:w="100" w:type="dxa"/>
            </w:tcMar>
          </w:tcPr>
          <w:p w14:paraId="55F6C41E"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76CE8F22" w14:textId="77777777" w:rsidR="002530E2" w:rsidRDefault="002530E2">
            <w:pPr>
              <w:spacing w:after="0" w:line="276" w:lineRule="auto"/>
            </w:pPr>
            <w:r>
              <w:t>In 2015, Nestle faced controversy in Malaysia after it was discovered that certain variants of its Maggi noodles contained haram ingredients. Muslim consumers boycotted the brand, demanding an apology and compensation for the violation of their dietary restrictions. Nestle Malaysia responded by issuing an apology, withdrawing the affected products, and improving its internal control processes.</w:t>
            </w:r>
          </w:p>
        </w:tc>
      </w:tr>
    </w:tbl>
    <w:p w14:paraId="16B8D2EC" w14:textId="77777777" w:rsidR="002530E2" w:rsidRDefault="002530E2"/>
    <w:p w14:paraId="4B806999" w14:textId="77777777" w:rsidR="002530E2" w:rsidRDefault="002530E2">
      <w:pPr>
        <w:pStyle w:val="Heading2"/>
      </w:pPr>
      <w:bookmarkStart w:id="432" w:name="_w2x59rcleafj" w:colFirst="0" w:colLast="0"/>
      <w:bookmarkEnd w:id="432"/>
      <w:r>
        <w:t>IR 015 (2015: Apple,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45AF5A96" w14:textId="77777777">
        <w:tc>
          <w:tcPr>
            <w:tcW w:w="1905" w:type="dxa"/>
            <w:shd w:val="clear" w:color="auto" w:fill="auto"/>
            <w:tcMar>
              <w:top w:w="100" w:type="dxa"/>
              <w:left w:w="100" w:type="dxa"/>
              <w:bottom w:w="100" w:type="dxa"/>
              <w:right w:w="100" w:type="dxa"/>
            </w:tcMar>
          </w:tcPr>
          <w:p w14:paraId="185FDF7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310C7348" w14:textId="77777777" w:rsidR="002530E2" w:rsidRDefault="002530E2">
            <w:pPr>
              <w:spacing w:after="0" w:line="276" w:lineRule="auto"/>
            </w:pPr>
            <w:r>
              <w:t>Incident Report Title: “Removal of the Quran Explorer App from Apple's App Store”</w:t>
            </w:r>
          </w:p>
        </w:tc>
      </w:tr>
      <w:tr w:rsidR="002530E2" w14:paraId="1015EE54" w14:textId="77777777">
        <w:tc>
          <w:tcPr>
            <w:tcW w:w="1905" w:type="dxa"/>
            <w:shd w:val="clear" w:color="auto" w:fill="auto"/>
            <w:tcMar>
              <w:top w:w="100" w:type="dxa"/>
              <w:left w:w="100" w:type="dxa"/>
              <w:bottom w:w="100" w:type="dxa"/>
              <w:right w:w="100" w:type="dxa"/>
            </w:tcMar>
          </w:tcPr>
          <w:p w14:paraId="733306A1"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7923C0A" w14:textId="77777777" w:rsidR="002530E2" w:rsidRDefault="002530E2">
            <w:pPr>
              <w:spacing w:after="0" w:line="276" w:lineRule="auto"/>
            </w:pPr>
            <w:r>
              <w:t>This case examines the backlash faced by Apple in 2015 when the Quran Explorer app was removed from its App Store. The removal of the app sparked criticism from Muslim consumers, who believed it was unfairly targeted and called for Apple to reinstate it.</w:t>
            </w:r>
          </w:p>
        </w:tc>
      </w:tr>
      <w:tr w:rsidR="002530E2" w14:paraId="0736E9BB" w14:textId="77777777">
        <w:tc>
          <w:tcPr>
            <w:tcW w:w="1905" w:type="dxa"/>
            <w:shd w:val="clear" w:color="auto" w:fill="auto"/>
            <w:tcMar>
              <w:top w:w="100" w:type="dxa"/>
              <w:left w:w="100" w:type="dxa"/>
              <w:bottom w:w="100" w:type="dxa"/>
              <w:right w:w="100" w:type="dxa"/>
            </w:tcMar>
          </w:tcPr>
          <w:p w14:paraId="3464C3D0"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8B8DE5A" w14:textId="77777777" w:rsidR="002530E2" w:rsidRDefault="002530E2">
            <w:pPr>
              <w:spacing w:after="0" w:line="276" w:lineRule="auto"/>
            </w:pPr>
            <w:r>
              <w:t xml:space="preserve">In 2015, Apple made the decision to remove the Quran Explorer app from its App Store. The app, which provided users with access to the Quran and related resources, was widely used by Muslim consumers for religious purposes. The removal of the app caused an outcry among the Muslim </w:t>
            </w:r>
            <w:r>
              <w:lastRenderedPageBreak/>
              <w:t>community, which felt that their access to important religious content was being hindered.</w:t>
            </w:r>
          </w:p>
        </w:tc>
      </w:tr>
      <w:tr w:rsidR="002530E2" w14:paraId="44A38F62" w14:textId="77777777">
        <w:tc>
          <w:tcPr>
            <w:tcW w:w="1905" w:type="dxa"/>
            <w:shd w:val="clear" w:color="auto" w:fill="auto"/>
            <w:tcMar>
              <w:top w:w="100" w:type="dxa"/>
              <w:left w:w="100" w:type="dxa"/>
              <w:bottom w:w="100" w:type="dxa"/>
              <w:right w:w="100" w:type="dxa"/>
            </w:tcMar>
          </w:tcPr>
          <w:p w14:paraId="60B165E7"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109F26E3" w14:textId="77777777" w:rsidR="002530E2" w:rsidRDefault="002530E2">
            <w:pPr>
              <w:spacing w:after="0" w:line="276" w:lineRule="auto"/>
            </w:pPr>
            <w:r>
              <w:t>The incident occurred in 2015, when Apple decided to remove the Quran Explorer app from its App Store.</w:t>
            </w:r>
          </w:p>
        </w:tc>
      </w:tr>
      <w:tr w:rsidR="002530E2" w14:paraId="3F359ADB" w14:textId="77777777">
        <w:tc>
          <w:tcPr>
            <w:tcW w:w="1905" w:type="dxa"/>
            <w:shd w:val="clear" w:color="auto" w:fill="auto"/>
            <w:tcMar>
              <w:top w:w="100" w:type="dxa"/>
              <w:left w:w="100" w:type="dxa"/>
              <w:bottom w:w="100" w:type="dxa"/>
              <w:right w:w="100" w:type="dxa"/>
            </w:tcMar>
          </w:tcPr>
          <w:p w14:paraId="51C06FED"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5E92C252" w14:textId="77777777" w:rsidR="002530E2" w:rsidRDefault="002530E2">
            <w:pPr>
              <w:spacing w:after="0" w:line="276" w:lineRule="auto"/>
            </w:pPr>
            <w:r>
              <w:t>The removal of the Quran Explorer app affected Muslim consumers globally who relied on the app for access to the Quran and its resources.</w:t>
            </w:r>
          </w:p>
        </w:tc>
      </w:tr>
      <w:tr w:rsidR="002530E2" w14:paraId="730A803D" w14:textId="77777777">
        <w:tc>
          <w:tcPr>
            <w:tcW w:w="1905" w:type="dxa"/>
            <w:shd w:val="clear" w:color="auto" w:fill="auto"/>
            <w:tcMar>
              <w:top w:w="100" w:type="dxa"/>
              <w:left w:w="100" w:type="dxa"/>
              <w:bottom w:w="100" w:type="dxa"/>
              <w:right w:w="100" w:type="dxa"/>
            </w:tcMar>
          </w:tcPr>
          <w:p w14:paraId="06829FF3"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C3EDF54" w14:textId="77777777" w:rsidR="002530E2" w:rsidRDefault="002530E2">
            <w:pPr>
              <w:spacing w:after="0" w:line="276" w:lineRule="auto"/>
            </w:pPr>
            <w:r>
              <w:t>Muslim consumers who used the Quran Explorer app were the primary victims of this incident. They relied on the app for reading and studying the Quran, and the removal of the app hindered their access to important religious content.</w:t>
            </w:r>
          </w:p>
        </w:tc>
      </w:tr>
      <w:tr w:rsidR="002530E2" w14:paraId="4ECD3712" w14:textId="77777777">
        <w:tc>
          <w:tcPr>
            <w:tcW w:w="1905" w:type="dxa"/>
            <w:shd w:val="clear" w:color="auto" w:fill="auto"/>
            <w:tcMar>
              <w:top w:w="100" w:type="dxa"/>
              <w:left w:w="100" w:type="dxa"/>
              <w:bottom w:w="100" w:type="dxa"/>
              <w:right w:w="100" w:type="dxa"/>
            </w:tcMar>
          </w:tcPr>
          <w:p w14:paraId="74E6A57C"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F6773AB" w14:textId="77777777" w:rsidR="002530E2" w:rsidRDefault="002530E2">
            <w:pPr>
              <w:spacing w:after="0" w:line="276" w:lineRule="auto"/>
            </w:pPr>
            <w:r>
              <w:t>Apple, the technology company behind the App Store, faced backlash from Muslim consumers due to the removal of the Quran Explorer app. They held Apple accountable for what they perceived as unfair targeting and restrictions on access to religious resources.</w:t>
            </w:r>
          </w:p>
        </w:tc>
      </w:tr>
      <w:tr w:rsidR="002530E2" w14:paraId="1A5855A4" w14:textId="77777777">
        <w:tc>
          <w:tcPr>
            <w:tcW w:w="1905" w:type="dxa"/>
            <w:shd w:val="clear" w:color="auto" w:fill="auto"/>
            <w:tcMar>
              <w:top w:w="100" w:type="dxa"/>
              <w:left w:w="100" w:type="dxa"/>
              <w:bottom w:w="100" w:type="dxa"/>
              <w:right w:w="100" w:type="dxa"/>
            </w:tcMar>
          </w:tcPr>
          <w:p w14:paraId="31C6801C"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272D9275" w14:textId="77777777" w:rsidR="002530E2" w:rsidRDefault="002530E2">
            <w:pPr>
              <w:spacing w:after="0" w:line="276" w:lineRule="auto"/>
            </w:pPr>
            <w:r>
              <w:t>The removal of the Quran Explorer app had significant consequences for Muslim consumers. They experienced a loss of access to a trusted and widely used platform for reading and studying the Quran. This hindered their ability to engage with their religious practices and impacted their convenience and ease of accessing important religious content.</w:t>
            </w:r>
          </w:p>
        </w:tc>
      </w:tr>
      <w:tr w:rsidR="002530E2" w14:paraId="73C12BE1" w14:textId="77777777">
        <w:tc>
          <w:tcPr>
            <w:tcW w:w="1905" w:type="dxa"/>
            <w:shd w:val="clear" w:color="auto" w:fill="auto"/>
            <w:tcMar>
              <w:top w:w="100" w:type="dxa"/>
              <w:left w:w="100" w:type="dxa"/>
              <w:bottom w:w="100" w:type="dxa"/>
              <w:right w:w="100" w:type="dxa"/>
            </w:tcMar>
          </w:tcPr>
          <w:p w14:paraId="49DA44D3"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58F4118" w14:textId="77777777" w:rsidR="002530E2" w:rsidRDefault="002530E2">
            <w:pPr>
              <w:spacing w:after="0" w:line="276" w:lineRule="auto"/>
            </w:pPr>
            <w:r>
              <w:t>The incident had implications for Apple's reputation and public image, particularly among Muslim consumers. The company faced criticism for what was perceived as a lack of understanding or consideration of the importance of the Quran Explorer app to the Muslim community. The removal of the app raised concerns about potential biases and restrictions on religious content on the App Store.</w:t>
            </w:r>
          </w:p>
        </w:tc>
      </w:tr>
      <w:tr w:rsidR="002530E2" w14:paraId="52A5AE0A" w14:textId="77777777">
        <w:tc>
          <w:tcPr>
            <w:tcW w:w="1905" w:type="dxa"/>
            <w:shd w:val="clear" w:color="auto" w:fill="auto"/>
            <w:tcMar>
              <w:top w:w="100" w:type="dxa"/>
              <w:left w:w="100" w:type="dxa"/>
              <w:bottom w:w="100" w:type="dxa"/>
              <w:right w:w="100" w:type="dxa"/>
            </w:tcMar>
          </w:tcPr>
          <w:p w14:paraId="54BD41BC"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7B8FB1D2" w14:textId="77777777" w:rsidR="002530E2" w:rsidRDefault="002530E2">
            <w:pPr>
              <w:spacing w:after="0" w:line="276" w:lineRule="auto"/>
            </w:pPr>
            <w:r>
              <w:t>The cross-cultural blunder occurred as a result of Apple's decision to remove the Quran Explorer app without adequately considering its significance to the Muslim community. The removal of an app that played a crucial role in religious practices without a clear and compelling reason led to backlash and accusations of unfair targeting.</w:t>
            </w:r>
          </w:p>
        </w:tc>
      </w:tr>
      <w:tr w:rsidR="002530E2" w14:paraId="78CD4B60" w14:textId="77777777">
        <w:tc>
          <w:tcPr>
            <w:tcW w:w="1905" w:type="dxa"/>
            <w:shd w:val="clear" w:color="auto" w:fill="auto"/>
            <w:tcMar>
              <w:top w:w="100" w:type="dxa"/>
              <w:left w:w="100" w:type="dxa"/>
              <w:bottom w:w="100" w:type="dxa"/>
              <w:right w:w="100" w:type="dxa"/>
            </w:tcMar>
          </w:tcPr>
          <w:p w14:paraId="39128D13" w14:textId="77777777" w:rsidR="002530E2" w:rsidRDefault="002530E2">
            <w:pPr>
              <w:spacing w:after="0" w:line="276" w:lineRule="auto"/>
            </w:pPr>
            <w:r>
              <w:t xml:space="preserve">IRE 10: DAMAGE CONTROL — HOW DID THE MNC </w:t>
            </w:r>
            <w:r>
              <w:lastRenderedPageBreak/>
              <w:t>ADDRESS THE ISSUES?</w:t>
            </w:r>
          </w:p>
        </w:tc>
        <w:tc>
          <w:tcPr>
            <w:tcW w:w="7125" w:type="dxa"/>
            <w:shd w:val="clear" w:color="auto" w:fill="auto"/>
            <w:tcMar>
              <w:top w:w="100" w:type="dxa"/>
              <w:left w:w="100" w:type="dxa"/>
              <w:bottom w:w="100" w:type="dxa"/>
              <w:right w:w="100" w:type="dxa"/>
            </w:tcMar>
          </w:tcPr>
          <w:p w14:paraId="17BAEAC5" w14:textId="77777777" w:rsidR="002530E2" w:rsidRDefault="002530E2">
            <w:pPr>
              <w:spacing w:after="0" w:line="276" w:lineRule="auto"/>
            </w:pPr>
            <w:r>
              <w:lastRenderedPageBreak/>
              <w:t xml:space="preserve">In response to the backlash, Apple engaged in dialogue with Muslim consumers and religious organisations to better understand the concerns and implications of the app's removal. The company took steps to reinstate the </w:t>
            </w:r>
            <w:r>
              <w:lastRenderedPageBreak/>
              <w:t>Quran Explorer app and reassessed its policies and procedures regarding religious content on the App Store.</w:t>
            </w:r>
          </w:p>
        </w:tc>
      </w:tr>
      <w:tr w:rsidR="002530E2" w14:paraId="6C8D15AE" w14:textId="77777777">
        <w:tc>
          <w:tcPr>
            <w:tcW w:w="1905" w:type="dxa"/>
            <w:shd w:val="clear" w:color="auto" w:fill="auto"/>
            <w:tcMar>
              <w:top w:w="100" w:type="dxa"/>
              <w:left w:w="100" w:type="dxa"/>
              <w:bottom w:w="100" w:type="dxa"/>
              <w:right w:w="100" w:type="dxa"/>
            </w:tcMar>
          </w:tcPr>
          <w:p w14:paraId="76D18A79" w14:textId="77777777" w:rsidR="002530E2" w:rsidRDefault="002530E2">
            <w:pPr>
              <w:spacing w:after="0" w:line="276" w:lineRule="auto"/>
            </w:pPr>
            <w:r>
              <w:lastRenderedPageBreak/>
              <w:t>IRE 11: FUTURE PREVENTION STRATEGIES — WHAT ARE THE LESSONS LEARNED?</w:t>
            </w:r>
          </w:p>
        </w:tc>
        <w:tc>
          <w:tcPr>
            <w:tcW w:w="7125" w:type="dxa"/>
            <w:shd w:val="clear" w:color="auto" w:fill="auto"/>
            <w:tcMar>
              <w:top w:w="100" w:type="dxa"/>
              <w:left w:w="100" w:type="dxa"/>
              <w:bottom w:w="100" w:type="dxa"/>
              <w:right w:w="100" w:type="dxa"/>
            </w:tcMar>
          </w:tcPr>
          <w:p w14:paraId="5FBA33AC" w14:textId="77777777" w:rsidR="002530E2" w:rsidRDefault="002530E2">
            <w:pPr>
              <w:spacing w:after="0" w:line="276" w:lineRule="auto"/>
            </w:pPr>
            <w:r>
              <w:t>To prevent similar incidents in the future, Apple should establish clearer guidelines and review processes for evaluating religious apps to avoid any perception of bias or unfair targeting. Engaging in open communication and seeking feedback from affected communities can help in understanding and addressing their specific needs and concerns.</w:t>
            </w:r>
          </w:p>
          <w:p w14:paraId="055D4719" w14:textId="77777777" w:rsidR="002530E2" w:rsidRDefault="002530E2">
            <w:pPr>
              <w:spacing w:after="0" w:line="276" w:lineRule="auto"/>
            </w:pPr>
          </w:p>
          <w:p w14:paraId="667D35FD" w14:textId="77777777" w:rsidR="002530E2" w:rsidRDefault="002530E2">
            <w:pPr>
              <w:spacing w:after="0" w:line="276" w:lineRule="auto"/>
            </w:pPr>
            <w:r>
              <w:t>In the long term, Apple can collaborate with religious organisations and experts to ensure better understanding and sensitivity towards religious content on its platforms. Regular engagement, training programmes, and cultural competency initiatives can further enhance Apple's ability to address the needs of diverse religious communities.</w:t>
            </w:r>
          </w:p>
        </w:tc>
      </w:tr>
      <w:tr w:rsidR="002530E2" w14:paraId="7443213F" w14:textId="77777777">
        <w:tc>
          <w:tcPr>
            <w:tcW w:w="1905" w:type="dxa"/>
            <w:shd w:val="clear" w:color="auto" w:fill="auto"/>
            <w:tcMar>
              <w:top w:w="100" w:type="dxa"/>
              <w:left w:w="100" w:type="dxa"/>
              <w:bottom w:w="100" w:type="dxa"/>
              <w:right w:w="100" w:type="dxa"/>
            </w:tcMar>
          </w:tcPr>
          <w:p w14:paraId="7B85AE31"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527882EA" w14:textId="77777777" w:rsidR="002530E2" w:rsidRDefault="002530E2">
            <w:pPr>
              <w:spacing w:after="0" w:line="276" w:lineRule="auto"/>
            </w:pPr>
            <w:r>
              <w:t>In 2015, Apple faced backlash from Muslim consumers following the removal of the Quran Explorer app from its App Store. The incident highlighted the importance of considering the significance of religious content and the potential impact of app removals on specific communities. Through dialogue and the reinstatement of the app, Apple aimed to address the concerns raised by Muslim consumers and improve its policies regarding religious content on the App Store.</w:t>
            </w:r>
          </w:p>
        </w:tc>
      </w:tr>
    </w:tbl>
    <w:p w14:paraId="4E5F70B6" w14:textId="77777777" w:rsidR="002530E2" w:rsidRDefault="002530E2">
      <w:pPr>
        <w:pStyle w:val="Heading2"/>
        <w:spacing w:after="0"/>
      </w:pPr>
      <w:bookmarkStart w:id="433" w:name="_sol16d1yaw95" w:colFirst="0" w:colLast="0"/>
      <w:bookmarkEnd w:id="433"/>
    </w:p>
    <w:p w14:paraId="3E73D5A7" w14:textId="77777777" w:rsidR="002530E2" w:rsidRDefault="002530E2">
      <w:pPr>
        <w:pStyle w:val="Heading2"/>
        <w:spacing w:before="0"/>
      </w:pPr>
      <w:bookmarkStart w:id="434" w:name="_sv8845hmcufz" w:colFirst="0" w:colLast="0"/>
      <w:bookmarkEnd w:id="434"/>
      <w:r>
        <w:t>IR 016 (2016: Apple,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67E82DE" w14:textId="77777777">
        <w:tc>
          <w:tcPr>
            <w:tcW w:w="1905" w:type="dxa"/>
            <w:shd w:val="clear" w:color="auto" w:fill="auto"/>
            <w:tcMar>
              <w:top w:w="100" w:type="dxa"/>
              <w:left w:w="100" w:type="dxa"/>
              <w:bottom w:w="100" w:type="dxa"/>
              <w:right w:w="100" w:type="dxa"/>
            </w:tcMar>
          </w:tcPr>
          <w:p w14:paraId="7CD831D8"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CFD24EE" w14:textId="77777777" w:rsidR="002530E2" w:rsidRDefault="002530E2">
            <w:pPr>
              <w:spacing w:after="0" w:line="276" w:lineRule="auto"/>
            </w:pPr>
            <w:r>
              <w:t>Incident Report Title: “Apple's Siri Controversy and Muslim Consumer Criticism”</w:t>
            </w:r>
          </w:p>
        </w:tc>
      </w:tr>
      <w:tr w:rsidR="002530E2" w14:paraId="31D7C31D" w14:textId="77777777">
        <w:tc>
          <w:tcPr>
            <w:tcW w:w="1905" w:type="dxa"/>
            <w:shd w:val="clear" w:color="auto" w:fill="auto"/>
            <w:tcMar>
              <w:top w:w="100" w:type="dxa"/>
              <w:left w:w="100" w:type="dxa"/>
              <w:bottom w:w="100" w:type="dxa"/>
              <w:right w:w="100" w:type="dxa"/>
            </w:tcMar>
          </w:tcPr>
          <w:p w14:paraId="1E6F78A2"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3573AD9A" w14:textId="77777777" w:rsidR="002530E2" w:rsidRDefault="002530E2">
            <w:pPr>
              <w:spacing w:after="0" w:line="276" w:lineRule="auto"/>
            </w:pPr>
            <w:r>
              <w:t>This case examines a cross-cultural blunder by Apple in 2016, which generated criticism from Muslim consumers. The report focuses on the issue surrounding Apple's virtual assistant, Siri, and its inability to provide accurate information or assistance related to Islam or mosques. Muslim consumers viewed this as discriminatory and called for Apple to enhance its services to better cater to their needs.</w:t>
            </w:r>
          </w:p>
        </w:tc>
      </w:tr>
      <w:tr w:rsidR="002530E2" w14:paraId="04C0CB98" w14:textId="77777777">
        <w:tc>
          <w:tcPr>
            <w:tcW w:w="1905" w:type="dxa"/>
            <w:shd w:val="clear" w:color="auto" w:fill="auto"/>
            <w:tcMar>
              <w:top w:w="100" w:type="dxa"/>
              <w:left w:w="100" w:type="dxa"/>
              <w:bottom w:w="100" w:type="dxa"/>
              <w:right w:w="100" w:type="dxa"/>
            </w:tcMar>
          </w:tcPr>
          <w:p w14:paraId="3D650507"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77EC10C" w14:textId="77777777" w:rsidR="002530E2" w:rsidRDefault="002530E2">
            <w:pPr>
              <w:spacing w:after="0" w:line="276" w:lineRule="auto"/>
            </w:pPr>
            <w:r>
              <w:t>In 2016, reports emerged that Apple's Siri virtual assistant was unable to answer questions, provide accurate information about Islam, or direct users to nearby mosques. This limitation caused frustration and disappointment among Muslim consumers who relied on Siri for various inquiries.</w:t>
            </w:r>
          </w:p>
        </w:tc>
      </w:tr>
      <w:tr w:rsidR="002530E2" w14:paraId="3EDCFA62" w14:textId="77777777">
        <w:tc>
          <w:tcPr>
            <w:tcW w:w="1905" w:type="dxa"/>
            <w:shd w:val="clear" w:color="auto" w:fill="auto"/>
            <w:tcMar>
              <w:top w:w="100" w:type="dxa"/>
              <w:left w:w="100" w:type="dxa"/>
              <w:bottom w:w="100" w:type="dxa"/>
              <w:right w:w="100" w:type="dxa"/>
            </w:tcMar>
          </w:tcPr>
          <w:p w14:paraId="734F3EB6"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4225CAAC" w14:textId="77777777" w:rsidR="002530E2" w:rsidRDefault="002530E2">
            <w:pPr>
              <w:spacing w:after="0" w:line="276" w:lineRule="auto"/>
            </w:pPr>
            <w:r>
              <w:t>The incident occurred in 2016, when it was widely reported that Siri failed to deliver satisfactory responses to queries regarding Islam or mosque locations.</w:t>
            </w:r>
          </w:p>
        </w:tc>
      </w:tr>
      <w:tr w:rsidR="002530E2" w14:paraId="2B1EE9BB" w14:textId="77777777">
        <w:tc>
          <w:tcPr>
            <w:tcW w:w="1905" w:type="dxa"/>
            <w:shd w:val="clear" w:color="auto" w:fill="auto"/>
            <w:tcMar>
              <w:top w:w="100" w:type="dxa"/>
              <w:left w:w="100" w:type="dxa"/>
              <w:bottom w:w="100" w:type="dxa"/>
              <w:right w:w="100" w:type="dxa"/>
            </w:tcMar>
          </w:tcPr>
          <w:p w14:paraId="3E7E4988"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0DD7CEA3" w14:textId="77777777" w:rsidR="002530E2" w:rsidRDefault="002530E2">
            <w:pPr>
              <w:spacing w:after="0" w:line="276" w:lineRule="auto"/>
            </w:pPr>
            <w:r>
              <w:t>The controversy surrounding Apple's Siri primarily affected Muslim consumers worldwide who used Siri as a virtual assistant on their Apple devices.</w:t>
            </w:r>
          </w:p>
        </w:tc>
      </w:tr>
      <w:tr w:rsidR="002530E2" w14:paraId="43D321FB" w14:textId="77777777">
        <w:tc>
          <w:tcPr>
            <w:tcW w:w="1905" w:type="dxa"/>
            <w:shd w:val="clear" w:color="auto" w:fill="auto"/>
            <w:tcMar>
              <w:top w:w="100" w:type="dxa"/>
              <w:left w:w="100" w:type="dxa"/>
              <w:bottom w:w="100" w:type="dxa"/>
              <w:right w:w="100" w:type="dxa"/>
            </w:tcMar>
          </w:tcPr>
          <w:p w14:paraId="5BF96C58"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ABE5BC4" w14:textId="77777777" w:rsidR="002530E2" w:rsidRDefault="002530E2">
            <w:pPr>
              <w:spacing w:after="0" w:line="276" w:lineRule="auto"/>
            </w:pPr>
            <w:r>
              <w:t>Muslim consumers were directly affected by this incident as they encountered difficulties when seeking information or assistance related to their faith through Apple's Siri. Many Muslims found the lack of accurate and helpful responses regarding Islam or mosque locations to be a form of discrimination or marginalisation.</w:t>
            </w:r>
          </w:p>
        </w:tc>
      </w:tr>
      <w:tr w:rsidR="002530E2" w14:paraId="133814D0" w14:textId="77777777">
        <w:tc>
          <w:tcPr>
            <w:tcW w:w="1905" w:type="dxa"/>
            <w:shd w:val="clear" w:color="auto" w:fill="auto"/>
            <w:tcMar>
              <w:top w:w="100" w:type="dxa"/>
              <w:left w:w="100" w:type="dxa"/>
              <w:bottom w:w="100" w:type="dxa"/>
              <w:right w:w="100" w:type="dxa"/>
            </w:tcMar>
          </w:tcPr>
          <w:p w14:paraId="15CB615E"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36631C0E" w14:textId="77777777" w:rsidR="002530E2" w:rsidRDefault="002530E2">
            <w:pPr>
              <w:spacing w:after="0" w:line="276" w:lineRule="auto"/>
            </w:pPr>
            <w:r>
              <w:t>Apple, a prominent technology company, faced criticism from Muslim consumers due to the limitations of its Siri virtual assistant in providing accurate information about Islam or directing users to nearby mosques. The company's failure to address this issue resulted in reputational damage and negative sentiment among Muslim consumers.</w:t>
            </w:r>
          </w:p>
        </w:tc>
      </w:tr>
      <w:tr w:rsidR="002530E2" w14:paraId="6A87B2DA" w14:textId="77777777">
        <w:tc>
          <w:tcPr>
            <w:tcW w:w="1905" w:type="dxa"/>
            <w:shd w:val="clear" w:color="auto" w:fill="auto"/>
            <w:tcMar>
              <w:top w:w="100" w:type="dxa"/>
              <w:left w:w="100" w:type="dxa"/>
              <w:bottom w:w="100" w:type="dxa"/>
              <w:right w:w="100" w:type="dxa"/>
            </w:tcMar>
          </w:tcPr>
          <w:p w14:paraId="69832D3A"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686AF6B7" w14:textId="77777777" w:rsidR="002530E2" w:rsidRDefault="002530E2">
            <w:pPr>
              <w:spacing w:after="0" w:line="276" w:lineRule="auto"/>
            </w:pPr>
            <w:r>
              <w:t>Muslim consumers who relied on Siri for information about Islam or mosque locations experienced frustration and perceived marginalisation. They felt that Apple's failure to provide accurate and helpful responses reflected a lack of consideration for their needs and contributed to feelings of exclusion (The Guardian, 2016).</w:t>
            </w:r>
          </w:p>
        </w:tc>
      </w:tr>
      <w:tr w:rsidR="002530E2" w14:paraId="2A9E489D" w14:textId="77777777">
        <w:tc>
          <w:tcPr>
            <w:tcW w:w="1905" w:type="dxa"/>
            <w:shd w:val="clear" w:color="auto" w:fill="auto"/>
            <w:tcMar>
              <w:top w:w="100" w:type="dxa"/>
              <w:left w:w="100" w:type="dxa"/>
              <w:bottom w:w="100" w:type="dxa"/>
              <w:right w:w="100" w:type="dxa"/>
            </w:tcMar>
          </w:tcPr>
          <w:p w14:paraId="72E5565E"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32F5A0B" w14:textId="77777777" w:rsidR="002530E2" w:rsidRDefault="002530E2">
            <w:pPr>
              <w:spacing w:after="0" w:line="276" w:lineRule="auto"/>
            </w:pPr>
            <w:r>
              <w:t>The controversy surrounding Siri's inability to answer queries related to Islam or mosques had implications for Apple's reputation among Muslim consumers. The company faced criticism for the perceived discrimination and insensitivity in its virtual assistant's functionality. This controversy highlighted the importance of addressing cultural and religious diversity in technology services to maintain a positive brand image and customer satisfaction.</w:t>
            </w:r>
          </w:p>
        </w:tc>
      </w:tr>
      <w:tr w:rsidR="002530E2" w14:paraId="4834A26C" w14:textId="77777777">
        <w:tc>
          <w:tcPr>
            <w:tcW w:w="1905" w:type="dxa"/>
            <w:shd w:val="clear" w:color="auto" w:fill="auto"/>
            <w:tcMar>
              <w:top w:w="100" w:type="dxa"/>
              <w:left w:w="100" w:type="dxa"/>
              <w:bottom w:w="100" w:type="dxa"/>
              <w:right w:w="100" w:type="dxa"/>
            </w:tcMar>
          </w:tcPr>
          <w:p w14:paraId="1554891A"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671C6AA8" w14:textId="77777777" w:rsidR="002530E2" w:rsidRDefault="002530E2">
            <w:pPr>
              <w:spacing w:after="0" w:line="276" w:lineRule="auto"/>
            </w:pPr>
            <w:r>
              <w:t>The limitations of Siri in addressing inquiries related to Islam or mosques can be attributed to the development and programming of the virtual assistant. It likely resulted from a lack of comprehensive inclusion of diverse cultural and religious knowledge in Siri's database and algorithms.</w:t>
            </w:r>
          </w:p>
        </w:tc>
      </w:tr>
      <w:tr w:rsidR="002530E2" w14:paraId="7295F519" w14:textId="77777777">
        <w:tc>
          <w:tcPr>
            <w:tcW w:w="1905" w:type="dxa"/>
            <w:shd w:val="clear" w:color="auto" w:fill="auto"/>
            <w:tcMar>
              <w:top w:w="100" w:type="dxa"/>
              <w:left w:w="100" w:type="dxa"/>
              <w:bottom w:w="100" w:type="dxa"/>
              <w:right w:w="100" w:type="dxa"/>
            </w:tcMar>
          </w:tcPr>
          <w:p w14:paraId="2647D896"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2D4CB3AE" w14:textId="77777777" w:rsidR="002530E2" w:rsidRDefault="002530E2">
            <w:pPr>
              <w:spacing w:after="0" w:line="276" w:lineRule="auto"/>
            </w:pPr>
            <w:r>
              <w:t>Following the criticism, Apple acknowledged the concerns raised by Muslim consumers and committed to improving Siri's functionality regarding Islam and mosque-related information. The company pledged to enhance Siri's capabilities through updates and incorporate a more comprehensive understanding of cultural and religious topics (Reuters, 2016).</w:t>
            </w:r>
          </w:p>
        </w:tc>
      </w:tr>
      <w:tr w:rsidR="002530E2" w14:paraId="2AA88AC5" w14:textId="77777777">
        <w:tc>
          <w:tcPr>
            <w:tcW w:w="1905" w:type="dxa"/>
            <w:shd w:val="clear" w:color="auto" w:fill="auto"/>
            <w:tcMar>
              <w:top w:w="100" w:type="dxa"/>
              <w:left w:w="100" w:type="dxa"/>
              <w:bottom w:w="100" w:type="dxa"/>
              <w:right w:w="100" w:type="dxa"/>
            </w:tcMar>
          </w:tcPr>
          <w:p w14:paraId="7DE8A695" w14:textId="77777777" w:rsidR="002530E2" w:rsidRDefault="002530E2">
            <w:pPr>
              <w:spacing w:after="0" w:line="276" w:lineRule="auto"/>
            </w:pPr>
            <w:r>
              <w:lastRenderedPageBreak/>
              <w:t>IRE 11: FUTURE PREVENTION STRATEGIES — WHAT ARE THE LESSONS LEARNED?</w:t>
            </w:r>
          </w:p>
        </w:tc>
        <w:tc>
          <w:tcPr>
            <w:tcW w:w="7125" w:type="dxa"/>
            <w:shd w:val="clear" w:color="auto" w:fill="auto"/>
            <w:tcMar>
              <w:top w:w="100" w:type="dxa"/>
              <w:left w:w="100" w:type="dxa"/>
              <w:bottom w:w="100" w:type="dxa"/>
              <w:right w:w="100" w:type="dxa"/>
            </w:tcMar>
          </w:tcPr>
          <w:p w14:paraId="614B8E8C" w14:textId="77777777" w:rsidR="002530E2" w:rsidRDefault="002530E2">
            <w:pPr>
              <w:spacing w:after="0" w:line="276" w:lineRule="auto"/>
            </w:pPr>
            <w:r>
              <w:t>To prevent similar incidents in the future, Apple should prioritise diversity and inclusion in its development processes. This includes incorporating comprehensive cultural and religious knowledge to ensure that virtual assistants like Siri can provide accurate and respectful responses to a wide range of user inquiries. Moving forward, Apple should establish mechanisms for user feedback and engagement to identify and address any shortcomings related to cultural or religious information within their virtual assistant services. Collaborating with relevant communities and experts can contribute to more inclusive and culturally sensitive virtual assistant functionalities.</w:t>
            </w:r>
          </w:p>
        </w:tc>
      </w:tr>
      <w:tr w:rsidR="002530E2" w14:paraId="17F23FE2" w14:textId="77777777">
        <w:tc>
          <w:tcPr>
            <w:tcW w:w="1905" w:type="dxa"/>
            <w:shd w:val="clear" w:color="auto" w:fill="auto"/>
            <w:tcMar>
              <w:top w:w="100" w:type="dxa"/>
              <w:left w:w="100" w:type="dxa"/>
              <w:bottom w:w="100" w:type="dxa"/>
              <w:right w:w="100" w:type="dxa"/>
            </w:tcMar>
          </w:tcPr>
          <w:p w14:paraId="1EE06F5A"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31C839F" w14:textId="77777777" w:rsidR="002530E2" w:rsidRDefault="002530E2">
            <w:pPr>
              <w:spacing w:after="0" w:line="276" w:lineRule="auto"/>
            </w:pPr>
            <w:r>
              <w:t>The controversy surrounding Apple's Siri and its limitations in providing accurate information about Islam or mosques highlighted the need for technology companies to prioritise diversity and inclusivity in their services. The incident led to criticism from Muslim consumers, who called for Apple to improve Siri's functionality and avoid discriminatory practices. Apple's response, acknowledging the concerns and committing to enhancement, aimed to address the issues raised and rebuild trust with its Muslim customers (BBC, 2016).</w:t>
            </w:r>
          </w:p>
        </w:tc>
      </w:tr>
    </w:tbl>
    <w:p w14:paraId="438981C4" w14:textId="77777777" w:rsidR="002530E2" w:rsidRDefault="002530E2"/>
    <w:p w14:paraId="0D440CAE" w14:textId="77777777" w:rsidR="002530E2" w:rsidRDefault="002530E2">
      <w:pPr>
        <w:pStyle w:val="Heading2"/>
      </w:pPr>
      <w:bookmarkStart w:id="435" w:name="_ml0zuvz2i9t7" w:colFirst="0" w:colLast="0"/>
      <w:bookmarkEnd w:id="435"/>
      <w:r>
        <w:t>IR 017 (2016: Airbnb,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5C881878" w14:textId="77777777">
        <w:tc>
          <w:tcPr>
            <w:tcW w:w="1905" w:type="dxa"/>
            <w:shd w:val="clear" w:color="auto" w:fill="auto"/>
            <w:tcMar>
              <w:top w:w="100" w:type="dxa"/>
              <w:left w:w="100" w:type="dxa"/>
              <w:bottom w:w="100" w:type="dxa"/>
              <w:right w:w="100" w:type="dxa"/>
            </w:tcMar>
          </w:tcPr>
          <w:p w14:paraId="06A725D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563462D" w14:textId="77777777" w:rsidR="002530E2" w:rsidRDefault="002530E2">
            <w:pPr>
              <w:spacing w:after="0" w:line="276" w:lineRule="auto"/>
            </w:pPr>
            <w:r>
              <w:t>Incident Report Title: “Discrimination on the Airbnb Platform”</w:t>
            </w:r>
          </w:p>
        </w:tc>
      </w:tr>
      <w:tr w:rsidR="002530E2" w14:paraId="67F74C16" w14:textId="77777777">
        <w:tc>
          <w:tcPr>
            <w:tcW w:w="1905" w:type="dxa"/>
            <w:shd w:val="clear" w:color="auto" w:fill="auto"/>
            <w:tcMar>
              <w:top w:w="100" w:type="dxa"/>
              <w:left w:w="100" w:type="dxa"/>
              <w:bottom w:w="100" w:type="dxa"/>
              <w:right w:w="100" w:type="dxa"/>
            </w:tcMar>
          </w:tcPr>
          <w:p w14:paraId="6C1F918D"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121FC5E3" w14:textId="77777777" w:rsidR="002530E2" w:rsidRDefault="002530E2">
            <w:pPr>
              <w:spacing w:after="0" w:line="276" w:lineRule="auto"/>
            </w:pPr>
            <w:r>
              <w:t>This case examines the criticism faced by Airbnb in 2016 when it was reported that some hosts on the platform were discriminating against guests with Muslim-sounding names. Many Muslim consumers expressed dissatisfaction with Airbnb's response to the issue and called for a boycott.</w:t>
            </w:r>
          </w:p>
        </w:tc>
      </w:tr>
      <w:tr w:rsidR="002530E2" w14:paraId="042618D4" w14:textId="77777777">
        <w:tc>
          <w:tcPr>
            <w:tcW w:w="1905" w:type="dxa"/>
            <w:shd w:val="clear" w:color="auto" w:fill="auto"/>
            <w:tcMar>
              <w:top w:w="100" w:type="dxa"/>
              <w:left w:w="100" w:type="dxa"/>
              <w:bottom w:w="100" w:type="dxa"/>
              <w:right w:w="100" w:type="dxa"/>
            </w:tcMar>
          </w:tcPr>
          <w:p w14:paraId="152ED1CB"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0331E81" w14:textId="77777777" w:rsidR="002530E2" w:rsidRDefault="002530E2">
            <w:pPr>
              <w:spacing w:after="0" w:line="276" w:lineRule="auto"/>
            </w:pPr>
            <w:r>
              <w:t>In 2016, reports emerged highlighting instances of discrimination on the Airbnb platform, specifically targeting guests with Muslim-sounding names. Muslim consumers encountered difficulties finding accommodations due to biassed behaviour from certain hosts. This revelation sparked widespread criticism and raised concerns about discrimination within the home-sharing platform.</w:t>
            </w:r>
          </w:p>
        </w:tc>
      </w:tr>
      <w:tr w:rsidR="002530E2" w14:paraId="60D97E44" w14:textId="77777777">
        <w:tc>
          <w:tcPr>
            <w:tcW w:w="1905" w:type="dxa"/>
            <w:shd w:val="clear" w:color="auto" w:fill="auto"/>
            <w:tcMar>
              <w:top w:w="100" w:type="dxa"/>
              <w:left w:w="100" w:type="dxa"/>
              <w:bottom w:w="100" w:type="dxa"/>
              <w:right w:w="100" w:type="dxa"/>
            </w:tcMar>
          </w:tcPr>
          <w:p w14:paraId="449327F3"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C707230" w14:textId="77777777" w:rsidR="002530E2" w:rsidRDefault="002530E2">
            <w:pPr>
              <w:spacing w:after="0" w:line="276" w:lineRule="auto"/>
            </w:pPr>
            <w:r>
              <w:t>The incident occurred in 2016, when reports surfaced regarding discrimination against guests with Muslim-sounding names on the Airbnb platform.</w:t>
            </w:r>
          </w:p>
        </w:tc>
      </w:tr>
      <w:tr w:rsidR="002530E2" w14:paraId="27569652" w14:textId="77777777">
        <w:tc>
          <w:tcPr>
            <w:tcW w:w="1905" w:type="dxa"/>
            <w:shd w:val="clear" w:color="auto" w:fill="auto"/>
            <w:tcMar>
              <w:top w:w="100" w:type="dxa"/>
              <w:left w:w="100" w:type="dxa"/>
              <w:bottom w:w="100" w:type="dxa"/>
              <w:right w:w="100" w:type="dxa"/>
            </w:tcMar>
          </w:tcPr>
          <w:p w14:paraId="12CDE6F3" w14:textId="77777777" w:rsidR="002530E2" w:rsidRDefault="002530E2">
            <w:pPr>
              <w:spacing w:after="0" w:line="276" w:lineRule="auto"/>
            </w:pPr>
            <w:r>
              <w:lastRenderedPageBreak/>
              <w:t>IRE 4: PLACE — WHERE DID THE BLUNDER TAKE PLACE?</w:t>
            </w:r>
          </w:p>
        </w:tc>
        <w:tc>
          <w:tcPr>
            <w:tcW w:w="7125" w:type="dxa"/>
            <w:shd w:val="clear" w:color="auto" w:fill="auto"/>
            <w:tcMar>
              <w:top w:w="100" w:type="dxa"/>
              <w:left w:w="100" w:type="dxa"/>
              <w:bottom w:w="100" w:type="dxa"/>
              <w:right w:w="100" w:type="dxa"/>
            </w:tcMar>
          </w:tcPr>
          <w:p w14:paraId="0021AF81" w14:textId="77777777" w:rsidR="002530E2" w:rsidRDefault="002530E2">
            <w:pPr>
              <w:spacing w:after="0" w:line="276" w:lineRule="auto"/>
            </w:pPr>
            <w:r>
              <w:t>The issue of discrimination was present on the Airbnb platform, affecting Muslim consumers seeking accommodation in various locations globally.</w:t>
            </w:r>
          </w:p>
        </w:tc>
      </w:tr>
      <w:tr w:rsidR="002530E2" w14:paraId="061E25E3" w14:textId="77777777">
        <w:tc>
          <w:tcPr>
            <w:tcW w:w="1905" w:type="dxa"/>
            <w:shd w:val="clear" w:color="auto" w:fill="auto"/>
            <w:tcMar>
              <w:top w:w="100" w:type="dxa"/>
              <w:left w:w="100" w:type="dxa"/>
              <w:bottom w:w="100" w:type="dxa"/>
              <w:right w:w="100" w:type="dxa"/>
            </w:tcMar>
          </w:tcPr>
          <w:p w14:paraId="3FD192F2"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65FF16E4" w14:textId="77777777" w:rsidR="002530E2" w:rsidRDefault="002530E2">
            <w:pPr>
              <w:spacing w:after="0" w:line="276" w:lineRule="auto"/>
            </w:pPr>
            <w:r>
              <w:t>Muslim consumers seeking accommodation on the Airbnb platform were the primary victims of this incident. They faced discriminatory practices and experienced difficulties finding suitable accommodations due to biassed behaviour from certain hosts.</w:t>
            </w:r>
          </w:p>
        </w:tc>
      </w:tr>
      <w:tr w:rsidR="002530E2" w14:paraId="2BE5203E" w14:textId="77777777">
        <w:tc>
          <w:tcPr>
            <w:tcW w:w="1905" w:type="dxa"/>
            <w:shd w:val="clear" w:color="auto" w:fill="auto"/>
            <w:tcMar>
              <w:top w:w="100" w:type="dxa"/>
              <w:left w:w="100" w:type="dxa"/>
              <w:bottom w:w="100" w:type="dxa"/>
              <w:right w:w="100" w:type="dxa"/>
            </w:tcMar>
          </w:tcPr>
          <w:p w14:paraId="4DA02F02"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15384CC0" w14:textId="77777777" w:rsidR="002530E2" w:rsidRDefault="002530E2">
            <w:pPr>
              <w:spacing w:after="0" w:line="276" w:lineRule="auto"/>
            </w:pPr>
            <w:r>
              <w:t>Airbnb, the home-sharing platform, faced criticism and backlash from Muslim consumers due to the discrimination exhibited by some hosts on their platform. The company was held accountable for not doing enough to address the issue and ensure fair treatment for all guests.</w:t>
            </w:r>
          </w:p>
        </w:tc>
      </w:tr>
      <w:tr w:rsidR="002530E2" w14:paraId="45DC038A" w14:textId="77777777">
        <w:tc>
          <w:tcPr>
            <w:tcW w:w="1905" w:type="dxa"/>
            <w:shd w:val="clear" w:color="auto" w:fill="auto"/>
            <w:tcMar>
              <w:top w:w="100" w:type="dxa"/>
              <w:left w:w="100" w:type="dxa"/>
              <w:bottom w:w="100" w:type="dxa"/>
              <w:right w:w="100" w:type="dxa"/>
            </w:tcMar>
          </w:tcPr>
          <w:p w14:paraId="1012B0BC"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3812D757" w14:textId="77777777" w:rsidR="002530E2" w:rsidRDefault="002530E2">
            <w:pPr>
              <w:spacing w:after="0" w:line="276" w:lineRule="auto"/>
            </w:pPr>
            <w:r>
              <w:t>Muslim consumers faced various consequences as a result of the discrimination on the Airbnb platform. They encountered challenges in finding suitable and welcoming accommodations, leading to feelings of exclusion, frustration, and a sense of being treated unfairly.</w:t>
            </w:r>
          </w:p>
        </w:tc>
      </w:tr>
      <w:tr w:rsidR="002530E2" w14:paraId="027D919E" w14:textId="77777777">
        <w:tc>
          <w:tcPr>
            <w:tcW w:w="1905" w:type="dxa"/>
            <w:shd w:val="clear" w:color="auto" w:fill="auto"/>
            <w:tcMar>
              <w:top w:w="100" w:type="dxa"/>
              <w:left w:w="100" w:type="dxa"/>
              <w:bottom w:w="100" w:type="dxa"/>
              <w:right w:w="100" w:type="dxa"/>
            </w:tcMar>
          </w:tcPr>
          <w:p w14:paraId="2480A44B"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762B9EF2" w14:textId="77777777" w:rsidR="002530E2" w:rsidRDefault="002530E2">
            <w:pPr>
              <w:spacing w:after="0" w:line="276" w:lineRule="auto"/>
            </w:pPr>
            <w:r>
              <w:t>The incident had significant consequences for Airbnb's reputation and public image. The platform received widespread criticism for not adequately addressing the issue of discrimination and for failing to provide an inclusive environment for all users. The negative publicity resulted in a loss of trust among Muslim consumers and damaged Airbnb's brand reputation.</w:t>
            </w:r>
          </w:p>
        </w:tc>
      </w:tr>
      <w:tr w:rsidR="002530E2" w14:paraId="77C8A2E2" w14:textId="77777777">
        <w:tc>
          <w:tcPr>
            <w:tcW w:w="1905" w:type="dxa"/>
            <w:shd w:val="clear" w:color="auto" w:fill="auto"/>
            <w:tcMar>
              <w:top w:w="100" w:type="dxa"/>
              <w:left w:w="100" w:type="dxa"/>
              <w:bottom w:w="100" w:type="dxa"/>
              <w:right w:w="100" w:type="dxa"/>
            </w:tcMar>
          </w:tcPr>
          <w:p w14:paraId="26481CDD"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3788022F" w14:textId="77777777" w:rsidR="002530E2" w:rsidRDefault="002530E2">
            <w:pPr>
              <w:spacing w:after="0" w:line="276" w:lineRule="auto"/>
            </w:pPr>
            <w:r>
              <w:t>The cross-cultural blunder occurred due to the biassed behaviour of certain hosts on the Airbnb platform, who discriminated against guests based on their Muslim-sounding names. This discrimination violated the principles of inclusivity and fairness that Airbnb aimed to uphold.</w:t>
            </w:r>
          </w:p>
        </w:tc>
      </w:tr>
      <w:tr w:rsidR="002530E2" w14:paraId="0AECA0CB" w14:textId="77777777">
        <w:tc>
          <w:tcPr>
            <w:tcW w:w="1905" w:type="dxa"/>
            <w:shd w:val="clear" w:color="auto" w:fill="auto"/>
            <w:tcMar>
              <w:top w:w="100" w:type="dxa"/>
              <w:left w:w="100" w:type="dxa"/>
              <w:bottom w:w="100" w:type="dxa"/>
              <w:right w:w="100" w:type="dxa"/>
            </w:tcMar>
          </w:tcPr>
          <w:p w14:paraId="671DA1D3"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6D600E1" w14:textId="77777777" w:rsidR="002530E2" w:rsidRDefault="002530E2">
            <w:pPr>
              <w:spacing w:after="0" w:line="276" w:lineRule="auto"/>
            </w:pPr>
            <w:r>
              <w:t>In response to the criticism, Airbnb took several steps to address the issue of discrimination. The company introduced stricter policies against discriminatory behaviour, implemented measures to detect and prevent discrimination, and established a dedicated team to handle reports of discrimination more effectively.</w:t>
            </w:r>
          </w:p>
        </w:tc>
      </w:tr>
      <w:tr w:rsidR="002530E2" w14:paraId="323827C4" w14:textId="77777777">
        <w:tc>
          <w:tcPr>
            <w:tcW w:w="1905" w:type="dxa"/>
            <w:shd w:val="clear" w:color="auto" w:fill="auto"/>
            <w:tcMar>
              <w:top w:w="100" w:type="dxa"/>
              <w:left w:w="100" w:type="dxa"/>
              <w:bottom w:w="100" w:type="dxa"/>
              <w:right w:w="100" w:type="dxa"/>
            </w:tcMar>
          </w:tcPr>
          <w:p w14:paraId="32E13256"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0454D5A0" w14:textId="77777777" w:rsidR="002530E2" w:rsidRDefault="002530E2">
            <w:pPr>
              <w:spacing w:after="0" w:line="276" w:lineRule="auto"/>
            </w:pPr>
            <w:r>
              <w:t>To prevent similar incidents in the future, Airbnb should continue to strengthen its anti-discrimination policies and provide clear guidelines to hosts regarding fair treatment of guests. Regular training and awareness programmes can be conducted to promote inclusivity and educate hosts about the consequences of discriminatory actions.</w:t>
            </w:r>
          </w:p>
          <w:p w14:paraId="4594206F" w14:textId="77777777" w:rsidR="002530E2" w:rsidRDefault="002530E2">
            <w:pPr>
              <w:spacing w:after="0" w:line="276" w:lineRule="auto"/>
            </w:pPr>
          </w:p>
          <w:p w14:paraId="5EAD1CD6" w14:textId="77777777" w:rsidR="002530E2" w:rsidRDefault="002530E2">
            <w:pPr>
              <w:spacing w:after="0" w:line="276" w:lineRule="auto"/>
            </w:pPr>
            <w:r>
              <w:lastRenderedPageBreak/>
              <w:t>In the long term, Airbnb can collaborate with community organisations, including Muslim advocacy groups, to improve cultural sensitivity and address any potential biases among hosts. Ongoing monitoring and evaluation of the platform's practices can help identify and address discriminatory patterns effectively.</w:t>
            </w:r>
          </w:p>
        </w:tc>
      </w:tr>
      <w:tr w:rsidR="002530E2" w14:paraId="57E4C54F" w14:textId="77777777">
        <w:tc>
          <w:tcPr>
            <w:tcW w:w="1905" w:type="dxa"/>
            <w:shd w:val="clear" w:color="auto" w:fill="auto"/>
            <w:tcMar>
              <w:top w:w="100" w:type="dxa"/>
              <w:left w:w="100" w:type="dxa"/>
              <w:bottom w:w="100" w:type="dxa"/>
              <w:right w:w="100" w:type="dxa"/>
            </w:tcMar>
          </w:tcPr>
          <w:p w14:paraId="2F5A64DE"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39DC6A3F" w14:textId="77777777" w:rsidR="002530E2" w:rsidRDefault="002530E2">
            <w:pPr>
              <w:spacing w:after="0" w:line="276" w:lineRule="auto"/>
            </w:pPr>
            <w:r>
              <w:t>In 2016, Airbnb faced criticism from Muslim consumers due to reports of discrimination by some hosts against guests with Muslim-sounding names. The incident highlighted the need for stronger anti-discrimination measures and ongoing efforts to foster an inclusive environment on the Airbnb platform. Airbnb took steps to address the issue and improve policies to prevent future incidents of discrimination.</w:t>
            </w:r>
          </w:p>
        </w:tc>
      </w:tr>
    </w:tbl>
    <w:p w14:paraId="7E723A0B" w14:textId="77777777" w:rsidR="002530E2" w:rsidRDefault="002530E2"/>
    <w:p w14:paraId="7F29A9BC" w14:textId="77777777" w:rsidR="002530E2" w:rsidRDefault="002530E2">
      <w:pPr>
        <w:pStyle w:val="Heading2"/>
      </w:pPr>
      <w:bookmarkStart w:id="436" w:name="_nz18c8b2ag45" w:colFirst="0" w:colLast="0"/>
      <w:bookmarkEnd w:id="436"/>
      <w:r>
        <w:t>IR 018 (2016: Unilever, Indonesia)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7FF5E930" w14:textId="77777777">
        <w:tc>
          <w:tcPr>
            <w:tcW w:w="1905" w:type="dxa"/>
            <w:shd w:val="clear" w:color="auto" w:fill="auto"/>
            <w:tcMar>
              <w:top w:w="100" w:type="dxa"/>
              <w:left w:w="100" w:type="dxa"/>
              <w:bottom w:w="100" w:type="dxa"/>
              <w:right w:w="100" w:type="dxa"/>
            </w:tcMar>
          </w:tcPr>
          <w:p w14:paraId="7C61874E"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490BED6" w14:textId="77777777" w:rsidR="002530E2" w:rsidRDefault="002530E2">
            <w:pPr>
              <w:spacing w:after="0" w:line="276" w:lineRule="auto"/>
            </w:pPr>
            <w:r>
              <w:t>Incident Report Title: “Unilever Soap Controversy in Indonesia”</w:t>
            </w:r>
          </w:p>
        </w:tc>
      </w:tr>
      <w:tr w:rsidR="002530E2" w14:paraId="2329048B" w14:textId="77777777">
        <w:tc>
          <w:tcPr>
            <w:tcW w:w="1905" w:type="dxa"/>
            <w:shd w:val="clear" w:color="auto" w:fill="auto"/>
            <w:tcMar>
              <w:top w:w="100" w:type="dxa"/>
              <w:left w:w="100" w:type="dxa"/>
              <w:bottom w:w="100" w:type="dxa"/>
              <w:right w:w="100" w:type="dxa"/>
            </w:tcMar>
          </w:tcPr>
          <w:p w14:paraId="17FFC14A"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9A6E842" w14:textId="77777777" w:rsidR="002530E2" w:rsidRDefault="002530E2">
            <w:pPr>
              <w:spacing w:after="0" w:line="276" w:lineRule="auto"/>
            </w:pPr>
            <w:r>
              <w:t>This case focuses on the controversy faced by Unilever in Indonesia in 2016 regarding the production of a soap that allegedly contained pig fat, which is haram (forbidden) in Islam. Muslim consumers boycotted the brand and demanded an apology and compensation for the violation of their religious beliefs.</w:t>
            </w:r>
          </w:p>
        </w:tc>
      </w:tr>
      <w:tr w:rsidR="002530E2" w14:paraId="71B74D3C" w14:textId="77777777">
        <w:tc>
          <w:tcPr>
            <w:tcW w:w="1905" w:type="dxa"/>
            <w:shd w:val="clear" w:color="auto" w:fill="auto"/>
            <w:tcMar>
              <w:top w:w="100" w:type="dxa"/>
              <w:left w:w="100" w:type="dxa"/>
              <w:bottom w:w="100" w:type="dxa"/>
              <w:right w:w="100" w:type="dxa"/>
            </w:tcMar>
          </w:tcPr>
          <w:p w14:paraId="77A016CB"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539762D4" w14:textId="77777777" w:rsidR="002530E2" w:rsidRDefault="002530E2">
            <w:pPr>
              <w:spacing w:after="0" w:line="276" w:lineRule="auto"/>
            </w:pPr>
            <w:r>
              <w:t>In 2016, Unilever faced controversy in Indonesia when allegations arose that one of its soap products contained pig fat, which is considered haram in Islam. This discovery led to outrage among Muslim consumers, who felt that their religious beliefs had been violated.</w:t>
            </w:r>
          </w:p>
        </w:tc>
      </w:tr>
      <w:tr w:rsidR="002530E2" w14:paraId="54C866C5" w14:textId="77777777">
        <w:tc>
          <w:tcPr>
            <w:tcW w:w="1905" w:type="dxa"/>
            <w:shd w:val="clear" w:color="auto" w:fill="auto"/>
            <w:tcMar>
              <w:top w:w="100" w:type="dxa"/>
              <w:left w:w="100" w:type="dxa"/>
              <w:bottom w:w="100" w:type="dxa"/>
              <w:right w:w="100" w:type="dxa"/>
            </w:tcMar>
          </w:tcPr>
          <w:p w14:paraId="201AD80E"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40DF623C" w14:textId="77777777" w:rsidR="002530E2" w:rsidRDefault="002530E2">
            <w:pPr>
              <w:spacing w:after="0" w:line="276" w:lineRule="auto"/>
            </w:pPr>
            <w:r>
              <w:t>The Unilever soap controversy occurred in 2016 when allegations emerged regarding the presence of pig fat in one of the company's soap products.</w:t>
            </w:r>
          </w:p>
        </w:tc>
      </w:tr>
      <w:tr w:rsidR="002530E2" w14:paraId="05FE5E63" w14:textId="77777777">
        <w:tc>
          <w:tcPr>
            <w:tcW w:w="1905" w:type="dxa"/>
            <w:shd w:val="clear" w:color="auto" w:fill="auto"/>
            <w:tcMar>
              <w:top w:w="100" w:type="dxa"/>
              <w:left w:w="100" w:type="dxa"/>
              <w:bottom w:w="100" w:type="dxa"/>
              <w:right w:w="100" w:type="dxa"/>
            </w:tcMar>
          </w:tcPr>
          <w:p w14:paraId="271B7EA4"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64D622B5" w14:textId="77777777" w:rsidR="002530E2" w:rsidRDefault="002530E2">
            <w:pPr>
              <w:spacing w:after="0" w:line="276" w:lineRule="auto"/>
            </w:pPr>
            <w:r>
              <w:t>The controversy took place in Indonesia, where Unilever operates and sells its products, including the implicated soap.</w:t>
            </w:r>
          </w:p>
        </w:tc>
      </w:tr>
      <w:tr w:rsidR="002530E2" w14:paraId="06A8BAC5" w14:textId="77777777">
        <w:tc>
          <w:tcPr>
            <w:tcW w:w="1905" w:type="dxa"/>
            <w:shd w:val="clear" w:color="auto" w:fill="auto"/>
            <w:tcMar>
              <w:top w:w="100" w:type="dxa"/>
              <w:left w:w="100" w:type="dxa"/>
              <w:bottom w:w="100" w:type="dxa"/>
              <w:right w:w="100" w:type="dxa"/>
            </w:tcMar>
          </w:tcPr>
          <w:p w14:paraId="0A77AD45" w14:textId="77777777" w:rsidR="002530E2" w:rsidRDefault="002530E2">
            <w:pPr>
              <w:spacing w:after="0" w:line="276" w:lineRule="auto"/>
            </w:pPr>
            <w:r>
              <w:t xml:space="preserve">IRE 5: VICTIM GROUP — WHO </w:t>
            </w:r>
            <w:r>
              <w:lastRenderedPageBreak/>
              <w:t>WAS FIRST AFFECTED?</w:t>
            </w:r>
          </w:p>
        </w:tc>
        <w:tc>
          <w:tcPr>
            <w:tcW w:w="7125" w:type="dxa"/>
            <w:shd w:val="clear" w:color="auto" w:fill="auto"/>
            <w:tcMar>
              <w:top w:w="100" w:type="dxa"/>
              <w:left w:w="100" w:type="dxa"/>
              <w:bottom w:w="100" w:type="dxa"/>
              <w:right w:w="100" w:type="dxa"/>
            </w:tcMar>
          </w:tcPr>
          <w:p w14:paraId="2C3EF779" w14:textId="77777777" w:rsidR="002530E2" w:rsidRDefault="002530E2">
            <w:pPr>
              <w:spacing w:after="0" w:line="276" w:lineRule="auto"/>
            </w:pPr>
            <w:r>
              <w:lastRenderedPageBreak/>
              <w:t>Muslim consumers in Indonesia were the primary group affected by this controversy. They were the ones who raised the allegations about the soap containing pig fat and subsequently initiated a boycott of Unilever products.</w:t>
            </w:r>
          </w:p>
        </w:tc>
      </w:tr>
      <w:tr w:rsidR="002530E2" w14:paraId="2F38C855" w14:textId="77777777">
        <w:tc>
          <w:tcPr>
            <w:tcW w:w="1905" w:type="dxa"/>
            <w:shd w:val="clear" w:color="auto" w:fill="auto"/>
            <w:tcMar>
              <w:top w:w="100" w:type="dxa"/>
              <w:left w:w="100" w:type="dxa"/>
              <w:bottom w:w="100" w:type="dxa"/>
              <w:right w:w="100" w:type="dxa"/>
            </w:tcMar>
          </w:tcPr>
          <w:p w14:paraId="1211DAEE"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2089B40" w14:textId="77777777" w:rsidR="002530E2" w:rsidRDefault="002530E2">
            <w:pPr>
              <w:spacing w:after="0" w:line="276" w:lineRule="auto"/>
            </w:pPr>
            <w:r>
              <w:t>Unilever, the multinational consumer goods company, faced controversy in Indonesia. The company was accused of producing a soap that allegedly contained pig fat, leading to the boycott and demands for an apology and compensation.</w:t>
            </w:r>
          </w:p>
        </w:tc>
      </w:tr>
      <w:tr w:rsidR="002530E2" w14:paraId="6A1A6A5A" w14:textId="77777777">
        <w:tc>
          <w:tcPr>
            <w:tcW w:w="1905" w:type="dxa"/>
            <w:shd w:val="clear" w:color="auto" w:fill="auto"/>
            <w:tcMar>
              <w:top w:w="100" w:type="dxa"/>
              <w:left w:w="100" w:type="dxa"/>
              <w:bottom w:w="100" w:type="dxa"/>
              <w:right w:w="100" w:type="dxa"/>
            </w:tcMar>
          </w:tcPr>
          <w:p w14:paraId="306A35CE"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59ED9E7" w14:textId="77777777" w:rsidR="002530E2" w:rsidRDefault="002530E2">
            <w:pPr>
              <w:spacing w:after="0" w:line="276" w:lineRule="auto"/>
            </w:pPr>
            <w:r>
              <w:t>In response to the allegations, Muslim consumers initiated a boycott of Unilever products. They demanded an apology from the company for the perceived violation of their religious beliefs and compensation for the emotional distress caused.</w:t>
            </w:r>
          </w:p>
        </w:tc>
      </w:tr>
      <w:tr w:rsidR="002530E2" w14:paraId="43DADF43" w14:textId="77777777">
        <w:tc>
          <w:tcPr>
            <w:tcW w:w="1905" w:type="dxa"/>
            <w:shd w:val="clear" w:color="auto" w:fill="auto"/>
            <w:tcMar>
              <w:top w:w="100" w:type="dxa"/>
              <w:left w:w="100" w:type="dxa"/>
              <w:bottom w:w="100" w:type="dxa"/>
              <w:right w:w="100" w:type="dxa"/>
            </w:tcMar>
          </w:tcPr>
          <w:p w14:paraId="126EED38"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448F2DBF" w14:textId="77777777" w:rsidR="002530E2" w:rsidRDefault="002530E2">
            <w:pPr>
              <w:spacing w:after="0" w:line="276" w:lineRule="auto"/>
            </w:pPr>
            <w:r>
              <w:t>The full impact of the controversy on Unilever's business in Indonesia has not been extensively documented. However, the incident prompted Unilever to assert the integrity of its products and provide assurance to consumers regarding compliance with religious requirements. The controversy also highlighted the need for clear communication and transparency in product labelling and ingredients.</w:t>
            </w:r>
          </w:p>
        </w:tc>
      </w:tr>
      <w:tr w:rsidR="002530E2" w14:paraId="3440A66C" w14:textId="77777777">
        <w:tc>
          <w:tcPr>
            <w:tcW w:w="1905" w:type="dxa"/>
            <w:shd w:val="clear" w:color="auto" w:fill="auto"/>
            <w:tcMar>
              <w:top w:w="100" w:type="dxa"/>
              <w:left w:w="100" w:type="dxa"/>
              <w:bottom w:w="100" w:type="dxa"/>
              <w:right w:w="100" w:type="dxa"/>
            </w:tcMar>
          </w:tcPr>
          <w:p w14:paraId="3EB3F63D"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8FA6764" w14:textId="77777777" w:rsidR="002530E2" w:rsidRDefault="002530E2">
            <w:pPr>
              <w:spacing w:after="0" w:line="276" w:lineRule="auto"/>
            </w:pPr>
            <w:r>
              <w:t>Muslim consumers alleged that one of Unilever's soap products contained pig fat, which is considered haram according to Islamic dietary restrictions. The allegations triggered the controversy and subsequent boycott.</w:t>
            </w:r>
          </w:p>
          <w:p w14:paraId="595D2A03" w14:textId="77777777" w:rsidR="002530E2" w:rsidRDefault="002530E2">
            <w:pPr>
              <w:spacing w:after="0" w:line="276" w:lineRule="auto"/>
            </w:pPr>
          </w:p>
          <w:p w14:paraId="6621A841" w14:textId="77777777" w:rsidR="002530E2" w:rsidRDefault="002530E2">
            <w:pPr>
              <w:spacing w:after="0" w:line="276" w:lineRule="auto"/>
            </w:pPr>
            <w:r>
              <w:t>Muslim consumers believed that the alleged presence of pig fat in Unilever's soap violated their religious beliefs, as consuming or using products derived from pigs is considered haram in Islam. They expected Unilever to ensure that its products aligned with their religious requirements.</w:t>
            </w:r>
          </w:p>
        </w:tc>
      </w:tr>
      <w:tr w:rsidR="002530E2" w14:paraId="67581BB9" w14:textId="77777777">
        <w:tc>
          <w:tcPr>
            <w:tcW w:w="1905" w:type="dxa"/>
            <w:shd w:val="clear" w:color="auto" w:fill="auto"/>
            <w:tcMar>
              <w:top w:w="100" w:type="dxa"/>
              <w:left w:w="100" w:type="dxa"/>
              <w:bottom w:w="100" w:type="dxa"/>
              <w:right w:w="100" w:type="dxa"/>
            </w:tcMar>
          </w:tcPr>
          <w:p w14:paraId="2F3D4AC9"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D6ADAC8" w14:textId="77777777" w:rsidR="002530E2" w:rsidRDefault="002530E2">
            <w:pPr>
              <w:spacing w:after="0" w:line="276" w:lineRule="auto"/>
            </w:pPr>
            <w:r>
              <w:t>Unilever Indonesia promptly responded to the controversy by issuing a public statement denying the allegations. The company asserted that the soap was manufactured using permissible ingredients and underwent strict quality control processes. Unilever Indonesia also cooperated with authorities for independent laboratory testing to validate their claims.</w:t>
            </w:r>
          </w:p>
        </w:tc>
      </w:tr>
      <w:tr w:rsidR="002530E2" w14:paraId="457EA8F0" w14:textId="77777777">
        <w:tc>
          <w:tcPr>
            <w:tcW w:w="1905" w:type="dxa"/>
            <w:shd w:val="clear" w:color="auto" w:fill="auto"/>
            <w:tcMar>
              <w:top w:w="100" w:type="dxa"/>
              <w:left w:w="100" w:type="dxa"/>
              <w:bottom w:w="100" w:type="dxa"/>
              <w:right w:w="100" w:type="dxa"/>
            </w:tcMar>
          </w:tcPr>
          <w:p w14:paraId="3A2C65B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44711B1" w14:textId="77777777" w:rsidR="002530E2" w:rsidRDefault="002530E2">
            <w:pPr>
              <w:spacing w:after="0" w:line="276" w:lineRule="auto"/>
            </w:pPr>
            <w:r>
              <w:t>This incident emphasised the importance of maintaining the trust and confidence of consumers, particularly when it comes to religious beliefs and dietary requirements. It highlighted the need for companies like Unilever to ensure thorough ingredient verification, transparent labelling, and effective communication to avoid controversies related to religious sensitivities.</w:t>
            </w:r>
          </w:p>
        </w:tc>
      </w:tr>
      <w:tr w:rsidR="002530E2" w14:paraId="5C2E5887" w14:textId="77777777">
        <w:tc>
          <w:tcPr>
            <w:tcW w:w="1905" w:type="dxa"/>
            <w:shd w:val="clear" w:color="auto" w:fill="auto"/>
            <w:tcMar>
              <w:top w:w="100" w:type="dxa"/>
              <w:left w:w="100" w:type="dxa"/>
              <w:bottom w:w="100" w:type="dxa"/>
              <w:right w:w="100" w:type="dxa"/>
            </w:tcMar>
          </w:tcPr>
          <w:p w14:paraId="2723DFC6"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264C6794" w14:textId="77777777" w:rsidR="002530E2" w:rsidRDefault="002530E2">
            <w:pPr>
              <w:spacing w:after="0" w:line="276" w:lineRule="auto"/>
            </w:pPr>
            <w:r>
              <w:t>In 2016, Unilever faced controversy in Indonesia after allegations arose that one of its soap products contained pig fat, which is haram in Islam. Muslim consumers boycotted the brand, demanding an apology and compensation for the perceived violation of their religious beliefs. Unilever Indonesia denied the allegations, asserted the integrity of its products, and cooperated with authorities for independent testing.</w:t>
            </w:r>
          </w:p>
        </w:tc>
      </w:tr>
    </w:tbl>
    <w:p w14:paraId="790722FC" w14:textId="77777777" w:rsidR="002530E2" w:rsidRDefault="002530E2"/>
    <w:p w14:paraId="21D605A0" w14:textId="77777777" w:rsidR="002530E2" w:rsidRDefault="002530E2">
      <w:pPr>
        <w:pStyle w:val="Heading2"/>
      </w:pPr>
      <w:bookmarkStart w:id="437" w:name="_6owpjt8lqcln" w:colFirst="0" w:colLast="0"/>
      <w:bookmarkEnd w:id="437"/>
      <w:r>
        <w:t>IR 019 (2016: KFC, Kuwait)</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42358F4" w14:textId="77777777">
        <w:tc>
          <w:tcPr>
            <w:tcW w:w="1905" w:type="dxa"/>
            <w:shd w:val="clear" w:color="auto" w:fill="auto"/>
            <w:tcMar>
              <w:top w:w="100" w:type="dxa"/>
              <w:left w:w="100" w:type="dxa"/>
              <w:bottom w:w="100" w:type="dxa"/>
              <w:right w:w="100" w:type="dxa"/>
            </w:tcMar>
          </w:tcPr>
          <w:p w14:paraId="2AA28A24"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389A57B4" w14:textId="77777777" w:rsidR="002530E2" w:rsidRDefault="002530E2">
            <w:pPr>
              <w:spacing w:after="0" w:line="276" w:lineRule="auto"/>
            </w:pPr>
            <w:r>
              <w:t>Incident Report Title: “I Ate the Bones" Ad Controversy in Kuwait during Ramadan”</w:t>
            </w:r>
          </w:p>
        </w:tc>
      </w:tr>
      <w:tr w:rsidR="002530E2" w14:paraId="5EF4812A" w14:textId="77777777">
        <w:tc>
          <w:tcPr>
            <w:tcW w:w="1905" w:type="dxa"/>
            <w:shd w:val="clear" w:color="auto" w:fill="auto"/>
            <w:tcMar>
              <w:top w:w="100" w:type="dxa"/>
              <w:left w:w="100" w:type="dxa"/>
              <w:bottom w:w="100" w:type="dxa"/>
              <w:right w:w="100" w:type="dxa"/>
            </w:tcMar>
          </w:tcPr>
          <w:p w14:paraId="2B1843D6"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CEF2F40" w14:textId="77777777" w:rsidR="002530E2" w:rsidRDefault="002530E2">
            <w:pPr>
              <w:spacing w:after="0" w:line="276" w:lineRule="auto"/>
            </w:pPr>
            <w:r>
              <w:t>This case focuses on the controversy faced by KFC in Kuwait in 2016 for using the slogan "I ate the bones" in a promotional advertisement during the holy month of Ramadan. Some Muslim consumers accused the company of disrespecting the religious significance of Ramadan and promoting unhealthy eating habits.</w:t>
            </w:r>
          </w:p>
        </w:tc>
      </w:tr>
      <w:tr w:rsidR="002530E2" w14:paraId="2A7A9025" w14:textId="77777777">
        <w:tc>
          <w:tcPr>
            <w:tcW w:w="1905" w:type="dxa"/>
            <w:shd w:val="clear" w:color="auto" w:fill="auto"/>
            <w:tcMar>
              <w:top w:w="100" w:type="dxa"/>
              <w:left w:w="100" w:type="dxa"/>
              <w:bottom w:w="100" w:type="dxa"/>
              <w:right w:w="100" w:type="dxa"/>
            </w:tcMar>
          </w:tcPr>
          <w:p w14:paraId="650C1D12"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CC41C33" w14:textId="77777777" w:rsidR="002530E2" w:rsidRDefault="002530E2">
            <w:pPr>
              <w:spacing w:after="0" w:line="276" w:lineRule="auto"/>
            </w:pPr>
            <w:r>
              <w:t>In 2016, KFC faced controversy in Kuwait for a promotional ad campaign that featured the slogan "I ate the bones." The advertisement aimed to promote KFC's boneless chicken products. However, some Muslim consumers found the timing and content of the campaign inappropriate during the holy month of Ramadan.</w:t>
            </w:r>
          </w:p>
        </w:tc>
      </w:tr>
      <w:tr w:rsidR="002530E2" w14:paraId="50D05878" w14:textId="77777777">
        <w:tc>
          <w:tcPr>
            <w:tcW w:w="1905" w:type="dxa"/>
            <w:shd w:val="clear" w:color="auto" w:fill="auto"/>
            <w:tcMar>
              <w:top w:w="100" w:type="dxa"/>
              <w:left w:w="100" w:type="dxa"/>
              <w:bottom w:w="100" w:type="dxa"/>
              <w:right w:w="100" w:type="dxa"/>
            </w:tcMar>
          </w:tcPr>
          <w:p w14:paraId="3AF89716"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6DC8F0F2" w14:textId="77777777" w:rsidR="002530E2" w:rsidRDefault="002530E2">
            <w:pPr>
              <w:spacing w:after="0" w:line="276" w:lineRule="auto"/>
            </w:pPr>
            <w:r>
              <w:t>The KFC "I Ate the Bones" ad controversy took place in 2016, specifically during the month of Ramadan, a significant period of fasting and religious observance for Muslims worldwide.</w:t>
            </w:r>
          </w:p>
        </w:tc>
      </w:tr>
      <w:tr w:rsidR="002530E2" w14:paraId="7D3E2925" w14:textId="77777777">
        <w:tc>
          <w:tcPr>
            <w:tcW w:w="1905" w:type="dxa"/>
            <w:shd w:val="clear" w:color="auto" w:fill="auto"/>
            <w:tcMar>
              <w:top w:w="100" w:type="dxa"/>
              <w:left w:w="100" w:type="dxa"/>
              <w:bottom w:w="100" w:type="dxa"/>
              <w:right w:w="100" w:type="dxa"/>
            </w:tcMar>
          </w:tcPr>
          <w:p w14:paraId="63DEC471"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7422FC83" w14:textId="77777777" w:rsidR="002530E2" w:rsidRDefault="002530E2">
            <w:pPr>
              <w:spacing w:after="0" w:line="276" w:lineRule="auto"/>
            </w:pPr>
            <w:r>
              <w:t>The controversy occurred in Kuwait, where KFC operates and where the promotional ad campaign with the slogan "I ate the bones" was launched.</w:t>
            </w:r>
          </w:p>
        </w:tc>
      </w:tr>
      <w:tr w:rsidR="002530E2" w14:paraId="404995C1" w14:textId="77777777">
        <w:tc>
          <w:tcPr>
            <w:tcW w:w="1905" w:type="dxa"/>
            <w:shd w:val="clear" w:color="auto" w:fill="auto"/>
            <w:tcMar>
              <w:top w:w="100" w:type="dxa"/>
              <w:left w:w="100" w:type="dxa"/>
              <w:bottom w:w="100" w:type="dxa"/>
              <w:right w:w="100" w:type="dxa"/>
            </w:tcMar>
          </w:tcPr>
          <w:p w14:paraId="54BD5E83"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FDF9AFB" w14:textId="77777777" w:rsidR="002530E2" w:rsidRDefault="002530E2">
            <w:pPr>
              <w:spacing w:after="0" w:line="276" w:lineRule="auto"/>
            </w:pPr>
            <w:r>
              <w:t>Muslim consumers in Kuwait were the primary group affected by this controversy. Some members of the Muslim community found the KFC ad campaign disrespectful to the religious observance of Ramadan and objected to the promotion of unhealthy eating habits during this sacred time.</w:t>
            </w:r>
          </w:p>
        </w:tc>
      </w:tr>
      <w:tr w:rsidR="002530E2" w14:paraId="7A9201C4" w14:textId="77777777">
        <w:tc>
          <w:tcPr>
            <w:tcW w:w="1905" w:type="dxa"/>
            <w:shd w:val="clear" w:color="auto" w:fill="auto"/>
            <w:tcMar>
              <w:top w:w="100" w:type="dxa"/>
              <w:left w:w="100" w:type="dxa"/>
              <w:bottom w:w="100" w:type="dxa"/>
              <w:right w:w="100" w:type="dxa"/>
            </w:tcMar>
          </w:tcPr>
          <w:p w14:paraId="6202EFA4"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25B06150" w14:textId="77777777" w:rsidR="002530E2" w:rsidRDefault="002530E2">
            <w:pPr>
              <w:spacing w:after="0" w:line="276" w:lineRule="auto"/>
            </w:pPr>
            <w:r>
              <w:t xml:space="preserve">KFC, the American fast food chain, was at the center of the controversy. The company was accused of insensitivity toward the religious significance of </w:t>
            </w:r>
            <w:r>
              <w:lastRenderedPageBreak/>
              <w:t>Ramadan and promoting unhealthy eating habits through their promotional campaign.</w:t>
            </w:r>
          </w:p>
        </w:tc>
      </w:tr>
      <w:tr w:rsidR="002530E2" w14:paraId="77D5460A" w14:textId="77777777">
        <w:tc>
          <w:tcPr>
            <w:tcW w:w="1905" w:type="dxa"/>
            <w:shd w:val="clear" w:color="auto" w:fill="auto"/>
            <w:tcMar>
              <w:top w:w="100" w:type="dxa"/>
              <w:left w:w="100" w:type="dxa"/>
              <w:bottom w:w="100" w:type="dxa"/>
              <w:right w:w="100" w:type="dxa"/>
            </w:tcMar>
          </w:tcPr>
          <w:p w14:paraId="4E5AB5E3" w14:textId="77777777" w:rsidR="002530E2" w:rsidRDefault="002530E2">
            <w:pPr>
              <w:spacing w:after="0" w:line="276" w:lineRule="auto"/>
            </w:pPr>
            <w:r>
              <w:lastRenderedPageBreak/>
              <w:t>IRE 7: VICTIMISATION — WHAT WERE THE CONSEQUENCES FOR MUSLIMS?</w:t>
            </w:r>
          </w:p>
        </w:tc>
        <w:tc>
          <w:tcPr>
            <w:tcW w:w="7125" w:type="dxa"/>
            <w:shd w:val="clear" w:color="auto" w:fill="auto"/>
            <w:tcMar>
              <w:top w:w="100" w:type="dxa"/>
              <w:left w:w="100" w:type="dxa"/>
              <w:bottom w:w="100" w:type="dxa"/>
              <w:right w:w="100" w:type="dxa"/>
            </w:tcMar>
          </w:tcPr>
          <w:p w14:paraId="09009EB5" w14:textId="77777777" w:rsidR="002530E2" w:rsidRDefault="002530E2">
            <w:pPr>
              <w:spacing w:after="0" w:line="276" w:lineRule="auto"/>
            </w:pPr>
            <w:r>
              <w:t>KFC launched a promotional ad campaign in Kuwait featuring the slogan "I ate the bones" to promote its boneless chicken products. Some Muslim consumers perceived this campaign as disrespectful to the holy month of Ramadan due to its timing and content, as Ramadan is a period of fasting and spiritual reflection for Muslims.</w:t>
            </w:r>
          </w:p>
        </w:tc>
      </w:tr>
      <w:tr w:rsidR="002530E2" w14:paraId="247E45D5" w14:textId="77777777">
        <w:tc>
          <w:tcPr>
            <w:tcW w:w="1905" w:type="dxa"/>
            <w:shd w:val="clear" w:color="auto" w:fill="auto"/>
            <w:tcMar>
              <w:top w:w="100" w:type="dxa"/>
              <w:left w:w="100" w:type="dxa"/>
              <w:bottom w:w="100" w:type="dxa"/>
              <w:right w:w="100" w:type="dxa"/>
            </w:tcMar>
          </w:tcPr>
          <w:p w14:paraId="4BECE7FE"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A8CC693" w14:textId="77777777" w:rsidR="002530E2" w:rsidRDefault="002530E2">
            <w:pPr>
              <w:spacing w:after="0" w:line="276" w:lineRule="auto"/>
            </w:pPr>
            <w:r>
              <w:t>The full impact of the controversy on KFC's business in Kuwait is not extensively documented. However, KFC's apology and the removal of the controversial slogan from its advertisements aimed to address the concerns of Muslim consumers and mitigate potential damage to its brand reputation.</w:t>
            </w:r>
          </w:p>
          <w:p w14:paraId="65AAE44B" w14:textId="77777777" w:rsidR="002530E2" w:rsidRDefault="002530E2">
            <w:pPr>
              <w:spacing w:after="0" w:line="276" w:lineRule="auto"/>
            </w:pPr>
          </w:p>
          <w:p w14:paraId="68050ADA" w14:textId="77777777" w:rsidR="002530E2" w:rsidRDefault="002530E2">
            <w:pPr>
              <w:spacing w:after="0" w:line="276" w:lineRule="auto"/>
            </w:pPr>
            <w:r>
              <w:t>Accusations against KFC included claims of disrespect toward the religious observance of Ramadan and the promotion of unhealthy eating habits during a time when Muslims are encouraged to focus on spiritual growth and self-discipline.</w:t>
            </w:r>
          </w:p>
        </w:tc>
      </w:tr>
      <w:tr w:rsidR="002530E2" w14:paraId="7F12CA1C" w14:textId="77777777">
        <w:tc>
          <w:tcPr>
            <w:tcW w:w="1905" w:type="dxa"/>
            <w:shd w:val="clear" w:color="auto" w:fill="auto"/>
            <w:tcMar>
              <w:top w:w="100" w:type="dxa"/>
              <w:left w:w="100" w:type="dxa"/>
              <w:bottom w:w="100" w:type="dxa"/>
              <w:right w:w="100" w:type="dxa"/>
            </w:tcMar>
          </w:tcPr>
          <w:p w14:paraId="1B49C0CA"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7775D900" w14:textId="77777777" w:rsidR="002530E2" w:rsidRDefault="002530E2">
            <w:pPr>
              <w:spacing w:after="0" w:line="276" w:lineRule="auto"/>
            </w:pPr>
            <w:r>
              <w:t>Muslim consumers who objected to the KFC ad campaign during Ramadan believed that it demonstrated a lack of sensitivity toward the religious significance of the month. They also saw the promotion of boneless chicken, known for its high-fat content, as contradictory to the values of self-control and health-consciousness emphasized during Ramadan.</w:t>
            </w:r>
          </w:p>
        </w:tc>
      </w:tr>
      <w:tr w:rsidR="002530E2" w14:paraId="3822F15E" w14:textId="77777777">
        <w:tc>
          <w:tcPr>
            <w:tcW w:w="1905" w:type="dxa"/>
            <w:shd w:val="clear" w:color="auto" w:fill="auto"/>
            <w:tcMar>
              <w:top w:w="100" w:type="dxa"/>
              <w:left w:w="100" w:type="dxa"/>
              <w:bottom w:w="100" w:type="dxa"/>
              <w:right w:w="100" w:type="dxa"/>
            </w:tcMar>
          </w:tcPr>
          <w:p w14:paraId="0EE090C8"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81EFED4" w14:textId="77777777" w:rsidR="002530E2" w:rsidRDefault="002530E2">
            <w:pPr>
              <w:spacing w:after="0" w:line="276" w:lineRule="auto"/>
            </w:pPr>
            <w:r>
              <w:t>KFC Kuwait responded to the controversy by issuing an apology and removing the "I ate the bones" slogan from its promotional materials. The company acknowledged the concerns raised by Muslim consumers and expressed its commitment to respecting local customs and religious sensitivities.</w:t>
            </w:r>
          </w:p>
        </w:tc>
      </w:tr>
      <w:tr w:rsidR="002530E2" w14:paraId="3CF01DBD" w14:textId="77777777">
        <w:tc>
          <w:tcPr>
            <w:tcW w:w="1905" w:type="dxa"/>
            <w:shd w:val="clear" w:color="auto" w:fill="auto"/>
            <w:tcMar>
              <w:top w:w="100" w:type="dxa"/>
              <w:left w:w="100" w:type="dxa"/>
              <w:bottom w:w="100" w:type="dxa"/>
              <w:right w:w="100" w:type="dxa"/>
            </w:tcMar>
          </w:tcPr>
          <w:p w14:paraId="2F9281A2"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2283FF91" w14:textId="77777777" w:rsidR="002530E2" w:rsidRDefault="002530E2">
            <w:pPr>
              <w:spacing w:after="0" w:line="276" w:lineRule="auto"/>
            </w:pPr>
            <w:r>
              <w:t>This incident highlighted the importance for multinational companies like KFC to be aware of and respect the religious and cultural sensitivities of their customers, particularly during significant religious observances. It underscored the need for careful consideration of promotional campaigns to avoid unintentional offence or the perception of disrespect.</w:t>
            </w:r>
          </w:p>
        </w:tc>
      </w:tr>
      <w:tr w:rsidR="002530E2" w14:paraId="357DAB6D" w14:textId="77777777">
        <w:tc>
          <w:tcPr>
            <w:tcW w:w="1905" w:type="dxa"/>
            <w:shd w:val="clear" w:color="auto" w:fill="auto"/>
            <w:tcMar>
              <w:top w:w="100" w:type="dxa"/>
              <w:left w:w="100" w:type="dxa"/>
              <w:bottom w:w="100" w:type="dxa"/>
              <w:right w:w="100" w:type="dxa"/>
            </w:tcMar>
          </w:tcPr>
          <w:p w14:paraId="62B1C11C"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584A4D20" w14:textId="77777777" w:rsidR="002530E2" w:rsidRDefault="002530E2">
            <w:pPr>
              <w:spacing w:after="0" w:line="276" w:lineRule="auto"/>
            </w:pPr>
            <w:r>
              <w:t>In 2016, KFC faced controversy in Kuwait for its "I ate the bones" ad campaign during the holy month of Ramadan. Some Muslim consumers accused the company of disrespecting Ramadan and promoting unhealthy eating habits. KFC apologised and removed the slogan from its promotional materials in response to the concerns raised by Muslim consumers.</w:t>
            </w:r>
          </w:p>
        </w:tc>
      </w:tr>
    </w:tbl>
    <w:p w14:paraId="31265688" w14:textId="77777777" w:rsidR="002530E2" w:rsidRDefault="002530E2"/>
    <w:p w14:paraId="26D26265" w14:textId="77777777" w:rsidR="002530E2" w:rsidRDefault="002530E2">
      <w:pPr>
        <w:pStyle w:val="Heading2"/>
      </w:pPr>
      <w:bookmarkStart w:id="438" w:name="_17753gw2dihn" w:colFirst="0" w:colLast="0"/>
      <w:bookmarkEnd w:id="438"/>
      <w:r>
        <w:lastRenderedPageBreak/>
        <w:t>IR 020 (2016: Uber, Michigan, USA)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7C0443FC" w14:textId="77777777">
        <w:tc>
          <w:tcPr>
            <w:tcW w:w="1905" w:type="dxa"/>
            <w:shd w:val="clear" w:color="auto" w:fill="auto"/>
            <w:tcMar>
              <w:top w:w="100" w:type="dxa"/>
              <w:left w:w="100" w:type="dxa"/>
              <w:bottom w:w="100" w:type="dxa"/>
              <w:right w:w="100" w:type="dxa"/>
            </w:tcMar>
          </w:tcPr>
          <w:p w14:paraId="70157F00"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3B619B1" w14:textId="77777777" w:rsidR="002530E2" w:rsidRDefault="002530E2">
            <w:pPr>
              <w:spacing w:after="0" w:line="276" w:lineRule="auto"/>
            </w:pPr>
            <w:r>
              <w:t>Incident Report Title: “Uber Driver Discrimination Incident and Backlash from Muslim Consumers”</w:t>
            </w:r>
          </w:p>
        </w:tc>
      </w:tr>
      <w:tr w:rsidR="002530E2" w14:paraId="06EBE009" w14:textId="77777777">
        <w:tc>
          <w:tcPr>
            <w:tcW w:w="1905" w:type="dxa"/>
            <w:shd w:val="clear" w:color="auto" w:fill="auto"/>
            <w:tcMar>
              <w:top w:w="100" w:type="dxa"/>
              <w:left w:w="100" w:type="dxa"/>
              <w:bottom w:w="100" w:type="dxa"/>
              <w:right w:w="100" w:type="dxa"/>
            </w:tcMar>
          </w:tcPr>
          <w:p w14:paraId="4AB10C96"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53CC205" w14:textId="77777777" w:rsidR="002530E2" w:rsidRDefault="002530E2">
            <w:pPr>
              <w:spacing w:after="0" w:line="276" w:lineRule="auto"/>
            </w:pPr>
            <w:r>
              <w:t>This case examines the controversy faced by Uber in 2016 when a driver in Michigan refused to pick up a Muslim woman because she was wearing a hijab. The incident was perceived as discriminatory by many Muslim consumers, leading to calls for improved driver training and accountability within Uber.</w:t>
            </w:r>
          </w:p>
        </w:tc>
      </w:tr>
      <w:tr w:rsidR="002530E2" w14:paraId="1B39022E" w14:textId="77777777">
        <w:tc>
          <w:tcPr>
            <w:tcW w:w="1905" w:type="dxa"/>
            <w:shd w:val="clear" w:color="auto" w:fill="auto"/>
            <w:tcMar>
              <w:top w:w="100" w:type="dxa"/>
              <w:left w:w="100" w:type="dxa"/>
              <w:bottom w:w="100" w:type="dxa"/>
              <w:right w:w="100" w:type="dxa"/>
            </w:tcMar>
          </w:tcPr>
          <w:p w14:paraId="21FE5ED0"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3688051D" w14:textId="77777777" w:rsidR="002530E2" w:rsidRDefault="002530E2">
            <w:pPr>
              <w:spacing w:after="0" w:line="276" w:lineRule="auto"/>
            </w:pPr>
            <w:r>
              <w:t>In 2016, a Muslim woman requested an Uber ride in Michigan while wearing a hijab. However, the Uber driver refused to pick her up solely based on her religious head covering. The incident sparked controversy and raised concerns about religious discrimination on the Uber platform.</w:t>
            </w:r>
          </w:p>
        </w:tc>
      </w:tr>
      <w:tr w:rsidR="002530E2" w14:paraId="7C48494D" w14:textId="77777777">
        <w:tc>
          <w:tcPr>
            <w:tcW w:w="1905" w:type="dxa"/>
            <w:shd w:val="clear" w:color="auto" w:fill="auto"/>
            <w:tcMar>
              <w:top w:w="100" w:type="dxa"/>
              <w:left w:w="100" w:type="dxa"/>
              <w:bottom w:w="100" w:type="dxa"/>
              <w:right w:w="100" w:type="dxa"/>
            </w:tcMar>
          </w:tcPr>
          <w:p w14:paraId="75154D9D"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4D4F74FF" w14:textId="77777777" w:rsidR="002530E2" w:rsidRDefault="002530E2">
            <w:pPr>
              <w:spacing w:after="0" w:line="276" w:lineRule="auto"/>
            </w:pPr>
            <w:r>
              <w:t>The incident occurred in 2016, when the Muslim woman was refused service by an Uber driver in Michigan.</w:t>
            </w:r>
          </w:p>
        </w:tc>
      </w:tr>
      <w:tr w:rsidR="002530E2" w14:paraId="3A02AA6D" w14:textId="77777777">
        <w:tc>
          <w:tcPr>
            <w:tcW w:w="1905" w:type="dxa"/>
            <w:shd w:val="clear" w:color="auto" w:fill="auto"/>
            <w:tcMar>
              <w:top w:w="100" w:type="dxa"/>
              <w:left w:w="100" w:type="dxa"/>
              <w:bottom w:w="100" w:type="dxa"/>
              <w:right w:w="100" w:type="dxa"/>
            </w:tcMar>
          </w:tcPr>
          <w:p w14:paraId="7C311A09"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02C0D045" w14:textId="77777777" w:rsidR="002530E2" w:rsidRDefault="002530E2">
            <w:pPr>
              <w:spacing w:after="0" w:line="276" w:lineRule="auto"/>
            </w:pPr>
            <w:r>
              <w:t>The incident took place in Michigan, where the Muslim woman requested an Uber ride.</w:t>
            </w:r>
          </w:p>
        </w:tc>
      </w:tr>
      <w:tr w:rsidR="002530E2" w14:paraId="242CBB9A" w14:textId="77777777">
        <w:tc>
          <w:tcPr>
            <w:tcW w:w="1905" w:type="dxa"/>
            <w:shd w:val="clear" w:color="auto" w:fill="auto"/>
            <w:tcMar>
              <w:top w:w="100" w:type="dxa"/>
              <w:left w:w="100" w:type="dxa"/>
              <w:bottom w:w="100" w:type="dxa"/>
              <w:right w:w="100" w:type="dxa"/>
            </w:tcMar>
          </w:tcPr>
          <w:p w14:paraId="1350FCC2"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24FD4AD6" w14:textId="77777777" w:rsidR="002530E2" w:rsidRDefault="002530E2">
            <w:pPr>
              <w:spacing w:after="0" w:line="276" w:lineRule="auto"/>
            </w:pPr>
            <w:r>
              <w:t>The victim of this incident was the Muslim woman who was denied service by the Uber driver due to wearing a hijab. She experienced discrimination based on her religious attire and became an advocate for raising awareness about the importance of inclusivity.</w:t>
            </w:r>
          </w:p>
        </w:tc>
      </w:tr>
      <w:tr w:rsidR="002530E2" w14:paraId="61ED76D8" w14:textId="77777777">
        <w:tc>
          <w:tcPr>
            <w:tcW w:w="1905" w:type="dxa"/>
            <w:shd w:val="clear" w:color="auto" w:fill="auto"/>
            <w:tcMar>
              <w:top w:w="100" w:type="dxa"/>
              <w:left w:w="100" w:type="dxa"/>
              <w:bottom w:w="100" w:type="dxa"/>
              <w:right w:w="100" w:type="dxa"/>
            </w:tcMar>
          </w:tcPr>
          <w:p w14:paraId="6325BDD6"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39F0B21B" w14:textId="77777777" w:rsidR="002530E2" w:rsidRDefault="002530E2">
            <w:pPr>
              <w:spacing w:after="0" w:line="276" w:lineRule="auto"/>
            </w:pPr>
            <w:r>
              <w:t>Uber, the ride-sharing platform, faced controversy and backlash from Muslim consumers and the broader public due to an incident involving one of its drivers. The incident raised concerns about driver training, adherence to anti-discrimination policies, and the company's commitment to diversity and inclusivity.</w:t>
            </w:r>
          </w:p>
        </w:tc>
      </w:tr>
      <w:tr w:rsidR="002530E2" w14:paraId="423106E0" w14:textId="77777777">
        <w:tc>
          <w:tcPr>
            <w:tcW w:w="1905" w:type="dxa"/>
            <w:shd w:val="clear" w:color="auto" w:fill="auto"/>
            <w:tcMar>
              <w:top w:w="100" w:type="dxa"/>
              <w:left w:w="100" w:type="dxa"/>
              <w:bottom w:w="100" w:type="dxa"/>
              <w:right w:w="100" w:type="dxa"/>
            </w:tcMar>
          </w:tcPr>
          <w:p w14:paraId="6DF52FC8"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236FA66" w14:textId="77777777" w:rsidR="002530E2" w:rsidRDefault="002530E2">
            <w:pPr>
              <w:spacing w:after="0" w:line="276" w:lineRule="auto"/>
            </w:pPr>
            <w:r>
              <w:t>The incident resulted in outrage and disappointment among Muslim consumers, who viewed the refusal to pick up the woman as a clear act of discrimination based on religious attire. Many Muslims expressed their frustration and called for Uber to take immediate action to address the incident, implement better driver training on diversity and inclusivity, and ensure a discrimination-free experience for all passengers.</w:t>
            </w:r>
          </w:p>
        </w:tc>
      </w:tr>
      <w:tr w:rsidR="002530E2" w14:paraId="7B0586C6" w14:textId="77777777">
        <w:tc>
          <w:tcPr>
            <w:tcW w:w="1905" w:type="dxa"/>
            <w:shd w:val="clear" w:color="auto" w:fill="auto"/>
            <w:tcMar>
              <w:top w:w="100" w:type="dxa"/>
              <w:left w:w="100" w:type="dxa"/>
              <w:bottom w:w="100" w:type="dxa"/>
              <w:right w:w="100" w:type="dxa"/>
            </w:tcMar>
          </w:tcPr>
          <w:p w14:paraId="6DE1A7E6"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04F30B4F" w14:textId="77777777" w:rsidR="002530E2" w:rsidRDefault="002530E2">
            <w:pPr>
              <w:spacing w:after="0" w:line="276" w:lineRule="auto"/>
            </w:pPr>
            <w:r>
              <w:t>Uber faced significant reputational damage as a result of the incident. The company received widespread criticism for the discriminatory action taken by one of its drivers, highlighting concerns about the need for stronger driver training and accountability. The incident sparked public discussions and demands for Uber to address the issue, improve training programmes, and establish mechanisms to prevent future instances of religious discrimination within their platform.</w:t>
            </w:r>
          </w:p>
        </w:tc>
      </w:tr>
      <w:tr w:rsidR="002530E2" w14:paraId="5306CABB" w14:textId="77777777">
        <w:tc>
          <w:tcPr>
            <w:tcW w:w="1905" w:type="dxa"/>
            <w:shd w:val="clear" w:color="auto" w:fill="auto"/>
            <w:tcMar>
              <w:top w:w="100" w:type="dxa"/>
              <w:left w:w="100" w:type="dxa"/>
              <w:bottom w:w="100" w:type="dxa"/>
              <w:right w:w="100" w:type="dxa"/>
            </w:tcMar>
          </w:tcPr>
          <w:p w14:paraId="1E105929"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74393DDA" w14:textId="77777777" w:rsidR="002530E2" w:rsidRDefault="002530E2">
            <w:pPr>
              <w:spacing w:after="0" w:line="276" w:lineRule="auto"/>
            </w:pPr>
            <w:r>
              <w:t>The cross-cultural blunder occurred due to the driver's lack of awareness, understanding, and respect for religious diversity and cultural sensitivity. Refusing service to a passenger based on their hijab reflects a failure to recognise and uphold anti-discrimination values within the Uber community.</w:t>
            </w:r>
          </w:p>
        </w:tc>
      </w:tr>
      <w:tr w:rsidR="002530E2" w14:paraId="56697B37" w14:textId="77777777">
        <w:tc>
          <w:tcPr>
            <w:tcW w:w="1905" w:type="dxa"/>
            <w:shd w:val="clear" w:color="auto" w:fill="auto"/>
            <w:tcMar>
              <w:top w:w="100" w:type="dxa"/>
              <w:left w:w="100" w:type="dxa"/>
              <w:bottom w:w="100" w:type="dxa"/>
              <w:right w:w="100" w:type="dxa"/>
            </w:tcMar>
          </w:tcPr>
          <w:p w14:paraId="469C4F8F"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5A502CD" w14:textId="77777777" w:rsidR="002530E2" w:rsidRDefault="002530E2">
            <w:pPr>
              <w:spacing w:after="0" w:line="276" w:lineRule="auto"/>
            </w:pPr>
            <w:r>
              <w:t>Following the incident, Uber issued a public apology to the affected passenger and took immediate steps to investigate the matter internally. The company reinforced its commitment to diversity and inclusivity, vowing to enhance driver training programmes to prevent religious discrimination and ensure a respectful and inclusive ride experience for all passengers.</w:t>
            </w:r>
          </w:p>
        </w:tc>
      </w:tr>
      <w:tr w:rsidR="002530E2" w14:paraId="6FF2CE04" w14:textId="77777777">
        <w:tc>
          <w:tcPr>
            <w:tcW w:w="1905" w:type="dxa"/>
            <w:shd w:val="clear" w:color="auto" w:fill="auto"/>
            <w:tcMar>
              <w:top w:w="100" w:type="dxa"/>
              <w:left w:w="100" w:type="dxa"/>
              <w:bottom w:w="100" w:type="dxa"/>
              <w:right w:w="100" w:type="dxa"/>
            </w:tcMar>
          </w:tcPr>
          <w:p w14:paraId="27A8D9DA"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13BA571D" w14:textId="77777777" w:rsidR="002530E2" w:rsidRDefault="002530E2">
            <w:pPr>
              <w:spacing w:after="0" w:line="276" w:lineRule="auto"/>
            </w:pPr>
            <w:r>
              <w:t>To prevent similar incidents, Uber should enhance its driver training programmes to include modules on cultural sensitivity, religious awareness, and non-discrimination practices. Additionally, Uber should establish clear guidelines and consequences for drivers engaging in discriminatory behaviour, along with mechanisms for passengers to report such incidents.</w:t>
            </w:r>
          </w:p>
          <w:p w14:paraId="6EACC1FC" w14:textId="77777777" w:rsidR="002530E2" w:rsidRDefault="002530E2">
            <w:pPr>
              <w:spacing w:after="0" w:line="276" w:lineRule="auto"/>
            </w:pPr>
          </w:p>
          <w:p w14:paraId="749AC134" w14:textId="77777777" w:rsidR="002530E2" w:rsidRDefault="002530E2">
            <w:pPr>
              <w:spacing w:after="0" w:line="276" w:lineRule="auto"/>
            </w:pPr>
            <w:r>
              <w:t>Uber should invest in ongoing education and awareness campaigns for drivers, promoting inclusivity, diversity, and respect for all passengers. Regular evaluations, feedback mechanisms, and stringent accountability measures will help prevent future instances of religious discrimination on the Uber platform.</w:t>
            </w:r>
          </w:p>
        </w:tc>
      </w:tr>
      <w:tr w:rsidR="002530E2" w14:paraId="2992C745" w14:textId="77777777">
        <w:tc>
          <w:tcPr>
            <w:tcW w:w="1905" w:type="dxa"/>
            <w:shd w:val="clear" w:color="auto" w:fill="auto"/>
            <w:tcMar>
              <w:top w:w="100" w:type="dxa"/>
              <w:left w:w="100" w:type="dxa"/>
              <w:bottom w:w="100" w:type="dxa"/>
              <w:right w:w="100" w:type="dxa"/>
            </w:tcMar>
          </w:tcPr>
          <w:p w14:paraId="50D65F78"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4B196DB6" w14:textId="77777777" w:rsidR="002530E2" w:rsidRDefault="002530E2">
            <w:pPr>
              <w:spacing w:after="0" w:line="276" w:lineRule="auto"/>
            </w:pPr>
            <w:r>
              <w:t>In 2016, Uber faced controversy when a driver in Michigan refused to pick up a Muslim woman because she was wearing a hijab. The incident drew criticism from Muslim consumers, who saw it as discriminatory and called for improved driver training and accountability within Uber. The incident prompted Uber to issue an apology, investigate the matter, and commit to enhancing training programmes to prevent religious discrimination in the future.</w:t>
            </w:r>
          </w:p>
        </w:tc>
      </w:tr>
    </w:tbl>
    <w:p w14:paraId="7EF367F9" w14:textId="77777777" w:rsidR="002530E2" w:rsidRDefault="002530E2"/>
    <w:p w14:paraId="5AE8A75A" w14:textId="77777777" w:rsidR="002530E2" w:rsidRDefault="002530E2">
      <w:pPr>
        <w:pStyle w:val="Heading2"/>
      </w:pPr>
      <w:bookmarkStart w:id="439" w:name="_xczu84eer3kt" w:colFirst="0" w:colLast="0"/>
      <w:bookmarkEnd w:id="439"/>
      <w:r>
        <w:lastRenderedPageBreak/>
        <w:t>IR 021 (2017: AccorHotels, Saudi Arabia)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09D706F4" w14:textId="77777777">
        <w:tc>
          <w:tcPr>
            <w:tcW w:w="1905" w:type="dxa"/>
            <w:shd w:val="clear" w:color="auto" w:fill="auto"/>
            <w:tcMar>
              <w:top w:w="100" w:type="dxa"/>
              <w:left w:w="100" w:type="dxa"/>
              <w:bottom w:w="100" w:type="dxa"/>
              <w:right w:w="100" w:type="dxa"/>
            </w:tcMar>
          </w:tcPr>
          <w:p w14:paraId="2A69171E"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1CA89133" w14:textId="77777777" w:rsidR="002530E2" w:rsidRDefault="002530E2">
            <w:pPr>
              <w:spacing w:after="0" w:line="276" w:lineRule="auto"/>
            </w:pPr>
            <w:r>
              <w:t>Incident Report Title: “AccorHotels Quran Removal Controversy”</w:t>
            </w:r>
          </w:p>
        </w:tc>
      </w:tr>
      <w:tr w:rsidR="002530E2" w14:paraId="04DC41E5" w14:textId="77777777">
        <w:tc>
          <w:tcPr>
            <w:tcW w:w="1905" w:type="dxa"/>
            <w:shd w:val="clear" w:color="auto" w:fill="auto"/>
            <w:tcMar>
              <w:top w:w="100" w:type="dxa"/>
              <w:left w:w="100" w:type="dxa"/>
              <w:bottom w:w="100" w:type="dxa"/>
              <w:right w:w="100" w:type="dxa"/>
            </w:tcMar>
          </w:tcPr>
          <w:p w14:paraId="193285AD"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23EF8D1" w14:textId="77777777" w:rsidR="002530E2" w:rsidRDefault="002530E2">
            <w:pPr>
              <w:spacing w:after="0" w:line="276" w:lineRule="auto"/>
            </w:pPr>
            <w:r>
              <w:t>This case addresses the controversy faced by Swiss hotel chain AccorHotels in 2017 when it removed copies of the Quran from its hotel rooms in Saudi Arabia. Muslim consumers accused the company of disrespecting their religious beliefs and demanded an apology.</w:t>
            </w:r>
          </w:p>
        </w:tc>
      </w:tr>
      <w:tr w:rsidR="002530E2" w14:paraId="3B83D95C" w14:textId="77777777">
        <w:tc>
          <w:tcPr>
            <w:tcW w:w="1905" w:type="dxa"/>
            <w:shd w:val="clear" w:color="auto" w:fill="auto"/>
            <w:tcMar>
              <w:top w:w="100" w:type="dxa"/>
              <w:left w:w="100" w:type="dxa"/>
              <w:bottom w:w="100" w:type="dxa"/>
              <w:right w:w="100" w:type="dxa"/>
            </w:tcMar>
          </w:tcPr>
          <w:p w14:paraId="10D8AB1C"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3291E7F" w14:textId="77777777" w:rsidR="002530E2" w:rsidRDefault="002530E2">
            <w:pPr>
              <w:spacing w:after="0" w:line="276" w:lineRule="auto"/>
            </w:pPr>
            <w:r>
              <w:t>In 2017, AccorHotels faced backlash for removing copies of the Quran from its hotel rooms in Saudi Arabia. This decision sparked controversy and raised concerns among Muslim consumers about the hotel chain's lack of respect for their religious beliefs.</w:t>
            </w:r>
          </w:p>
        </w:tc>
      </w:tr>
      <w:tr w:rsidR="002530E2" w14:paraId="7C322285" w14:textId="77777777">
        <w:tc>
          <w:tcPr>
            <w:tcW w:w="1905" w:type="dxa"/>
            <w:shd w:val="clear" w:color="auto" w:fill="auto"/>
            <w:tcMar>
              <w:top w:w="100" w:type="dxa"/>
              <w:left w:w="100" w:type="dxa"/>
              <w:bottom w:w="100" w:type="dxa"/>
              <w:right w:w="100" w:type="dxa"/>
            </w:tcMar>
          </w:tcPr>
          <w:p w14:paraId="4C36757D"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604618CC" w14:textId="77777777" w:rsidR="002530E2" w:rsidRDefault="002530E2">
            <w:pPr>
              <w:spacing w:after="0" w:line="276" w:lineRule="auto"/>
            </w:pPr>
            <w:r>
              <w:t xml:space="preserve">The AccorHotels Quran removal controversy occurred in 2017. </w:t>
            </w:r>
          </w:p>
        </w:tc>
      </w:tr>
      <w:tr w:rsidR="002530E2" w14:paraId="35DFB35E" w14:textId="77777777">
        <w:tc>
          <w:tcPr>
            <w:tcW w:w="1905" w:type="dxa"/>
            <w:shd w:val="clear" w:color="auto" w:fill="auto"/>
            <w:tcMar>
              <w:top w:w="100" w:type="dxa"/>
              <w:left w:w="100" w:type="dxa"/>
              <w:bottom w:w="100" w:type="dxa"/>
              <w:right w:w="100" w:type="dxa"/>
            </w:tcMar>
          </w:tcPr>
          <w:p w14:paraId="2A635568"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3FD051D2" w14:textId="77777777" w:rsidR="002530E2" w:rsidRDefault="002530E2">
            <w:pPr>
              <w:spacing w:after="0" w:line="276" w:lineRule="auto"/>
            </w:pPr>
            <w:r>
              <w:t>The controversy took place in Saudi Arabia, where AccorHotels operates and removed copies of the Quran from its hotel rooms.</w:t>
            </w:r>
          </w:p>
        </w:tc>
      </w:tr>
      <w:tr w:rsidR="002530E2" w14:paraId="3F438F69" w14:textId="77777777">
        <w:tc>
          <w:tcPr>
            <w:tcW w:w="1905" w:type="dxa"/>
            <w:shd w:val="clear" w:color="auto" w:fill="auto"/>
            <w:tcMar>
              <w:top w:w="100" w:type="dxa"/>
              <w:left w:w="100" w:type="dxa"/>
              <w:bottom w:w="100" w:type="dxa"/>
              <w:right w:w="100" w:type="dxa"/>
            </w:tcMar>
          </w:tcPr>
          <w:p w14:paraId="61F0DAF6"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00D09F2" w14:textId="77777777" w:rsidR="002530E2" w:rsidRDefault="002530E2">
            <w:pPr>
              <w:spacing w:after="0" w:line="276" w:lineRule="auto"/>
            </w:pPr>
            <w:r>
              <w:t>Muslim consumers, particularly those staying at AccorHotels in Saudi Arabia, were directly affected by this controversy. They criticised the hotel chain for removing copies of the Quran from the rooms, which they considered disrespectful to their religious beliefs.</w:t>
            </w:r>
          </w:p>
        </w:tc>
      </w:tr>
      <w:tr w:rsidR="002530E2" w14:paraId="44A9141C" w14:textId="77777777">
        <w:tc>
          <w:tcPr>
            <w:tcW w:w="1905" w:type="dxa"/>
            <w:shd w:val="clear" w:color="auto" w:fill="auto"/>
            <w:tcMar>
              <w:top w:w="100" w:type="dxa"/>
              <w:left w:w="100" w:type="dxa"/>
              <w:bottom w:w="100" w:type="dxa"/>
              <w:right w:w="100" w:type="dxa"/>
            </w:tcMar>
          </w:tcPr>
          <w:p w14:paraId="1DE18AC9"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7095FA1D" w14:textId="77777777" w:rsidR="002530E2" w:rsidRDefault="002530E2">
            <w:pPr>
              <w:spacing w:after="0" w:line="276" w:lineRule="auto"/>
            </w:pPr>
            <w:r>
              <w:t>AccorHotels, a Swiss hotel chain, was at the centre of the controversy. The company faced criticism for its decision to remove copies of the Quran from its hotel rooms in Saudi Arabia.</w:t>
            </w:r>
          </w:p>
        </w:tc>
      </w:tr>
      <w:tr w:rsidR="002530E2" w14:paraId="76E585F2" w14:textId="77777777">
        <w:tc>
          <w:tcPr>
            <w:tcW w:w="1905" w:type="dxa"/>
            <w:shd w:val="clear" w:color="auto" w:fill="auto"/>
            <w:tcMar>
              <w:top w:w="100" w:type="dxa"/>
              <w:left w:w="100" w:type="dxa"/>
              <w:bottom w:w="100" w:type="dxa"/>
              <w:right w:w="100" w:type="dxa"/>
            </w:tcMar>
          </w:tcPr>
          <w:p w14:paraId="25754D77"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20299929" w14:textId="77777777" w:rsidR="002530E2" w:rsidRDefault="002530E2">
            <w:pPr>
              <w:spacing w:after="0" w:line="276" w:lineRule="auto"/>
            </w:pPr>
            <w:r>
              <w:t>AccorHotels faced backlash because it removed copies of the Quran, the holy book of Islam, from its hotel rooms in Saudi Arabia. This action was seen as a disregard for the religious significance of the Quran for Muslim guests. Muslim consumers accused AccorHotels of disrespecting their religious beliefs by removing copies of the Quran from the hotel rooms. They felt that the decision showed a lack of consideration for their religious practices and a failure to provide appropriate accommodations.</w:t>
            </w:r>
          </w:p>
        </w:tc>
      </w:tr>
      <w:tr w:rsidR="002530E2" w14:paraId="393418B5" w14:textId="77777777">
        <w:tc>
          <w:tcPr>
            <w:tcW w:w="1905" w:type="dxa"/>
            <w:shd w:val="clear" w:color="auto" w:fill="auto"/>
            <w:tcMar>
              <w:top w:w="100" w:type="dxa"/>
              <w:left w:w="100" w:type="dxa"/>
              <w:bottom w:w="100" w:type="dxa"/>
              <w:right w:w="100" w:type="dxa"/>
            </w:tcMar>
          </w:tcPr>
          <w:p w14:paraId="5E507CC3" w14:textId="77777777" w:rsidR="002530E2" w:rsidRDefault="002530E2">
            <w:pPr>
              <w:spacing w:after="0" w:line="276" w:lineRule="auto"/>
            </w:pPr>
            <w:r>
              <w:t xml:space="preserve">IRE 8: RAMIFICATIONS — </w:t>
            </w:r>
            <w:r>
              <w:lastRenderedPageBreak/>
              <w:t>HOW WAS THE MNC IMPACTED?</w:t>
            </w:r>
          </w:p>
        </w:tc>
        <w:tc>
          <w:tcPr>
            <w:tcW w:w="7125" w:type="dxa"/>
            <w:shd w:val="clear" w:color="auto" w:fill="auto"/>
            <w:tcMar>
              <w:top w:w="100" w:type="dxa"/>
              <w:left w:w="100" w:type="dxa"/>
              <w:bottom w:w="100" w:type="dxa"/>
              <w:right w:w="100" w:type="dxa"/>
            </w:tcMar>
          </w:tcPr>
          <w:p w14:paraId="50CF3BC0" w14:textId="77777777" w:rsidR="002530E2" w:rsidRDefault="002530E2">
            <w:pPr>
              <w:spacing w:after="0" w:line="276" w:lineRule="auto"/>
            </w:pPr>
            <w:r>
              <w:lastRenderedPageBreak/>
              <w:t xml:space="preserve">The impact of the controversy on AccorHotels' business and operations is not extensively documented. However, the incident highlighted the importance </w:t>
            </w:r>
            <w:r>
              <w:lastRenderedPageBreak/>
              <w:t>of cultural and religious sensitivity in the hospitality industry, especially in regions with diverse religious backgrounds.</w:t>
            </w:r>
          </w:p>
        </w:tc>
      </w:tr>
      <w:tr w:rsidR="002530E2" w14:paraId="774AC7EB" w14:textId="77777777">
        <w:tc>
          <w:tcPr>
            <w:tcW w:w="1905" w:type="dxa"/>
            <w:shd w:val="clear" w:color="auto" w:fill="auto"/>
            <w:tcMar>
              <w:top w:w="100" w:type="dxa"/>
              <w:left w:w="100" w:type="dxa"/>
              <w:bottom w:w="100" w:type="dxa"/>
              <w:right w:w="100" w:type="dxa"/>
            </w:tcMar>
          </w:tcPr>
          <w:p w14:paraId="1EA49712" w14:textId="77777777" w:rsidR="002530E2" w:rsidRDefault="002530E2">
            <w:pPr>
              <w:spacing w:after="0" w:line="276" w:lineRule="auto"/>
            </w:pPr>
            <w:r>
              <w:lastRenderedPageBreak/>
              <w:t xml:space="preserve">IRE 9: REASONS — WHY DID THE BLUNDER HAPPEN? </w:t>
            </w:r>
          </w:p>
        </w:tc>
        <w:tc>
          <w:tcPr>
            <w:tcW w:w="7125" w:type="dxa"/>
            <w:shd w:val="clear" w:color="auto" w:fill="auto"/>
            <w:tcMar>
              <w:top w:w="100" w:type="dxa"/>
              <w:left w:w="100" w:type="dxa"/>
              <w:bottom w:w="100" w:type="dxa"/>
              <w:right w:w="100" w:type="dxa"/>
            </w:tcMar>
          </w:tcPr>
          <w:p w14:paraId="2B4453AC" w14:textId="77777777" w:rsidR="002530E2" w:rsidRDefault="002530E2">
            <w:pPr>
              <w:spacing w:after="0" w:line="276" w:lineRule="auto"/>
            </w:pPr>
            <w:r>
              <w:t>The controversy arose because the Quran holds significant religious and cultural importance for Muslims. Removing the Quran from hotel rooms in Saudi Arabia, a predominantly Muslim country, was seen as a disregard for the religious sensitivities and beliefs of Muslim guests.</w:t>
            </w:r>
          </w:p>
        </w:tc>
      </w:tr>
      <w:tr w:rsidR="002530E2" w14:paraId="5E2D3995" w14:textId="77777777">
        <w:tc>
          <w:tcPr>
            <w:tcW w:w="1905" w:type="dxa"/>
            <w:shd w:val="clear" w:color="auto" w:fill="auto"/>
            <w:tcMar>
              <w:top w:w="100" w:type="dxa"/>
              <w:left w:w="100" w:type="dxa"/>
              <w:bottom w:w="100" w:type="dxa"/>
              <w:right w:w="100" w:type="dxa"/>
            </w:tcMar>
          </w:tcPr>
          <w:p w14:paraId="0AE48BCB"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CD3A350" w14:textId="77777777" w:rsidR="002530E2" w:rsidRDefault="002530E2">
            <w:pPr>
              <w:spacing w:after="0" w:line="276" w:lineRule="auto"/>
            </w:pPr>
            <w:r>
              <w:t>AccorHotels responded to the controversy by expressing regret for any offence caused and stating that the removal of the Quran was an unintended mistake. The company apologised to Muslim guests and reinstated copies of the Quran in hotel rooms.</w:t>
            </w:r>
          </w:p>
        </w:tc>
      </w:tr>
      <w:tr w:rsidR="002530E2" w14:paraId="08A7731C" w14:textId="77777777">
        <w:tc>
          <w:tcPr>
            <w:tcW w:w="1905" w:type="dxa"/>
            <w:shd w:val="clear" w:color="auto" w:fill="auto"/>
            <w:tcMar>
              <w:top w:w="100" w:type="dxa"/>
              <w:left w:w="100" w:type="dxa"/>
              <w:bottom w:w="100" w:type="dxa"/>
              <w:right w:w="100" w:type="dxa"/>
            </w:tcMar>
          </w:tcPr>
          <w:p w14:paraId="0806FD59"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0F31E83F" w14:textId="77777777" w:rsidR="002530E2" w:rsidRDefault="002530E2">
            <w:pPr>
              <w:spacing w:after="0" w:line="276" w:lineRule="auto"/>
            </w:pPr>
            <w:r>
              <w:t>The AccorHotels Quran removal controversy served as a reminder for hotel chains and service providers to respect the religious beliefs and customs of their guests. It emphasised the significance of providing appropriate accommodations and being mindful of cultural sensitivities in different regions.</w:t>
            </w:r>
          </w:p>
        </w:tc>
      </w:tr>
      <w:tr w:rsidR="002530E2" w14:paraId="239633AB" w14:textId="77777777">
        <w:tc>
          <w:tcPr>
            <w:tcW w:w="1905" w:type="dxa"/>
            <w:shd w:val="clear" w:color="auto" w:fill="auto"/>
            <w:tcMar>
              <w:top w:w="100" w:type="dxa"/>
              <w:left w:w="100" w:type="dxa"/>
              <w:bottom w:w="100" w:type="dxa"/>
              <w:right w:w="100" w:type="dxa"/>
            </w:tcMar>
          </w:tcPr>
          <w:p w14:paraId="1AF7B1D2"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B6D850E" w14:textId="77777777" w:rsidR="002530E2" w:rsidRDefault="002530E2">
            <w:pPr>
              <w:spacing w:after="0" w:line="276" w:lineRule="auto"/>
            </w:pPr>
            <w:r>
              <w:t>In 2017, AccorHotels faced backlash for removing copies of the Quran from its hotel rooms in Saudi Arabia, which led to accusations of disrespect towards Muslim guests' religious beliefs. AccorHotels acknowledged the mistake, expressed regret, and reinstated the copies of the Quran in hotel rooms, apologising to Muslim guests for any offence caused.</w:t>
            </w:r>
          </w:p>
        </w:tc>
      </w:tr>
    </w:tbl>
    <w:p w14:paraId="5448E8D5" w14:textId="77777777" w:rsidR="002530E2" w:rsidRDefault="002530E2"/>
    <w:p w14:paraId="0C1918AF" w14:textId="77777777" w:rsidR="002530E2" w:rsidRDefault="002530E2">
      <w:pPr>
        <w:pStyle w:val="Heading2"/>
      </w:pPr>
      <w:bookmarkStart w:id="440" w:name="_53z6exqx8gwc" w:colFirst="0" w:colLast="0"/>
      <w:bookmarkEnd w:id="440"/>
      <w:r>
        <w:t>IR 022 (2017: Uber, USA)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2C22CB8" w14:textId="77777777">
        <w:tc>
          <w:tcPr>
            <w:tcW w:w="1905" w:type="dxa"/>
            <w:shd w:val="clear" w:color="auto" w:fill="auto"/>
            <w:tcMar>
              <w:top w:w="100" w:type="dxa"/>
              <w:left w:w="100" w:type="dxa"/>
              <w:bottom w:w="100" w:type="dxa"/>
              <w:right w:w="100" w:type="dxa"/>
            </w:tcMar>
          </w:tcPr>
          <w:p w14:paraId="39D4BB3B"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311F8F1E" w14:textId="77777777" w:rsidR="002530E2" w:rsidRDefault="002530E2">
            <w:pPr>
              <w:spacing w:after="0" w:line="276" w:lineRule="auto"/>
            </w:pPr>
            <w:r>
              <w:t>Incident Report Title: “Uber's Controversy Amidst Trump's Travel Ban Protest”</w:t>
            </w:r>
          </w:p>
        </w:tc>
      </w:tr>
      <w:tr w:rsidR="002530E2" w14:paraId="4281AA59" w14:textId="77777777">
        <w:tc>
          <w:tcPr>
            <w:tcW w:w="1905" w:type="dxa"/>
            <w:shd w:val="clear" w:color="auto" w:fill="auto"/>
            <w:tcMar>
              <w:top w:w="100" w:type="dxa"/>
              <w:left w:w="100" w:type="dxa"/>
              <w:bottom w:w="100" w:type="dxa"/>
              <w:right w:w="100" w:type="dxa"/>
            </w:tcMar>
          </w:tcPr>
          <w:p w14:paraId="0E3A58E0"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6F704E88" w14:textId="77777777" w:rsidR="002530E2" w:rsidRDefault="002530E2">
            <w:pPr>
              <w:spacing w:after="0" w:line="276" w:lineRule="auto"/>
            </w:pPr>
            <w:r>
              <w:t>This case examines the cross-cultural blunder by Uber in 2017, which resulted in backlash from Muslim consumers. The report focuses on the controversy surrounding Uber's response to protests against President Donald Trump's travel ban.</w:t>
            </w:r>
          </w:p>
        </w:tc>
      </w:tr>
      <w:tr w:rsidR="002530E2" w14:paraId="3485118A" w14:textId="77777777">
        <w:tc>
          <w:tcPr>
            <w:tcW w:w="1905" w:type="dxa"/>
            <w:shd w:val="clear" w:color="auto" w:fill="auto"/>
            <w:tcMar>
              <w:top w:w="100" w:type="dxa"/>
              <w:left w:w="100" w:type="dxa"/>
              <w:bottom w:w="100" w:type="dxa"/>
              <w:right w:w="100" w:type="dxa"/>
            </w:tcMar>
          </w:tcPr>
          <w:p w14:paraId="0370E463"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CF66B74" w14:textId="77777777" w:rsidR="002530E2" w:rsidRDefault="002530E2">
            <w:pPr>
              <w:spacing w:after="0" w:line="276" w:lineRule="auto"/>
            </w:pPr>
            <w:r>
              <w:t xml:space="preserve">In 2017, President Donald Trump implemented a travel ban targeting citizens of several Muslim-majority countries. This led to widespread protests across the United States, with many individuals, including Muslims, expressing their </w:t>
            </w:r>
            <w:r>
              <w:lastRenderedPageBreak/>
              <w:t>opposition to the ban. During this time, Uber faced controversy when it was accused of exploiting the protest against the travel ban for its own benefit.</w:t>
            </w:r>
          </w:p>
        </w:tc>
      </w:tr>
      <w:tr w:rsidR="002530E2" w14:paraId="3B2C6108" w14:textId="77777777">
        <w:tc>
          <w:tcPr>
            <w:tcW w:w="1905" w:type="dxa"/>
            <w:shd w:val="clear" w:color="auto" w:fill="auto"/>
            <w:tcMar>
              <w:top w:w="100" w:type="dxa"/>
              <w:left w:w="100" w:type="dxa"/>
              <w:bottom w:w="100" w:type="dxa"/>
              <w:right w:w="100" w:type="dxa"/>
            </w:tcMar>
          </w:tcPr>
          <w:p w14:paraId="6FFEB126"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18DEECBA" w14:textId="77777777" w:rsidR="002530E2" w:rsidRDefault="002530E2">
            <w:pPr>
              <w:spacing w:after="0" w:line="276" w:lineRule="auto"/>
            </w:pPr>
            <w:r>
              <w:t>The incident occurred in 2017, when President Donald Trump's travel ban was implemented, sparking protests across the United States.</w:t>
            </w:r>
          </w:p>
        </w:tc>
      </w:tr>
      <w:tr w:rsidR="002530E2" w14:paraId="6A3B577F" w14:textId="77777777">
        <w:tc>
          <w:tcPr>
            <w:tcW w:w="1905" w:type="dxa"/>
            <w:shd w:val="clear" w:color="auto" w:fill="auto"/>
            <w:tcMar>
              <w:top w:w="100" w:type="dxa"/>
              <w:left w:w="100" w:type="dxa"/>
              <w:bottom w:w="100" w:type="dxa"/>
              <w:right w:w="100" w:type="dxa"/>
            </w:tcMar>
          </w:tcPr>
          <w:p w14:paraId="309331FF"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19F1BF0F" w14:textId="77777777" w:rsidR="002530E2" w:rsidRDefault="002530E2">
            <w:pPr>
              <w:spacing w:after="0" w:line="276" w:lineRule="auto"/>
            </w:pPr>
            <w:r>
              <w:t>The controversy surrounding Uber's response to the travel ban protests primarily affected Muslim consumers in the United States, where the protests were taking place.</w:t>
            </w:r>
          </w:p>
        </w:tc>
      </w:tr>
      <w:tr w:rsidR="002530E2" w14:paraId="7810A57C" w14:textId="77777777">
        <w:tc>
          <w:tcPr>
            <w:tcW w:w="1905" w:type="dxa"/>
            <w:shd w:val="clear" w:color="auto" w:fill="auto"/>
            <w:tcMar>
              <w:top w:w="100" w:type="dxa"/>
              <w:left w:w="100" w:type="dxa"/>
              <w:bottom w:w="100" w:type="dxa"/>
              <w:right w:w="100" w:type="dxa"/>
            </w:tcMar>
          </w:tcPr>
          <w:p w14:paraId="0198940F"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574ACA9" w14:textId="77777777" w:rsidR="002530E2" w:rsidRDefault="002530E2">
            <w:pPr>
              <w:spacing w:after="0" w:line="276" w:lineRule="auto"/>
            </w:pPr>
            <w:r>
              <w:t>Muslim consumers were directly affected by this incident, as they felt that Uber was taking advantage of their community's outrage over the travel ban for its own financial gain. Many Muslims perceived this as a lack of empathy and support from the ride-sharing service.</w:t>
            </w:r>
          </w:p>
        </w:tc>
      </w:tr>
      <w:tr w:rsidR="002530E2" w14:paraId="425BE8C7" w14:textId="77777777">
        <w:tc>
          <w:tcPr>
            <w:tcW w:w="1905" w:type="dxa"/>
            <w:shd w:val="clear" w:color="auto" w:fill="auto"/>
            <w:tcMar>
              <w:top w:w="100" w:type="dxa"/>
              <w:left w:w="100" w:type="dxa"/>
              <w:bottom w:w="100" w:type="dxa"/>
              <w:right w:w="100" w:type="dxa"/>
            </w:tcMar>
          </w:tcPr>
          <w:p w14:paraId="31A98666"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F95D6BD" w14:textId="77777777" w:rsidR="002530E2" w:rsidRDefault="002530E2">
            <w:pPr>
              <w:spacing w:after="0" w:line="276" w:lineRule="auto"/>
            </w:pPr>
            <w:r>
              <w:t>Uber, a prominent ride-sharing service, faced backlash from Muslim consumers for its response to the protests against President Trump's travel ban. The company was accused of attempting to capitalise on the situation and profit from the Muslim community's outrage.</w:t>
            </w:r>
          </w:p>
        </w:tc>
      </w:tr>
      <w:tr w:rsidR="002530E2" w14:paraId="6CD19B6F" w14:textId="77777777">
        <w:tc>
          <w:tcPr>
            <w:tcW w:w="1905" w:type="dxa"/>
            <w:shd w:val="clear" w:color="auto" w:fill="auto"/>
            <w:tcMar>
              <w:top w:w="100" w:type="dxa"/>
              <w:left w:w="100" w:type="dxa"/>
              <w:bottom w:w="100" w:type="dxa"/>
              <w:right w:w="100" w:type="dxa"/>
            </w:tcMar>
          </w:tcPr>
          <w:p w14:paraId="5AFDE525"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94CA7E3" w14:textId="77777777" w:rsidR="002530E2" w:rsidRDefault="002530E2">
            <w:pPr>
              <w:spacing w:after="0" w:line="276" w:lineRule="auto"/>
            </w:pPr>
            <w:r>
              <w:t>Muslim consumers expressed their frustration and disappointment with Uber's alleged exploitation of the protest. Many called for a boycott of the ride-sharing service, believing that the company's actions demonstrated insensitivity and a disregard for their community's concerns.</w:t>
            </w:r>
          </w:p>
        </w:tc>
      </w:tr>
      <w:tr w:rsidR="002530E2" w14:paraId="1AF7AB32" w14:textId="77777777">
        <w:tc>
          <w:tcPr>
            <w:tcW w:w="1905" w:type="dxa"/>
            <w:shd w:val="clear" w:color="auto" w:fill="auto"/>
            <w:tcMar>
              <w:top w:w="100" w:type="dxa"/>
              <w:left w:w="100" w:type="dxa"/>
              <w:bottom w:w="100" w:type="dxa"/>
              <w:right w:w="100" w:type="dxa"/>
            </w:tcMar>
          </w:tcPr>
          <w:p w14:paraId="4044E7B6"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2E7A0AA8" w14:textId="77777777" w:rsidR="002530E2" w:rsidRDefault="002530E2">
            <w:pPr>
              <w:spacing w:after="0" w:line="276" w:lineRule="auto"/>
            </w:pPr>
            <w:r>
              <w:t>The controversy surrounding Uber's response to the travel ban protests had negative repercussions for the company. It faced a significant public relations crisis, with a decline in its user base and damage to its brand reputation, particularly among Muslim consumers. The incident highlighted the importance of aligning corporate actions with social and cultural sensitivities.</w:t>
            </w:r>
          </w:p>
        </w:tc>
      </w:tr>
      <w:tr w:rsidR="002530E2" w14:paraId="62FC763D" w14:textId="77777777">
        <w:tc>
          <w:tcPr>
            <w:tcW w:w="1905" w:type="dxa"/>
            <w:shd w:val="clear" w:color="auto" w:fill="auto"/>
            <w:tcMar>
              <w:top w:w="100" w:type="dxa"/>
              <w:left w:w="100" w:type="dxa"/>
              <w:bottom w:w="100" w:type="dxa"/>
              <w:right w:w="100" w:type="dxa"/>
            </w:tcMar>
          </w:tcPr>
          <w:p w14:paraId="2A6F60AD"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0DDC9994" w14:textId="77777777" w:rsidR="002530E2" w:rsidRDefault="002530E2">
            <w:pPr>
              <w:spacing w:after="0" w:line="276" w:lineRule="auto"/>
            </w:pPr>
            <w:r>
              <w:t>Uber's alleged exploitation of the travel ban protest can be attributed to a lack of understanding or sensitivity towards the concerns and emotions of Muslim consumers. The company's response showcased a disconnect between its corporate actions and the values and expectations of the community.</w:t>
            </w:r>
          </w:p>
        </w:tc>
      </w:tr>
      <w:tr w:rsidR="002530E2" w14:paraId="5E95FACF" w14:textId="77777777">
        <w:tc>
          <w:tcPr>
            <w:tcW w:w="1905" w:type="dxa"/>
            <w:shd w:val="clear" w:color="auto" w:fill="auto"/>
            <w:tcMar>
              <w:top w:w="100" w:type="dxa"/>
              <w:left w:w="100" w:type="dxa"/>
              <w:bottom w:w="100" w:type="dxa"/>
              <w:right w:w="100" w:type="dxa"/>
            </w:tcMar>
          </w:tcPr>
          <w:p w14:paraId="0A50FA33"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F9B298D" w14:textId="77777777" w:rsidR="002530E2" w:rsidRDefault="002530E2">
            <w:pPr>
              <w:spacing w:after="0" w:line="276" w:lineRule="auto"/>
            </w:pPr>
            <w:r>
              <w:t>In response to the backlash, Uber issued a public apology and emphasised its commitment to supporting diverse communities. The company pledged to create a $3 million legal defence fund to assist drivers affected by the travel ban and announced plans to improve its communication and engagement with drivers and riders.</w:t>
            </w:r>
          </w:p>
        </w:tc>
      </w:tr>
      <w:tr w:rsidR="002530E2" w14:paraId="4CC2F44D" w14:textId="77777777">
        <w:tc>
          <w:tcPr>
            <w:tcW w:w="1905" w:type="dxa"/>
            <w:shd w:val="clear" w:color="auto" w:fill="auto"/>
            <w:tcMar>
              <w:top w:w="100" w:type="dxa"/>
              <w:left w:w="100" w:type="dxa"/>
              <w:bottom w:w="100" w:type="dxa"/>
              <w:right w:w="100" w:type="dxa"/>
            </w:tcMar>
          </w:tcPr>
          <w:p w14:paraId="3AC3C951" w14:textId="77777777" w:rsidR="002530E2" w:rsidRDefault="002530E2">
            <w:pPr>
              <w:spacing w:after="0" w:line="276" w:lineRule="auto"/>
            </w:pPr>
            <w:r>
              <w:lastRenderedPageBreak/>
              <w:t>IRE 11: FUTURE PREVENTION STRATEGIES — WHAT ARE THE LESSONS LEARNED?</w:t>
            </w:r>
          </w:p>
        </w:tc>
        <w:tc>
          <w:tcPr>
            <w:tcW w:w="7125" w:type="dxa"/>
            <w:shd w:val="clear" w:color="auto" w:fill="auto"/>
            <w:tcMar>
              <w:top w:w="100" w:type="dxa"/>
              <w:left w:w="100" w:type="dxa"/>
              <w:bottom w:w="100" w:type="dxa"/>
              <w:right w:w="100" w:type="dxa"/>
            </w:tcMar>
          </w:tcPr>
          <w:p w14:paraId="040EF468" w14:textId="77777777" w:rsidR="002530E2" w:rsidRDefault="002530E2">
            <w:pPr>
              <w:spacing w:after="0" w:line="276" w:lineRule="auto"/>
            </w:pPr>
            <w:r>
              <w:t>To prevent similar incidents, Uber should prioritise cultural competency training for its employees, ensuring they have a better understanding of diverse communities' sensitivities. Developing protocols for handling sensitive social and political issues can help guide the company's responses and avoid cross-cultural blunders. Moving forward, Uber can establish a diverse advisory board or council to provide insights and recommendations on issues relevant to different communities. Actively listening to feedback from customers and conducting regular cultural sensitivity audits can help the company proactively address potential pitfalls and enhance its cross-cultural understanding.</w:t>
            </w:r>
          </w:p>
        </w:tc>
      </w:tr>
      <w:tr w:rsidR="002530E2" w14:paraId="7AC2E105" w14:textId="77777777">
        <w:tc>
          <w:tcPr>
            <w:tcW w:w="1905" w:type="dxa"/>
            <w:shd w:val="clear" w:color="auto" w:fill="auto"/>
            <w:tcMar>
              <w:top w:w="100" w:type="dxa"/>
              <w:left w:w="100" w:type="dxa"/>
              <w:bottom w:w="100" w:type="dxa"/>
              <w:right w:w="100" w:type="dxa"/>
            </w:tcMar>
          </w:tcPr>
          <w:p w14:paraId="6E23027D"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5023716A" w14:textId="77777777" w:rsidR="002530E2" w:rsidRDefault="002530E2">
            <w:pPr>
              <w:spacing w:after="0" w:line="276" w:lineRule="auto"/>
            </w:pPr>
            <w:r>
              <w:t>The controversy surrounding Uber's response to the travel ban protests highlighted the importance of cultural sensitivity and alignment with community values. It serves as a reminder for companies to navigate social and political issues with caution, taking into account the perspectives and sensitivities of diverse consumer groups.</w:t>
            </w:r>
          </w:p>
        </w:tc>
      </w:tr>
    </w:tbl>
    <w:p w14:paraId="213F8424" w14:textId="77777777" w:rsidR="002530E2" w:rsidRDefault="002530E2"/>
    <w:p w14:paraId="1CBD0E5B" w14:textId="77777777" w:rsidR="002530E2" w:rsidRDefault="002530E2">
      <w:pPr>
        <w:pStyle w:val="Heading2"/>
      </w:pPr>
      <w:bookmarkStart w:id="441" w:name="_tfg8u0fmnp0t" w:colFirst="0" w:colLast="0"/>
      <w:bookmarkEnd w:id="441"/>
      <w:r>
        <w:t>IR 023 (2017: American Eagle Outfitters,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7DEEF3D" w14:textId="77777777">
        <w:tc>
          <w:tcPr>
            <w:tcW w:w="1905" w:type="dxa"/>
            <w:shd w:val="clear" w:color="auto" w:fill="auto"/>
            <w:tcMar>
              <w:top w:w="100" w:type="dxa"/>
              <w:left w:w="100" w:type="dxa"/>
              <w:bottom w:w="100" w:type="dxa"/>
              <w:right w:w="100" w:type="dxa"/>
            </w:tcMar>
          </w:tcPr>
          <w:p w14:paraId="1BDC7228"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3142BBD" w14:textId="77777777" w:rsidR="002530E2" w:rsidRDefault="002530E2">
            <w:pPr>
              <w:spacing w:after="0" w:line="276" w:lineRule="auto"/>
            </w:pPr>
            <w:r>
              <w:t>Incident Report Title: “American Eagle Outfitters' Denim Hijab Controversy”</w:t>
            </w:r>
          </w:p>
        </w:tc>
      </w:tr>
      <w:tr w:rsidR="002530E2" w14:paraId="4C34A5F8" w14:textId="77777777">
        <w:tc>
          <w:tcPr>
            <w:tcW w:w="1905" w:type="dxa"/>
            <w:shd w:val="clear" w:color="auto" w:fill="auto"/>
            <w:tcMar>
              <w:top w:w="100" w:type="dxa"/>
              <w:left w:w="100" w:type="dxa"/>
              <w:bottom w:w="100" w:type="dxa"/>
              <w:right w:w="100" w:type="dxa"/>
            </w:tcMar>
          </w:tcPr>
          <w:p w14:paraId="6E8CE17B"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2DB32239" w14:textId="77777777" w:rsidR="002530E2" w:rsidRDefault="002530E2">
            <w:pPr>
              <w:spacing w:after="0" w:line="276" w:lineRule="auto"/>
            </w:pPr>
            <w:r>
              <w:t>This case examines the cross-cultural blunder by American Eagle Outfitters in 2017, which resulted in backlash from Muslim consumers. The report focuses on the controversy surrounding the company's sale of a denim hijab, a headscarf worn by Muslim women, and the concerns raised by the Muslim community regarding cultural appropriation and commercialization.</w:t>
            </w:r>
          </w:p>
        </w:tc>
      </w:tr>
      <w:tr w:rsidR="002530E2" w14:paraId="6BAF91D3" w14:textId="77777777">
        <w:tc>
          <w:tcPr>
            <w:tcW w:w="1905" w:type="dxa"/>
            <w:shd w:val="clear" w:color="auto" w:fill="auto"/>
            <w:tcMar>
              <w:top w:w="100" w:type="dxa"/>
              <w:left w:w="100" w:type="dxa"/>
              <w:bottom w:w="100" w:type="dxa"/>
              <w:right w:w="100" w:type="dxa"/>
            </w:tcMar>
          </w:tcPr>
          <w:p w14:paraId="1ACFFCF4"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3827D8A9" w14:textId="77777777" w:rsidR="002530E2" w:rsidRDefault="002530E2">
            <w:pPr>
              <w:spacing w:after="0" w:line="276" w:lineRule="auto"/>
            </w:pPr>
            <w:r>
              <w:t>In 2017, American Eagle Outfitters faced criticism after it was reported that the company was selling a denim hijab as part of its product lineup. The introduction of the denim hijab sparked a heated debate within the Muslim community and beyond, with concerns raised about the commercialization and appropriation of a religious symbol.</w:t>
            </w:r>
          </w:p>
        </w:tc>
      </w:tr>
      <w:tr w:rsidR="002530E2" w14:paraId="53F41120" w14:textId="77777777">
        <w:tc>
          <w:tcPr>
            <w:tcW w:w="1905" w:type="dxa"/>
            <w:shd w:val="clear" w:color="auto" w:fill="auto"/>
            <w:tcMar>
              <w:top w:w="100" w:type="dxa"/>
              <w:left w:w="100" w:type="dxa"/>
              <w:bottom w:w="100" w:type="dxa"/>
              <w:right w:w="100" w:type="dxa"/>
            </w:tcMar>
          </w:tcPr>
          <w:p w14:paraId="497A41F7"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72417360" w14:textId="77777777" w:rsidR="002530E2" w:rsidRDefault="002530E2">
            <w:pPr>
              <w:spacing w:after="0" w:line="276" w:lineRule="auto"/>
            </w:pPr>
            <w:r>
              <w:t>The incident occurred in 2017, when American Eagle Outfitters launched the denim hijab for sale.</w:t>
            </w:r>
          </w:p>
        </w:tc>
      </w:tr>
      <w:tr w:rsidR="002530E2" w14:paraId="6B962E40" w14:textId="77777777">
        <w:tc>
          <w:tcPr>
            <w:tcW w:w="1905" w:type="dxa"/>
            <w:shd w:val="clear" w:color="auto" w:fill="auto"/>
            <w:tcMar>
              <w:top w:w="100" w:type="dxa"/>
              <w:left w:w="100" w:type="dxa"/>
              <w:bottom w:w="100" w:type="dxa"/>
              <w:right w:w="100" w:type="dxa"/>
            </w:tcMar>
          </w:tcPr>
          <w:p w14:paraId="5541DE27" w14:textId="77777777" w:rsidR="002530E2" w:rsidRDefault="002530E2">
            <w:pPr>
              <w:spacing w:after="0" w:line="276" w:lineRule="auto"/>
            </w:pPr>
            <w:r>
              <w:lastRenderedPageBreak/>
              <w:t>IRE 4: PLACE — WHERE DID THE BLUNDER TAKE PLACE?</w:t>
            </w:r>
          </w:p>
        </w:tc>
        <w:tc>
          <w:tcPr>
            <w:tcW w:w="7125" w:type="dxa"/>
            <w:shd w:val="clear" w:color="auto" w:fill="auto"/>
            <w:tcMar>
              <w:top w:w="100" w:type="dxa"/>
              <w:left w:w="100" w:type="dxa"/>
              <w:bottom w:w="100" w:type="dxa"/>
              <w:right w:w="100" w:type="dxa"/>
            </w:tcMar>
          </w:tcPr>
          <w:p w14:paraId="5AF45CBA" w14:textId="77777777" w:rsidR="002530E2" w:rsidRDefault="002530E2">
            <w:pPr>
              <w:spacing w:after="0" w:line="276" w:lineRule="auto"/>
            </w:pPr>
            <w:r>
              <w:t>The controversy surrounding American Eagle Outfitters' denim hijab primarily affected Muslim consumers globally, who expressed their discontent and concerns about the brand's actions.</w:t>
            </w:r>
          </w:p>
        </w:tc>
      </w:tr>
      <w:tr w:rsidR="002530E2" w14:paraId="040DF6A8" w14:textId="77777777">
        <w:tc>
          <w:tcPr>
            <w:tcW w:w="1905" w:type="dxa"/>
            <w:shd w:val="clear" w:color="auto" w:fill="auto"/>
            <w:tcMar>
              <w:top w:w="100" w:type="dxa"/>
              <w:left w:w="100" w:type="dxa"/>
              <w:bottom w:w="100" w:type="dxa"/>
              <w:right w:w="100" w:type="dxa"/>
            </w:tcMar>
          </w:tcPr>
          <w:p w14:paraId="7B792F8D"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3224069" w14:textId="77777777" w:rsidR="002530E2" w:rsidRDefault="002530E2">
            <w:pPr>
              <w:spacing w:after="0" w:line="276" w:lineRule="auto"/>
            </w:pPr>
            <w:r>
              <w:t>Muslim consumers were directly impacted by this incident, as they viewed the sale of the denim hijab as an exploitation of their religious symbol. Many felt that American Eagle Outfitters was profiting from their faith without adequately understanding or respecting its significance.</w:t>
            </w:r>
          </w:p>
        </w:tc>
      </w:tr>
      <w:tr w:rsidR="002530E2" w14:paraId="74924BD1" w14:textId="77777777">
        <w:tc>
          <w:tcPr>
            <w:tcW w:w="1905" w:type="dxa"/>
            <w:shd w:val="clear" w:color="auto" w:fill="auto"/>
            <w:tcMar>
              <w:top w:w="100" w:type="dxa"/>
              <w:left w:w="100" w:type="dxa"/>
              <w:bottom w:w="100" w:type="dxa"/>
              <w:right w:w="100" w:type="dxa"/>
            </w:tcMar>
          </w:tcPr>
          <w:p w14:paraId="26BC3DE9"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1E9FD3EF" w14:textId="77777777" w:rsidR="002530E2" w:rsidRDefault="002530E2">
            <w:pPr>
              <w:spacing w:after="0" w:line="276" w:lineRule="auto"/>
            </w:pPr>
            <w:r>
              <w:t>American Eagle Outfitters, a popular clothing retailer, faced backlash from Muslim consumers and the wider public due to the introduction of the denim hijab. The company's decision to sell a religiously significant item without proper cultural sensitivity and consultation resulted in negative sentiment and criticism.</w:t>
            </w:r>
          </w:p>
        </w:tc>
      </w:tr>
      <w:tr w:rsidR="002530E2" w14:paraId="32B3341B" w14:textId="77777777">
        <w:tc>
          <w:tcPr>
            <w:tcW w:w="1905" w:type="dxa"/>
            <w:shd w:val="clear" w:color="auto" w:fill="auto"/>
            <w:tcMar>
              <w:top w:w="100" w:type="dxa"/>
              <w:left w:w="100" w:type="dxa"/>
              <w:bottom w:w="100" w:type="dxa"/>
              <w:right w:w="100" w:type="dxa"/>
            </w:tcMar>
          </w:tcPr>
          <w:p w14:paraId="2B738285"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0962E9E2" w14:textId="77777777" w:rsidR="002530E2" w:rsidRDefault="002530E2">
            <w:pPr>
              <w:spacing w:after="0" w:line="276" w:lineRule="auto"/>
            </w:pPr>
            <w:r>
              <w:t>Muslim consumers expressed their disappointment and frustration at the commercialization of the hijab, considering it a sacred symbol of their faith. They felt that American Eagle Outfitters' actions trivialised the hijab's spiritual and cultural significance, leading to a loss of trust and damage to the brand's reputation among this consumer group.</w:t>
            </w:r>
          </w:p>
        </w:tc>
      </w:tr>
      <w:tr w:rsidR="002530E2" w14:paraId="557695CC" w14:textId="77777777">
        <w:tc>
          <w:tcPr>
            <w:tcW w:w="1905" w:type="dxa"/>
            <w:shd w:val="clear" w:color="auto" w:fill="auto"/>
            <w:tcMar>
              <w:top w:w="100" w:type="dxa"/>
              <w:left w:w="100" w:type="dxa"/>
              <w:bottom w:w="100" w:type="dxa"/>
              <w:right w:w="100" w:type="dxa"/>
            </w:tcMar>
          </w:tcPr>
          <w:p w14:paraId="1FE2C1B5"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92E04AF" w14:textId="77777777" w:rsidR="002530E2" w:rsidRDefault="002530E2">
            <w:pPr>
              <w:spacing w:after="0" w:line="276" w:lineRule="auto"/>
            </w:pPr>
            <w:r>
              <w:t>The controversy surrounding the denim hijab had implications for American Eagle Outfitters' brand image and public perception. The company faced criticism for cultural insensitivity and appropriation, which affected its reputation and resulted in a decline in customer trust and loyalty among Muslim consumers.</w:t>
            </w:r>
          </w:p>
        </w:tc>
      </w:tr>
      <w:tr w:rsidR="002530E2" w14:paraId="28E2D79A" w14:textId="77777777">
        <w:tc>
          <w:tcPr>
            <w:tcW w:w="1905" w:type="dxa"/>
            <w:shd w:val="clear" w:color="auto" w:fill="auto"/>
            <w:tcMar>
              <w:top w:w="100" w:type="dxa"/>
              <w:left w:w="100" w:type="dxa"/>
              <w:bottom w:w="100" w:type="dxa"/>
              <w:right w:w="100" w:type="dxa"/>
            </w:tcMar>
          </w:tcPr>
          <w:p w14:paraId="415DA659"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40C38C1C" w14:textId="77777777" w:rsidR="002530E2" w:rsidRDefault="002530E2">
            <w:pPr>
              <w:spacing w:after="0" w:line="276" w:lineRule="auto"/>
            </w:pPr>
            <w:r>
              <w:t>The introduction of the denim hijab without adequate understanding of its cultural and religious significance reflected a lack of cultural sensitivity and consultation within American Eagle Outfitters. The decision to commercialise a religious symbol without proper knowledge or engagement with the Muslim community contributed to the controversy.</w:t>
            </w:r>
          </w:p>
        </w:tc>
      </w:tr>
      <w:tr w:rsidR="002530E2" w14:paraId="740E7F40" w14:textId="77777777">
        <w:tc>
          <w:tcPr>
            <w:tcW w:w="1905" w:type="dxa"/>
            <w:shd w:val="clear" w:color="auto" w:fill="auto"/>
            <w:tcMar>
              <w:top w:w="100" w:type="dxa"/>
              <w:left w:w="100" w:type="dxa"/>
              <w:bottom w:w="100" w:type="dxa"/>
              <w:right w:w="100" w:type="dxa"/>
            </w:tcMar>
          </w:tcPr>
          <w:p w14:paraId="21760916"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4847582D" w14:textId="77777777" w:rsidR="002530E2" w:rsidRDefault="002530E2">
            <w:pPr>
              <w:spacing w:after="0" w:line="276" w:lineRule="auto"/>
            </w:pPr>
            <w:r>
              <w:t>In response to the backlash, American Eagle Outfitters issued a public apology and announced the discontinuation of the denim hijab. The company acknowledged the concerns raised by Muslim consumers and committed to engaging in constructive dialogue to better understand cultural sensitivities in the future.</w:t>
            </w:r>
          </w:p>
        </w:tc>
      </w:tr>
      <w:tr w:rsidR="002530E2" w14:paraId="294CBECA" w14:textId="77777777">
        <w:tc>
          <w:tcPr>
            <w:tcW w:w="1905" w:type="dxa"/>
            <w:shd w:val="clear" w:color="auto" w:fill="auto"/>
            <w:tcMar>
              <w:top w:w="100" w:type="dxa"/>
              <w:left w:w="100" w:type="dxa"/>
              <w:bottom w:w="100" w:type="dxa"/>
              <w:right w:w="100" w:type="dxa"/>
            </w:tcMar>
          </w:tcPr>
          <w:p w14:paraId="6B34B056" w14:textId="77777777" w:rsidR="002530E2" w:rsidRDefault="002530E2">
            <w:pPr>
              <w:spacing w:after="0" w:line="276" w:lineRule="auto"/>
            </w:pPr>
            <w:r>
              <w:t xml:space="preserve">IRE 11: FUTURE PREVENTION STRATEGIES — WHAT ARE THE </w:t>
            </w:r>
            <w:r>
              <w:lastRenderedPageBreak/>
              <w:t>LESSONS LEARNED?</w:t>
            </w:r>
          </w:p>
        </w:tc>
        <w:tc>
          <w:tcPr>
            <w:tcW w:w="7125" w:type="dxa"/>
            <w:shd w:val="clear" w:color="auto" w:fill="auto"/>
            <w:tcMar>
              <w:top w:w="100" w:type="dxa"/>
              <w:left w:w="100" w:type="dxa"/>
              <w:bottom w:w="100" w:type="dxa"/>
              <w:right w:w="100" w:type="dxa"/>
            </w:tcMar>
          </w:tcPr>
          <w:p w14:paraId="5F5DB745" w14:textId="77777777" w:rsidR="002530E2" w:rsidRDefault="002530E2">
            <w:pPr>
              <w:spacing w:after="0" w:line="276" w:lineRule="auto"/>
            </w:pPr>
            <w:r>
              <w:lastRenderedPageBreak/>
              <w:t xml:space="preserve">To prevent similar incidents, companies should prioritise cultural competence and consultation when introducing products or services that intersect with religious or cultural symbols. Engaging with relevant communities and seeking input from diverse perspectives can help businesses navigate </w:t>
            </w:r>
            <w:r>
              <w:lastRenderedPageBreak/>
              <w:t>potential sensitivities and avoid unintended offences. Moving forward, American Eagle Outfitters and other brands should establish cultural sensitivity training programmes for their employees and incorporate diverse voices in decision-making processes. This can promote better understanding and prevent cultural appropriation or insensitivity in product offerings.</w:t>
            </w:r>
          </w:p>
        </w:tc>
      </w:tr>
      <w:tr w:rsidR="002530E2" w14:paraId="5A50CA3B" w14:textId="77777777">
        <w:tc>
          <w:tcPr>
            <w:tcW w:w="1905" w:type="dxa"/>
            <w:shd w:val="clear" w:color="auto" w:fill="auto"/>
            <w:tcMar>
              <w:top w:w="100" w:type="dxa"/>
              <w:left w:w="100" w:type="dxa"/>
              <w:bottom w:w="100" w:type="dxa"/>
              <w:right w:w="100" w:type="dxa"/>
            </w:tcMar>
          </w:tcPr>
          <w:p w14:paraId="0040145E"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355A0A7A" w14:textId="77777777" w:rsidR="002530E2" w:rsidRDefault="002530E2">
            <w:pPr>
              <w:spacing w:after="0" w:line="276" w:lineRule="auto"/>
            </w:pPr>
            <w:r>
              <w:t>The controversy surrounding American Eagle Outfitters' denim hijab highlighted the importance of cultural sensitivity and consultation when engaging with religious symbols or cultural artefacts. The incident serves as a reminder to businesses to carefully consider the implications of their actions and engage in meaningful dialogue with affected communities to avoid cross-cultural blunders.</w:t>
            </w:r>
          </w:p>
        </w:tc>
      </w:tr>
    </w:tbl>
    <w:p w14:paraId="686B0E7A" w14:textId="77777777" w:rsidR="002530E2" w:rsidRDefault="002530E2"/>
    <w:p w14:paraId="6E173E60" w14:textId="77777777" w:rsidR="002530E2" w:rsidRDefault="002530E2">
      <w:pPr>
        <w:pStyle w:val="Heading2"/>
      </w:pPr>
      <w:bookmarkStart w:id="442" w:name="_jx9cwx353fms" w:colFirst="0" w:colLast="0"/>
      <w:bookmarkEnd w:id="442"/>
      <w:r>
        <w:t>IR 024 (2017: L'Oreal,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80D3D19" w14:textId="77777777">
        <w:tc>
          <w:tcPr>
            <w:tcW w:w="1905" w:type="dxa"/>
            <w:shd w:val="clear" w:color="auto" w:fill="auto"/>
            <w:tcMar>
              <w:top w:w="100" w:type="dxa"/>
              <w:left w:w="100" w:type="dxa"/>
              <w:bottom w:w="100" w:type="dxa"/>
              <w:right w:w="100" w:type="dxa"/>
            </w:tcMar>
          </w:tcPr>
          <w:p w14:paraId="0CC0E3D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EF13F10" w14:textId="77777777" w:rsidR="002530E2" w:rsidRDefault="002530E2">
            <w:pPr>
              <w:spacing w:after="0" w:line="276" w:lineRule="auto"/>
            </w:pPr>
            <w:r>
              <w:t>Incident Report Title: “L'Oreal's Campaign Controversy and Backlash from Muslim Consumers”</w:t>
            </w:r>
          </w:p>
        </w:tc>
      </w:tr>
      <w:tr w:rsidR="002530E2" w14:paraId="1160F871" w14:textId="77777777">
        <w:tc>
          <w:tcPr>
            <w:tcW w:w="1905" w:type="dxa"/>
            <w:shd w:val="clear" w:color="auto" w:fill="auto"/>
            <w:tcMar>
              <w:top w:w="100" w:type="dxa"/>
              <w:left w:w="100" w:type="dxa"/>
              <w:bottom w:w="100" w:type="dxa"/>
              <w:right w:w="100" w:type="dxa"/>
            </w:tcMar>
          </w:tcPr>
          <w:p w14:paraId="5EEDE4B0"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676B1066" w14:textId="77777777" w:rsidR="002530E2" w:rsidRDefault="002530E2">
            <w:pPr>
              <w:spacing w:after="0" w:line="276" w:lineRule="auto"/>
            </w:pPr>
            <w:r>
              <w:t>This case examines the backlash faced by L'Oreal in 2017 after the cosmetics company dropped British model Amena Khan from a haircare campaign due to her tweets criticising Israel. The decision triggered criticism from Muslim consumers, who perceived it as politically motivated and called for a boycott of the brand.</w:t>
            </w:r>
          </w:p>
        </w:tc>
      </w:tr>
      <w:tr w:rsidR="002530E2" w14:paraId="4DA31114" w14:textId="77777777">
        <w:tc>
          <w:tcPr>
            <w:tcW w:w="1905" w:type="dxa"/>
            <w:shd w:val="clear" w:color="auto" w:fill="auto"/>
            <w:tcMar>
              <w:top w:w="100" w:type="dxa"/>
              <w:left w:w="100" w:type="dxa"/>
              <w:bottom w:w="100" w:type="dxa"/>
              <w:right w:w="100" w:type="dxa"/>
            </w:tcMar>
          </w:tcPr>
          <w:p w14:paraId="5027C34B"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207BEF96" w14:textId="77777777" w:rsidR="002530E2" w:rsidRDefault="002530E2">
            <w:pPr>
              <w:spacing w:after="0" w:line="276" w:lineRule="auto"/>
            </w:pPr>
            <w:r>
              <w:t>In 2017, L'Oreal selected Amena Khan, a British model and influencer, to be part of a haircare campaign. However, after discovering her previous tweets expressing criticism towards Israel, the company decided to drop her from the campaign. This decision created a wave of controversy and backlash from Muslim consumers.</w:t>
            </w:r>
          </w:p>
        </w:tc>
      </w:tr>
      <w:tr w:rsidR="002530E2" w14:paraId="649D5C09" w14:textId="77777777">
        <w:tc>
          <w:tcPr>
            <w:tcW w:w="1905" w:type="dxa"/>
            <w:shd w:val="clear" w:color="auto" w:fill="auto"/>
            <w:tcMar>
              <w:top w:w="100" w:type="dxa"/>
              <w:left w:w="100" w:type="dxa"/>
              <w:bottom w:w="100" w:type="dxa"/>
              <w:right w:w="100" w:type="dxa"/>
            </w:tcMar>
          </w:tcPr>
          <w:p w14:paraId="03D2FFF7"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0B25616" w14:textId="77777777" w:rsidR="002530E2" w:rsidRDefault="002530E2">
            <w:pPr>
              <w:spacing w:after="0" w:line="276" w:lineRule="auto"/>
            </w:pPr>
            <w:r>
              <w:t>The incident occurred in 2017, when L'Oreal dropped Amena Khan from the haircare campaign due to her past tweets.</w:t>
            </w:r>
          </w:p>
        </w:tc>
      </w:tr>
      <w:tr w:rsidR="002530E2" w14:paraId="30CD01AD" w14:textId="77777777">
        <w:tc>
          <w:tcPr>
            <w:tcW w:w="1905" w:type="dxa"/>
            <w:shd w:val="clear" w:color="auto" w:fill="auto"/>
            <w:tcMar>
              <w:top w:w="100" w:type="dxa"/>
              <w:left w:w="100" w:type="dxa"/>
              <w:bottom w:w="100" w:type="dxa"/>
              <w:right w:w="100" w:type="dxa"/>
            </w:tcMar>
          </w:tcPr>
          <w:p w14:paraId="03E0C181"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606C2B7B" w14:textId="77777777" w:rsidR="002530E2" w:rsidRDefault="002530E2">
            <w:pPr>
              <w:spacing w:after="0" w:line="276" w:lineRule="auto"/>
            </w:pPr>
            <w:r>
              <w:t>The controversy surrounding L'Oreal's decision to drop Amena Khan from the campaign took place on a global scale, with discussions and reactions emerging in various countries with Muslim populations.</w:t>
            </w:r>
          </w:p>
        </w:tc>
      </w:tr>
      <w:tr w:rsidR="002530E2" w14:paraId="7989C7FB" w14:textId="77777777">
        <w:tc>
          <w:tcPr>
            <w:tcW w:w="1905" w:type="dxa"/>
            <w:shd w:val="clear" w:color="auto" w:fill="auto"/>
            <w:tcMar>
              <w:top w:w="100" w:type="dxa"/>
              <w:left w:w="100" w:type="dxa"/>
              <w:bottom w:w="100" w:type="dxa"/>
              <w:right w:w="100" w:type="dxa"/>
            </w:tcMar>
          </w:tcPr>
          <w:p w14:paraId="43C60438" w14:textId="77777777" w:rsidR="002530E2" w:rsidRDefault="002530E2">
            <w:pPr>
              <w:spacing w:after="0" w:line="276" w:lineRule="auto"/>
            </w:pPr>
            <w:r>
              <w:t xml:space="preserve">IRE 5: VICTIM GROUP — WHO </w:t>
            </w:r>
            <w:r>
              <w:lastRenderedPageBreak/>
              <w:t>WAS FIRST AFFECTED?</w:t>
            </w:r>
          </w:p>
        </w:tc>
        <w:tc>
          <w:tcPr>
            <w:tcW w:w="7125" w:type="dxa"/>
            <w:shd w:val="clear" w:color="auto" w:fill="auto"/>
            <w:tcMar>
              <w:top w:w="100" w:type="dxa"/>
              <w:left w:w="100" w:type="dxa"/>
              <w:bottom w:w="100" w:type="dxa"/>
              <w:right w:w="100" w:type="dxa"/>
            </w:tcMar>
          </w:tcPr>
          <w:p w14:paraId="1E9C9EEE" w14:textId="77777777" w:rsidR="002530E2" w:rsidRDefault="002530E2">
            <w:pPr>
              <w:spacing w:after="0" w:line="276" w:lineRule="auto"/>
            </w:pPr>
            <w:r>
              <w:lastRenderedPageBreak/>
              <w:t xml:space="preserve">Muslim consumers, particularly those who were familiar with Amena Khan and her activism, perceived L'Oreal's decision to drop her from the campaign </w:t>
            </w:r>
            <w:r>
              <w:lastRenderedPageBreak/>
              <w:t>as an act of political bias and discrimination. They felt that the decision undermined their representation and called for a boycott of the brand.</w:t>
            </w:r>
          </w:p>
        </w:tc>
      </w:tr>
      <w:tr w:rsidR="002530E2" w14:paraId="47DA7A3D" w14:textId="77777777">
        <w:tc>
          <w:tcPr>
            <w:tcW w:w="1905" w:type="dxa"/>
            <w:shd w:val="clear" w:color="auto" w:fill="auto"/>
            <w:tcMar>
              <w:top w:w="100" w:type="dxa"/>
              <w:left w:w="100" w:type="dxa"/>
              <w:bottom w:w="100" w:type="dxa"/>
              <w:right w:w="100" w:type="dxa"/>
            </w:tcMar>
          </w:tcPr>
          <w:p w14:paraId="35C9D8E0"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1B91EA69" w14:textId="77777777" w:rsidR="002530E2" w:rsidRDefault="002530E2">
            <w:pPr>
              <w:spacing w:after="0" w:line="276" w:lineRule="auto"/>
            </w:pPr>
            <w:r>
              <w:t>L'Oreal, the cosmetics company involved in the controversy, faced criticism and accusations of political bias from Muslim consumers. The incident shed light on the challenges faced by multinational companies when navigating sensitive political issues and the impact of such decisions on their brand reputation.</w:t>
            </w:r>
          </w:p>
        </w:tc>
      </w:tr>
      <w:tr w:rsidR="002530E2" w14:paraId="7B8AB305" w14:textId="77777777">
        <w:tc>
          <w:tcPr>
            <w:tcW w:w="1905" w:type="dxa"/>
            <w:shd w:val="clear" w:color="auto" w:fill="auto"/>
            <w:tcMar>
              <w:top w:w="100" w:type="dxa"/>
              <w:left w:w="100" w:type="dxa"/>
              <w:bottom w:w="100" w:type="dxa"/>
              <w:right w:w="100" w:type="dxa"/>
            </w:tcMar>
          </w:tcPr>
          <w:p w14:paraId="23904390"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07CB723" w14:textId="77777777" w:rsidR="002530E2" w:rsidRDefault="002530E2">
            <w:pPr>
              <w:spacing w:after="0" w:line="276" w:lineRule="auto"/>
            </w:pPr>
            <w:r>
              <w:t>Muslim consumers who identified with Amena Khan and her activism felt betrayed by L'Oreal's decision to drop her from the campaign. They perceived the action as a silencing of their voices and expressed their discontent through social media, boycott calls, and discussions within their communities.</w:t>
            </w:r>
          </w:p>
        </w:tc>
      </w:tr>
      <w:tr w:rsidR="002530E2" w14:paraId="20AFEC4D" w14:textId="77777777">
        <w:tc>
          <w:tcPr>
            <w:tcW w:w="1905" w:type="dxa"/>
            <w:shd w:val="clear" w:color="auto" w:fill="auto"/>
            <w:tcMar>
              <w:top w:w="100" w:type="dxa"/>
              <w:left w:w="100" w:type="dxa"/>
              <w:bottom w:w="100" w:type="dxa"/>
              <w:right w:w="100" w:type="dxa"/>
            </w:tcMar>
          </w:tcPr>
          <w:p w14:paraId="1302CA05"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D0CD763" w14:textId="77777777" w:rsidR="002530E2" w:rsidRDefault="002530E2">
            <w:pPr>
              <w:spacing w:after="0" w:line="276" w:lineRule="auto"/>
            </w:pPr>
            <w:r>
              <w:t>L'Oreal faced significant reputational damage as a result of the controversy. The decision to drop Amena Khan sparked negative publicity and accusations of political bias. The boycott calls and negative sentiment surrounding the incident raised questions about the company's commitment to diversity, inclusivity, and the fair representation of marginalised communities.</w:t>
            </w:r>
          </w:p>
        </w:tc>
      </w:tr>
      <w:tr w:rsidR="002530E2" w14:paraId="3EA4000B" w14:textId="77777777">
        <w:tc>
          <w:tcPr>
            <w:tcW w:w="1905" w:type="dxa"/>
            <w:shd w:val="clear" w:color="auto" w:fill="auto"/>
            <w:tcMar>
              <w:top w:w="100" w:type="dxa"/>
              <w:left w:w="100" w:type="dxa"/>
              <w:bottom w:w="100" w:type="dxa"/>
              <w:right w:w="100" w:type="dxa"/>
            </w:tcMar>
          </w:tcPr>
          <w:p w14:paraId="1808F8DA"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2B3F837C" w14:textId="77777777" w:rsidR="002530E2" w:rsidRDefault="002530E2">
            <w:pPr>
              <w:spacing w:after="0" w:line="276" w:lineRule="auto"/>
            </w:pPr>
            <w:r>
              <w:t>The cross-cultural blunder occurred due to L'Oreal's handling of the situation, which was perceived by Muslim consumers as prioritizing political considerations over inclusivity and diversity. The decision to drop Amena Khan based on her political views led to accusations of discrimination and the alienation of a significant consumer base.</w:t>
            </w:r>
          </w:p>
        </w:tc>
      </w:tr>
      <w:tr w:rsidR="002530E2" w14:paraId="30D34138" w14:textId="77777777">
        <w:tc>
          <w:tcPr>
            <w:tcW w:w="1905" w:type="dxa"/>
            <w:shd w:val="clear" w:color="auto" w:fill="auto"/>
            <w:tcMar>
              <w:top w:w="100" w:type="dxa"/>
              <w:left w:w="100" w:type="dxa"/>
              <w:bottom w:w="100" w:type="dxa"/>
              <w:right w:w="100" w:type="dxa"/>
            </w:tcMar>
          </w:tcPr>
          <w:p w14:paraId="34A2713A"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6DE7FA2" w14:textId="77777777" w:rsidR="002530E2" w:rsidRDefault="002530E2">
            <w:pPr>
              <w:spacing w:after="0" w:line="276" w:lineRule="auto"/>
            </w:pPr>
            <w:r>
              <w:t>In response to the backlash, L'Oreal released a statement clarifying that the decision to drop Amena Khan was not based on her religion or political views but on ensuring a positive brand image. The company expressed regret for any misunderstanding and reaffirmed its commitment to diversity and inclusivity.</w:t>
            </w:r>
          </w:p>
        </w:tc>
      </w:tr>
      <w:tr w:rsidR="002530E2" w14:paraId="54C6FBF5" w14:textId="77777777">
        <w:tc>
          <w:tcPr>
            <w:tcW w:w="1905" w:type="dxa"/>
            <w:shd w:val="clear" w:color="auto" w:fill="auto"/>
            <w:tcMar>
              <w:top w:w="100" w:type="dxa"/>
              <w:left w:w="100" w:type="dxa"/>
              <w:bottom w:w="100" w:type="dxa"/>
              <w:right w:w="100" w:type="dxa"/>
            </w:tcMar>
          </w:tcPr>
          <w:p w14:paraId="3379D33E"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63A9B974" w14:textId="77777777" w:rsidR="002530E2" w:rsidRDefault="002530E2">
            <w:pPr>
              <w:spacing w:after="0" w:line="276" w:lineRule="auto"/>
            </w:pPr>
            <w:r>
              <w:t>To prevent similar incidents, companies like L'Oreal should establish clear guidelines and protocols for navigating sensitive political issues. This includes developing frameworks that balance brand reputation concerns with the fair representation of diverse voices, ensuring transparency in decision-making processes, and fostering open dialogue with stakeholders.</w:t>
            </w:r>
          </w:p>
          <w:p w14:paraId="013C7F5F" w14:textId="77777777" w:rsidR="002530E2" w:rsidRDefault="002530E2">
            <w:pPr>
              <w:spacing w:after="0" w:line="276" w:lineRule="auto"/>
            </w:pPr>
          </w:p>
          <w:p w14:paraId="08EF0607" w14:textId="77777777" w:rsidR="002530E2" w:rsidRDefault="002530E2">
            <w:pPr>
              <w:spacing w:after="0" w:line="276" w:lineRule="auto"/>
            </w:pPr>
            <w:r>
              <w:t xml:space="preserve">In the future, L'Oreal and other companies should consider the potential impact of their decisions on diverse communities and engage in meaningful dialogue with relevant stakeholders. This includes listening to consumer feedback, diversifying their brand ambassadors and campaign narratives, and </w:t>
            </w:r>
            <w:r>
              <w:lastRenderedPageBreak/>
              <w:t>adopting practices that demonstrate inclusivity and respect for different perspectives.</w:t>
            </w:r>
          </w:p>
        </w:tc>
      </w:tr>
      <w:tr w:rsidR="002530E2" w14:paraId="56CC1DD8" w14:textId="77777777">
        <w:tc>
          <w:tcPr>
            <w:tcW w:w="1905" w:type="dxa"/>
            <w:shd w:val="clear" w:color="auto" w:fill="auto"/>
            <w:tcMar>
              <w:top w:w="100" w:type="dxa"/>
              <w:left w:w="100" w:type="dxa"/>
              <w:bottom w:w="100" w:type="dxa"/>
              <w:right w:w="100" w:type="dxa"/>
            </w:tcMar>
          </w:tcPr>
          <w:p w14:paraId="70BCBAEF"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135C4B94" w14:textId="77777777" w:rsidR="002530E2" w:rsidRDefault="002530E2">
            <w:pPr>
              <w:spacing w:after="0" w:line="276" w:lineRule="auto"/>
            </w:pPr>
            <w:r>
              <w:t>The controversy surrounding L'Oreal's decision to drop Amena Khan from a haircare campaign due to her tweets criticising Israel led to significant backlash from Muslim consumers. The incident highlighted the challenges companies face when navigating sensitive political issues and emphasised the importance of inclusivity and fair representation. L'Oreal's response to the incident aimed to clarify its position and reaffirm its commitment to diversity and inclusivity.</w:t>
            </w:r>
          </w:p>
        </w:tc>
      </w:tr>
    </w:tbl>
    <w:p w14:paraId="6FA1C055" w14:textId="77777777" w:rsidR="002530E2" w:rsidRDefault="002530E2"/>
    <w:p w14:paraId="2B5C670E" w14:textId="77777777" w:rsidR="002530E2" w:rsidRDefault="002530E2">
      <w:pPr>
        <w:pStyle w:val="Heading2"/>
      </w:pPr>
      <w:bookmarkStart w:id="443" w:name="_91t4cynmq4fs" w:colFirst="0" w:colLast="0"/>
      <w:bookmarkEnd w:id="443"/>
      <w:r>
        <w:t>IR 025 (2017: Dove,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9A5634A" w14:textId="77777777">
        <w:tc>
          <w:tcPr>
            <w:tcW w:w="1905" w:type="dxa"/>
            <w:shd w:val="clear" w:color="auto" w:fill="auto"/>
            <w:tcMar>
              <w:top w:w="100" w:type="dxa"/>
              <w:left w:w="100" w:type="dxa"/>
              <w:bottom w:w="100" w:type="dxa"/>
              <w:right w:w="100" w:type="dxa"/>
            </w:tcMar>
          </w:tcPr>
          <w:p w14:paraId="12EA4667"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09B8761" w14:textId="77777777" w:rsidR="002530E2" w:rsidRDefault="002530E2">
            <w:pPr>
              <w:spacing w:after="0" w:line="276" w:lineRule="auto"/>
            </w:pPr>
            <w:r>
              <w:t>Incident Report Title: “Dove Facebook Ad Controversy and Backlash from Muslim Consumers”</w:t>
            </w:r>
          </w:p>
        </w:tc>
      </w:tr>
      <w:tr w:rsidR="002530E2" w14:paraId="33F6E4CB" w14:textId="77777777">
        <w:tc>
          <w:tcPr>
            <w:tcW w:w="1905" w:type="dxa"/>
            <w:shd w:val="clear" w:color="auto" w:fill="auto"/>
            <w:tcMar>
              <w:top w:w="100" w:type="dxa"/>
              <w:left w:w="100" w:type="dxa"/>
              <w:bottom w:w="100" w:type="dxa"/>
              <w:right w:w="100" w:type="dxa"/>
            </w:tcMar>
          </w:tcPr>
          <w:p w14:paraId="48DED98F"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284D2E53" w14:textId="77777777" w:rsidR="002530E2" w:rsidRDefault="002530E2">
            <w:pPr>
              <w:spacing w:after="0" w:line="276" w:lineRule="auto"/>
            </w:pPr>
            <w:r>
              <w:t>This case examines the criticism faced by Dove in 2017 following the release of a Facebook ad that depicted a black woman removing her shirt to reveal a white woman. The ad was perceived as racist and reinforced colorism, leading to significant backlash from Muslim consumers and calls for a boycott of the beauty brand.</w:t>
            </w:r>
          </w:p>
        </w:tc>
      </w:tr>
      <w:tr w:rsidR="002530E2" w14:paraId="0B22F1F6" w14:textId="77777777">
        <w:tc>
          <w:tcPr>
            <w:tcW w:w="1905" w:type="dxa"/>
            <w:shd w:val="clear" w:color="auto" w:fill="auto"/>
            <w:tcMar>
              <w:top w:w="100" w:type="dxa"/>
              <w:left w:w="100" w:type="dxa"/>
              <w:bottom w:w="100" w:type="dxa"/>
              <w:right w:w="100" w:type="dxa"/>
            </w:tcMar>
          </w:tcPr>
          <w:p w14:paraId="21B413E5"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46BEAFF" w14:textId="77777777" w:rsidR="002530E2" w:rsidRDefault="002530E2">
            <w:pPr>
              <w:spacing w:after="0" w:line="276" w:lineRule="auto"/>
            </w:pPr>
            <w:r>
              <w:t>In 2017, Dove released a Facebook ad that showcased a sequence of images where a black woman removes her shirt to reveal a white woman. The ad intended to convey the idea of diversity and inclusivity, but it was met with strong criticism from Muslim consumers and others who interpreted it as promoting racial insensitivity and colorism.</w:t>
            </w:r>
          </w:p>
        </w:tc>
      </w:tr>
      <w:tr w:rsidR="002530E2" w14:paraId="4F79EFFB" w14:textId="77777777">
        <w:tc>
          <w:tcPr>
            <w:tcW w:w="1905" w:type="dxa"/>
            <w:shd w:val="clear" w:color="auto" w:fill="auto"/>
            <w:tcMar>
              <w:top w:w="100" w:type="dxa"/>
              <w:left w:w="100" w:type="dxa"/>
              <w:bottom w:w="100" w:type="dxa"/>
              <w:right w:w="100" w:type="dxa"/>
            </w:tcMar>
          </w:tcPr>
          <w:p w14:paraId="56A91C1E"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30A89C1E" w14:textId="77777777" w:rsidR="002530E2" w:rsidRDefault="002530E2">
            <w:pPr>
              <w:spacing w:after="0" w:line="276" w:lineRule="auto"/>
            </w:pPr>
            <w:r>
              <w:t>The incident occurred in 2017, when Dove released the Facebook ad that sparked controversy.</w:t>
            </w:r>
          </w:p>
        </w:tc>
      </w:tr>
      <w:tr w:rsidR="002530E2" w14:paraId="6977331F" w14:textId="77777777">
        <w:tc>
          <w:tcPr>
            <w:tcW w:w="1905" w:type="dxa"/>
            <w:shd w:val="clear" w:color="auto" w:fill="auto"/>
            <w:tcMar>
              <w:top w:w="100" w:type="dxa"/>
              <w:left w:w="100" w:type="dxa"/>
              <w:bottom w:w="100" w:type="dxa"/>
              <w:right w:w="100" w:type="dxa"/>
            </w:tcMar>
          </w:tcPr>
          <w:p w14:paraId="13F85C29"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39F43A8E" w14:textId="77777777" w:rsidR="002530E2" w:rsidRDefault="002530E2">
            <w:pPr>
              <w:spacing w:after="0" w:line="276" w:lineRule="auto"/>
            </w:pPr>
            <w:r>
              <w:t>The controversy surrounding the Dove Facebook ad unfolded globally as the ad was shared and viewed widely on social media platforms.</w:t>
            </w:r>
          </w:p>
        </w:tc>
      </w:tr>
      <w:tr w:rsidR="002530E2" w14:paraId="775423EA" w14:textId="77777777">
        <w:tc>
          <w:tcPr>
            <w:tcW w:w="1905" w:type="dxa"/>
            <w:shd w:val="clear" w:color="auto" w:fill="auto"/>
            <w:tcMar>
              <w:top w:w="100" w:type="dxa"/>
              <w:left w:w="100" w:type="dxa"/>
              <w:bottom w:w="100" w:type="dxa"/>
              <w:right w:w="100" w:type="dxa"/>
            </w:tcMar>
          </w:tcPr>
          <w:p w14:paraId="1CF12ECA"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6B9CBEE4" w14:textId="77777777" w:rsidR="002530E2" w:rsidRDefault="002530E2">
            <w:pPr>
              <w:spacing w:after="0" w:line="276" w:lineRule="auto"/>
            </w:pPr>
            <w:r>
              <w:t>Muslim consumers were among the individuals who felt offended and criticised the Dove ad for its perceived racial insensitivity and reinforcement of colorist ideas.</w:t>
            </w:r>
          </w:p>
        </w:tc>
      </w:tr>
      <w:tr w:rsidR="002530E2" w14:paraId="79907D37" w14:textId="77777777">
        <w:tc>
          <w:tcPr>
            <w:tcW w:w="1905" w:type="dxa"/>
            <w:shd w:val="clear" w:color="auto" w:fill="auto"/>
            <w:tcMar>
              <w:top w:w="100" w:type="dxa"/>
              <w:left w:w="100" w:type="dxa"/>
              <w:bottom w:w="100" w:type="dxa"/>
              <w:right w:w="100" w:type="dxa"/>
            </w:tcMar>
          </w:tcPr>
          <w:p w14:paraId="71F2C835"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09F7915E" w14:textId="77777777" w:rsidR="002530E2" w:rsidRDefault="002530E2">
            <w:pPr>
              <w:spacing w:after="0" w:line="276" w:lineRule="auto"/>
            </w:pPr>
            <w:r>
              <w:t>Dove, the beauty brand responsible for the ad, faced significant backlash and criticism from Muslim consumers and the wider public. The incident raised concerns about the brand's understanding of racial dynamics and its commitment to promoting inclusivity and diversity.</w:t>
            </w:r>
          </w:p>
        </w:tc>
      </w:tr>
      <w:tr w:rsidR="002530E2" w14:paraId="7ACDDE4F" w14:textId="77777777">
        <w:tc>
          <w:tcPr>
            <w:tcW w:w="1905" w:type="dxa"/>
            <w:shd w:val="clear" w:color="auto" w:fill="auto"/>
            <w:tcMar>
              <w:top w:w="100" w:type="dxa"/>
              <w:left w:w="100" w:type="dxa"/>
              <w:bottom w:w="100" w:type="dxa"/>
              <w:right w:w="100" w:type="dxa"/>
            </w:tcMar>
          </w:tcPr>
          <w:p w14:paraId="37209E6B"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96A3706" w14:textId="77777777" w:rsidR="002530E2" w:rsidRDefault="002530E2">
            <w:pPr>
              <w:spacing w:after="0" w:line="276" w:lineRule="auto"/>
            </w:pPr>
            <w:r>
              <w:t>Muslim consumers who found the ad offensive expressed their disappointment and frustration on social media platforms. Many Muslims called for a boycott of Dove products and shared their negative sentiments about the ad, highlighting the need for brands to be more conscious of cultural and racial sensitivities in their marketing campaigns.</w:t>
            </w:r>
          </w:p>
        </w:tc>
      </w:tr>
      <w:tr w:rsidR="002530E2" w14:paraId="45640DDA" w14:textId="77777777">
        <w:tc>
          <w:tcPr>
            <w:tcW w:w="1905" w:type="dxa"/>
            <w:shd w:val="clear" w:color="auto" w:fill="auto"/>
            <w:tcMar>
              <w:top w:w="100" w:type="dxa"/>
              <w:left w:w="100" w:type="dxa"/>
              <w:bottom w:w="100" w:type="dxa"/>
              <w:right w:w="100" w:type="dxa"/>
            </w:tcMar>
          </w:tcPr>
          <w:p w14:paraId="46D663BA"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29BCA71F" w14:textId="77777777" w:rsidR="002530E2" w:rsidRDefault="002530E2">
            <w:pPr>
              <w:spacing w:after="0" w:line="276" w:lineRule="auto"/>
            </w:pPr>
            <w:r>
              <w:t>Dove faced a significant reputational crisis as a result of the controversy surrounding the ad. The brand was subjected to widespread criticism and accusations of racism, prompting the company to issue an apology and withdraw the ad. The incident highlighted the importance of diversity training, cultural sensitivity, and thorough vetting of marketing materials for companies like Dove.</w:t>
            </w:r>
          </w:p>
        </w:tc>
      </w:tr>
      <w:tr w:rsidR="002530E2" w14:paraId="021241AB" w14:textId="77777777">
        <w:tc>
          <w:tcPr>
            <w:tcW w:w="1905" w:type="dxa"/>
            <w:shd w:val="clear" w:color="auto" w:fill="auto"/>
            <w:tcMar>
              <w:top w:w="100" w:type="dxa"/>
              <w:left w:w="100" w:type="dxa"/>
              <w:bottom w:w="100" w:type="dxa"/>
              <w:right w:w="100" w:type="dxa"/>
            </w:tcMar>
          </w:tcPr>
          <w:p w14:paraId="2A7449E0"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4A42DC82" w14:textId="77777777" w:rsidR="002530E2" w:rsidRDefault="002530E2">
            <w:pPr>
              <w:spacing w:after="0" w:line="276" w:lineRule="auto"/>
            </w:pPr>
            <w:r>
              <w:t>The cross-cultural blunder occurred due to a lack of awareness and sensitivity regarding racial dynamics and colorism in the advertising campaign. The ad's juxtaposition of a black woman transforming into a white woman was interpreted by many as perpetuating harmful stereotypes and reinforcing racial hierarchies.</w:t>
            </w:r>
          </w:p>
        </w:tc>
      </w:tr>
      <w:tr w:rsidR="002530E2" w14:paraId="2AC3618F" w14:textId="77777777">
        <w:tc>
          <w:tcPr>
            <w:tcW w:w="1905" w:type="dxa"/>
            <w:shd w:val="clear" w:color="auto" w:fill="auto"/>
            <w:tcMar>
              <w:top w:w="100" w:type="dxa"/>
              <w:left w:w="100" w:type="dxa"/>
              <w:bottom w:w="100" w:type="dxa"/>
              <w:right w:w="100" w:type="dxa"/>
            </w:tcMar>
          </w:tcPr>
          <w:p w14:paraId="116DF9D1"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43157F59" w14:textId="77777777" w:rsidR="002530E2" w:rsidRDefault="002530E2">
            <w:pPr>
              <w:spacing w:after="0" w:line="276" w:lineRule="auto"/>
            </w:pPr>
            <w:r>
              <w:t>In response to the backlash, Dove promptly issued an apology, acknowledging the concerns raised by Muslim consumers and others. The company committed to reviewing their internal processes, seeking diverse perspectives, and improving cultural competence to prevent similar incidents in the future.</w:t>
            </w:r>
          </w:p>
        </w:tc>
      </w:tr>
      <w:tr w:rsidR="002530E2" w14:paraId="21E60533" w14:textId="77777777">
        <w:tc>
          <w:tcPr>
            <w:tcW w:w="1905" w:type="dxa"/>
            <w:shd w:val="clear" w:color="auto" w:fill="auto"/>
            <w:tcMar>
              <w:top w:w="100" w:type="dxa"/>
              <w:left w:w="100" w:type="dxa"/>
              <w:bottom w:w="100" w:type="dxa"/>
              <w:right w:w="100" w:type="dxa"/>
            </w:tcMar>
          </w:tcPr>
          <w:p w14:paraId="248277D4"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3C3BC16E" w14:textId="77777777" w:rsidR="002530E2" w:rsidRDefault="002530E2">
            <w:pPr>
              <w:spacing w:after="0" w:line="276" w:lineRule="auto"/>
            </w:pPr>
            <w:r>
              <w:t>To prevent similar incidents, Dove should implement thorough cultural sensitivity training for its marketing teams. This training should encompass racial awareness, understanding diverse perspectives, and ensuring that advertising materials are thoroughly vetted to avoid perpetuating harmful stereotypes or promoting insensitivity.</w:t>
            </w:r>
          </w:p>
          <w:p w14:paraId="5B786264" w14:textId="77777777" w:rsidR="002530E2" w:rsidRDefault="002530E2">
            <w:pPr>
              <w:spacing w:after="0" w:line="276" w:lineRule="auto"/>
            </w:pPr>
          </w:p>
          <w:p w14:paraId="34637078" w14:textId="77777777" w:rsidR="002530E2" w:rsidRDefault="002530E2">
            <w:pPr>
              <w:spacing w:after="0" w:line="276" w:lineRule="auto"/>
            </w:pPr>
            <w:r>
              <w:t>Dove should prioritise inclusivity and diversity in its marketing efforts, actively seeking input from diverse communities, including Muslim consumers, to ensure that their campaigns are respectful, inclusive, and free from racial insensitivity. Regular evaluations, sensitivity testing, and diverse focus groups can aid in preventing future cross-cultural blunders.</w:t>
            </w:r>
          </w:p>
          <w:p w14:paraId="65DE72C6" w14:textId="77777777" w:rsidR="002530E2" w:rsidRDefault="002530E2">
            <w:pPr>
              <w:spacing w:after="0" w:line="276" w:lineRule="auto"/>
            </w:pPr>
          </w:p>
        </w:tc>
      </w:tr>
      <w:tr w:rsidR="002530E2" w14:paraId="2D9D6C71" w14:textId="77777777">
        <w:tc>
          <w:tcPr>
            <w:tcW w:w="1905" w:type="dxa"/>
            <w:shd w:val="clear" w:color="auto" w:fill="auto"/>
            <w:tcMar>
              <w:top w:w="100" w:type="dxa"/>
              <w:left w:w="100" w:type="dxa"/>
              <w:bottom w:w="100" w:type="dxa"/>
              <w:right w:w="100" w:type="dxa"/>
            </w:tcMar>
          </w:tcPr>
          <w:p w14:paraId="10624541"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25078C48" w14:textId="77777777" w:rsidR="002530E2" w:rsidRDefault="002530E2">
            <w:pPr>
              <w:spacing w:after="0" w:line="276" w:lineRule="auto"/>
            </w:pPr>
            <w:r>
              <w:t>In 2017, Dove faced criticism from Muslim consumers after releasing a Facebook ad that depicted a black woman removing her shirt to reveal a white woman. The ad was seen as racially insensitive, perpetuating colorism, and drawing calls for a boycott of the beauty brand. Dove issued an apology and pledged to improve its internal processes to avoid similar incidents in the future.</w:t>
            </w:r>
          </w:p>
        </w:tc>
      </w:tr>
    </w:tbl>
    <w:p w14:paraId="0B55ED11" w14:textId="77777777" w:rsidR="002530E2" w:rsidRDefault="002530E2"/>
    <w:p w14:paraId="7A74599F" w14:textId="77777777" w:rsidR="002530E2" w:rsidRDefault="002530E2">
      <w:pPr>
        <w:pStyle w:val="Heading2"/>
      </w:pPr>
      <w:bookmarkStart w:id="444" w:name="_47i64f9axqta" w:colFirst="0" w:colLast="0"/>
      <w:bookmarkEnd w:id="444"/>
      <w:r>
        <w:t>IR 026 (2017: Pepsi,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303D615F" w14:textId="77777777">
        <w:tc>
          <w:tcPr>
            <w:tcW w:w="1905" w:type="dxa"/>
            <w:shd w:val="clear" w:color="auto" w:fill="auto"/>
            <w:tcMar>
              <w:top w:w="100" w:type="dxa"/>
              <w:left w:w="100" w:type="dxa"/>
              <w:bottom w:w="100" w:type="dxa"/>
              <w:right w:w="100" w:type="dxa"/>
            </w:tcMar>
          </w:tcPr>
          <w:p w14:paraId="5C9F2EA8"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61CDD3A6" w14:textId="77777777" w:rsidR="002530E2" w:rsidRDefault="002530E2">
            <w:pPr>
              <w:spacing w:after="0" w:line="276" w:lineRule="auto"/>
            </w:pPr>
            <w:r>
              <w:t>Incident Report Title: “Pepsi's Protest Ad Controversy”</w:t>
            </w:r>
          </w:p>
        </w:tc>
      </w:tr>
      <w:tr w:rsidR="002530E2" w14:paraId="12A8F9EF" w14:textId="77777777">
        <w:tc>
          <w:tcPr>
            <w:tcW w:w="1905" w:type="dxa"/>
            <w:shd w:val="clear" w:color="auto" w:fill="auto"/>
            <w:tcMar>
              <w:top w:w="100" w:type="dxa"/>
              <w:left w:w="100" w:type="dxa"/>
              <w:bottom w:w="100" w:type="dxa"/>
              <w:right w:w="100" w:type="dxa"/>
            </w:tcMar>
          </w:tcPr>
          <w:p w14:paraId="3DCD39BA"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52C619A" w14:textId="77777777" w:rsidR="002530E2" w:rsidRDefault="002530E2">
            <w:pPr>
              <w:spacing w:after="0" w:line="276" w:lineRule="auto"/>
            </w:pPr>
            <w:r>
              <w:t>This case examines a cross-cultural blunder by Pepsi in 2017, involving an advertisement that sparked criticism and backlash from Muslim consumers. The report explores the consequences of Pepsi's ad featuring Kendall Jenner handing a can of Pepsi to a polIRE officer during a protest, highlighting the responses from Muslim consumers and addressing the importance of cultural sensitivity in advertising campaigns.</w:t>
            </w:r>
          </w:p>
        </w:tc>
      </w:tr>
      <w:tr w:rsidR="002530E2" w14:paraId="2636D566" w14:textId="77777777">
        <w:tc>
          <w:tcPr>
            <w:tcW w:w="1905" w:type="dxa"/>
            <w:shd w:val="clear" w:color="auto" w:fill="auto"/>
            <w:tcMar>
              <w:top w:w="100" w:type="dxa"/>
              <w:left w:w="100" w:type="dxa"/>
              <w:bottom w:w="100" w:type="dxa"/>
              <w:right w:w="100" w:type="dxa"/>
            </w:tcMar>
          </w:tcPr>
          <w:p w14:paraId="77890702"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5EDED8FA" w14:textId="77777777" w:rsidR="002530E2" w:rsidRDefault="002530E2">
            <w:pPr>
              <w:spacing w:after="0" w:line="276" w:lineRule="auto"/>
            </w:pPr>
            <w:r>
              <w:t>In 2017, Pepsi released an advertisement featuring Kendall Jenner participating in a protest and handing a can of Pepsi to a polIRE officer. The ad was intended to convey a message of unity and bridge-building; however, it received significant criticism from Muslim consumers and other groups who felt that it trivialised the serious issues of polIRE brutality and social justice.</w:t>
            </w:r>
          </w:p>
        </w:tc>
      </w:tr>
      <w:tr w:rsidR="002530E2" w14:paraId="61FB715F" w14:textId="77777777">
        <w:tc>
          <w:tcPr>
            <w:tcW w:w="1905" w:type="dxa"/>
            <w:shd w:val="clear" w:color="auto" w:fill="auto"/>
            <w:tcMar>
              <w:top w:w="100" w:type="dxa"/>
              <w:left w:w="100" w:type="dxa"/>
              <w:bottom w:w="100" w:type="dxa"/>
              <w:right w:w="100" w:type="dxa"/>
            </w:tcMar>
          </w:tcPr>
          <w:p w14:paraId="20A57715"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06D62FFB" w14:textId="77777777" w:rsidR="002530E2" w:rsidRDefault="002530E2">
            <w:pPr>
              <w:spacing w:after="0" w:line="276" w:lineRule="auto"/>
            </w:pPr>
            <w:r>
              <w:t>The incident occurred in 2017, when Pepsi released the controversial ad.</w:t>
            </w:r>
          </w:p>
        </w:tc>
      </w:tr>
      <w:tr w:rsidR="002530E2" w14:paraId="11CA8B03" w14:textId="77777777">
        <w:tc>
          <w:tcPr>
            <w:tcW w:w="1905" w:type="dxa"/>
            <w:shd w:val="clear" w:color="auto" w:fill="auto"/>
            <w:tcMar>
              <w:top w:w="100" w:type="dxa"/>
              <w:left w:w="100" w:type="dxa"/>
              <w:bottom w:w="100" w:type="dxa"/>
              <w:right w:w="100" w:type="dxa"/>
            </w:tcMar>
          </w:tcPr>
          <w:p w14:paraId="06392467"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5936438E" w14:textId="77777777" w:rsidR="002530E2" w:rsidRDefault="002530E2">
            <w:pPr>
              <w:spacing w:after="0" w:line="276" w:lineRule="auto"/>
            </w:pPr>
            <w:r>
              <w:t>The incident gained attention globally as the ad was part of Pepsi's international advertising campaign.</w:t>
            </w:r>
          </w:p>
        </w:tc>
      </w:tr>
      <w:tr w:rsidR="002530E2" w14:paraId="6CFB7003" w14:textId="77777777">
        <w:tc>
          <w:tcPr>
            <w:tcW w:w="1905" w:type="dxa"/>
            <w:shd w:val="clear" w:color="auto" w:fill="auto"/>
            <w:tcMar>
              <w:top w:w="100" w:type="dxa"/>
              <w:left w:w="100" w:type="dxa"/>
              <w:bottom w:w="100" w:type="dxa"/>
              <w:right w:w="100" w:type="dxa"/>
            </w:tcMar>
          </w:tcPr>
          <w:p w14:paraId="22439F33"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173F2858" w14:textId="77777777" w:rsidR="002530E2" w:rsidRDefault="002530E2">
            <w:pPr>
              <w:spacing w:after="0" w:line="276" w:lineRule="auto"/>
            </w:pPr>
            <w:r>
              <w:t>Muslim consumers were among the groups affected by this cross-cultural blunder. Many Muslims found the ad insensitive and believed it undermined the gravity of issues related to polIRE brutality and social justice. Consequently, some Muslim consumers expressed their discontent and called for a boycott of the Pepsi brand (Reuters, 2017).</w:t>
            </w:r>
          </w:p>
        </w:tc>
      </w:tr>
      <w:tr w:rsidR="002530E2" w14:paraId="132F6112" w14:textId="77777777">
        <w:tc>
          <w:tcPr>
            <w:tcW w:w="1905" w:type="dxa"/>
            <w:shd w:val="clear" w:color="auto" w:fill="auto"/>
            <w:tcMar>
              <w:top w:w="100" w:type="dxa"/>
              <w:left w:w="100" w:type="dxa"/>
              <w:bottom w:w="100" w:type="dxa"/>
              <w:right w:w="100" w:type="dxa"/>
            </w:tcMar>
          </w:tcPr>
          <w:p w14:paraId="05051E33"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30644ECA" w14:textId="77777777" w:rsidR="002530E2" w:rsidRDefault="002530E2">
            <w:pPr>
              <w:spacing w:after="0" w:line="276" w:lineRule="auto"/>
            </w:pPr>
            <w:r>
              <w:t>Pepsi, a renowned multinational beverage company, was at the centre of the controversy. The company faced significant backlash from Muslim consumers and other groups that deemed the ad to be culturally insensitive and inappropriate.</w:t>
            </w:r>
          </w:p>
        </w:tc>
      </w:tr>
      <w:tr w:rsidR="002530E2" w14:paraId="1C79C72C" w14:textId="77777777">
        <w:tc>
          <w:tcPr>
            <w:tcW w:w="1905" w:type="dxa"/>
            <w:shd w:val="clear" w:color="auto" w:fill="auto"/>
            <w:tcMar>
              <w:top w:w="100" w:type="dxa"/>
              <w:left w:w="100" w:type="dxa"/>
              <w:bottom w:w="100" w:type="dxa"/>
              <w:right w:w="100" w:type="dxa"/>
            </w:tcMar>
          </w:tcPr>
          <w:p w14:paraId="1BABA02C"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222C670B" w14:textId="77777777" w:rsidR="002530E2" w:rsidRDefault="002530E2">
            <w:pPr>
              <w:spacing w:after="0" w:line="276" w:lineRule="auto"/>
            </w:pPr>
            <w:r>
              <w:t>Muslim consumers who criticised the ad expressed their concerns on various platforms, including social media. They argued that the ad trivialised important social issues and failed to acknowledge the complex dynamics surrounding polIRE brutality and social justice. Calls for a boycott circulated among some segments of the Muslim community, reflecting their disappointment and dissatisfaction with Pepsi's advertising approach.</w:t>
            </w:r>
          </w:p>
        </w:tc>
      </w:tr>
      <w:tr w:rsidR="002530E2" w14:paraId="1882E144" w14:textId="77777777">
        <w:tc>
          <w:tcPr>
            <w:tcW w:w="1905" w:type="dxa"/>
            <w:shd w:val="clear" w:color="auto" w:fill="auto"/>
            <w:tcMar>
              <w:top w:w="100" w:type="dxa"/>
              <w:left w:w="100" w:type="dxa"/>
              <w:bottom w:w="100" w:type="dxa"/>
              <w:right w:w="100" w:type="dxa"/>
            </w:tcMar>
          </w:tcPr>
          <w:p w14:paraId="06DAA2FA"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0CAB08F2" w14:textId="77777777" w:rsidR="002530E2" w:rsidRDefault="002530E2">
            <w:pPr>
              <w:spacing w:after="0" w:line="276" w:lineRule="auto"/>
            </w:pPr>
            <w:r>
              <w:t>The backlash stemming from the ad had adverse effects on Pepsi's brand reputation. The criticism received widespread media coverage, leading to negative public perception and potential financial implications for the company. The incident highlighted the importance of cultural sensitivity and the need for a thorough evaluation of the potential impact of advertising campaigns.</w:t>
            </w:r>
          </w:p>
        </w:tc>
      </w:tr>
      <w:tr w:rsidR="002530E2" w14:paraId="31218DC6" w14:textId="77777777">
        <w:tc>
          <w:tcPr>
            <w:tcW w:w="1905" w:type="dxa"/>
            <w:shd w:val="clear" w:color="auto" w:fill="auto"/>
            <w:tcMar>
              <w:top w:w="100" w:type="dxa"/>
              <w:left w:w="100" w:type="dxa"/>
              <w:bottom w:w="100" w:type="dxa"/>
              <w:right w:w="100" w:type="dxa"/>
            </w:tcMar>
          </w:tcPr>
          <w:p w14:paraId="7008ADC4"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7FF1DA9" w14:textId="77777777" w:rsidR="002530E2" w:rsidRDefault="002530E2">
            <w:pPr>
              <w:spacing w:after="0" w:line="276" w:lineRule="auto"/>
            </w:pPr>
            <w:r>
              <w:t>Pepsi's failure to accurately assess the potential cultural implications of the ad points to a lack of understanding or consideration of the sensitivities surrounding social justIRE issues, particularly in relation to polIRE brutality. The ad's execution was perceived by many as tone-deaf and disconnected from the realities faced by marginalised communities.</w:t>
            </w:r>
          </w:p>
        </w:tc>
      </w:tr>
      <w:tr w:rsidR="002530E2" w14:paraId="30AF7D5B" w14:textId="77777777">
        <w:tc>
          <w:tcPr>
            <w:tcW w:w="1905" w:type="dxa"/>
            <w:shd w:val="clear" w:color="auto" w:fill="auto"/>
            <w:tcMar>
              <w:top w:w="100" w:type="dxa"/>
              <w:left w:w="100" w:type="dxa"/>
              <w:bottom w:w="100" w:type="dxa"/>
              <w:right w:w="100" w:type="dxa"/>
            </w:tcMar>
          </w:tcPr>
          <w:p w14:paraId="6F48B34D"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3139106" w14:textId="77777777" w:rsidR="002530E2" w:rsidRDefault="002530E2">
            <w:pPr>
              <w:spacing w:after="0" w:line="276" w:lineRule="auto"/>
            </w:pPr>
            <w:r>
              <w:t>In response to the backlash, Pepsi swiftly pulled the ad and issued an apology. The company acknowledged the concerns raised by Muslim consumers and others who found the ad offensive. Pepsi committed to learning from the incident and incorporating these learnings into its future advertising strategies.</w:t>
            </w:r>
          </w:p>
        </w:tc>
      </w:tr>
      <w:tr w:rsidR="002530E2" w14:paraId="3CE190E7" w14:textId="77777777">
        <w:tc>
          <w:tcPr>
            <w:tcW w:w="1905" w:type="dxa"/>
            <w:shd w:val="clear" w:color="auto" w:fill="auto"/>
            <w:tcMar>
              <w:top w:w="100" w:type="dxa"/>
              <w:left w:w="100" w:type="dxa"/>
              <w:bottom w:w="100" w:type="dxa"/>
              <w:right w:w="100" w:type="dxa"/>
            </w:tcMar>
          </w:tcPr>
          <w:p w14:paraId="5768CE4B"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6ABF02F6" w14:textId="77777777" w:rsidR="002530E2" w:rsidRDefault="002530E2">
            <w:pPr>
              <w:spacing w:after="0" w:line="276" w:lineRule="auto"/>
            </w:pPr>
            <w:r>
              <w:t>To prevent similar cross-cultural blunders, companies like Pepsi should invest in comprehensive market research and audience analysis. This includes seeking diverse perspectives and conducting thorough assessments of potential cultural sensitivities to avoid undermining important social issues. Moving forward, it is crucial for companies to establish robust internal review processes that involve diverse teams and cultural consultants. Collaborating with experts and conducting thorough pre-testing of ad campaigns can help identify potential pitfalls and ensure messages resonate positively with diverse audiences.</w:t>
            </w:r>
          </w:p>
        </w:tc>
      </w:tr>
      <w:tr w:rsidR="002530E2" w14:paraId="64CD5F67" w14:textId="77777777">
        <w:tc>
          <w:tcPr>
            <w:tcW w:w="1905" w:type="dxa"/>
            <w:shd w:val="clear" w:color="auto" w:fill="auto"/>
            <w:tcMar>
              <w:top w:w="100" w:type="dxa"/>
              <w:left w:w="100" w:type="dxa"/>
              <w:bottom w:w="100" w:type="dxa"/>
              <w:right w:w="100" w:type="dxa"/>
            </w:tcMar>
          </w:tcPr>
          <w:p w14:paraId="3480B939"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494E883D" w14:textId="77777777" w:rsidR="002530E2" w:rsidRDefault="002530E2">
            <w:pPr>
              <w:spacing w:after="0" w:line="276" w:lineRule="auto"/>
            </w:pPr>
            <w:r>
              <w:t xml:space="preserve">This case sheds light on the criticism faced by Pepsi in 2017 for its protest ad featuring Kendall Jenner. The incident highlighted the importance of cultural sensitivity and the need for brands to carefully evaluate the potential impact </w:t>
            </w:r>
            <w:r>
              <w:lastRenderedPageBreak/>
              <w:t>of their advertising campaigns. By acknowledging the concerns raised by Muslim consumers and taking steps to prevent future cross-cultural blunders, companies like Pepsi can foster positive relationships with diverse audiences and strengthen their brand reputation.</w:t>
            </w:r>
          </w:p>
        </w:tc>
      </w:tr>
    </w:tbl>
    <w:p w14:paraId="35D1EB0E" w14:textId="77777777" w:rsidR="002530E2" w:rsidRDefault="002530E2"/>
    <w:p w14:paraId="51333C7F" w14:textId="77777777" w:rsidR="002530E2" w:rsidRDefault="002530E2">
      <w:pPr>
        <w:pStyle w:val="Heading2"/>
      </w:pPr>
      <w:bookmarkStart w:id="445" w:name="_vxdgz5t9sj27" w:colFirst="0" w:colLast="0"/>
      <w:bookmarkEnd w:id="445"/>
      <w:r>
        <w:t>IR 027 (2017: Starbucks, Philadelphia, USA)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7744633C" w14:textId="77777777">
        <w:tc>
          <w:tcPr>
            <w:tcW w:w="1905" w:type="dxa"/>
            <w:shd w:val="clear" w:color="auto" w:fill="auto"/>
            <w:tcMar>
              <w:top w:w="100" w:type="dxa"/>
              <w:left w:w="100" w:type="dxa"/>
              <w:bottom w:w="100" w:type="dxa"/>
              <w:right w:w="100" w:type="dxa"/>
            </w:tcMar>
          </w:tcPr>
          <w:p w14:paraId="35A4A7C2"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8C48C3B" w14:textId="77777777" w:rsidR="002530E2" w:rsidRDefault="002530E2">
            <w:pPr>
              <w:spacing w:after="0" w:line="276" w:lineRule="auto"/>
            </w:pPr>
            <w:r>
              <w:t>Incident Report Title: “Starbucks Cup Incident and Backlash from Muslim Consumers”</w:t>
            </w:r>
          </w:p>
        </w:tc>
      </w:tr>
      <w:tr w:rsidR="002530E2" w14:paraId="375BCC16" w14:textId="77777777">
        <w:tc>
          <w:tcPr>
            <w:tcW w:w="1905" w:type="dxa"/>
            <w:shd w:val="clear" w:color="auto" w:fill="auto"/>
            <w:tcMar>
              <w:top w:w="100" w:type="dxa"/>
              <w:left w:w="100" w:type="dxa"/>
              <w:bottom w:w="100" w:type="dxa"/>
              <w:right w:w="100" w:type="dxa"/>
            </w:tcMar>
          </w:tcPr>
          <w:p w14:paraId="159FF0A8"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33E01A40" w14:textId="77777777" w:rsidR="002530E2" w:rsidRDefault="002530E2">
            <w:pPr>
              <w:spacing w:after="0" w:line="276" w:lineRule="auto"/>
            </w:pPr>
            <w:r>
              <w:t>This case examines the backlash faced by Starbucks in 2017 when a barista in Philadelphia wrote "ISIS" on a Muslim customer's cup instead of her name. The incident was perceived as Islamophobic by many Muslim consumers, leading to calls for improved employee training and accountability.</w:t>
            </w:r>
          </w:p>
        </w:tc>
      </w:tr>
      <w:tr w:rsidR="002530E2" w14:paraId="7FD374CC" w14:textId="77777777">
        <w:tc>
          <w:tcPr>
            <w:tcW w:w="1905" w:type="dxa"/>
            <w:shd w:val="clear" w:color="auto" w:fill="auto"/>
            <w:tcMar>
              <w:top w:w="100" w:type="dxa"/>
              <w:left w:w="100" w:type="dxa"/>
              <w:bottom w:w="100" w:type="dxa"/>
              <w:right w:w="100" w:type="dxa"/>
            </w:tcMar>
          </w:tcPr>
          <w:p w14:paraId="57B142BB"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659D880" w14:textId="77777777" w:rsidR="002530E2" w:rsidRDefault="002530E2">
            <w:pPr>
              <w:spacing w:after="0" w:line="276" w:lineRule="auto"/>
            </w:pPr>
            <w:r>
              <w:t>In 2017, a Muslim customer visited a Starbucks location in Philadelphia and placed an order. When the customer received her drink, she noticed that the barista had written "ISIS" on the cup instead of her name. The incident was seen as an act of Islamophobia, as "ISIS" refers to the extremist group known as the Islamic State.</w:t>
            </w:r>
          </w:p>
        </w:tc>
      </w:tr>
      <w:tr w:rsidR="002530E2" w14:paraId="715F7625" w14:textId="77777777">
        <w:tc>
          <w:tcPr>
            <w:tcW w:w="1905" w:type="dxa"/>
            <w:shd w:val="clear" w:color="auto" w:fill="auto"/>
            <w:tcMar>
              <w:top w:w="100" w:type="dxa"/>
              <w:left w:w="100" w:type="dxa"/>
              <w:bottom w:w="100" w:type="dxa"/>
              <w:right w:w="100" w:type="dxa"/>
            </w:tcMar>
          </w:tcPr>
          <w:p w14:paraId="6E34AF31"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7631D904" w14:textId="77777777" w:rsidR="002530E2" w:rsidRDefault="002530E2">
            <w:pPr>
              <w:spacing w:after="0" w:line="276" w:lineRule="auto"/>
            </w:pPr>
            <w:r>
              <w:t>The incident took place in 2017, when the Muslim customer received her drink with the term "ISIS" written on the cup.</w:t>
            </w:r>
          </w:p>
        </w:tc>
      </w:tr>
      <w:tr w:rsidR="002530E2" w14:paraId="680E42FE" w14:textId="77777777">
        <w:tc>
          <w:tcPr>
            <w:tcW w:w="1905" w:type="dxa"/>
            <w:shd w:val="clear" w:color="auto" w:fill="auto"/>
            <w:tcMar>
              <w:top w:w="100" w:type="dxa"/>
              <w:left w:w="100" w:type="dxa"/>
              <w:bottom w:w="100" w:type="dxa"/>
              <w:right w:w="100" w:type="dxa"/>
            </w:tcMar>
          </w:tcPr>
          <w:p w14:paraId="764467D8"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3950B3CB" w14:textId="77777777" w:rsidR="002530E2" w:rsidRDefault="002530E2">
            <w:pPr>
              <w:spacing w:after="0" w:line="276" w:lineRule="auto"/>
            </w:pPr>
            <w:r>
              <w:t>The incident occurred at a Starbucks location in Philadelphia, Pennsylvania.</w:t>
            </w:r>
          </w:p>
        </w:tc>
      </w:tr>
      <w:tr w:rsidR="002530E2" w14:paraId="0BC3D094" w14:textId="77777777">
        <w:tc>
          <w:tcPr>
            <w:tcW w:w="1905" w:type="dxa"/>
            <w:shd w:val="clear" w:color="auto" w:fill="auto"/>
            <w:tcMar>
              <w:top w:w="100" w:type="dxa"/>
              <w:left w:w="100" w:type="dxa"/>
              <w:bottom w:w="100" w:type="dxa"/>
              <w:right w:w="100" w:type="dxa"/>
            </w:tcMar>
          </w:tcPr>
          <w:p w14:paraId="062CF8B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64E7AA5" w14:textId="77777777" w:rsidR="002530E2" w:rsidRDefault="002530E2">
            <w:pPr>
              <w:spacing w:after="0" w:line="276" w:lineRule="auto"/>
            </w:pPr>
            <w:r>
              <w:t>The victim of this incident was the Muslim customer who received the drink with "ISIS" written on the cup. She experienced the emotional impact of the incident and became a key voIRE in highlighting the issue.</w:t>
            </w:r>
          </w:p>
        </w:tc>
      </w:tr>
      <w:tr w:rsidR="002530E2" w14:paraId="3B004F46" w14:textId="77777777">
        <w:tc>
          <w:tcPr>
            <w:tcW w:w="1905" w:type="dxa"/>
            <w:shd w:val="clear" w:color="auto" w:fill="auto"/>
            <w:tcMar>
              <w:top w:w="100" w:type="dxa"/>
              <w:left w:w="100" w:type="dxa"/>
              <w:bottom w:w="100" w:type="dxa"/>
              <w:right w:w="100" w:type="dxa"/>
            </w:tcMar>
          </w:tcPr>
          <w:p w14:paraId="72257FED"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23A98FD9" w14:textId="77777777" w:rsidR="002530E2" w:rsidRDefault="002530E2">
            <w:pPr>
              <w:spacing w:after="0" w:line="276" w:lineRule="auto"/>
            </w:pPr>
            <w:r>
              <w:t>Starbucks, the multinational coffeehouse chain, faced backlash from Muslim consumers and the wider public due to the actions of one of its baristas. The incident raised concerns about employee training and the company's commitment to inclusivity.</w:t>
            </w:r>
          </w:p>
        </w:tc>
      </w:tr>
      <w:tr w:rsidR="002530E2" w14:paraId="34372D79" w14:textId="77777777">
        <w:tc>
          <w:tcPr>
            <w:tcW w:w="1905" w:type="dxa"/>
            <w:shd w:val="clear" w:color="auto" w:fill="auto"/>
            <w:tcMar>
              <w:top w:w="100" w:type="dxa"/>
              <w:left w:w="100" w:type="dxa"/>
              <w:bottom w:w="100" w:type="dxa"/>
              <w:right w:w="100" w:type="dxa"/>
            </w:tcMar>
          </w:tcPr>
          <w:p w14:paraId="15EE094C" w14:textId="77777777" w:rsidR="002530E2" w:rsidRDefault="002530E2">
            <w:pPr>
              <w:spacing w:after="0" w:line="276" w:lineRule="auto"/>
            </w:pPr>
            <w:r>
              <w:lastRenderedPageBreak/>
              <w:t>IRE 7: VICTIMISATION — WHAT WERE THE CONSEQUENCES FOR MUSLIMS?</w:t>
            </w:r>
          </w:p>
        </w:tc>
        <w:tc>
          <w:tcPr>
            <w:tcW w:w="7125" w:type="dxa"/>
            <w:shd w:val="clear" w:color="auto" w:fill="auto"/>
            <w:tcMar>
              <w:top w:w="100" w:type="dxa"/>
              <w:left w:w="100" w:type="dxa"/>
              <w:bottom w:w="100" w:type="dxa"/>
              <w:right w:w="100" w:type="dxa"/>
            </w:tcMar>
          </w:tcPr>
          <w:p w14:paraId="67E76C6B" w14:textId="77777777" w:rsidR="002530E2" w:rsidRDefault="002530E2">
            <w:pPr>
              <w:spacing w:after="0" w:line="276" w:lineRule="auto"/>
            </w:pPr>
            <w:r>
              <w:t>The incident triggered outrage and distress among Muslim consumers, who saw the act as Islamophobic and derogatory. Many Muslims expressed their disappointment and called for Starbucks to take immediate action to address the incident and prevent similar occurrences in the future.</w:t>
            </w:r>
          </w:p>
        </w:tc>
      </w:tr>
      <w:tr w:rsidR="002530E2" w14:paraId="4CFABD19" w14:textId="77777777">
        <w:tc>
          <w:tcPr>
            <w:tcW w:w="1905" w:type="dxa"/>
            <w:shd w:val="clear" w:color="auto" w:fill="auto"/>
            <w:tcMar>
              <w:top w:w="100" w:type="dxa"/>
              <w:left w:w="100" w:type="dxa"/>
              <w:bottom w:w="100" w:type="dxa"/>
              <w:right w:w="100" w:type="dxa"/>
            </w:tcMar>
          </w:tcPr>
          <w:p w14:paraId="43D84450"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AC1843B" w14:textId="77777777" w:rsidR="002530E2" w:rsidRDefault="002530E2">
            <w:pPr>
              <w:spacing w:after="0" w:line="276" w:lineRule="auto"/>
            </w:pPr>
            <w:r>
              <w:t>Starbucks faced significant reputational damage as a result of the incident. The company was criticised for the incident itself and the perceived lack of training and accountability for its employees. The incident sparked widespread discussions on social media and in the news, which impacted the company's image and public perception.</w:t>
            </w:r>
          </w:p>
        </w:tc>
      </w:tr>
      <w:tr w:rsidR="002530E2" w14:paraId="41AEC673" w14:textId="77777777">
        <w:tc>
          <w:tcPr>
            <w:tcW w:w="1905" w:type="dxa"/>
            <w:shd w:val="clear" w:color="auto" w:fill="auto"/>
            <w:tcMar>
              <w:top w:w="100" w:type="dxa"/>
              <w:left w:w="100" w:type="dxa"/>
              <w:bottom w:w="100" w:type="dxa"/>
              <w:right w:w="100" w:type="dxa"/>
            </w:tcMar>
          </w:tcPr>
          <w:p w14:paraId="4A3556FA"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7B568810" w14:textId="77777777" w:rsidR="002530E2" w:rsidRDefault="002530E2">
            <w:pPr>
              <w:spacing w:after="0" w:line="276" w:lineRule="auto"/>
            </w:pPr>
            <w:r>
              <w:t>The cross-cultural blunder occurred due to the barista's lack of cultural sensitivity and understanding. Writing "ISIS" on the cup instead of the customer's name showcased a lack of awareness regarding the potential impact of associating a Muslim individual with a terrorist group.</w:t>
            </w:r>
          </w:p>
        </w:tc>
      </w:tr>
      <w:tr w:rsidR="002530E2" w14:paraId="3C4790FB" w14:textId="77777777">
        <w:tc>
          <w:tcPr>
            <w:tcW w:w="1905" w:type="dxa"/>
            <w:shd w:val="clear" w:color="auto" w:fill="auto"/>
            <w:tcMar>
              <w:top w:w="100" w:type="dxa"/>
              <w:left w:w="100" w:type="dxa"/>
              <w:bottom w:w="100" w:type="dxa"/>
              <w:right w:w="100" w:type="dxa"/>
            </w:tcMar>
          </w:tcPr>
          <w:p w14:paraId="68FFEE56"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3D673ACD" w14:textId="77777777" w:rsidR="002530E2" w:rsidRDefault="002530E2">
            <w:pPr>
              <w:spacing w:after="0" w:line="276" w:lineRule="auto"/>
            </w:pPr>
            <w:r>
              <w:t>In response to the incident, Starbucks issued a public apology to the affected customer and took immediate action to investigate the matter internally. The company expressed its commitment to diversity and inclusivity, vowing to provide additional training for employees to prevent similar incidents in the future.</w:t>
            </w:r>
          </w:p>
        </w:tc>
      </w:tr>
      <w:tr w:rsidR="002530E2" w14:paraId="56F91CD9" w14:textId="77777777">
        <w:tc>
          <w:tcPr>
            <w:tcW w:w="1905" w:type="dxa"/>
            <w:shd w:val="clear" w:color="auto" w:fill="auto"/>
            <w:tcMar>
              <w:top w:w="100" w:type="dxa"/>
              <w:left w:w="100" w:type="dxa"/>
              <w:bottom w:w="100" w:type="dxa"/>
              <w:right w:w="100" w:type="dxa"/>
            </w:tcMar>
          </w:tcPr>
          <w:p w14:paraId="2091C41A"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131CE7E6" w14:textId="77777777" w:rsidR="002530E2" w:rsidRDefault="002530E2">
            <w:pPr>
              <w:spacing w:after="0" w:line="276" w:lineRule="auto"/>
            </w:pPr>
            <w:r>
              <w:t>To prevent such incidents in the future, Starbucks should enhance its employee training programmes, specifically focusing on cultural sensitivity and understanding. Emphasising inclusivity and promoting awareness of diverse customer backgrounds would help employees avoid unintentional offensive actions. Moving forward, Starbucks should establish mechanisms for reporting and addressing incidents of discrimination or offensive behaviour. Ongoing training, regular evaluations, and fostering an inclusive work environment would contribute to preventing similar incidents and ensuring accountability.</w:t>
            </w:r>
          </w:p>
        </w:tc>
      </w:tr>
      <w:tr w:rsidR="002530E2" w14:paraId="56F96C35" w14:textId="77777777">
        <w:tc>
          <w:tcPr>
            <w:tcW w:w="1905" w:type="dxa"/>
            <w:shd w:val="clear" w:color="auto" w:fill="auto"/>
            <w:tcMar>
              <w:top w:w="100" w:type="dxa"/>
              <w:left w:w="100" w:type="dxa"/>
              <w:bottom w:w="100" w:type="dxa"/>
              <w:right w:w="100" w:type="dxa"/>
            </w:tcMar>
          </w:tcPr>
          <w:p w14:paraId="2DD496D0"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4FAA6534" w14:textId="77777777" w:rsidR="002530E2" w:rsidRDefault="002530E2">
            <w:pPr>
              <w:spacing w:after="0" w:line="276" w:lineRule="auto"/>
            </w:pPr>
            <w:r>
              <w:t>Starbucks faced backlash from Muslim consumers in 2017 when a barista in Philadelphia wrote "ISIS" on a Muslim customer's cup. The incident was widely viewed as Islamophobic and sparked calls for improved employee training and accountability within the company.</w:t>
            </w:r>
          </w:p>
        </w:tc>
      </w:tr>
    </w:tbl>
    <w:p w14:paraId="39B911CF" w14:textId="77777777" w:rsidR="002530E2" w:rsidRDefault="002530E2"/>
    <w:p w14:paraId="0BED02E7" w14:textId="77777777" w:rsidR="002530E2" w:rsidRDefault="002530E2">
      <w:pPr>
        <w:pStyle w:val="Heading2"/>
      </w:pPr>
      <w:bookmarkStart w:id="446" w:name="_1apznbea8ur9" w:colFirst="0" w:colLast="0"/>
      <w:bookmarkEnd w:id="446"/>
      <w:r>
        <w:lastRenderedPageBreak/>
        <w:t>IR 028 (2017: McDonald's, France)</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5160F10" w14:textId="77777777">
        <w:tc>
          <w:tcPr>
            <w:tcW w:w="1905" w:type="dxa"/>
            <w:shd w:val="clear" w:color="auto" w:fill="auto"/>
            <w:tcMar>
              <w:top w:w="100" w:type="dxa"/>
              <w:left w:w="100" w:type="dxa"/>
              <w:bottom w:w="100" w:type="dxa"/>
              <w:right w:w="100" w:type="dxa"/>
            </w:tcMar>
          </w:tcPr>
          <w:p w14:paraId="1E94FD1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4BDEC10" w14:textId="77777777" w:rsidR="002530E2" w:rsidRDefault="002530E2">
            <w:pPr>
              <w:spacing w:after="0" w:line="276" w:lineRule="auto"/>
            </w:pPr>
            <w:r>
              <w:t>Incident Report Title: “McDonald's Halal Menu Removal Controversy and Backlash from Muslim Consumers”</w:t>
            </w:r>
          </w:p>
        </w:tc>
      </w:tr>
      <w:tr w:rsidR="002530E2" w14:paraId="010FC262" w14:textId="77777777">
        <w:tc>
          <w:tcPr>
            <w:tcW w:w="1905" w:type="dxa"/>
            <w:shd w:val="clear" w:color="auto" w:fill="auto"/>
            <w:tcMar>
              <w:top w:w="100" w:type="dxa"/>
              <w:left w:w="100" w:type="dxa"/>
              <w:bottom w:w="100" w:type="dxa"/>
              <w:right w:w="100" w:type="dxa"/>
            </w:tcMar>
          </w:tcPr>
          <w:p w14:paraId="0A4C85D9"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34B78FAD" w14:textId="77777777" w:rsidR="002530E2" w:rsidRDefault="002530E2">
            <w:pPr>
              <w:spacing w:after="0" w:line="276" w:lineRule="auto"/>
            </w:pPr>
            <w:r>
              <w:t>McDonald's in 2017 after a franchise in France decided to remove halal-certified items from its menu. The removal of these items sparked controversy and led to accusations of discrimination from Muslim consumers, who called for a boycott of the fast-food chain.</w:t>
            </w:r>
          </w:p>
        </w:tc>
      </w:tr>
      <w:tr w:rsidR="002530E2" w14:paraId="6F31BF05" w14:textId="77777777">
        <w:tc>
          <w:tcPr>
            <w:tcW w:w="1905" w:type="dxa"/>
            <w:shd w:val="clear" w:color="auto" w:fill="auto"/>
            <w:tcMar>
              <w:top w:w="100" w:type="dxa"/>
              <w:left w:w="100" w:type="dxa"/>
              <w:bottom w:w="100" w:type="dxa"/>
              <w:right w:w="100" w:type="dxa"/>
            </w:tcMar>
          </w:tcPr>
          <w:p w14:paraId="54A0D79B"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397C4361" w14:textId="77777777" w:rsidR="002530E2" w:rsidRDefault="002530E2">
            <w:pPr>
              <w:spacing w:after="0" w:line="276" w:lineRule="auto"/>
            </w:pPr>
            <w:r>
              <w:t>In 2017, a McDonald's franchise in France made the decision to no longer offer halal-certified items on its menu. The franchise cited business reasons for the change, including the complexity of ensuring proper halal certification across all products. However, the decision was met with criticism and backlash from Muslim consumers.</w:t>
            </w:r>
          </w:p>
        </w:tc>
      </w:tr>
      <w:tr w:rsidR="002530E2" w14:paraId="03AE2B61" w14:textId="77777777">
        <w:tc>
          <w:tcPr>
            <w:tcW w:w="1905" w:type="dxa"/>
            <w:shd w:val="clear" w:color="auto" w:fill="auto"/>
            <w:tcMar>
              <w:top w:w="100" w:type="dxa"/>
              <w:left w:w="100" w:type="dxa"/>
              <w:bottom w:w="100" w:type="dxa"/>
              <w:right w:w="100" w:type="dxa"/>
            </w:tcMar>
          </w:tcPr>
          <w:p w14:paraId="627A1A66"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0153B75D" w14:textId="77777777" w:rsidR="002530E2" w:rsidRDefault="002530E2">
            <w:pPr>
              <w:spacing w:after="0" w:line="276" w:lineRule="auto"/>
            </w:pPr>
            <w:r>
              <w:t>The incident occurred in 2017 when the McDonald's franchise in France removed halal-certified items from its menu.</w:t>
            </w:r>
          </w:p>
        </w:tc>
      </w:tr>
      <w:tr w:rsidR="002530E2" w14:paraId="48550C93" w14:textId="77777777">
        <w:tc>
          <w:tcPr>
            <w:tcW w:w="1905" w:type="dxa"/>
            <w:shd w:val="clear" w:color="auto" w:fill="auto"/>
            <w:tcMar>
              <w:top w:w="100" w:type="dxa"/>
              <w:left w:w="100" w:type="dxa"/>
              <w:bottom w:w="100" w:type="dxa"/>
              <w:right w:w="100" w:type="dxa"/>
            </w:tcMar>
          </w:tcPr>
          <w:p w14:paraId="4BC2CB61"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0B0134D9" w14:textId="77777777" w:rsidR="002530E2" w:rsidRDefault="002530E2">
            <w:pPr>
              <w:spacing w:after="0" w:line="276" w:lineRule="auto"/>
            </w:pPr>
            <w:r>
              <w:t>The controversy surrounding the removal of halal-certified items from McDonald's menu took place specifically in France, where the decision was made by a franchise.</w:t>
            </w:r>
          </w:p>
        </w:tc>
      </w:tr>
      <w:tr w:rsidR="002530E2" w14:paraId="1277B691" w14:textId="77777777">
        <w:tc>
          <w:tcPr>
            <w:tcW w:w="1905" w:type="dxa"/>
            <w:shd w:val="clear" w:color="auto" w:fill="auto"/>
            <w:tcMar>
              <w:top w:w="100" w:type="dxa"/>
              <w:left w:w="100" w:type="dxa"/>
              <w:bottom w:w="100" w:type="dxa"/>
              <w:right w:w="100" w:type="dxa"/>
            </w:tcMar>
          </w:tcPr>
          <w:p w14:paraId="01D02F8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2ABC3CDD" w14:textId="77777777" w:rsidR="002530E2" w:rsidRDefault="002530E2">
            <w:pPr>
              <w:spacing w:after="0" w:line="276" w:lineRule="auto"/>
            </w:pPr>
            <w:r>
              <w:t>Muslim consumers, who had previously relied on McDonald's for halal-certified food options, were directly impacted by the decision to remove these items from the menu. They felt that the change was discriminatory and deprived them of suitable dietary choices.</w:t>
            </w:r>
          </w:p>
        </w:tc>
      </w:tr>
      <w:tr w:rsidR="002530E2" w14:paraId="539957F5" w14:textId="77777777">
        <w:tc>
          <w:tcPr>
            <w:tcW w:w="1905" w:type="dxa"/>
            <w:shd w:val="clear" w:color="auto" w:fill="auto"/>
            <w:tcMar>
              <w:top w:w="100" w:type="dxa"/>
              <w:left w:w="100" w:type="dxa"/>
              <w:bottom w:w="100" w:type="dxa"/>
              <w:right w:w="100" w:type="dxa"/>
            </w:tcMar>
          </w:tcPr>
          <w:p w14:paraId="15A39FB6"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132C416" w14:textId="77777777" w:rsidR="002530E2" w:rsidRDefault="002530E2">
            <w:pPr>
              <w:spacing w:after="0" w:line="276" w:lineRule="auto"/>
            </w:pPr>
            <w:r>
              <w:t>McDonald's, the fast-food chain at the centre of the controversy, faced criticism and accusations of discrimination from Muslim consumers. The incident shed light on the challenges faced by multinational companies in catering to diverse dietary and cultural needs.</w:t>
            </w:r>
          </w:p>
        </w:tc>
      </w:tr>
      <w:tr w:rsidR="002530E2" w14:paraId="7A758FB0" w14:textId="77777777">
        <w:tc>
          <w:tcPr>
            <w:tcW w:w="1905" w:type="dxa"/>
            <w:shd w:val="clear" w:color="auto" w:fill="auto"/>
            <w:tcMar>
              <w:top w:w="100" w:type="dxa"/>
              <w:left w:w="100" w:type="dxa"/>
              <w:bottom w:w="100" w:type="dxa"/>
              <w:right w:w="100" w:type="dxa"/>
            </w:tcMar>
          </w:tcPr>
          <w:p w14:paraId="3CD03549"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1A98FED9" w14:textId="77777777" w:rsidR="002530E2" w:rsidRDefault="002530E2">
            <w:pPr>
              <w:spacing w:after="0" w:line="276" w:lineRule="auto"/>
            </w:pPr>
            <w:r>
              <w:t>Muslim consumers who relied on McDonald's for halal-certified food options felt excluded and disappointed by the removal of these items. Many expressed their dissatisfaction and called for a boycott of the fast-food chain, seeking to raise awareness of the issue and pressure McDonald's to reconsider its decision.</w:t>
            </w:r>
          </w:p>
        </w:tc>
      </w:tr>
      <w:tr w:rsidR="002530E2" w14:paraId="5171D9ED" w14:textId="77777777">
        <w:tc>
          <w:tcPr>
            <w:tcW w:w="1905" w:type="dxa"/>
            <w:shd w:val="clear" w:color="auto" w:fill="auto"/>
            <w:tcMar>
              <w:top w:w="100" w:type="dxa"/>
              <w:left w:w="100" w:type="dxa"/>
              <w:bottom w:w="100" w:type="dxa"/>
              <w:right w:w="100" w:type="dxa"/>
            </w:tcMar>
          </w:tcPr>
          <w:p w14:paraId="0B16505F" w14:textId="77777777" w:rsidR="002530E2" w:rsidRDefault="002530E2">
            <w:pPr>
              <w:spacing w:after="0" w:line="276" w:lineRule="auto"/>
            </w:pPr>
            <w:r>
              <w:t xml:space="preserve">IRE 8: RAMIFICATIONS — </w:t>
            </w:r>
            <w:r>
              <w:lastRenderedPageBreak/>
              <w:t>HOW WAS THE MNC IMPACTED?</w:t>
            </w:r>
          </w:p>
        </w:tc>
        <w:tc>
          <w:tcPr>
            <w:tcW w:w="7125" w:type="dxa"/>
            <w:shd w:val="clear" w:color="auto" w:fill="auto"/>
            <w:tcMar>
              <w:top w:w="100" w:type="dxa"/>
              <w:left w:w="100" w:type="dxa"/>
              <w:bottom w:w="100" w:type="dxa"/>
              <w:right w:w="100" w:type="dxa"/>
            </w:tcMar>
          </w:tcPr>
          <w:p w14:paraId="721602AF" w14:textId="77777777" w:rsidR="002530E2" w:rsidRDefault="002530E2">
            <w:pPr>
              <w:spacing w:after="0" w:line="276" w:lineRule="auto"/>
            </w:pPr>
            <w:r>
              <w:lastRenderedPageBreak/>
              <w:t xml:space="preserve">McDonald's faced reputational damage and negative publicity as a result of the controversy. The decision to remove halal-certified items from the menu </w:t>
            </w:r>
            <w:r>
              <w:lastRenderedPageBreak/>
              <w:t>led to accusations of discrimination and insensitivity towards Muslim consumers. The boycott calls and negative sentiment surrounding the incident highlighted the importance of understanding and addressing the needs of diverse customer bases.</w:t>
            </w:r>
          </w:p>
        </w:tc>
      </w:tr>
      <w:tr w:rsidR="002530E2" w14:paraId="1F943451" w14:textId="77777777">
        <w:tc>
          <w:tcPr>
            <w:tcW w:w="1905" w:type="dxa"/>
            <w:shd w:val="clear" w:color="auto" w:fill="auto"/>
            <w:tcMar>
              <w:top w:w="100" w:type="dxa"/>
              <w:left w:w="100" w:type="dxa"/>
              <w:bottom w:w="100" w:type="dxa"/>
              <w:right w:w="100" w:type="dxa"/>
            </w:tcMar>
          </w:tcPr>
          <w:p w14:paraId="17C237BC" w14:textId="77777777" w:rsidR="002530E2" w:rsidRDefault="002530E2">
            <w:pPr>
              <w:spacing w:after="0" w:line="276" w:lineRule="auto"/>
            </w:pPr>
            <w:r>
              <w:lastRenderedPageBreak/>
              <w:t xml:space="preserve">IRE 9: REASONS — WHY DID THE BLUNDER HAPPEN? </w:t>
            </w:r>
          </w:p>
        </w:tc>
        <w:tc>
          <w:tcPr>
            <w:tcW w:w="7125" w:type="dxa"/>
            <w:shd w:val="clear" w:color="auto" w:fill="auto"/>
            <w:tcMar>
              <w:top w:w="100" w:type="dxa"/>
              <w:left w:w="100" w:type="dxa"/>
              <w:bottom w:w="100" w:type="dxa"/>
              <w:right w:w="100" w:type="dxa"/>
            </w:tcMar>
          </w:tcPr>
          <w:p w14:paraId="10E0EA96" w14:textId="77777777" w:rsidR="002530E2" w:rsidRDefault="002530E2">
            <w:pPr>
              <w:spacing w:after="0" w:line="276" w:lineRule="auto"/>
            </w:pPr>
            <w:r>
              <w:t>The cross-cultural blunder occurred due to a lack of understanding and consideration for the dietary and cultural requirements of Muslim consumers. McDonald's decision to remove halal-certified items without providing suitable alternatives or engaging with the affected community led to feelings of exclusion and discrimination.</w:t>
            </w:r>
          </w:p>
        </w:tc>
      </w:tr>
      <w:tr w:rsidR="002530E2" w14:paraId="223E1735" w14:textId="77777777">
        <w:tc>
          <w:tcPr>
            <w:tcW w:w="1905" w:type="dxa"/>
            <w:shd w:val="clear" w:color="auto" w:fill="auto"/>
            <w:tcMar>
              <w:top w:w="100" w:type="dxa"/>
              <w:left w:w="100" w:type="dxa"/>
              <w:bottom w:w="100" w:type="dxa"/>
              <w:right w:w="100" w:type="dxa"/>
            </w:tcMar>
          </w:tcPr>
          <w:p w14:paraId="13A7C745"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26944C41" w14:textId="77777777" w:rsidR="002530E2" w:rsidRDefault="002530E2">
            <w:pPr>
              <w:spacing w:after="0" w:line="276" w:lineRule="auto"/>
            </w:pPr>
            <w:r>
              <w:t>In response to the criticism and boycott calls, McDonald's acknowledged the concerns raised by Muslim consumers and stated that they were committed to addressing the issue. The company expressed its willingness to work with suppliers and Islamic organisations to ensure appropriate halal options were available in its restaurants.</w:t>
            </w:r>
          </w:p>
        </w:tc>
      </w:tr>
      <w:tr w:rsidR="002530E2" w14:paraId="0CFA3FAC" w14:textId="77777777">
        <w:tc>
          <w:tcPr>
            <w:tcW w:w="1905" w:type="dxa"/>
            <w:shd w:val="clear" w:color="auto" w:fill="auto"/>
            <w:tcMar>
              <w:top w:w="100" w:type="dxa"/>
              <w:left w:w="100" w:type="dxa"/>
              <w:bottom w:w="100" w:type="dxa"/>
              <w:right w:w="100" w:type="dxa"/>
            </w:tcMar>
          </w:tcPr>
          <w:p w14:paraId="430D0B92"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6681A62B" w14:textId="77777777" w:rsidR="002530E2" w:rsidRDefault="002530E2">
            <w:pPr>
              <w:spacing w:after="0" w:line="276" w:lineRule="auto"/>
            </w:pPr>
            <w:r>
              <w:t xml:space="preserve">To prevent similar incidents, McDonald's should prioritise inclusivity and diversity in its decision-making processes. This includes consulting with relevant communities, conducting thorough market research, and understanding the specific needs and preferences of different customer segments. McDonald's should also ensure effective communication and transparency when making changes that impact dietary options. </w:t>
            </w:r>
          </w:p>
          <w:p w14:paraId="16D0C06D" w14:textId="77777777" w:rsidR="002530E2" w:rsidRDefault="002530E2">
            <w:pPr>
              <w:spacing w:after="0" w:line="276" w:lineRule="auto"/>
            </w:pPr>
          </w:p>
          <w:p w14:paraId="6172D24A" w14:textId="77777777" w:rsidR="002530E2" w:rsidRDefault="002530E2">
            <w:pPr>
              <w:spacing w:after="0" w:line="276" w:lineRule="auto"/>
            </w:pPr>
            <w:r>
              <w:t>In the future, McDonald's should establish clear guidelines and protocols for addressing the dietary and cultural needs of diverse customer groups. This includes regularly reviewing and updating menu offerings to accommodate various dietary requirements, such as halal certification, and engaging in open dialogue with customers to gather feedback and address concerns.</w:t>
            </w:r>
          </w:p>
        </w:tc>
      </w:tr>
      <w:tr w:rsidR="002530E2" w14:paraId="011896AD" w14:textId="77777777">
        <w:tc>
          <w:tcPr>
            <w:tcW w:w="1905" w:type="dxa"/>
            <w:shd w:val="clear" w:color="auto" w:fill="auto"/>
            <w:tcMar>
              <w:top w:w="100" w:type="dxa"/>
              <w:left w:w="100" w:type="dxa"/>
              <w:bottom w:w="100" w:type="dxa"/>
              <w:right w:w="100" w:type="dxa"/>
            </w:tcMar>
          </w:tcPr>
          <w:p w14:paraId="77695457"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1ED589EA" w14:textId="77777777" w:rsidR="002530E2" w:rsidRDefault="002530E2">
            <w:pPr>
              <w:spacing w:after="0" w:line="276" w:lineRule="auto"/>
            </w:pPr>
            <w:r>
              <w:t>In 2017, McDonald's faced criticism from Muslim consumers in France after a franchise removed halal-certified items from its menu. The decision sparked controversy and accusations of discrimination, leading to a boycott of the fast-food chain. The incident highlighted the importance of considering and respecting the dietary and cultural needs of diverse customer bases. McDonald's responded by expressing its commitment to addressing the issue and working towards providing suitable options for Muslim consumers.</w:t>
            </w:r>
          </w:p>
        </w:tc>
      </w:tr>
    </w:tbl>
    <w:p w14:paraId="275914F6" w14:textId="77777777" w:rsidR="002530E2" w:rsidRDefault="002530E2"/>
    <w:p w14:paraId="1F85D7FE" w14:textId="77777777" w:rsidR="002530E2" w:rsidRDefault="002530E2">
      <w:pPr>
        <w:pStyle w:val="Heading2"/>
      </w:pPr>
      <w:bookmarkStart w:id="447" w:name="_bjcl2uvrraoq" w:colFirst="0" w:colLast="0"/>
      <w:bookmarkEnd w:id="447"/>
      <w:r>
        <w:lastRenderedPageBreak/>
        <w:t>IR 029 (2017: McDonald's, Singapore)</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39D8CAAA" w14:textId="77777777">
        <w:tc>
          <w:tcPr>
            <w:tcW w:w="1905" w:type="dxa"/>
            <w:shd w:val="clear" w:color="auto" w:fill="auto"/>
            <w:tcMar>
              <w:top w:w="100" w:type="dxa"/>
              <w:left w:w="100" w:type="dxa"/>
              <w:bottom w:w="100" w:type="dxa"/>
              <w:right w:w="100" w:type="dxa"/>
            </w:tcMar>
          </w:tcPr>
          <w:p w14:paraId="6CBBFA35"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27ABE07" w14:textId="77777777" w:rsidR="002530E2" w:rsidRDefault="002530E2">
            <w:pPr>
              <w:spacing w:after="0" w:line="276" w:lineRule="auto"/>
            </w:pPr>
            <w:r>
              <w:t>Incident Report Title: “McDonald's Halal-Certified Prosperity Burgers Controversy in Singapore”</w:t>
            </w:r>
          </w:p>
        </w:tc>
      </w:tr>
      <w:tr w:rsidR="002530E2" w14:paraId="1429E692" w14:textId="77777777">
        <w:tc>
          <w:tcPr>
            <w:tcW w:w="1905" w:type="dxa"/>
            <w:shd w:val="clear" w:color="auto" w:fill="auto"/>
            <w:tcMar>
              <w:top w:w="100" w:type="dxa"/>
              <w:left w:w="100" w:type="dxa"/>
              <w:bottom w:w="100" w:type="dxa"/>
              <w:right w:w="100" w:type="dxa"/>
            </w:tcMar>
          </w:tcPr>
          <w:p w14:paraId="4CE3B779"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7027406" w14:textId="77777777" w:rsidR="002530E2" w:rsidRDefault="002530E2">
            <w:pPr>
              <w:spacing w:after="0" w:line="276" w:lineRule="auto"/>
            </w:pPr>
            <w:r>
              <w:t>This case focuses on the controversy faced by a McDonald's outlet in Singapore in 2017. The outlet sold halal-certified Prosperity Burgers that were later found to contain pork. Muslim consumers accused the company of negligence and disrespect towards their religious beliefs.</w:t>
            </w:r>
          </w:p>
        </w:tc>
      </w:tr>
      <w:tr w:rsidR="002530E2" w14:paraId="11643E98" w14:textId="77777777">
        <w:tc>
          <w:tcPr>
            <w:tcW w:w="1905" w:type="dxa"/>
            <w:shd w:val="clear" w:color="auto" w:fill="auto"/>
            <w:tcMar>
              <w:top w:w="100" w:type="dxa"/>
              <w:left w:w="100" w:type="dxa"/>
              <w:bottom w:w="100" w:type="dxa"/>
              <w:right w:w="100" w:type="dxa"/>
            </w:tcMar>
          </w:tcPr>
          <w:p w14:paraId="267F2118"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76255614" w14:textId="77777777" w:rsidR="002530E2" w:rsidRDefault="002530E2">
            <w:pPr>
              <w:spacing w:after="0" w:line="276" w:lineRule="auto"/>
            </w:pPr>
            <w:r>
              <w:t>In 2017, a McDonald's outlet in Singapore faced backlash after it was revealed that the halal-certified Prosperity Burgers sold at the outlet contained pork. This discovery led to accusations of negligence and disrespect towards the religious beliefs of Muslim consumers.</w:t>
            </w:r>
          </w:p>
        </w:tc>
      </w:tr>
      <w:tr w:rsidR="002530E2" w14:paraId="5515B5C4" w14:textId="77777777">
        <w:tc>
          <w:tcPr>
            <w:tcW w:w="1905" w:type="dxa"/>
            <w:shd w:val="clear" w:color="auto" w:fill="auto"/>
            <w:tcMar>
              <w:top w:w="100" w:type="dxa"/>
              <w:left w:w="100" w:type="dxa"/>
              <w:bottom w:w="100" w:type="dxa"/>
              <w:right w:w="100" w:type="dxa"/>
            </w:tcMar>
          </w:tcPr>
          <w:p w14:paraId="4DC2147A"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9985C32" w14:textId="77777777" w:rsidR="002530E2" w:rsidRDefault="002530E2">
            <w:pPr>
              <w:spacing w:after="0" w:line="276" w:lineRule="auto"/>
            </w:pPr>
            <w:r>
              <w:t>The controversy surrounding the halal-certified Prosperity Burgers occurred in 2017 when it was discovered that the burgers contained pork.</w:t>
            </w:r>
          </w:p>
        </w:tc>
      </w:tr>
      <w:tr w:rsidR="002530E2" w14:paraId="26EA5119" w14:textId="77777777">
        <w:tc>
          <w:tcPr>
            <w:tcW w:w="1905" w:type="dxa"/>
            <w:shd w:val="clear" w:color="auto" w:fill="auto"/>
            <w:tcMar>
              <w:top w:w="100" w:type="dxa"/>
              <w:left w:w="100" w:type="dxa"/>
              <w:bottom w:w="100" w:type="dxa"/>
              <w:right w:w="100" w:type="dxa"/>
            </w:tcMar>
          </w:tcPr>
          <w:p w14:paraId="3CEB049C"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1F1C976F" w14:textId="77777777" w:rsidR="002530E2" w:rsidRDefault="002530E2">
            <w:pPr>
              <w:spacing w:after="0" w:line="276" w:lineRule="auto"/>
            </w:pPr>
            <w:r>
              <w:t>The incident took place at a McDonald's outlet in Singapore, where the halal-certified Prosperity Burgers were sold.</w:t>
            </w:r>
          </w:p>
        </w:tc>
      </w:tr>
      <w:tr w:rsidR="002530E2" w14:paraId="71525EFE" w14:textId="77777777">
        <w:tc>
          <w:tcPr>
            <w:tcW w:w="1905" w:type="dxa"/>
            <w:shd w:val="clear" w:color="auto" w:fill="auto"/>
            <w:tcMar>
              <w:top w:w="100" w:type="dxa"/>
              <w:left w:w="100" w:type="dxa"/>
              <w:bottom w:w="100" w:type="dxa"/>
              <w:right w:w="100" w:type="dxa"/>
            </w:tcMar>
          </w:tcPr>
          <w:p w14:paraId="0635E26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C3B7DB5" w14:textId="77777777" w:rsidR="002530E2" w:rsidRDefault="002530E2">
            <w:pPr>
              <w:spacing w:after="0" w:line="276" w:lineRule="auto"/>
            </w:pPr>
            <w:r>
              <w:t>Muslim consumers in Singapore were the primary group affected by this controversy. They were the ones who discovered the presence of pork in the halal-certified Prosperity Burgers and subsequently raised concerns about the company's negligence and disrespect.</w:t>
            </w:r>
          </w:p>
        </w:tc>
      </w:tr>
      <w:tr w:rsidR="002530E2" w14:paraId="2ECE9E95" w14:textId="77777777">
        <w:tc>
          <w:tcPr>
            <w:tcW w:w="1905" w:type="dxa"/>
            <w:shd w:val="clear" w:color="auto" w:fill="auto"/>
            <w:tcMar>
              <w:top w:w="100" w:type="dxa"/>
              <w:left w:w="100" w:type="dxa"/>
              <w:bottom w:w="100" w:type="dxa"/>
              <w:right w:w="100" w:type="dxa"/>
            </w:tcMar>
          </w:tcPr>
          <w:p w14:paraId="0013391A"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7C82539D" w14:textId="77777777" w:rsidR="002530E2" w:rsidRDefault="002530E2">
            <w:pPr>
              <w:spacing w:after="0" w:line="276" w:lineRule="auto"/>
            </w:pPr>
            <w:r>
              <w:t>McDonald's, the multinational fast food chain, faced controversy at one of its outlets in Singapore. The company was accused of negligence and disrespect for allowing pork to be present in the halal-certified Prosperity Burgers.</w:t>
            </w:r>
          </w:p>
        </w:tc>
      </w:tr>
      <w:tr w:rsidR="002530E2" w14:paraId="0D3C3BEE" w14:textId="77777777">
        <w:tc>
          <w:tcPr>
            <w:tcW w:w="1905" w:type="dxa"/>
            <w:shd w:val="clear" w:color="auto" w:fill="auto"/>
            <w:tcMar>
              <w:top w:w="100" w:type="dxa"/>
              <w:left w:w="100" w:type="dxa"/>
              <w:bottom w:w="100" w:type="dxa"/>
              <w:right w:w="100" w:type="dxa"/>
            </w:tcMar>
          </w:tcPr>
          <w:p w14:paraId="47A674A6"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7D5D8D3" w14:textId="77777777" w:rsidR="002530E2" w:rsidRDefault="002530E2">
            <w:pPr>
              <w:spacing w:after="0" w:line="276" w:lineRule="auto"/>
            </w:pPr>
            <w:r>
              <w:t>Muslim consumers accused McDonald's of negligence and disrespect for selling halal-certified Prosperity Burgers that contained pork. They believed that this violated their religious dietary restrictions and that the company had not taken sufficient precautions to ensure the food's halal integrity.</w:t>
            </w:r>
          </w:p>
          <w:p w14:paraId="41EBEC4C" w14:textId="77777777" w:rsidR="002530E2" w:rsidRDefault="002530E2">
            <w:pPr>
              <w:spacing w:after="0" w:line="276" w:lineRule="auto"/>
            </w:pPr>
          </w:p>
          <w:p w14:paraId="12D4EAB1" w14:textId="77777777" w:rsidR="002530E2" w:rsidRDefault="002530E2">
            <w:pPr>
              <w:spacing w:after="0" w:line="276" w:lineRule="auto"/>
            </w:pPr>
            <w:r>
              <w:t>The discovery of pork in the halal-certified Prosperity Burgers sparked backlash and public outrage among Muslim consumers in Singapore. They expressed their concerns on social media platforms and through community discussions, highlighting their disappointment with McDonald's.</w:t>
            </w:r>
          </w:p>
        </w:tc>
      </w:tr>
      <w:tr w:rsidR="002530E2" w14:paraId="46AB7EE4" w14:textId="77777777">
        <w:tc>
          <w:tcPr>
            <w:tcW w:w="1905" w:type="dxa"/>
            <w:shd w:val="clear" w:color="auto" w:fill="auto"/>
            <w:tcMar>
              <w:top w:w="100" w:type="dxa"/>
              <w:left w:w="100" w:type="dxa"/>
              <w:bottom w:w="100" w:type="dxa"/>
              <w:right w:w="100" w:type="dxa"/>
            </w:tcMar>
          </w:tcPr>
          <w:p w14:paraId="5AD3D2B4"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0B473AE8" w14:textId="77777777" w:rsidR="002530E2" w:rsidRDefault="002530E2">
            <w:pPr>
              <w:spacing w:after="0" w:line="276" w:lineRule="auto"/>
            </w:pPr>
            <w:r>
              <w:t>The full impact of the controversy on McDonald's business in Singapore has not been extensively documented. However, the incident highlighted the importance of upholding halal standards and maintaining the trust of Muslim consumers. McDonald's took steps to address the issue and regain the confidence of its customers.</w:t>
            </w:r>
          </w:p>
        </w:tc>
      </w:tr>
      <w:tr w:rsidR="002530E2" w14:paraId="7FD30EFC" w14:textId="77777777">
        <w:tc>
          <w:tcPr>
            <w:tcW w:w="1905" w:type="dxa"/>
            <w:shd w:val="clear" w:color="auto" w:fill="auto"/>
            <w:tcMar>
              <w:top w:w="100" w:type="dxa"/>
              <w:left w:w="100" w:type="dxa"/>
              <w:bottom w:w="100" w:type="dxa"/>
              <w:right w:w="100" w:type="dxa"/>
            </w:tcMar>
          </w:tcPr>
          <w:p w14:paraId="3C2FDBE7"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313F60D" w14:textId="77777777" w:rsidR="002530E2" w:rsidRDefault="002530E2">
            <w:pPr>
              <w:spacing w:after="0" w:line="276" w:lineRule="auto"/>
            </w:pPr>
            <w:r>
              <w:t>Muslim consumers felt that the presence of pork in the halal-certified Prosperity Burgers violated their religious beliefs and dietary requirements. They expected McDonald's to uphold strict halal standards and ensure the accuracy of their halal-certified products.</w:t>
            </w:r>
          </w:p>
        </w:tc>
      </w:tr>
      <w:tr w:rsidR="002530E2" w14:paraId="65900589" w14:textId="77777777">
        <w:tc>
          <w:tcPr>
            <w:tcW w:w="1905" w:type="dxa"/>
            <w:shd w:val="clear" w:color="auto" w:fill="auto"/>
            <w:tcMar>
              <w:top w:w="100" w:type="dxa"/>
              <w:left w:w="100" w:type="dxa"/>
              <w:bottom w:w="100" w:type="dxa"/>
              <w:right w:w="100" w:type="dxa"/>
            </w:tcMar>
          </w:tcPr>
          <w:p w14:paraId="5EF2D793"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25451053" w14:textId="77777777" w:rsidR="002530E2" w:rsidRDefault="002530E2">
            <w:pPr>
              <w:spacing w:after="0" w:line="276" w:lineRule="auto"/>
            </w:pPr>
            <w:r>
              <w:t>McDonald's Singapore responded to the controversy by issuing a public apology and acknowledging the mistake. The company assured Muslim consumers that it would take immediate action to rectify the situation and prevent such incidents from happening in the future.</w:t>
            </w:r>
          </w:p>
        </w:tc>
      </w:tr>
      <w:tr w:rsidR="002530E2" w14:paraId="3644A635" w14:textId="77777777">
        <w:tc>
          <w:tcPr>
            <w:tcW w:w="1905" w:type="dxa"/>
            <w:shd w:val="clear" w:color="auto" w:fill="auto"/>
            <w:tcMar>
              <w:top w:w="100" w:type="dxa"/>
              <w:left w:w="100" w:type="dxa"/>
              <w:bottom w:w="100" w:type="dxa"/>
              <w:right w:w="100" w:type="dxa"/>
            </w:tcMar>
          </w:tcPr>
          <w:p w14:paraId="61313A40"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38948F27" w14:textId="77777777" w:rsidR="002530E2" w:rsidRDefault="002530E2">
            <w:pPr>
              <w:spacing w:after="0" w:line="276" w:lineRule="auto"/>
            </w:pPr>
            <w:r>
              <w:t>This incident emphasised the need for food establishments to exercise strict quality control measures, especially when it comes to halal-certified products. It highlighted the significance of ensuring the accuracy and integrity of halal labelling to avoid causing offence or violating religious beliefs.</w:t>
            </w:r>
          </w:p>
        </w:tc>
      </w:tr>
      <w:tr w:rsidR="002530E2" w14:paraId="53D907E3" w14:textId="77777777">
        <w:tc>
          <w:tcPr>
            <w:tcW w:w="1905" w:type="dxa"/>
            <w:shd w:val="clear" w:color="auto" w:fill="auto"/>
            <w:tcMar>
              <w:top w:w="100" w:type="dxa"/>
              <w:left w:w="100" w:type="dxa"/>
              <w:bottom w:w="100" w:type="dxa"/>
              <w:right w:w="100" w:type="dxa"/>
            </w:tcMar>
          </w:tcPr>
          <w:p w14:paraId="02A90D55"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A7133B2" w14:textId="77777777" w:rsidR="002530E2" w:rsidRDefault="002530E2">
            <w:pPr>
              <w:spacing w:after="0" w:line="276" w:lineRule="auto"/>
            </w:pPr>
            <w:r>
              <w:t>In 2017, a McDonald's outlet in Singapore faced controversy when it was discovered that the halal-certified Prosperity Burgers sold at the outlet contained pork. Muslim consumers accused the company of negligence and disrespect for their religious beliefs. McDonald's Singapore responded by issuing an apology and taking measures to rectify the situation.</w:t>
            </w:r>
          </w:p>
        </w:tc>
      </w:tr>
    </w:tbl>
    <w:p w14:paraId="4810603D" w14:textId="77777777" w:rsidR="002530E2" w:rsidRDefault="002530E2"/>
    <w:p w14:paraId="3748D6A8" w14:textId="77777777" w:rsidR="002530E2" w:rsidRDefault="002530E2">
      <w:pPr>
        <w:pStyle w:val="Heading2"/>
      </w:pPr>
      <w:bookmarkStart w:id="448" w:name="_8mr6rm6iderh" w:colFirst="0" w:colLast="0"/>
      <w:bookmarkEnd w:id="448"/>
    </w:p>
    <w:p w14:paraId="005FC45A" w14:textId="77777777" w:rsidR="002530E2" w:rsidRDefault="002530E2">
      <w:pPr>
        <w:pStyle w:val="Heading2"/>
      </w:pPr>
      <w:bookmarkStart w:id="449" w:name="_lvul1jkbhoh5" w:colFirst="0" w:colLast="0"/>
      <w:bookmarkEnd w:id="449"/>
      <w:r>
        <w:t>IR 030 (2018: H&amp;M,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4A9128EC" w14:textId="77777777">
        <w:tc>
          <w:tcPr>
            <w:tcW w:w="1905" w:type="dxa"/>
            <w:shd w:val="clear" w:color="auto" w:fill="auto"/>
            <w:tcMar>
              <w:top w:w="100" w:type="dxa"/>
              <w:left w:w="100" w:type="dxa"/>
              <w:bottom w:w="100" w:type="dxa"/>
              <w:right w:w="100" w:type="dxa"/>
            </w:tcMar>
          </w:tcPr>
          <w:p w14:paraId="74FC519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ED2DDBC" w14:textId="77777777" w:rsidR="002530E2" w:rsidRDefault="002530E2">
            <w:pPr>
              <w:spacing w:after="0" w:line="276" w:lineRule="auto"/>
            </w:pPr>
            <w:r>
              <w:t>Incident Report Title: “H&amp;M's "Coolest Monkey in the Jungle" Ad”</w:t>
            </w:r>
          </w:p>
        </w:tc>
      </w:tr>
      <w:tr w:rsidR="002530E2" w14:paraId="1CA857E0" w14:textId="77777777">
        <w:tc>
          <w:tcPr>
            <w:tcW w:w="1905" w:type="dxa"/>
            <w:shd w:val="clear" w:color="auto" w:fill="auto"/>
            <w:tcMar>
              <w:top w:w="100" w:type="dxa"/>
              <w:left w:w="100" w:type="dxa"/>
              <w:bottom w:w="100" w:type="dxa"/>
              <w:right w:w="100" w:type="dxa"/>
            </w:tcMar>
          </w:tcPr>
          <w:p w14:paraId="3DDBC558"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332E921E" w14:textId="77777777" w:rsidR="002530E2" w:rsidRDefault="002530E2">
            <w:pPr>
              <w:spacing w:after="0" w:line="276" w:lineRule="auto"/>
            </w:pPr>
            <w:r>
              <w:t xml:space="preserve">This case examines a cross-cultural blunder by H&amp;M in 2018, involving an advertisement that sparked controversy and backlash from Muslim </w:t>
            </w:r>
            <w:r>
              <w:lastRenderedPageBreak/>
              <w:t>consumers. The report delves into the consequences of H&amp;M's ad featuring a young boy wearing a hoodie with the text "coolest monkey in the jungle," highlighting the responses from various stakeholders and addressing the need for cultural sensitivity in marketing campaigns.</w:t>
            </w:r>
          </w:p>
        </w:tc>
      </w:tr>
      <w:tr w:rsidR="002530E2" w14:paraId="522863E4" w14:textId="77777777">
        <w:tc>
          <w:tcPr>
            <w:tcW w:w="1905" w:type="dxa"/>
            <w:shd w:val="clear" w:color="auto" w:fill="auto"/>
            <w:tcMar>
              <w:top w:w="100" w:type="dxa"/>
              <w:left w:w="100" w:type="dxa"/>
              <w:bottom w:w="100" w:type="dxa"/>
              <w:right w:w="100" w:type="dxa"/>
            </w:tcMar>
          </w:tcPr>
          <w:p w14:paraId="013FF117" w14:textId="77777777" w:rsidR="002530E2" w:rsidRDefault="002530E2">
            <w:pPr>
              <w:spacing w:after="0" w:line="276" w:lineRule="auto"/>
            </w:pPr>
            <w:r>
              <w:lastRenderedPageBreak/>
              <w:t>IRE 2: INCIDENT BACKGROUND — WHAT HAPPENED?</w:t>
            </w:r>
          </w:p>
        </w:tc>
        <w:tc>
          <w:tcPr>
            <w:tcW w:w="7125" w:type="dxa"/>
            <w:shd w:val="clear" w:color="auto" w:fill="auto"/>
            <w:tcMar>
              <w:top w:w="100" w:type="dxa"/>
              <w:left w:w="100" w:type="dxa"/>
              <w:bottom w:w="100" w:type="dxa"/>
              <w:right w:w="100" w:type="dxa"/>
            </w:tcMar>
          </w:tcPr>
          <w:p w14:paraId="0D10A220" w14:textId="77777777" w:rsidR="002530E2" w:rsidRDefault="002530E2">
            <w:pPr>
              <w:spacing w:after="0" w:line="276" w:lineRule="auto"/>
            </w:pPr>
            <w:r>
              <w:t>In 2018, H&amp;M released an advertisement featuring a young boy wearing a hoodie that read "coolest monkey in the jungle." The ad generated significant criticism from Muslim consumers, who found it racially insensitive and believed that it reinforced negative stereotypes about black people.</w:t>
            </w:r>
          </w:p>
        </w:tc>
      </w:tr>
      <w:tr w:rsidR="002530E2" w14:paraId="19257497" w14:textId="77777777">
        <w:tc>
          <w:tcPr>
            <w:tcW w:w="1905" w:type="dxa"/>
            <w:shd w:val="clear" w:color="auto" w:fill="auto"/>
            <w:tcMar>
              <w:top w:w="100" w:type="dxa"/>
              <w:left w:w="100" w:type="dxa"/>
              <w:bottom w:w="100" w:type="dxa"/>
              <w:right w:w="100" w:type="dxa"/>
            </w:tcMar>
          </w:tcPr>
          <w:p w14:paraId="728D04FE"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70580A8" w14:textId="77777777" w:rsidR="002530E2" w:rsidRDefault="002530E2">
            <w:pPr>
              <w:spacing w:after="0" w:line="276" w:lineRule="auto"/>
            </w:pPr>
            <w:r>
              <w:t>The incident occurred in 2018, when H&amp;M released the controversial ad.</w:t>
            </w:r>
          </w:p>
        </w:tc>
      </w:tr>
      <w:tr w:rsidR="002530E2" w14:paraId="1E57A47C" w14:textId="77777777">
        <w:tc>
          <w:tcPr>
            <w:tcW w:w="1905" w:type="dxa"/>
            <w:shd w:val="clear" w:color="auto" w:fill="auto"/>
            <w:tcMar>
              <w:top w:w="100" w:type="dxa"/>
              <w:left w:w="100" w:type="dxa"/>
              <w:bottom w:w="100" w:type="dxa"/>
              <w:right w:w="100" w:type="dxa"/>
            </w:tcMar>
          </w:tcPr>
          <w:p w14:paraId="4CF68A3D"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292227A5" w14:textId="77777777" w:rsidR="002530E2" w:rsidRDefault="002530E2">
            <w:pPr>
              <w:spacing w:after="0" w:line="276" w:lineRule="auto"/>
            </w:pPr>
            <w:r>
              <w:t>The incident took place globally, as the ad was part of H&amp;M's international marketing campaign.</w:t>
            </w:r>
          </w:p>
        </w:tc>
      </w:tr>
      <w:tr w:rsidR="002530E2" w14:paraId="1A323D8A" w14:textId="77777777">
        <w:tc>
          <w:tcPr>
            <w:tcW w:w="1905" w:type="dxa"/>
            <w:shd w:val="clear" w:color="auto" w:fill="auto"/>
            <w:tcMar>
              <w:top w:w="100" w:type="dxa"/>
              <w:left w:w="100" w:type="dxa"/>
              <w:bottom w:w="100" w:type="dxa"/>
              <w:right w:w="100" w:type="dxa"/>
            </w:tcMar>
          </w:tcPr>
          <w:p w14:paraId="234DDDB9"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D3FD047" w14:textId="77777777" w:rsidR="002530E2" w:rsidRDefault="002530E2">
            <w:pPr>
              <w:spacing w:after="0" w:line="276" w:lineRule="auto"/>
            </w:pPr>
            <w:r>
              <w:t>Muslim consumers were among the groups affected by this cross-cultural blunder. Many Muslims, recognising the negative impact of racial stereotypes, expressed their disappointment with the ad and condemned H&amp;M for its lack of cultural sensitivity.</w:t>
            </w:r>
          </w:p>
          <w:p w14:paraId="14263E57" w14:textId="77777777" w:rsidR="002530E2" w:rsidRDefault="002530E2">
            <w:pPr>
              <w:spacing w:after="0" w:line="276" w:lineRule="auto"/>
            </w:pPr>
            <w:r>
              <w:t>Social media platforms became a prominent arena for discussions, with Muslim consumers sharing their discontent and calling for a boycott of H&amp;M products (BBC, 2018).</w:t>
            </w:r>
          </w:p>
        </w:tc>
      </w:tr>
      <w:tr w:rsidR="002530E2" w14:paraId="6FD0C401" w14:textId="77777777">
        <w:tc>
          <w:tcPr>
            <w:tcW w:w="1905" w:type="dxa"/>
            <w:shd w:val="clear" w:color="auto" w:fill="auto"/>
            <w:tcMar>
              <w:top w:w="100" w:type="dxa"/>
              <w:left w:w="100" w:type="dxa"/>
              <w:bottom w:w="100" w:type="dxa"/>
              <w:right w:w="100" w:type="dxa"/>
            </w:tcMar>
          </w:tcPr>
          <w:p w14:paraId="146F97E0"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18221D75" w14:textId="77777777" w:rsidR="002530E2" w:rsidRDefault="002530E2">
            <w:pPr>
              <w:spacing w:after="0" w:line="276" w:lineRule="auto"/>
            </w:pPr>
            <w:r>
              <w:t>H&amp;M, a multinational fashion retailer, was at the centre of the controversy. The company faced substantial backlash from Muslim consumers, resulting in reputational damage and potential financial consequences.</w:t>
            </w:r>
          </w:p>
        </w:tc>
      </w:tr>
      <w:tr w:rsidR="002530E2" w14:paraId="1328F9BE" w14:textId="77777777">
        <w:tc>
          <w:tcPr>
            <w:tcW w:w="1905" w:type="dxa"/>
            <w:shd w:val="clear" w:color="auto" w:fill="auto"/>
            <w:tcMar>
              <w:top w:w="100" w:type="dxa"/>
              <w:left w:w="100" w:type="dxa"/>
              <w:bottom w:w="100" w:type="dxa"/>
              <w:right w:w="100" w:type="dxa"/>
            </w:tcMar>
          </w:tcPr>
          <w:p w14:paraId="36FC448A"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06DE2473" w14:textId="77777777" w:rsidR="002530E2" w:rsidRDefault="002530E2">
            <w:pPr>
              <w:spacing w:after="0" w:line="276" w:lineRule="auto"/>
            </w:pPr>
            <w:r>
              <w:t>Muslim consumers who found the ad offensive and racially insensitive expressed their disappointment and frustration on various social media platforms. They argued that the ad reinforced harmful stereotypes and called for an apology and accountability from H&amp;M.</w:t>
            </w:r>
          </w:p>
        </w:tc>
      </w:tr>
      <w:tr w:rsidR="002530E2" w14:paraId="583C4A1E" w14:textId="77777777">
        <w:tc>
          <w:tcPr>
            <w:tcW w:w="1905" w:type="dxa"/>
            <w:shd w:val="clear" w:color="auto" w:fill="auto"/>
            <w:tcMar>
              <w:top w:w="100" w:type="dxa"/>
              <w:left w:w="100" w:type="dxa"/>
              <w:bottom w:w="100" w:type="dxa"/>
              <w:right w:w="100" w:type="dxa"/>
            </w:tcMar>
          </w:tcPr>
          <w:p w14:paraId="260196B6"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25FF8FCC" w14:textId="77777777" w:rsidR="002530E2" w:rsidRDefault="002530E2">
            <w:pPr>
              <w:spacing w:after="0" w:line="276" w:lineRule="auto"/>
            </w:pPr>
            <w:r>
              <w:t>The controversy surrounding the ad had significant consequences for H&amp;M. The negative sentiment expressed by Muslim consumers and the wider public on social media affected the brand's reputation and potentially led to a decline in sales. The incident also attracted media attention, further amplifying the negative impact on H&amp;M's image and customer perception.</w:t>
            </w:r>
          </w:p>
        </w:tc>
      </w:tr>
      <w:tr w:rsidR="002530E2" w14:paraId="4AF2D5FA" w14:textId="77777777">
        <w:tc>
          <w:tcPr>
            <w:tcW w:w="1905" w:type="dxa"/>
            <w:shd w:val="clear" w:color="auto" w:fill="auto"/>
            <w:tcMar>
              <w:top w:w="100" w:type="dxa"/>
              <w:left w:w="100" w:type="dxa"/>
              <w:bottom w:w="100" w:type="dxa"/>
              <w:right w:w="100" w:type="dxa"/>
            </w:tcMar>
          </w:tcPr>
          <w:p w14:paraId="1BF445E8" w14:textId="77777777" w:rsidR="002530E2" w:rsidRDefault="002530E2">
            <w:pPr>
              <w:spacing w:after="0" w:line="276" w:lineRule="auto"/>
            </w:pPr>
            <w:r>
              <w:t xml:space="preserve">IRE 9: REASONS — WHY DID THE </w:t>
            </w:r>
            <w:r>
              <w:lastRenderedPageBreak/>
              <w:t xml:space="preserve">BLUNDER HAPPEN? </w:t>
            </w:r>
          </w:p>
        </w:tc>
        <w:tc>
          <w:tcPr>
            <w:tcW w:w="7125" w:type="dxa"/>
            <w:shd w:val="clear" w:color="auto" w:fill="auto"/>
            <w:tcMar>
              <w:top w:w="100" w:type="dxa"/>
              <w:left w:w="100" w:type="dxa"/>
              <w:bottom w:w="100" w:type="dxa"/>
              <w:right w:w="100" w:type="dxa"/>
            </w:tcMar>
          </w:tcPr>
          <w:p w14:paraId="052A8311" w14:textId="77777777" w:rsidR="002530E2" w:rsidRDefault="002530E2">
            <w:pPr>
              <w:spacing w:after="0" w:line="276" w:lineRule="auto"/>
            </w:pPr>
            <w:r>
              <w:lastRenderedPageBreak/>
              <w:t xml:space="preserve">The release of the ad without recognising its potential racial insensitivity and the negative impact it could have on diverse communities reflects a lack of </w:t>
            </w:r>
            <w:r>
              <w:lastRenderedPageBreak/>
              <w:t>cultural understanding and oversight within H&amp;M's marketing and advertising departments.</w:t>
            </w:r>
          </w:p>
        </w:tc>
      </w:tr>
      <w:tr w:rsidR="002530E2" w14:paraId="2694130A" w14:textId="77777777">
        <w:tc>
          <w:tcPr>
            <w:tcW w:w="1905" w:type="dxa"/>
            <w:shd w:val="clear" w:color="auto" w:fill="auto"/>
            <w:tcMar>
              <w:top w:w="100" w:type="dxa"/>
              <w:left w:w="100" w:type="dxa"/>
              <w:bottom w:w="100" w:type="dxa"/>
              <w:right w:w="100" w:type="dxa"/>
            </w:tcMar>
          </w:tcPr>
          <w:p w14:paraId="6107B781" w14:textId="77777777" w:rsidR="002530E2" w:rsidRDefault="002530E2">
            <w:pPr>
              <w:spacing w:after="0" w:line="276" w:lineRule="auto"/>
            </w:pPr>
            <w:r>
              <w:lastRenderedPageBreak/>
              <w:t>IRE 10: DAMAGE CONTROL — HOW DID THE MNC ADDRESS THE ISSUES?</w:t>
            </w:r>
          </w:p>
        </w:tc>
        <w:tc>
          <w:tcPr>
            <w:tcW w:w="7125" w:type="dxa"/>
            <w:shd w:val="clear" w:color="auto" w:fill="auto"/>
            <w:tcMar>
              <w:top w:w="100" w:type="dxa"/>
              <w:left w:w="100" w:type="dxa"/>
              <w:bottom w:w="100" w:type="dxa"/>
              <w:right w:w="100" w:type="dxa"/>
            </w:tcMar>
          </w:tcPr>
          <w:p w14:paraId="0017A7FC" w14:textId="77777777" w:rsidR="002530E2" w:rsidRDefault="002530E2">
            <w:pPr>
              <w:spacing w:after="0" w:line="276" w:lineRule="auto"/>
            </w:pPr>
            <w:r>
              <w:t>In response to the backlash, H&amp;M issued an apology and promptly removed the ad from all channels. The company acknowledged the concerns raised by Muslim consumers and pledged to review its internal processes to ensure greater cultural sensitivity in future marketing campaigns.</w:t>
            </w:r>
          </w:p>
        </w:tc>
      </w:tr>
      <w:tr w:rsidR="002530E2" w14:paraId="4BEC9C2D" w14:textId="77777777">
        <w:tc>
          <w:tcPr>
            <w:tcW w:w="1905" w:type="dxa"/>
            <w:shd w:val="clear" w:color="auto" w:fill="auto"/>
            <w:tcMar>
              <w:top w:w="100" w:type="dxa"/>
              <w:left w:w="100" w:type="dxa"/>
              <w:bottom w:w="100" w:type="dxa"/>
              <w:right w:w="100" w:type="dxa"/>
            </w:tcMar>
          </w:tcPr>
          <w:p w14:paraId="19AB2BB9"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6B90517" w14:textId="77777777" w:rsidR="002530E2" w:rsidRDefault="002530E2">
            <w:pPr>
              <w:spacing w:after="0" w:line="276" w:lineRule="auto"/>
            </w:pPr>
            <w:r>
              <w:t>To prevent similar cross-cultural blunders, companies like H&amp;M should prioritise diversity and inclusion in their marketing teams. This includes having diverse perspectives and backgrounds represented within decision-making roles to mitigate the risk of overlooking potential cultural sensitivities.</w:t>
            </w:r>
          </w:p>
          <w:p w14:paraId="130515A1" w14:textId="77777777" w:rsidR="002530E2" w:rsidRDefault="002530E2">
            <w:pPr>
              <w:spacing w:after="0" w:line="276" w:lineRule="auto"/>
            </w:pPr>
          </w:p>
          <w:p w14:paraId="451B85E6" w14:textId="77777777" w:rsidR="002530E2" w:rsidRDefault="002530E2">
            <w:pPr>
              <w:spacing w:after="0" w:line="276" w:lineRule="auto"/>
            </w:pPr>
            <w:r>
              <w:t>In the future, businesses operating in diverse markets should establish clear guidelines and protocols for reviewing and approving marketing materials. Conducting cultural impact assessments and seeking input from diverse stakeholders can help identify potential issues and ensure the avoidance of cultural blunders.</w:t>
            </w:r>
          </w:p>
        </w:tc>
      </w:tr>
      <w:tr w:rsidR="002530E2" w14:paraId="342C4EBF" w14:textId="77777777">
        <w:tc>
          <w:tcPr>
            <w:tcW w:w="1905" w:type="dxa"/>
            <w:shd w:val="clear" w:color="auto" w:fill="auto"/>
            <w:tcMar>
              <w:top w:w="100" w:type="dxa"/>
              <w:left w:w="100" w:type="dxa"/>
              <w:bottom w:w="100" w:type="dxa"/>
              <w:right w:w="100" w:type="dxa"/>
            </w:tcMar>
          </w:tcPr>
          <w:p w14:paraId="4F303919"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080B4A41" w14:textId="77777777" w:rsidR="002530E2" w:rsidRDefault="002530E2">
            <w:pPr>
              <w:spacing w:after="0" w:line="276" w:lineRule="auto"/>
            </w:pPr>
            <w:r>
              <w:t>This case highlighted the backlash faced by H&amp;M in 2018 for its "Coolest Monkey in the Jungle" ad. The incident emphasised the need for cultural sensitivity and inclusivity in marketing campaigns, particularly in relation to racial and ethnic stereotypes. To avoid such cross-cultural blunders, companies must prioritise diversity, cultural understanding, and stakeholder engagement in their marketing strategies.</w:t>
            </w:r>
          </w:p>
        </w:tc>
      </w:tr>
    </w:tbl>
    <w:p w14:paraId="22D5B288" w14:textId="77777777" w:rsidR="002530E2" w:rsidRDefault="002530E2"/>
    <w:p w14:paraId="7B2EC745" w14:textId="77777777" w:rsidR="002530E2" w:rsidRDefault="002530E2">
      <w:pPr>
        <w:pStyle w:val="Heading2"/>
      </w:pPr>
      <w:bookmarkStart w:id="450" w:name="_kxufpvedwi23" w:colFirst="0" w:colLast="0"/>
      <w:bookmarkEnd w:id="450"/>
      <w:r>
        <w:t>IR 031 (2018: Google,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0E65C78" w14:textId="77777777">
        <w:tc>
          <w:tcPr>
            <w:tcW w:w="1905" w:type="dxa"/>
            <w:shd w:val="clear" w:color="auto" w:fill="auto"/>
            <w:tcMar>
              <w:top w:w="100" w:type="dxa"/>
              <w:left w:w="100" w:type="dxa"/>
              <w:bottom w:w="100" w:type="dxa"/>
              <w:right w:w="100" w:type="dxa"/>
            </w:tcMar>
          </w:tcPr>
          <w:p w14:paraId="4C9FA74A"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3E19A3A" w14:textId="77777777" w:rsidR="002530E2" w:rsidRDefault="002530E2">
            <w:pPr>
              <w:spacing w:after="0" w:line="276" w:lineRule="auto"/>
            </w:pPr>
            <w:r>
              <w:t>Incident Report Title: “Google's Controversial Search Results for Muslims”</w:t>
            </w:r>
          </w:p>
        </w:tc>
      </w:tr>
      <w:tr w:rsidR="002530E2" w14:paraId="583B0C5A" w14:textId="77777777">
        <w:tc>
          <w:tcPr>
            <w:tcW w:w="1905" w:type="dxa"/>
            <w:shd w:val="clear" w:color="auto" w:fill="auto"/>
            <w:tcMar>
              <w:top w:w="100" w:type="dxa"/>
              <w:left w:w="100" w:type="dxa"/>
              <w:bottom w:w="100" w:type="dxa"/>
              <w:right w:w="100" w:type="dxa"/>
            </w:tcMar>
          </w:tcPr>
          <w:p w14:paraId="40762051"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EC28A29" w14:textId="77777777" w:rsidR="002530E2" w:rsidRDefault="002530E2">
            <w:pPr>
              <w:spacing w:after="0" w:line="276" w:lineRule="auto"/>
            </w:pPr>
            <w:r>
              <w:t>This case examines a cross-cultural blunder by Google in 2018, which generated criticism from Muslim consumers. The report focuses on the consequences of Google's search results for the keyword "Muslims" being dominated by negative and derogatory content. Many Muslims felt that this biassed representation reinforced stereotypes and called for Google to address the issue to ensure accurate and respectful information about their community.</w:t>
            </w:r>
          </w:p>
        </w:tc>
      </w:tr>
      <w:tr w:rsidR="002530E2" w14:paraId="0AC68833" w14:textId="77777777">
        <w:tc>
          <w:tcPr>
            <w:tcW w:w="1905" w:type="dxa"/>
            <w:shd w:val="clear" w:color="auto" w:fill="auto"/>
            <w:tcMar>
              <w:top w:w="100" w:type="dxa"/>
              <w:left w:w="100" w:type="dxa"/>
              <w:bottom w:w="100" w:type="dxa"/>
              <w:right w:w="100" w:type="dxa"/>
            </w:tcMar>
          </w:tcPr>
          <w:p w14:paraId="6C55C125" w14:textId="77777777" w:rsidR="002530E2" w:rsidRDefault="002530E2">
            <w:pPr>
              <w:spacing w:after="0" w:line="276" w:lineRule="auto"/>
            </w:pPr>
            <w:r>
              <w:lastRenderedPageBreak/>
              <w:t>IRE 2: INCIDENT BACKGROUND — WHAT HAPPENED?</w:t>
            </w:r>
          </w:p>
        </w:tc>
        <w:tc>
          <w:tcPr>
            <w:tcW w:w="7125" w:type="dxa"/>
            <w:shd w:val="clear" w:color="auto" w:fill="auto"/>
            <w:tcMar>
              <w:top w:w="100" w:type="dxa"/>
              <w:left w:w="100" w:type="dxa"/>
              <w:bottom w:w="100" w:type="dxa"/>
              <w:right w:w="100" w:type="dxa"/>
            </w:tcMar>
          </w:tcPr>
          <w:p w14:paraId="30DF8A39" w14:textId="77777777" w:rsidR="002530E2" w:rsidRDefault="002530E2">
            <w:pPr>
              <w:spacing w:after="0" w:line="276" w:lineRule="auto"/>
            </w:pPr>
            <w:r>
              <w:t>In 2018, it was reported that Google's search results for the keyword "Muslims" prominently displayed negative and derogatory content. Muslim consumers who searched for information related to their community encountered a significant amount of biassed and potentially harmful content. This raised concerns about the accuracy and fairness of Google's algorithms.</w:t>
            </w:r>
          </w:p>
        </w:tc>
      </w:tr>
      <w:tr w:rsidR="002530E2" w14:paraId="631E20DE" w14:textId="77777777">
        <w:tc>
          <w:tcPr>
            <w:tcW w:w="1905" w:type="dxa"/>
            <w:shd w:val="clear" w:color="auto" w:fill="auto"/>
            <w:tcMar>
              <w:top w:w="100" w:type="dxa"/>
              <w:left w:w="100" w:type="dxa"/>
              <w:bottom w:w="100" w:type="dxa"/>
              <w:right w:w="100" w:type="dxa"/>
            </w:tcMar>
          </w:tcPr>
          <w:p w14:paraId="7D63B7AF"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758AA663" w14:textId="77777777" w:rsidR="002530E2" w:rsidRDefault="002530E2">
            <w:pPr>
              <w:spacing w:after="0" w:line="276" w:lineRule="auto"/>
            </w:pPr>
            <w:r>
              <w:t>The incident occurred in 2018 when reports surfaced regarding Google's search results for the keyword "Muslims" being dominated by negative and derogatory content.</w:t>
            </w:r>
          </w:p>
        </w:tc>
      </w:tr>
      <w:tr w:rsidR="002530E2" w14:paraId="029F296A" w14:textId="77777777">
        <w:tc>
          <w:tcPr>
            <w:tcW w:w="1905" w:type="dxa"/>
            <w:shd w:val="clear" w:color="auto" w:fill="auto"/>
            <w:tcMar>
              <w:top w:w="100" w:type="dxa"/>
              <w:left w:w="100" w:type="dxa"/>
              <w:bottom w:w="100" w:type="dxa"/>
              <w:right w:w="100" w:type="dxa"/>
            </w:tcMar>
          </w:tcPr>
          <w:p w14:paraId="15DFDD10"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8305E51" w14:textId="77777777" w:rsidR="002530E2" w:rsidRDefault="002530E2">
            <w:pPr>
              <w:spacing w:after="0" w:line="276" w:lineRule="auto"/>
            </w:pPr>
            <w:r>
              <w:t>The issue was observed globally, as Google is a widely used search engine worldwide.</w:t>
            </w:r>
          </w:p>
        </w:tc>
      </w:tr>
      <w:tr w:rsidR="002530E2" w14:paraId="0653D390" w14:textId="77777777">
        <w:tc>
          <w:tcPr>
            <w:tcW w:w="1905" w:type="dxa"/>
            <w:shd w:val="clear" w:color="auto" w:fill="auto"/>
            <w:tcMar>
              <w:top w:w="100" w:type="dxa"/>
              <w:left w:w="100" w:type="dxa"/>
              <w:bottom w:w="100" w:type="dxa"/>
              <w:right w:w="100" w:type="dxa"/>
            </w:tcMar>
          </w:tcPr>
          <w:p w14:paraId="2F046EC6"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81A5C4D" w14:textId="77777777" w:rsidR="002530E2" w:rsidRDefault="002530E2">
            <w:pPr>
              <w:spacing w:after="0" w:line="276" w:lineRule="auto"/>
            </w:pPr>
            <w:r>
              <w:t>Muslim consumers were directly affected by this cross-cultural blunder. Many Muslims expressed their disappointment and frustration with Google's search results, as they felt that the biassed representation reinforced negative stereotypes and misinformation about their community. They voiced their concerns and demanded that Google take action to rectify the situation (Huffington Post, 2018).</w:t>
            </w:r>
          </w:p>
        </w:tc>
      </w:tr>
      <w:tr w:rsidR="002530E2" w14:paraId="1D8274CE" w14:textId="77777777">
        <w:tc>
          <w:tcPr>
            <w:tcW w:w="1905" w:type="dxa"/>
            <w:shd w:val="clear" w:color="auto" w:fill="auto"/>
            <w:tcMar>
              <w:top w:w="100" w:type="dxa"/>
              <w:left w:w="100" w:type="dxa"/>
              <w:bottom w:w="100" w:type="dxa"/>
              <w:right w:w="100" w:type="dxa"/>
            </w:tcMar>
          </w:tcPr>
          <w:p w14:paraId="58E7E9C4"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3FFF5B8" w14:textId="77777777" w:rsidR="002530E2" w:rsidRDefault="002530E2">
            <w:pPr>
              <w:spacing w:after="0" w:line="276" w:lineRule="auto"/>
            </w:pPr>
            <w:r>
              <w:t>Google, one of the leading technology companies, was at the centre of the controversy. The search engine's algorithms were responsible for displaying search results, including those for the keyword "Muslims."</w:t>
            </w:r>
          </w:p>
        </w:tc>
      </w:tr>
      <w:tr w:rsidR="002530E2" w14:paraId="23F8DB48" w14:textId="77777777">
        <w:tc>
          <w:tcPr>
            <w:tcW w:w="1905" w:type="dxa"/>
            <w:shd w:val="clear" w:color="auto" w:fill="auto"/>
            <w:tcMar>
              <w:top w:w="100" w:type="dxa"/>
              <w:left w:w="100" w:type="dxa"/>
              <w:bottom w:w="100" w:type="dxa"/>
              <w:right w:w="100" w:type="dxa"/>
            </w:tcMar>
          </w:tcPr>
          <w:p w14:paraId="30C7B7F6"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8E929E3" w14:textId="77777777" w:rsidR="002530E2" w:rsidRDefault="002530E2">
            <w:pPr>
              <w:spacing w:after="0" w:line="276" w:lineRule="auto"/>
            </w:pPr>
            <w:r>
              <w:t>Muslim consumers who searched for information using the keyword "Muslims" encountered a disproportionate amount of negative and derogatory content. This biassed representation had a detrimental impact on their perception of Google's credibility and fairness. Many Muslims expressed their disappointment and frustration on social media, highlighting the need for more accurate and respectful search results.</w:t>
            </w:r>
          </w:p>
        </w:tc>
      </w:tr>
      <w:tr w:rsidR="002530E2" w14:paraId="1192A6E7" w14:textId="77777777">
        <w:tc>
          <w:tcPr>
            <w:tcW w:w="1905" w:type="dxa"/>
            <w:shd w:val="clear" w:color="auto" w:fill="auto"/>
            <w:tcMar>
              <w:top w:w="100" w:type="dxa"/>
              <w:left w:w="100" w:type="dxa"/>
              <w:bottom w:w="100" w:type="dxa"/>
              <w:right w:w="100" w:type="dxa"/>
            </w:tcMar>
          </w:tcPr>
          <w:p w14:paraId="1D012FB3"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18FB800" w14:textId="77777777" w:rsidR="002530E2" w:rsidRDefault="002530E2">
            <w:pPr>
              <w:spacing w:after="0" w:line="276" w:lineRule="auto"/>
            </w:pPr>
            <w:r>
              <w:t>Google faced significant criticism and public scrutiny following the revelation of biassed search results for the keyword "Muslims." The incident challenged Google's reputation as a reliable source of information and raised questions about the fairness and objectivity of its algorithms. The negative attention could potentially result in a loss of trust from not only Muslim consumers but also the wider user base.</w:t>
            </w:r>
          </w:p>
        </w:tc>
      </w:tr>
      <w:tr w:rsidR="002530E2" w14:paraId="0FA9EF33" w14:textId="77777777">
        <w:tc>
          <w:tcPr>
            <w:tcW w:w="1905" w:type="dxa"/>
            <w:shd w:val="clear" w:color="auto" w:fill="auto"/>
            <w:tcMar>
              <w:top w:w="100" w:type="dxa"/>
              <w:left w:w="100" w:type="dxa"/>
              <w:bottom w:w="100" w:type="dxa"/>
              <w:right w:w="100" w:type="dxa"/>
            </w:tcMar>
          </w:tcPr>
          <w:p w14:paraId="4219A9A9"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6D8E85A5" w14:textId="77777777" w:rsidR="002530E2" w:rsidRDefault="002530E2">
            <w:pPr>
              <w:spacing w:after="0" w:line="276" w:lineRule="auto"/>
            </w:pPr>
            <w:r>
              <w:t>The biassed search results for the keyword "Muslims" can be attributed to algorithmic biases within Google's search algorithms. These biases may stem from a lack of diverse perspectives and insufficient training data, leading to the amplification of negative and derogatory content about Muslims.</w:t>
            </w:r>
          </w:p>
        </w:tc>
      </w:tr>
      <w:tr w:rsidR="002530E2" w14:paraId="770F5378" w14:textId="77777777">
        <w:tc>
          <w:tcPr>
            <w:tcW w:w="1905" w:type="dxa"/>
            <w:shd w:val="clear" w:color="auto" w:fill="auto"/>
            <w:tcMar>
              <w:top w:w="100" w:type="dxa"/>
              <w:left w:w="100" w:type="dxa"/>
              <w:bottom w:w="100" w:type="dxa"/>
              <w:right w:w="100" w:type="dxa"/>
            </w:tcMar>
          </w:tcPr>
          <w:p w14:paraId="054A2C81" w14:textId="77777777" w:rsidR="002530E2" w:rsidRDefault="002530E2">
            <w:pPr>
              <w:spacing w:after="0" w:line="276" w:lineRule="auto"/>
            </w:pPr>
            <w:r>
              <w:lastRenderedPageBreak/>
              <w:t>IRE 10: DAMAGE CONTROL — HOW DID THE MNC ADDRESS THE ISSUES?</w:t>
            </w:r>
          </w:p>
        </w:tc>
        <w:tc>
          <w:tcPr>
            <w:tcW w:w="7125" w:type="dxa"/>
            <w:shd w:val="clear" w:color="auto" w:fill="auto"/>
            <w:tcMar>
              <w:top w:w="100" w:type="dxa"/>
              <w:left w:w="100" w:type="dxa"/>
              <w:bottom w:w="100" w:type="dxa"/>
              <w:right w:w="100" w:type="dxa"/>
            </w:tcMar>
          </w:tcPr>
          <w:p w14:paraId="099A1474" w14:textId="77777777" w:rsidR="002530E2" w:rsidRDefault="002530E2">
            <w:pPr>
              <w:spacing w:after="0" w:line="276" w:lineRule="auto"/>
            </w:pPr>
            <w:r>
              <w:t>In response to the criticism, Google acknowledged the concerns raised by Muslim consumers and pledged to improve the accuracy and fairness of its search results. The company emphasised its commitment to addressing algorithmic biases and ensuring that search results provide reliable and respectful information about diverse communities.</w:t>
            </w:r>
          </w:p>
        </w:tc>
      </w:tr>
      <w:tr w:rsidR="002530E2" w14:paraId="5E45BB0F" w14:textId="77777777">
        <w:tc>
          <w:tcPr>
            <w:tcW w:w="1905" w:type="dxa"/>
            <w:shd w:val="clear" w:color="auto" w:fill="auto"/>
            <w:tcMar>
              <w:top w:w="100" w:type="dxa"/>
              <w:left w:w="100" w:type="dxa"/>
              <w:bottom w:w="100" w:type="dxa"/>
              <w:right w:w="100" w:type="dxa"/>
            </w:tcMar>
          </w:tcPr>
          <w:p w14:paraId="22021EAD"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465FA4E5" w14:textId="77777777" w:rsidR="002530E2" w:rsidRDefault="002530E2">
            <w:pPr>
              <w:spacing w:after="0" w:line="276" w:lineRule="auto"/>
            </w:pPr>
            <w:r>
              <w:t>To prevent similar cross-cultural blunders, Google should invest in ongoing algorithmic bias training and diversity initiatives. This includes actively seeking input from diverse communities, experts, and organisations to ensure a more inclusive and comprehensive representation in search results. Regular audits and evaluations of search algorithms can also help identify and rectify biases. Moving forward, Google and other technology companies should adopt transparent and accountable practices regarding algorithmic biases. Engaging in ongoing dialogue with affected communities and continuously refining algorithms can help ensure accurate and fair representation in search results.</w:t>
            </w:r>
          </w:p>
        </w:tc>
      </w:tr>
      <w:tr w:rsidR="002530E2" w14:paraId="4F939C02" w14:textId="77777777">
        <w:tc>
          <w:tcPr>
            <w:tcW w:w="1905" w:type="dxa"/>
            <w:shd w:val="clear" w:color="auto" w:fill="auto"/>
            <w:tcMar>
              <w:top w:w="100" w:type="dxa"/>
              <w:left w:w="100" w:type="dxa"/>
              <w:bottom w:w="100" w:type="dxa"/>
              <w:right w:w="100" w:type="dxa"/>
            </w:tcMar>
          </w:tcPr>
          <w:p w14:paraId="34260E6F"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330485F3" w14:textId="77777777" w:rsidR="002530E2" w:rsidRDefault="002530E2">
            <w:pPr>
              <w:spacing w:after="0" w:line="276" w:lineRule="auto"/>
            </w:pPr>
            <w:r>
              <w:t>The Google search results controversy surrounding the keyword "Muslims" in 2018 highlighted the impact of biassed algorithms on cross-cultural interactions. Muslim consumers experienced the consequences of negative and derogatory content, leading to calls for Google to improve its search algorithms and provide more accurate and respectful information about the Muslim community. The incident emphasises the need for technology companies like Google to prioritise diversity, inclusion, and algorithmic fairness to foster positive cross-cultural understanding.</w:t>
            </w:r>
          </w:p>
        </w:tc>
      </w:tr>
    </w:tbl>
    <w:p w14:paraId="6CD4E5AB" w14:textId="77777777" w:rsidR="002530E2" w:rsidRDefault="002530E2"/>
    <w:p w14:paraId="3E7BD55F" w14:textId="77777777" w:rsidR="002530E2" w:rsidRDefault="002530E2">
      <w:pPr>
        <w:pStyle w:val="Heading2"/>
      </w:pPr>
      <w:bookmarkStart w:id="451" w:name="_9az77c7tuj2t" w:colFirst="0" w:colLast="0"/>
      <w:bookmarkEnd w:id="451"/>
      <w:r>
        <w:t>IR 032 (2018: Dolce &amp; Gabbana, Various countries)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55E97F0F" w14:textId="77777777">
        <w:tc>
          <w:tcPr>
            <w:tcW w:w="1905" w:type="dxa"/>
            <w:shd w:val="clear" w:color="auto" w:fill="auto"/>
            <w:tcMar>
              <w:top w:w="100" w:type="dxa"/>
              <w:left w:w="100" w:type="dxa"/>
              <w:bottom w:w="100" w:type="dxa"/>
              <w:right w:w="100" w:type="dxa"/>
            </w:tcMar>
          </w:tcPr>
          <w:p w14:paraId="2FB567EB"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D606402" w14:textId="77777777" w:rsidR="002530E2" w:rsidRDefault="002530E2">
            <w:pPr>
              <w:spacing w:after="0" w:line="276" w:lineRule="auto"/>
            </w:pPr>
            <w:r>
              <w:t>Incident Report Title: “Dolce &amp; Gabbana's Controversial Video Advertisement”</w:t>
            </w:r>
          </w:p>
        </w:tc>
      </w:tr>
      <w:tr w:rsidR="002530E2" w14:paraId="02E3B4AD" w14:textId="77777777">
        <w:tc>
          <w:tcPr>
            <w:tcW w:w="1905" w:type="dxa"/>
            <w:shd w:val="clear" w:color="auto" w:fill="auto"/>
            <w:tcMar>
              <w:top w:w="100" w:type="dxa"/>
              <w:left w:w="100" w:type="dxa"/>
              <w:bottom w:w="100" w:type="dxa"/>
              <w:right w:w="100" w:type="dxa"/>
            </w:tcMar>
          </w:tcPr>
          <w:p w14:paraId="79BC5696"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952A729" w14:textId="77777777" w:rsidR="002530E2" w:rsidRDefault="002530E2">
            <w:pPr>
              <w:spacing w:after="0" w:line="276" w:lineRule="auto"/>
            </w:pPr>
            <w:r>
              <w:t>This case highlights the cross-cultural blunder by Dolce &amp; Gabbana in 2018, which triggered backlash from Muslim consumers. The report focuses on the controversy surrounding the fashion brand's video advertisement, perceived as culturally insensitive and racist towards Chinese people.</w:t>
            </w:r>
          </w:p>
        </w:tc>
      </w:tr>
      <w:tr w:rsidR="002530E2" w14:paraId="58B440E1" w14:textId="77777777">
        <w:tc>
          <w:tcPr>
            <w:tcW w:w="1905" w:type="dxa"/>
            <w:shd w:val="clear" w:color="auto" w:fill="auto"/>
            <w:tcMar>
              <w:top w:w="100" w:type="dxa"/>
              <w:left w:w="100" w:type="dxa"/>
              <w:bottom w:w="100" w:type="dxa"/>
              <w:right w:w="100" w:type="dxa"/>
            </w:tcMar>
          </w:tcPr>
          <w:p w14:paraId="74971016"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2510185" w14:textId="77777777" w:rsidR="002530E2" w:rsidRDefault="002530E2">
            <w:pPr>
              <w:spacing w:after="0" w:line="276" w:lineRule="auto"/>
            </w:pPr>
            <w:r>
              <w:t xml:space="preserve">In 2018, Dolce &amp; Gabbana faced significant backlash following the release of a video advertisement that was deemed culturally insensitive and racist towards Chinese people. The ad featured a Chinese model struggling to eat </w:t>
            </w:r>
            <w:r>
              <w:lastRenderedPageBreak/>
              <w:t>Italian food with chopsticks while a voiceover made stereotypical remarks about Chinese culture.</w:t>
            </w:r>
          </w:p>
        </w:tc>
      </w:tr>
      <w:tr w:rsidR="002530E2" w14:paraId="12FD2068" w14:textId="77777777">
        <w:tc>
          <w:tcPr>
            <w:tcW w:w="1905" w:type="dxa"/>
            <w:shd w:val="clear" w:color="auto" w:fill="auto"/>
            <w:tcMar>
              <w:top w:w="100" w:type="dxa"/>
              <w:left w:w="100" w:type="dxa"/>
              <w:bottom w:w="100" w:type="dxa"/>
              <w:right w:w="100" w:type="dxa"/>
            </w:tcMar>
          </w:tcPr>
          <w:p w14:paraId="1629D15B"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5D514CD3" w14:textId="77777777" w:rsidR="002530E2" w:rsidRDefault="002530E2">
            <w:pPr>
              <w:spacing w:after="0" w:line="276" w:lineRule="auto"/>
            </w:pPr>
            <w:r>
              <w:t>The incident occurred in 2018, when Dolce &amp; Gabbana released the controversial video advertisement.</w:t>
            </w:r>
          </w:p>
        </w:tc>
      </w:tr>
      <w:tr w:rsidR="002530E2" w14:paraId="4560E24D" w14:textId="77777777">
        <w:tc>
          <w:tcPr>
            <w:tcW w:w="1905" w:type="dxa"/>
            <w:shd w:val="clear" w:color="auto" w:fill="auto"/>
            <w:tcMar>
              <w:top w:w="100" w:type="dxa"/>
              <w:left w:w="100" w:type="dxa"/>
              <w:bottom w:w="100" w:type="dxa"/>
              <w:right w:w="100" w:type="dxa"/>
            </w:tcMar>
          </w:tcPr>
          <w:p w14:paraId="13D102E3"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54686E6B" w14:textId="77777777" w:rsidR="002530E2" w:rsidRDefault="002530E2">
            <w:pPr>
              <w:spacing w:after="0" w:line="276" w:lineRule="auto"/>
            </w:pPr>
            <w:r>
              <w:t>The backlash against Dolce &amp; Gabbana's video advertisement resonated globally, particularly among Muslim consumers who felt offended by the ad's content and tone. The incident sparked outrage in various countries where the brand had a significant presence.</w:t>
            </w:r>
          </w:p>
        </w:tc>
      </w:tr>
      <w:tr w:rsidR="002530E2" w14:paraId="2689C11C" w14:textId="77777777">
        <w:tc>
          <w:tcPr>
            <w:tcW w:w="1905" w:type="dxa"/>
            <w:shd w:val="clear" w:color="auto" w:fill="auto"/>
            <w:tcMar>
              <w:top w:w="100" w:type="dxa"/>
              <w:left w:w="100" w:type="dxa"/>
              <w:bottom w:w="100" w:type="dxa"/>
              <w:right w:w="100" w:type="dxa"/>
            </w:tcMar>
          </w:tcPr>
          <w:p w14:paraId="30D67F3D"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2FDC03C7" w14:textId="77777777" w:rsidR="002530E2" w:rsidRDefault="002530E2">
            <w:pPr>
              <w:spacing w:after="0" w:line="276" w:lineRule="auto"/>
            </w:pPr>
            <w:r>
              <w:t>Muslim consumers, along with Chinese communities and individuals, were directly affected by this incident. Muslim consumers perceived the video advertisement as offensive and racially insensitive as it reinforced negative stereotypes about Chinese culture, leading to widespread condemnation and calls for a boycott.</w:t>
            </w:r>
          </w:p>
        </w:tc>
      </w:tr>
      <w:tr w:rsidR="002530E2" w14:paraId="4B4A25CA" w14:textId="77777777">
        <w:tc>
          <w:tcPr>
            <w:tcW w:w="1905" w:type="dxa"/>
            <w:shd w:val="clear" w:color="auto" w:fill="auto"/>
            <w:tcMar>
              <w:top w:w="100" w:type="dxa"/>
              <w:left w:w="100" w:type="dxa"/>
              <w:bottom w:w="100" w:type="dxa"/>
              <w:right w:w="100" w:type="dxa"/>
            </w:tcMar>
          </w:tcPr>
          <w:p w14:paraId="0DC22485"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6BFFB185" w14:textId="77777777" w:rsidR="002530E2" w:rsidRDefault="002530E2">
            <w:pPr>
              <w:spacing w:after="0" w:line="276" w:lineRule="auto"/>
            </w:pPr>
            <w:r>
              <w:t>Dolce &amp; Gabbana, a renowned luxury fashion brand, faced criticism for its involvement in the creation and release of the controversial video advertisement. The brand was held accountable for the cultural insensitivity and racism depicted in the ad, which damaged its reputation and relationship with Muslim consumers.</w:t>
            </w:r>
          </w:p>
        </w:tc>
      </w:tr>
      <w:tr w:rsidR="002530E2" w14:paraId="4992DC49" w14:textId="77777777">
        <w:tc>
          <w:tcPr>
            <w:tcW w:w="1905" w:type="dxa"/>
            <w:shd w:val="clear" w:color="auto" w:fill="auto"/>
            <w:tcMar>
              <w:top w:w="100" w:type="dxa"/>
              <w:left w:w="100" w:type="dxa"/>
              <w:bottom w:w="100" w:type="dxa"/>
              <w:right w:w="100" w:type="dxa"/>
            </w:tcMar>
          </w:tcPr>
          <w:p w14:paraId="76989491"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68864E0" w14:textId="77777777" w:rsidR="002530E2" w:rsidRDefault="002530E2">
            <w:pPr>
              <w:spacing w:after="0" w:line="276" w:lineRule="auto"/>
            </w:pPr>
            <w:r>
              <w:t>Muslim consumers expressed their outrage and disappointment towards Dolce &amp; Gabbana for perpetuating offensive stereotypes in the video advertisement. Many individuals called for a boycott of the brand, highlighting the need for companies to be culturally sensitive and respectful in their marketing campaigns.</w:t>
            </w:r>
          </w:p>
        </w:tc>
      </w:tr>
      <w:tr w:rsidR="002530E2" w14:paraId="196C7E5A" w14:textId="77777777">
        <w:tc>
          <w:tcPr>
            <w:tcW w:w="1905" w:type="dxa"/>
            <w:shd w:val="clear" w:color="auto" w:fill="auto"/>
            <w:tcMar>
              <w:top w:w="100" w:type="dxa"/>
              <w:left w:w="100" w:type="dxa"/>
              <w:bottom w:w="100" w:type="dxa"/>
              <w:right w:w="100" w:type="dxa"/>
            </w:tcMar>
          </w:tcPr>
          <w:p w14:paraId="2219C07A"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0F9C7A2" w14:textId="77777777" w:rsidR="002530E2" w:rsidRDefault="002530E2">
            <w:pPr>
              <w:spacing w:after="0" w:line="276" w:lineRule="auto"/>
            </w:pPr>
            <w:r>
              <w:t>The controversy had severe ramifications for Dolce &amp; Gabbana, resulting in a significant decline in sales and tarnishing the brand's image. The backlash highlighted the importance of diversity, cultural understanding, and sensitivity in advertising, urging the fashion industry to address implicit biases and stereotypes.</w:t>
            </w:r>
          </w:p>
        </w:tc>
      </w:tr>
      <w:tr w:rsidR="002530E2" w14:paraId="4D8AA0B2" w14:textId="77777777">
        <w:tc>
          <w:tcPr>
            <w:tcW w:w="1905" w:type="dxa"/>
            <w:shd w:val="clear" w:color="auto" w:fill="auto"/>
            <w:tcMar>
              <w:top w:w="100" w:type="dxa"/>
              <w:left w:w="100" w:type="dxa"/>
              <w:bottom w:w="100" w:type="dxa"/>
              <w:right w:w="100" w:type="dxa"/>
            </w:tcMar>
          </w:tcPr>
          <w:p w14:paraId="7237F6C5"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6802C69F" w14:textId="77777777" w:rsidR="002530E2" w:rsidRDefault="002530E2">
            <w:pPr>
              <w:spacing w:after="0" w:line="276" w:lineRule="auto"/>
            </w:pPr>
            <w:r>
              <w:t>The cultural insensitivity and racism exhibited in Dolce &amp; Gabbana's video advertisement can be attributed to a lack of cultural awareness, oversight, and diversity within the creative process. The incident underscored the significance of cross-cultural competence and thorough review mechanisms to avoid such blunders.</w:t>
            </w:r>
          </w:p>
        </w:tc>
      </w:tr>
      <w:tr w:rsidR="002530E2" w14:paraId="7BA5E365" w14:textId="77777777">
        <w:tc>
          <w:tcPr>
            <w:tcW w:w="1905" w:type="dxa"/>
            <w:shd w:val="clear" w:color="auto" w:fill="auto"/>
            <w:tcMar>
              <w:top w:w="100" w:type="dxa"/>
              <w:left w:w="100" w:type="dxa"/>
              <w:bottom w:w="100" w:type="dxa"/>
              <w:right w:w="100" w:type="dxa"/>
            </w:tcMar>
          </w:tcPr>
          <w:p w14:paraId="5A43ABD2" w14:textId="77777777" w:rsidR="002530E2" w:rsidRDefault="002530E2">
            <w:pPr>
              <w:spacing w:after="0" w:line="276" w:lineRule="auto"/>
            </w:pPr>
            <w:r>
              <w:t xml:space="preserve">IRE 10: DAMAGE CONTROL — HOW DID THE MNC </w:t>
            </w:r>
            <w:r>
              <w:lastRenderedPageBreak/>
              <w:t>ADDRESS THE ISSUES?</w:t>
            </w:r>
          </w:p>
        </w:tc>
        <w:tc>
          <w:tcPr>
            <w:tcW w:w="7125" w:type="dxa"/>
            <w:shd w:val="clear" w:color="auto" w:fill="auto"/>
            <w:tcMar>
              <w:top w:w="100" w:type="dxa"/>
              <w:left w:w="100" w:type="dxa"/>
              <w:bottom w:w="100" w:type="dxa"/>
              <w:right w:w="100" w:type="dxa"/>
            </w:tcMar>
          </w:tcPr>
          <w:p w14:paraId="71238B5A" w14:textId="77777777" w:rsidR="002530E2" w:rsidRDefault="002530E2">
            <w:pPr>
              <w:spacing w:after="0" w:line="276" w:lineRule="auto"/>
            </w:pPr>
            <w:r>
              <w:lastRenderedPageBreak/>
              <w:t xml:space="preserve">In response to the backlash, Dolce &amp; Gabbana issued a public apology and withdrew the video advertisement. The brand acknowledged the offence </w:t>
            </w:r>
            <w:r>
              <w:lastRenderedPageBreak/>
              <w:t>caused and committed to diversity training, inclusivity initiatives, and improved cultural sensitivity measures in their future marketing endeavours.</w:t>
            </w:r>
          </w:p>
        </w:tc>
      </w:tr>
      <w:tr w:rsidR="002530E2" w14:paraId="1D5144A9" w14:textId="77777777">
        <w:tc>
          <w:tcPr>
            <w:tcW w:w="1905" w:type="dxa"/>
            <w:shd w:val="clear" w:color="auto" w:fill="auto"/>
            <w:tcMar>
              <w:top w:w="100" w:type="dxa"/>
              <w:left w:w="100" w:type="dxa"/>
              <w:bottom w:w="100" w:type="dxa"/>
              <w:right w:w="100" w:type="dxa"/>
            </w:tcMar>
          </w:tcPr>
          <w:p w14:paraId="26118285" w14:textId="77777777" w:rsidR="002530E2" w:rsidRDefault="002530E2">
            <w:pPr>
              <w:spacing w:after="0" w:line="276" w:lineRule="auto"/>
            </w:pPr>
            <w:r>
              <w:lastRenderedPageBreak/>
              <w:t>IRE 11: FUTURE PREVENTION STRATEGIES — WHAT ARE THE LESSONS LEARNED?</w:t>
            </w:r>
          </w:p>
        </w:tc>
        <w:tc>
          <w:tcPr>
            <w:tcW w:w="7125" w:type="dxa"/>
            <w:shd w:val="clear" w:color="auto" w:fill="auto"/>
            <w:tcMar>
              <w:top w:w="100" w:type="dxa"/>
              <w:left w:w="100" w:type="dxa"/>
              <w:bottom w:w="100" w:type="dxa"/>
              <w:right w:w="100" w:type="dxa"/>
            </w:tcMar>
          </w:tcPr>
          <w:p w14:paraId="08C8E04B" w14:textId="77777777" w:rsidR="002530E2" w:rsidRDefault="002530E2">
            <w:pPr>
              <w:spacing w:after="0" w:line="276" w:lineRule="auto"/>
            </w:pPr>
            <w:r>
              <w:t>To prevent similar incidents, Dolce &amp; Gabbana should establish robust internal guidelines and protocols for reviewing and approving advertising content. Incorporating diverse perspectives, cultural sensitivity training, and engaging external consultants can contribute to more inclusive and respectful advertising practices. Moving forward, Dolce &amp; Gabbana can collaborate with cultural consultants, engage in meaningful dialogue with affected communities, and adopt a proactive approach to inclusivity. Emphasising diversity in their creative teams and fostering a culture of sensitivity can help prevent future cross-cultural blunders.</w:t>
            </w:r>
          </w:p>
        </w:tc>
      </w:tr>
      <w:tr w:rsidR="002530E2" w14:paraId="1150E692" w14:textId="77777777">
        <w:tc>
          <w:tcPr>
            <w:tcW w:w="1905" w:type="dxa"/>
            <w:shd w:val="clear" w:color="auto" w:fill="auto"/>
            <w:tcMar>
              <w:top w:w="100" w:type="dxa"/>
              <w:left w:w="100" w:type="dxa"/>
              <w:bottom w:w="100" w:type="dxa"/>
              <w:right w:w="100" w:type="dxa"/>
            </w:tcMar>
          </w:tcPr>
          <w:p w14:paraId="51C3CFB3"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6003EABB" w14:textId="77777777" w:rsidR="002530E2" w:rsidRDefault="002530E2">
            <w:pPr>
              <w:spacing w:after="0" w:line="276" w:lineRule="auto"/>
            </w:pPr>
            <w:r>
              <w:t>The controversy surrounding Dolce &amp; Gabbana's video advertisement demonstrated the repercussions of cultural insensitivity and racism in advertising. Muslim consumers, along with Chinese communities, felt offended by the ad's portrayal of Chinese culture, leading to a widespread boycott of the luxury fashion brand. This incident highlighted the importance of cultural understanding, diversity, and inclusivity in marketing practices and called for companies to adopt proactive measures to prevent future cross-cultural blunders.</w:t>
            </w:r>
          </w:p>
        </w:tc>
      </w:tr>
    </w:tbl>
    <w:p w14:paraId="67AA3253" w14:textId="77777777" w:rsidR="002530E2" w:rsidRDefault="002530E2"/>
    <w:p w14:paraId="07597857" w14:textId="77777777" w:rsidR="002530E2" w:rsidRDefault="002530E2">
      <w:pPr>
        <w:pStyle w:val="Heading2"/>
      </w:pPr>
      <w:bookmarkStart w:id="452" w:name="_g577mxtzrjc6" w:colFirst="0" w:colLast="0"/>
      <w:bookmarkEnd w:id="452"/>
      <w:r>
        <w:t>IR 033 (2018, Mercedes-Benz, Unspecified)</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F2F1B53" w14:textId="77777777">
        <w:tc>
          <w:tcPr>
            <w:tcW w:w="1905" w:type="dxa"/>
            <w:shd w:val="clear" w:color="auto" w:fill="auto"/>
            <w:tcMar>
              <w:top w:w="100" w:type="dxa"/>
              <w:left w:w="100" w:type="dxa"/>
              <w:bottom w:w="100" w:type="dxa"/>
              <w:right w:w="100" w:type="dxa"/>
            </w:tcMar>
          </w:tcPr>
          <w:p w14:paraId="0E6A6173"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22922F7" w14:textId="77777777" w:rsidR="002530E2" w:rsidRDefault="002530E2">
            <w:pPr>
              <w:spacing w:after="0" w:line="276" w:lineRule="auto"/>
            </w:pPr>
            <w:r>
              <w:t>Incident Report Title: “Mercedes-Benz Quran Verse Advertisement Controversy”</w:t>
            </w:r>
          </w:p>
        </w:tc>
      </w:tr>
      <w:tr w:rsidR="002530E2" w14:paraId="1F774503" w14:textId="77777777">
        <w:tc>
          <w:tcPr>
            <w:tcW w:w="1905" w:type="dxa"/>
            <w:shd w:val="clear" w:color="auto" w:fill="auto"/>
            <w:tcMar>
              <w:top w:w="100" w:type="dxa"/>
              <w:left w:w="100" w:type="dxa"/>
              <w:bottom w:w="100" w:type="dxa"/>
              <w:right w:w="100" w:type="dxa"/>
            </w:tcMar>
          </w:tcPr>
          <w:p w14:paraId="6D37FE77"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182A07BB" w14:textId="77777777" w:rsidR="002530E2" w:rsidRDefault="002530E2">
            <w:pPr>
              <w:spacing w:after="0" w:line="276" w:lineRule="auto"/>
            </w:pPr>
            <w:r>
              <w:t>This case addresses the controversy faced by the German car manufacturer Mercedes-Benz in 2018 for featuring a verse from the Quran in an advertisement for its new car. Muslim consumers accused the company of using religious scripture for commercial purposes, sparking criticism and raising concerns about the appropriateness of incorporating religious texts in advertising.</w:t>
            </w:r>
          </w:p>
        </w:tc>
      </w:tr>
      <w:tr w:rsidR="002530E2" w14:paraId="09E11B47" w14:textId="77777777">
        <w:tc>
          <w:tcPr>
            <w:tcW w:w="1905" w:type="dxa"/>
            <w:shd w:val="clear" w:color="auto" w:fill="auto"/>
            <w:tcMar>
              <w:top w:w="100" w:type="dxa"/>
              <w:left w:w="100" w:type="dxa"/>
              <w:bottom w:w="100" w:type="dxa"/>
              <w:right w:w="100" w:type="dxa"/>
            </w:tcMar>
          </w:tcPr>
          <w:p w14:paraId="3D9F40C8"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21851771" w14:textId="77777777" w:rsidR="002530E2" w:rsidRDefault="002530E2">
            <w:pPr>
              <w:spacing w:after="0" w:line="276" w:lineRule="auto"/>
            </w:pPr>
            <w:r>
              <w:t>In 2018, Mercedes-Benz faced criticism for including a verse from the Quran in an advertisement promoting its new car. Muslim consumers expressed their concerns and accused the company of utilising religious scripture in a commercial context.</w:t>
            </w:r>
          </w:p>
        </w:tc>
      </w:tr>
      <w:tr w:rsidR="002530E2" w14:paraId="354107BC" w14:textId="77777777">
        <w:tc>
          <w:tcPr>
            <w:tcW w:w="1905" w:type="dxa"/>
            <w:shd w:val="clear" w:color="auto" w:fill="auto"/>
            <w:tcMar>
              <w:top w:w="100" w:type="dxa"/>
              <w:left w:w="100" w:type="dxa"/>
              <w:bottom w:w="100" w:type="dxa"/>
              <w:right w:w="100" w:type="dxa"/>
            </w:tcMar>
          </w:tcPr>
          <w:p w14:paraId="1BE02260"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00937D78" w14:textId="77777777" w:rsidR="002530E2" w:rsidRDefault="002530E2">
            <w:pPr>
              <w:spacing w:after="0" w:line="276" w:lineRule="auto"/>
            </w:pPr>
            <w:r>
              <w:t>The Mercedes-Benz Quran verse advertisement controversy occurred in 2018. The specific date or duration of the incident is not provided in the information given.</w:t>
            </w:r>
          </w:p>
        </w:tc>
      </w:tr>
      <w:tr w:rsidR="002530E2" w14:paraId="1CD3B3E6" w14:textId="77777777">
        <w:tc>
          <w:tcPr>
            <w:tcW w:w="1905" w:type="dxa"/>
            <w:shd w:val="clear" w:color="auto" w:fill="auto"/>
            <w:tcMar>
              <w:top w:w="100" w:type="dxa"/>
              <w:left w:w="100" w:type="dxa"/>
              <w:bottom w:w="100" w:type="dxa"/>
              <w:right w:w="100" w:type="dxa"/>
            </w:tcMar>
          </w:tcPr>
          <w:p w14:paraId="1AD29868"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1C2D9C59" w14:textId="77777777" w:rsidR="002530E2" w:rsidRDefault="002530E2">
            <w:pPr>
              <w:spacing w:after="0" w:line="276" w:lineRule="auto"/>
            </w:pPr>
            <w:r>
              <w:t>The controversy was international in scope, as Mercedes-Benz is a global car manufacturer. However, the specific locations or regions affected by the controversy are not mentioned in the provided information.</w:t>
            </w:r>
          </w:p>
        </w:tc>
      </w:tr>
      <w:tr w:rsidR="002530E2" w14:paraId="45DC8379" w14:textId="77777777">
        <w:tc>
          <w:tcPr>
            <w:tcW w:w="1905" w:type="dxa"/>
            <w:shd w:val="clear" w:color="auto" w:fill="auto"/>
            <w:tcMar>
              <w:top w:w="100" w:type="dxa"/>
              <w:left w:w="100" w:type="dxa"/>
              <w:bottom w:w="100" w:type="dxa"/>
              <w:right w:w="100" w:type="dxa"/>
            </w:tcMar>
          </w:tcPr>
          <w:p w14:paraId="00A94B2C"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9B59330" w14:textId="77777777" w:rsidR="002530E2" w:rsidRDefault="002530E2">
            <w:pPr>
              <w:spacing w:after="0" w:line="276" w:lineRule="auto"/>
            </w:pPr>
            <w:r>
              <w:t>Muslim consumers were the primary group directly affected by the controversy. They criticised Mercedes-Benz for incorporating a verse from the Quran, which they regarded as a sacred text, into an advertisement for commercial purposes.</w:t>
            </w:r>
          </w:p>
        </w:tc>
      </w:tr>
      <w:tr w:rsidR="002530E2" w14:paraId="456A53BD" w14:textId="77777777">
        <w:tc>
          <w:tcPr>
            <w:tcW w:w="1905" w:type="dxa"/>
            <w:shd w:val="clear" w:color="auto" w:fill="auto"/>
            <w:tcMar>
              <w:top w:w="100" w:type="dxa"/>
              <w:left w:w="100" w:type="dxa"/>
              <w:bottom w:w="100" w:type="dxa"/>
              <w:right w:w="100" w:type="dxa"/>
            </w:tcMar>
          </w:tcPr>
          <w:p w14:paraId="37AC9D49"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741ADBAC" w14:textId="77777777" w:rsidR="002530E2" w:rsidRDefault="002530E2">
            <w:pPr>
              <w:spacing w:after="0" w:line="276" w:lineRule="auto"/>
            </w:pPr>
            <w:r>
              <w:t xml:space="preserve">The Mercedes-Benz company. </w:t>
            </w:r>
          </w:p>
        </w:tc>
      </w:tr>
      <w:tr w:rsidR="002530E2" w14:paraId="3CC8ACA8" w14:textId="77777777">
        <w:tc>
          <w:tcPr>
            <w:tcW w:w="1905" w:type="dxa"/>
            <w:shd w:val="clear" w:color="auto" w:fill="auto"/>
            <w:tcMar>
              <w:top w:w="100" w:type="dxa"/>
              <w:left w:w="100" w:type="dxa"/>
              <w:bottom w:w="100" w:type="dxa"/>
              <w:right w:w="100" w:type="dxa"/>
            </w:tcMar>
          </w:tcPr>
          <w:p w14:paraId="1B1B560D"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02C0E2C7" w14:textId="77777777" w:rsidR="002530E2" w:rsidRDefault="002530E2">
            <w:pPr>
              <w:spacing w:after="0" w:line="276" w:lineRule="auto"/>
            </w:pPr>
            <w:r>
              <w:t>The controversy arose due to the inclusion of a verse from the Quran in a Mercedes-Benz advertisement. Muslim consumers felt that using a religious scripture in a commercial context was inappropriate and disrespectful, as it appeared to commodify and trivialise the sacred text.</w:t>
            </w:r>
          </w:p>
        </w:tc>
      </w:tr>
      <w:tr w:rsidR="002530E2" w14:paraId="7E08B16D" w14:textId="77777777">
        <w:tc>
          <w:tcPr>
            <w:tcW w:w="1905" w:type="dxa"/>
            <w:shd w:val="clear" w:color="auto" w:fill="auto"/>
            <w:tcMar>
              <w:top w:w="100" w:type="dxa"/>
              <w:left w:w="100" w:type="dxa"/>
              <w:bottom w:w="100" w:type="dxa"/>
              <w:right w:w="100" w:type="dxa"/>
            </w:tcMar>
          </w:tcPr>
          <w:p w14:paraId="799483FE" w14:textId="77777777" w:rsidR="002530E2" w:rsidRDefault="002530E2">
            <w:pPr>
              <w:spacing w:after="0" w:line="276" w:lineRule="auto"/>
            </w:pPr>
            <w:r>
              <w:t xml:space="preserve">IRE 8: RAMIFICATIONS — HOW WAS THE MNC </w:t>
            </w:r>
          </w:p>
          <w:p w14:paraId="5198ABBF" w14:textId="77777777" w:rsidR="002530E2" w:rsidRDefault="002530E2">
            <w:pPr>
              <w:spacing w:after="0" w:line="276" w:lineRule="auto"/>
            </w:pPr>
            <w:r>
              <w:t>IMPACTED?</w:t>
            </w:r>
          </w:p>
        </w:tc>
        <w:tc>
          <w:tcPr>
            <w:tcW w:w="7125" w:type="dxa"/>
            <w:shd w:val="clear" w:color="auto" w:fill="auto"/>
            <w:tcMar>
              <w:top w:w="100" w:type="dxa"/>
              <w:left w:w="100" w:type="dxa"/>
              <w:bottom w:w="100" w:type="dxa"/>
              <w:right w:w="100" w:type="dxa"/>
            </w:tcMar>
          </w:tcPr>
          <w:p w14:paraId="69019D9E" w14:textId="77777777" w:rsidR="002530E2" w:rsidRDefault="002530E2">
            <w:pPr>
              <w:spacing w:after="0" w:line="276" w:lineRule="auto"/>
            </w:pPr>
            <w:r>
              <w:t>The impact of the controversy on Mercedes-Benz's business and operations is not extensively documented. However, the incident highlighted the need for companies to exercise caution when incorporating religious texts or symbols in their advertising and to be mindful of the potential sensitivities associated with religious beliefs.</w:t>
            </w:r>
          </w:p>
        </w:tc>
      </w:tr>
      <w:tr w:rsidR="002530E2" w14:paraId="70605E7C" w14:textId="77777777">
        <w:tc>
          <w:tcPr>
            <w:tcW w:w="1905" w:type="dxa"/>
            <w:shd w:val="clear" w:color="auto" w:fill="auto"/>
            <w:tcMar>
              <w:top w:w="100" w:type="dxa"/>
              <w:left w:w="100" w:type="dxa"/>
              <w:bottom w:w="100" w:type="dxa"/>
              <w:right w:w="100" w:type="dxa"/>
            </w:tcMar>
          </w:tcPr>
          <w:p w14:paraId="2E8BAC8B"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3F671368" w14:textId="77777777" w:rsidR="002530E2" w:rsidRDefault="002530E2">
            <w:pPr>
              <w:spacing w:after="0" w:line="276" w:lineRule="auto"/>
            </w:pPr>
            <w:r>
              <w:t>Muslim consumers raised concerns about the commercialization of religious texts, emphasising that using Quranic verses in advertising was offensive and undermined the sanctity of the scripture. They felt that it was not appropriate to exploit religious beliefs for commercial gain.</w:t>
            </w:r>
          </w:p>
        </w:tc>
      </w:tr>
      <w:tr w:rsidR="002530E2" w14:paraId="7F17E9DD" w14:textId="77777777">
        <w:tc>
          <w:tcPr>
            <w:tcW w:w="1905" w:type="dxa"/>
            <w:shd w:val="clear" w:color="auto" w:fill="auto"/>
            <w:tcMar>
              <w:top w:w="100" w:type="dxa"/>
              <w:left w:w="100" w:type="dxa"/>
              <w:bottom w:w="100" w:type="dxa"/>
              <w:right w:w="100" w:type="dxa"/>
            </w:tcMar>
          </w:tcPr>
          <w:p w14:paraId="3C15B5DB"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27EE614F" w14:textId="77777777" w:rsidR="002530E2" w:rsidRDefault="002530E2">
            <w:pPr>
              <w:spacing w:after="0" w:line="276" w:lineRule="auto"/>
            </w:pPr>
            <w:r>
              <w:t>Mercedes-Benz responded to the controversy by issuing an apology and removing the Quranic verse from the advertisement. The company acknowledged the concerns raised by Muslim consumers and expressed regret for any offence caused.</w:t>
            </w:r>
          </w:p>
        </w:tc>
      </w:tr>
      <w:tr w:rsidR="002530E2" w14:paraId="225E353C" w14:textId="77777777">
        <w:tc>
          <w:tcPr>
            <w:tcW w:w="1905" w:type="dxa"/>
            <w:shd w:val="clear" w:color="auto" w:fill="auto"/>
            <w:tcMar>
              <w:top w:w="100" w:type="dxa"/>
              <w:left w:w="100" w:type="dxa"/>
              <w:bottom w:w="100" w:type="dxa"/>
              <w:right w:w="100" w:type="dxa"/>
            </w:tcMar>
          </w:tcPr>
          <w:p w14:paraId="5373BF24" w14:textId="77777777" w:rsidR="002530E2" w:rsidRDefault="002530E2">
            <w:pPr>
              <w:spacing w:after="0" w:line="276" w:lineRule="auto"/>
            </w:pPr>
            <w:r>
              <w:t xml:space="preserve">IRE 11: FUTURE PREVENTION STRATEGIES — WHAT ARE THE </w:t>
            </w:r>
            <w:r>
              <w:lastRenderedPageBreak/>
              <w:t>LESSONS LEARNED?</w:t>
            </w:r>
          </w:p>
        </w:tc>
        <w:tc>
          <w:tcPr>
            <w:tcW w:w="7125" w:type="dxa"/>
            <w:shd w:val="clear" w:color="auto" w:fill="auto"/>
            <w:tcMar>
              <w:top w:w="100" w:type="dxa"/>
              <w:left w:w="100" w:type="dxa"/>
              <w:bottom w:w="100" w:type="dxa"/>
              <w:right w:w="100" w:type="dxa"/>
            </w:tcMar>
          </w:tcPr>
          <w:p w14:paraId="1A78ABA9" w14:textId="77777777" w:rsidR="002530E2" w:rsidRDefault="002530E2">
            <w:pPr>
              <w:spacing w:after="0" w:line="276" w:lineRule="auto"/>
            </w:pPr>
            <w:r>
              <w:lastRenderedPageBreak/>
              <w:t xml:space="preserve">The Mercedes-Benz Quran verse advertisement controversy served as a reminder for companies to approach the use of religious texts or symbols in advertising with cultural sensitivity and respect. It underscored the </w:t>
            </w:r>
            <w:r>
              <w:lastRenderedPageBreak/>
              <w:t>importance of understanding and considering the significance and sacredness associated with religious scriptures.</w:t>
            </w:r>
          </w:p>
        </w:tc>
      </w:tr>
      <w:tr w:rsidR="002530E2" w14:paraId="5E836A85" w14:textId="77777777">
        <w:tc>
          <w:tcPr>
            <w:tcW w:w="1905" w:type="dxa"/>
            <w:shd w:val="clear" w:color="auto" w:fill="auto"/>
            <w:tcMar>
              <w:top w:w="100" w:type="dxa"/>
              <w:left w:w="100" w:type="dxa"/>
              <w:bottom w:w="100" w:type="dxa"/>
              <w:right w:w="100" w:type="dxa"/>
            </w:tcMar>
          </w:tcPr>
          <w:p w14:paraId="132CF32D"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3E79B78D" w14:textId="77777777" w:rsidR="002530E2" w:rsidRDefault="002530E2">
            <w:pPr>
              <w:spacing w:after="0" w:line="276" w:lineRule="auto"/>
            </w:pPr>
            <w:r>
              <w:t>In 2018, Mercedes-Benz faced criticism for featuring a verse from the Quran in an advertisement for its new car. Muslim consumers accused the company of using religious scripture for commercial purposes. Mercedes-Benz apologised and removed the Quranic verse from the advertisement, acknowledging the need for sensitivity and respect when incorporating religious texts in advertising.</w:t>
            </w:r>
          </w:p>
        </w:tc>
      </w:tr>
    </w:tbl>
    <w:p w14:paraId="729A6966" w14:textId="77777777" w:rsidR="002530E2" w:rsidRDefault="002530E2"/>
    <w:p w14:paraId="28CA5C47" w14:textId="77777777" w:rsidR="002530E2" w:rsidRDefault="002530E2">
      <w:pPr>
        <w:pStyle w:val="Heading2"/>
      </w:pPr>
      <w:bookmarkStart w:id="453" w:name="_xhvefrwk14ng" w:colFirst="0" w:colLast="0"/>
      <w:bookmarkEnd w:id="453"/>
      <w:r>
        <w:t>IR 034 (2018: WestJet, Unspecified)</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7662C45" w14:textId="77777777">
        <w:tc>
          <w:tcPr>
            <w:tcW w:w="1905" w:type="dxa"/>
            <w:shd w:val="clear" w:color="auto" w:fill="auto"/>
            <w:tcMar>
              <w:top w:w="100" w:type="dxa"/>
              <w:left w:w="100" w:type="dxa"/>
              <w:bottom w:w="100" w:type="dxa"/>
              <w:right w:w="100" w:type="dxa"/>
            </w:tcMar>
          </w:tcPr>
          <w:p w14:paraId="7642CAC2"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B6972CD" w14:textId="77777777" w:rsidR="002530E2" w:rsidRDefault="002530E2">
            <w:pPr>
              <w:spacing w:after="0" w:line="276" w:lineRule="auto"/>
            </w:pPr>
            <w:r>
              <w:t>Incident Report Title: “WestJet Ramadan Alcohol Controversy”</w:t>
            </w:r>
          </w:p>
        </w:tc>
      </w:tr>
      <w:tr w:rsidR="002530E2" w14:paraId="5B4894D3" w14:textId="77777777">
        <w:tc>
          <w:tcPr>
            <w:tcW w:w="1905" w:type="dxa"/>
            <w:shd w:val="clear" w:color="auto" w:fill="auto"/>
            <w:tcMar>
              <w:top w:w="100" w:type="dxa"/>
              <w:left w:w="100" w:type="dxa"/>
              <w:bottom w:w="100" w:type="dxa"/>
              <w:right w:w="100" w:type="dxa"/>
            </w:tcMar>
          </w:tcPr>
          <w:p w14:paraId="45BD080A"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7FEA5194" w14:textId="77777777" w:rsidR="002530E2" w:rsidRDefault="002530E2">
            <w:pPr>
              <w:spacing w:after="0" w:line="276" w:lineRule="auto"/>
            </w:pPr>
            <w:r>
              <w:t>This case addresses the controversy faced by Canadian airline WestJet in 2018 when it served alcohol on a flight during Ramadan, a holy month of fasting for Muslims. Muslim passengers accused the airline of insensitivity and violating their religious observance.</w:t>
            </w:r>
          </w:p>
        </w:tc>
      </w:tr>
      <w:tr w:rsidR="002530E2" w14:paraId="11E6BBB6" w14:textId="77777777">
        <w:tc>
          <w:tcPr>
            <w:tcW w:w="1905" w:type="dxa"/>
            <w:shd w:val="clear" w:color="auto" w:fill="auto"/>
            <w:tcMar>
              <w:top w:w="100" w:type="dxa"/>
              <w:left w:w="100" w:type="dxa"/>
              <w:bottom w:w="100" w:type="dxa"/>
              <w:right w:w="100" w:type="dxa"/>
            </w:tcMar>
          </w:tcPr>
          <w:p w14:paraId="0A823873"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0BC466E" w14:textId="77777777" w:rsidR="002530E2" w:rsidRDefault="002530E2">
            <w:pPr>
              <w:spacing w:after="0" w:line="276" w:lineRule="auto"/>
            </w:pPr>
            <w:r>
              <w:t>In 2018, WestJet faced criticism after serving alcohol on a flight during Ramadan. The incident sparked controversy when Muslim passengers on the flight expressed their concerns about the airline's insensitivity towards their religious observance.</w:t>
            </w:r>
          </w:p>
        </w:tc>
      </w:tr>
      <w:tr w:rsidR="002530E2" w14:paraId="126C60B5" w14:textId="77777777">
        <w:tc>
          <w:tcPr>
            <w:tcW w:w="1905" w:type="dxa"/>
            <w:shd w:val="clear" w:color="auto" w:fill="auto"/>
            <w:tcMar>
              <w:top w:w="100" w:type="dxa"/>
              <w:left w:w="100" w:type="dxa"/>
              <w:bottom w:w="100" w:type="dxa"/>
              <w:right w:w="100" w:type="dxa"/>
            </w:tcMar>
          </w:tcPr>
          <w:p w14:paraId="5BBBEF1C"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3D0F5A3" w14:textId="77777777" w:rsidR="002530E2" w:rsidRDefault="002530E2">
            <w:pPr>
              <w:spacing w:after="0" w:line="276" w:lineRule="auto"/>
            </w:pPr>
            <w:r>
              <w:t>The WestJet Ramadan alcohol controversy occurred in 2018 during the month of Ramadan. The specific date and flight details are not provided in the information provided.</w:t>
            </w:r>
          </w:p>
        </w:tc>
      </w:tr>
      <w:tr w:rsidR="002530E2" w14:paraId="1332A696" w14:textId="77777777">
        <w:tc>
          <w:tcPr>
            <w:tcW w:w="1905" w:type="dxa"/>
            <w:shd w:val="clear" w:color="auto" w:fill="auto"/>
            <w:tcMar>
              <w:top w:w="100" w:type="dxa"/>
              <w:left w:w="100" w:type="dxa"/>
              <w:bottom w:w="100" w:type="dxa"/>
              <w:right w:w="100" w:type="dxa"/>
            </w:tcMar>
          </w:tcPr>
          <w:p w14:paraId="62C6C835"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7EFB8BE4" w14:textId="77777777" w:rsidR="002530E2" w:rsidRDefault="002530E2">
            <w:pPr>
              <w:spacing w:after="0" w:line="276" w:lineRule="auto"/>
            </w:pPr>
            <w:r>
              <w:t>The incident took place on a WestJet flight, but the specific location and route are not specified.</w:t>
            </w:r>
          </w:p>
        </w:tc>
      </w:tr>
      <w:tr w:rsidR="002530E2" w14:paraId="2628CE52" w14:textId="77777777">
        <w:tc>
          <w:tcPr>
            <w:tcW w:w="1905" w:type="dxa"/>
            <w:shd w:val="clear" w:color="auto" w:fill="auto"/>
            <w:tcMar>
              <w:top w:w="100" w:type="dxa"/>
              <w:left w:w="100" w:type="dxa"/>
              <w:bottom w:w="100" w:type="dxa"/>
              <w:right w:w="100" w:type="dxa"/>
            </w:tcMar>
          </w:tcPr>
          <w:p w14:paraId="192D8C9B"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377CE0F" w14:textId="77777777" w:rsidR="002530E2" w:rsidRDefault="002530E2">
            <w:pPr>
              <w:spacing w:after="0" w:line="276" w:lineRule="auto"/>
            </w:pPr>
            <w:r>
              <w:t>Muslim passengers on the WestJet flight were the individuals directly affected by this controversy. They raised concerns about the airline serving alcohol during Ramadan, as it conflicted with their religious observance.</w:t>
            </w:r>
          </w:p>
        </w:tc>
      </w:tr>
      <w:tr w:rsidR="002530E2" w14:paraId="16BFDED5" w14:textId="77777777">
        <w:tc>
          <w:tcPr>
            <w:tcW w:w="1905" w:type="dxa"/>
            <w:shd w:val="clear" w:color="auto" w:fill="auto"/>
            <w:tcMar>
              <w:top w:w="100" w:type="dxa"/>
              <w:left w:w="100" w:type="dxa"/>
              <w:bottom w:w="100" w:type="dxa"/>
              <w:right w:w="100" w:type="dxa"/>
            </w:tcMar>
          </w:tcPr>
          <w:p w14:paraId="067FF476"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75D21015" w14:textId="77777777" w:rsidR="002530E2" w:rsidRDefault="002530E2">
            <w:pPr>
              <w:spacing w:after="0" w:line="276" w:lineRule="auto"/>
            </w:pPr>
            <w:r>
              <w:t>WestJet, a Canadian airline, was at the centre of the controversy. The airline faced criticism for serving alcohol on a flight during Ramadan, which led to accusations of insensitivity towards Muslim passengers' religious observance.</w:t>
            </w:r>
          </w:p>
        </w:tc>
      </w:tr>
      <w:tr w:rsidR="002530E2" w14:paraId="3EBEBAEB" w14:textId="77777777">
        <w:tc>
          <w:tcPr>
            <w:tcW w:w="1905" w:type="dxa"/>
            <w:shd w:val="clear" w:color="auto" w:fill="auto"/>
            <w:tcMar>
              <w:top w:w="100" w:type="dxa"/>
              <w:left w:w="100" w:type="dxa"/>
              <w:bottom w:w="100" w:type="dxa"/>
              <w:right w:w="100" w:type="dxa"/>
            </w:tcMar>
          </w:tcPr>
          <w:p w14:paraId="59D445C1"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3F84D5AE" w14:textId="77777777" w:rsidR="002530E2" w:rsidRDefault="002530E2">
            <w:pPr>
              <w:spacing w:after="0" w:line="276" w:lineRule="auto"/>
            </w:pPr>
            <w:r>
              <w:t>Muslim passengers criticised WestJet for serving alcohol on a flight during Ramadan, a month when Muslims engage in fasting from dawn to sunset. Consuming alcohol is prohibited for practising Muslims during this period.</w:t>
            </w:r>
          </w:p>
          <w:p w14:paraId="66064282" w14:textId="77777777" w:rsidR="002530E2" w:rsidRDefault="002530E2">
            <w:pPr>
              <w:spacing w:after="0" w:line="276" w:lineRule="auto"/>
            </w:pPr>
          </w:p>
          <w:p w14:paraId="19326E50" w14:textId="77777777" w:rsidR="002530E2" w:rsidRDefault="002530E2">
            <w:pPr>
              <w:spacing w:after="0" w:line="276" w:lineRule="auto"/>
            </w:pPr>
            <w:r>
              <w:t>Muslim passengers accused WestJet of being insensitive to their religious observance by serving alcohol during Ramadan. They felt that it violated their religious commitments and showed a lack of understanding and respect for their customs.</w:t>
            </w:r>
          </w:p>
        </w:tc>
      </w:tr>
      <w:tr w:rsidR="002530E2" w14:paraId="3ED58373" w14:textId="77777777">
        <w:tc>
          <w:tcPr>
            <w:tcW w:w="1905" w:type="dxa"/>
            <w:shd w:val="clear" w:color="auto" w:fill="auto"/>
            <w:tcMar>
              <w:top w:w="100" w:type="dxa"/>
              <w:left w:w="100" w:type="dxa"/>
              <w:bottom w:w="100" w:type="dxa"/>
              <w:right w:w="100" w:type="dxa"/>
            </w:tcMar>
          </w:tcPr>
          <w:p w14:paraId="3615AAA1"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783FB37C" w14:textId="77777777" w:rsidR="002530E2" w:rsidRDefault="002530E2">
            <w:pPr>
              <w:spacing w:after="0" w:line="276" w:lineRule="auto"/>
            </w:pPr>
            <w:r>
              <w:t>The impact of the controversy on WestJet's business and operations is not extensively documented. However, the incident highlighted the importance of cultural and religious sensitivity in the airline industry, particularly during significant religious observances like Ramadan.</w:t>
            </w:r>
          </w:p>
        </w:tc>
      </w:tr>
      <w:tr w:rsidR="002530E2" w14:paraId="777F95BB" w14:textId="77777777">
        <w:tc>
          <w:tcPr>
            <w:tcW w:w="1905" w:type="dxa"/>
            <w:shd w:val="clear" w:color="auto" w:fill="auto"/>
            <w:tcMar>
              <w:top w:w="100" w:type="dxa"/>
              <w:left w:w="100" w:type="dxa"/>
              <w:bottom w:w="100" w:type="dxa"/>
              <w:right w:w="100" w:type="dxa"/>
            </w:tcMar>
          </w:tcPr>
          <w:p w14:paraId="20209FBB"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E9C9151" w14:textId="77777777" w:rsidR="002530E2" w:rsidRDefault="002530E2">
            <w:pPr>
              <w:spacing w:after="0" w:line="276" w:lineRule="auto"/>
            </w:pPr>
            <w:r>
              <w:t>The controversy arose because serving alcohol on a flight during Ramadan directly contradicted the religious practices and beliefs of practising Muslims. Muslim passengers expected the airline to be aware of and accommodate their religious needs during this holy month.</w:t>
            </w:r>
          </w:p>
        </w:tc>
      </w:tr>
      <w:tr w:rsidR="002530E2" w14:paraId="670ED771" w14:textId="77777777">
        <w:tc>
          <w:tcPr>
            <w:tcW w:w="1905" w:type="dxa"/>
            <w:shd w:val="clear" w:color="auto" w:fill="auto"/>
            <w:tcMar>
              <w:top w:w="100" w:type="dxa"/>
              <w:left w:w="100" w:type="dxa"/>
              <w:bottom w:w="100" w:type="dxa"/>
              <w:right w:w="100" w:type="dxa"/>
            </w:tcMar>
          </w:tcPr>
          <w:p w14:paraId="74A027CF"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3F241A39" w14:textId="77777777" w:rsidR="002530E2" w:rsidRDefault="002530E2">
            <w:pPr>
              <w:spacing w:after="0" w:line="276" w:lineRule="auto"/>
            </w:pPr>
            <w:r>
              <w:t>WestJet responded to the controversy by acknowledging the concerns raised by Muslim passengers and expressing regret for any unintended offence caused. The airline assured that it would review its policies and procedures to prevent similar incidents in the future.</w:t>
            </w:r>
          </w:p>
        </w:tc>
      </w:tr>
      <w:tr w:rsidR="002530E2" w14:paraId="7E0C8EC4" w14:textId="77777777">
        <w:tc>
          <w:tcPr>
            <w:tcW w:w="1905" w:type="dxa"/>
            <w:shd w:val="clear" w:color="auto" w:fill="auto"/>
            <w:tcMar>
              <w:top w:w="100" w:type="dxa"/>
              <w:left w:w="100" w:type="dxa"/>
              <w:bottom w:w="100" w:type="dxa"/>
              <w:right w:w="100" w:type="dxa"/>
            </w:tcMar>
          </w:tcPr>
          <w:p w14:paraId="3F6C08FB"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2EA1537C" w14:textId="77777777" w:rsidR="002530E2" w:rsidRDefault="002530E2">
            <w:pPr>
              <w:spacing w:after="0" w:line="276" w:lineRule="auto"/>
            </w:pPr>
            <w:r>
              <w:t>The WestJet Ramadan alcohol controversy served as a reminder for airlines and service providers to be attentive to the diverse religious and cultural needs of their passengers. It emphasised the importance of sensitivity and accommodation, particularly during religiously significant periods.</w:t>
            </w:r>
          </w:p>
        </w:tc>
      </w:tr>
      <w:tr w:rsidR="002530E2" w14:paraId="164F9DA5" w14:textId="77777777">
        <w:tc>
          <w:tcPr>
            <w:tcW w:w="1905" w:type="dxa"/>
            <w:shd w:val="clear" w:color="auto" w:fill="auto"/>
            <w:tcMar>
              <w:top w:w="100" w:type="dxa"/>
              <w:left w:w="100" w:type="dxa"/>
              <w:bottom w:w="100" w:type="dxa"/>
              <w:right w:w="100" w:type="dxa"/>
            </w:tcMar>
          </w:tcPr>
          <w:p w14:paraId="42CDE36C"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6F9A8790" w14:textId="77777777" w:rsidR="002530E2" w:rsidRDefault="002530E2">
            <w:pPr>
              <w:spacing w:after="0" w:line="276" w:lineRule="auto"/>
            </w:pPr>
            <w:r>
              <w:t>In 2018, WestJet faced criticism for serving alcohol on a flight during Ramadan, which led to accusations of insensitivity towards Muslim passengers and violations of their religious observance. WestJet acknowledged the concerns raised and expressed regret for any offence caused, pledging to review policies and procedures to prevent similar incidents in the future.</w:t>
            </w:r>
          </w:p>
        </w:tc>
      </w:tr>
    </w:tbl>
    <w:p w14:paraId="075F8003" w14:textId="77777777" w:rsidR="002530E2" w:rsidRDefault="002530E2"/>
    <w:p w14:paraId="75BEA7FC" w14:textId="77777777" w:rsidR="002530E2" w:rsidRDefault="002530E2">
      <w:pPr>
        <w:pStyle w:val="Heading2"/>
      </w:pPr>
      <w:bookmarkStart w:id="454" w:name="_yxcmzuv9ov09" w:colFirst="0" w:colLast="0"/>
      <w:bookmarkEnd w:id="454"/>
      <w:r>
        <w:lastRenderedPageBreak/>
        <w:t>IR 035 (2018: Nestle, Malaysia)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9379827" w14:textId="77777777">
        <w:tc>
          <w:tcPr>
            <w:tcW w:w="1905" w:type="dxa"/>
            <w:shd w:val="clear" w:color="auto" w:fill="auto"/>
            <w:tcMar>
              <w:top w:w="100" w:type="dxa"/>
              <w:left w:w="100" w:type="dxa"/>
              <w:bottom w:w="100" w:type="dxa"/>
              <w:right w:w="100" w:type="dxa"/>
            </w:tcMar>
          </w:tcPr>
          <w:p w14:paraId="2E3F77E4"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3E73DB8" w14:textId="77777777" w:rsidR="002530E2" w:rsidRDefault="002530E2">
            <w:pPr>
              <w:spacing w:after="0" w:line="276" w:lineRule="auto"/>
            </w:pPr>
            <w:r>
              <w:t>Incident Report Title: “Nestle's KitKat Controversy”</w:t>
            </w:r>
          </w:p>
        </w:tc>
      </w:tr>
      <w:tr w:rsidR="002530E2" w14:paraId="514736B5" w14:textId="77777777">
        <w:tc>
          <w:tcPr>
            <w:tcW w:w="1905" w:type="dxa"/>
            <w:shd w:val="clear" w:color="auto" w:fill="auto"/>
            <w:tcMar>
              <w:top w:w="100" w:type="dxa"/>
              <w:left w:w="100" w:type="dxa"/>
              <w:bottom w:w="100" w:type="dxa"/>
              <w:right w:w="100" w:type="dxa"/>
            </w:tcMar>
          </w:tcPr>
          <w:p w14:paraId="14D507FB"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B9FECAB" w14:textId="77777777" w:rsidR="002530E2" w:rsidRDefault="002530E2">
            <w:pPr>
              <w:spacing w:after="0" w:line="276" w:lineRule="auto"/>
            </w:pPr>
            <w:r>
              <w:t>This case examines the cross-cultural blunder by Nestle in 2018, which resulted in controversy among Muslim consumers. The report focuses on the issue surrounding traces of pork DNA found in Nestle's KitKat chocolate bars in Malaysia and the subsequent impact on halal standards and the company's reputation.</w:t>
            </w:r>
          </w:p>
        </w:tc>
      </w:tr>
      <w:tr w:rsidR="002530E2" w14:paraId="2E35C03A" w14:textId="77777777">
        <w:tc>
          <w:tcPr>
            <w:tcW w:w="1905" w:type="dxa"/>
            <w:shd w:val="clear" w:color="auto" w:fill="auto"/>
            <w:tcMar>
              <w:top w:w="100" w:type="dxa"/>
              <w:left w:w="100" w:type="dxa"/>
              <w:bottom w:w="100" w:type="dxa"/>
              <w:right w:w="100" w:type="dxa"/>
            </w:tcMar>
          </w:tcPr>
          <w:p w14:paraId="340AAEBF"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18DEABEE" w14:textId="77777777" w:rsidR="002530E2" w:rsidRDefault="002530E2">
            <w:pPr>
              <w:spacing w:after="0" w:line="276" w:lineRule="auto"/>
            </w:pPr>
            <w:r>
              <w:t>In 2018, Nestle faced backlash after it was revealed that some of its KitKat chocolate bars in Malaysia contained traces of pork DNA. This discovery caused significant concern among Muslim consumers, as pork is prohibited in Islam, and halal standards prohibit the consumption of pork or any of its derivatives.</w:t>
            </w:r>
          </w:p>
          <w:p w14:paraId="31769B6F" w14:textId="77777777" w:rsidR="002530E2" w:rsidRDefault="002530E2">
            <w:pPr>
              <w:spacing w:after="0" w:line="276" w:lineRule="auto"/>
            </w:pPr>
          </w:p>
        </w:tc>
      </w:tr>
      <w:tr w:rsidR="002530E2" w14:paraId="4E0B45D1" w14:textId="77777777">
        <w:tc>
          <w:tcPr>
            <w:tcW w:w="1905" w:type="dxa"/>
            <w:shd w:val="clear" w:color="auto" w:fill="auto"/>
            <w:tcMar>
              <w:top w:w="100" w:type="dxa"/>
              <w:left w:w="100" w:type="dxa"/>
              <w:bottom w:w="100" w:type="dxa"/>
              <w:right w:w="100" w:type="dxa"/>
            </w:tcMar>
          </w:tcPr>
          <w:p w14:paraId="5F1C2ECF"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73CAED0" w14:textId="77777777" w:rsidR="002530E2" w:rsidRDefault="002530E2">
            <w:pPr>
              <w:spacing w:after="0" w:line="276" w:lineRule="auto"/>
            </w:pPr>
            <w:r>
              <w:t>The incident occurred in 2018, when it was discovered that Nestle's KitKat chocolate bars in Malaysia contained traces of pork DNA.</w:t>
            </w:r>
          </w:p>
        </w:tc>
      </w:tr>
      <w:tr w:rsidR="002530E2" w14:paraId="372268CC" w14:textId="77777777">
        <w:tc>
          <w:tcPr>
            <w:tcW w:w="1905" w:type="dxa"/>
            <w:shd w:val="clear" w:color="auto" w:fill="auto"/>
            <w:tcMar>
              <w:top w:w="100" w:type="dxa"/>
              <w:left w:w="100" w:type="dxa"/>
              <w:bottom w:w="100" w:type="dxa"/>
              <w:right w:w="100" w:type="dxa"/>
            </w:tcMar>
          </w:tcPr>
          <w:p w14:paraId="21823E1E"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1C95BA8D" w14:textId="77777777" w:rsidR="002530E2" w:rsidRDefault="002530E2">
            <w:pPr>
              <w:spacing w:after="0" w:line="276" w:lineRule="auto"/>
            </w:pPr>
            <w:r>
              <w:t>The controversy surrounding Nestle's KitKat chocolate bars primarily affected Muslim consumers in Malaysia, where the consumption of halal-certified products is of utmost importance.</w:t>
            </w:r>
          </w:p>
        </w:tc>
      </w:tr>
      <w:tr w:rsidR="002530E2" w14:paraId="2FF6DAC6" w14:textId="77777777">
        <w:tc>
          <w:tcPr>
            <w:tcW w:w="1905" w:type="dxa"/>
            <w:shd w:val="clear" w:color="auto" w:fill="auto"/>
            <w:tcMar>
              <w:top w:w="100" w:type="dxa"/>
              <w:left w:w="100" w:type="dxa"/>
              <w:bottom w:w="100" w:type="dxa"/>
              <w:right w:w="100" w:type="dxa"/>
            </w:tcMar>
          </w:tcPr>
          <w:p w14:paraId="3E1B2F14"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33E9EB5B" w14:textId="77777777" w:rsidR="002530E2" w:rsidRDefault="002530E2">
            <w:pPr>
              <w:spacing w:after="0" w:line="276" w:lineRule="auto"/>
            </w:pPr>
            <w:r>
              <w:t>Muslim consumers were directly impacted by this incident, as they considered the presence of pork DNA in Nestle's KitKat chocolate bars a violation of their religious dietary requirements. Many felt betrayed and deceived by the brand, leading to a loss of trust and confidence in Nestle's commitment to producing halal-certified products.</w:t>
            </w:r>
          </w:p>
        </w:tc>
      </w:tr>
      <w:tr w:rsidR="002530E2" w14:paraId="76E4840C" w14:textId="77777777">
        <w:tc>
          <w:tcPr>
            <w:tcW w:w="1905" w:type="dxa"/>
            <w:shd w:val="clear" w:color="auto" w:fill="auto"/>
            <w:tcMar>
              <w:top w:w="100" w:type="dxa"/>
              <w:left w:w="100" w:type="dxa"/>
              <w:bottom w:w="100" w:type="dxa"/>
              <w:right w:w="100" w:type="dxa"/>
            </w:tcMar>
          </w:tcPr>
          <w:p w14:paraId="2C33BA2B"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779CE19" w14:textId="77777777" w:rsidR="002530E2" w:rsidRDefault="002530E2">
            <w:pPr>
              <w:spacing w:after="0" w:line="276" w:lineRule="auto"/>
            </w:pPr>
            <w:r>
              <w:t>Nestle, a multinational food and beverage company, faced controversy and public scrutiny due to the presence of pork DNA in its KitKat chocolate bars. The company was held responsible for the oversight in its supply chain and faced criticism for not adhering to the strict requirements of halal certification.</w:t>
            </w:r>
          </w:p>
        </w:tc>
      </w:tr>
      <w:tr w:rsidR="002530E2" w14:paraId="3DE01F64" w14:textId="77777777">
        <w:tc>
          <w:tcPr>
            <w:tcW w:w="1905" w:type="dxa"/>
            <w:shd w:val="clear" w:color="auto" w:fill="auto"/>
            <w:tcMar>
              <w:top w:w="100" w:type="dxa"/>
              <w:left w:w="100" w:type="dxa"/>
              <w:bottom w:w="100" w:type="dxa"/>
              <w:right w:w="100" w:type="dxa"/>
            </w:tcMar>
          </w:tcPr>
          <w:p w14:paraId="37AAC0F0" w14:textId="77777777" w:rsidR="002530E2" w:rsidRDefault="002530E2">
            <w:pPr>
              <w:spacing w:after="0" w:line="276" w:lineRule="auto"/>
            </w:pPr>
            <w:r>
              <w:t xml:space="preserve">IRE 7: VICTIMISATION — WHAT WERE THE </w:t>
            </w:r>
            <w:r>
              <w:lastRenderedPageBreak/>
              <w:t>CONSEQUENCES FOR MUSLIMS?</w:t>
            </w:r>
          </w:p>
        </w:tc>
        <w:tc>
          <w:tcPr>
            <w:tcW w:w="7125" w:type="dxa"/>
            <w:shd w:val="clear" w:color="auto" w:fill="auto"/>
            <w:tcMar>
              <w:top w:w="100" w:type="dxa"/>
              <w:left w:w="100" w:type="dxa"/>
              <w:bottom w:w="100" w:type="dxa"/>
              <w:right w:w="100" w:type="dxa"/>
            </w:tcMar>
          </w:tcPr>
          <w:p w14:paraId="2CB88557" w14:textId="77777777" w:rsidR="002530E2" w:rsidRDefault="002530E2">
            <w:pPr>
              <w:spacing w:after="0" w:line="276" w:lineRule="auto"/>
            </w:pPr>
            <w:r>
              <w:lastRenderedPageBreak/>
              <w:t xml:space="preserve">Muslim consumers expressed their outrage and disappointment at the violation of halal standards by Nestle. Many called for a boycott of the brand, as the presence of pork DNA in a product claimed to be halal-certified was seen as a breach of trust. This incident highlighted the importance of halal </w:t>
            </w:r>
            <w:r>
              <w:lastRenderedPageBreak/>
              <w:t>integrity and the need for companies to ensure strict adherence to halal standards.</w:t>
            </w:r>
          </w:p>
        </w:tc>
      </w:tr>
      <w:tr w:rsidR="002530E2" w14:paraId="27B948DA" w14:textId="77777777">
        <w:tc>
          <w:tcPr>
            <w:tcW w:w="1905" w:type="dxa"/>
            <w:shd w:val="clear" w:color="auto" w:fill="auto"/>
            <w:tcMar>
              <w:top w:w="100" w:type="dxa"/>
              <w:left w:w="100" w:type="dxa"/>
              <w:bottom w:w="100" w:type="dxa"/>
              <w:right w:w="100" w:type="dxa"/>
            </w:tcMar>
          </w:tcPr>
          <w:p w14:paraId="5A210F6D"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4159A91B" w14:textId="77777777" w:rsidR="002530E2" w:rsidRDefault="002530E2">
            <w:pPr>
              <w:spacing w:after="0" w:line="276" w:lineRule="auto"/>
            </w:pPr>
            <w:r>
              <w:t>The KitKat controversy had significant implications for Nestle's reputation and market share in Malaysia. The company faced a public relations crisis and a decline in consumer trust and loyalty. Nestle was compelled to take swift action to address the issue and regain the confidence of Muslim consumers.</w:t>
            </w:r>
          </w:p>
        </w:tc>
      </w:tr>
      <w:tr w:rsidR="002530E2" w14:paraId="5EC7DBF9" w14:textId="77777777">
        <w:tc>
          <w:tcPr>
            <w:tcW w:w="1905" w:type="dxa"/>
            <w:shd w:val="clear" w:color="auto" w:fill="auto"/>
            <w:tcMar>
              <w:top w:w="100" w:type="dxa"/>
              <w:left w:w="100" w:type="dxa"/>
              <w:bottom w:w="100" w:type="dxa"/>
              <w:right w:w="100" w:type="dxa"/>
            </w:tcMar>
          </w:tcPr>
          <w:p w14:paraId="0A2C9715"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6BACC9D5" w14:textId="77777777" w:rsidR="002530E2" w:rsidRDefault="002530E2">
            <w:pPr>
              <w:spacing w:after="0" w:line="276" w:lineRule="auto"/>
            </w:pPr>
            <w:r>
              <w:t>The presence of pork DNA in Nestle's KitKat chocolate bars was a result of a breakdown in the company's supply chain and quality control processes. This incident highlighted the importance of rigorous monitoring and verification mechanisms to ensure compliance with halal standards and prevent such cross-cultural blunders.</w:t>
            </w:r>
          </w:p>
        </w:tc>
      </w:tr>
      <w:tr w:rsidR="002530E2" w14:paraId="1FDE2EC0" w14:textId="77777777">
        <w:tc>
          <w:tcPr>
            <w:tcW w:w="1905" w:type="dxa"/>
            <w:shd w:val="clear" w:color="auto" w:fill="auto"/>
            <w:tcMar>
              <w:top w:w="100" w:type="dxa"/>
              <w:left w:w="100" w:type="dxa"/>
              <w:bottom w:w="100" w:type="dxa"/>
              <w:right w:w="100" w:type="dxa"/>
            </w:tcMar>
          </w:tcPr>
          <w:p w14:paraId="344ED95E"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4FF5B2EE" w14:textId="77777777" w:rsidR="002530E2" w:rsidRDefault="002530E2">
            <w:pPr>
              <w:spacing w:after="0" w:line="276" w:lineRule="auto"/>
            </w:pPr>
            <w:r>
              <w:t>Nestle responded promptly to the controversy by issuing an apology and recalling the affected batches of KitKat chocolate bars from the market. The company implemented stricter quality control measures and worked closely with halal certification bodies to restore consumer confidence.</w:t>
            </w:r>
          </w:p>
        </w:tc>
      </w:tr>
      <w:tr w:rsidR="002530E2" w14:paraId="62F12C52" w14:textId="77777777">
        <w:tc>
          <w:tcPr>
            <w:tcW w:w="1905" w:type="dxa"/>
            <w:shd w:val="clear" w:color="auto" w:fill="auto"/>
            <w:tcMar>
              <w:top w:w="100" w:type="dxa"/>
              <w:left w:w="100" w:type="dxa"/>
              <w:bottom w:w="100" w:type="dxa"/>
              <w:right w:w="100" w:type="dxa"/>
            </w:tcMar>
          </w:tcPr>
          <w:p w14:paraId="29B450DF"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058F3BAE" w14:textId="77777777" w:rsidR="002530E2" w:rsidRDefault="002530E2">
            <w:pPr>
              <w:spacing w:after="0" w:line="276" w:lineRule="auto"/>
            </w:pPr>
            <w:r>
              <w:t>To prevent similar incidents, companies like Nestle should implement robust traceability systems throughout their supply chains. Regular audits, testing, and verification processes can help ensure the integrity of halal-certified products and prevent inadvertent violations of religious dietary requirements. Moving forward, Nestle and other companies should establish strong partnerships with halal certification bodies and engage in continuous education and training programmes to enhance their understanding of halal requirements. Clear communication and transparency with consumers about the halal integrity of their products are crucial to maintaining trust.</w:t>
            </w:r>
          </w:p>
        </w:tc>
      </w:tr>
      <w:tr w:rsidR="002530E2" w14:paraId="1AA19EB2" w14:textId="77777777">
        <w:tc>
          <w:tcPr>
            <w:tcW w:w="1905" w:type="dxa"/>
            <w:shd w:val="clear" w:color="auto" w:fill="auto"/>
            <w:tcMar>
              <w:top w:w="100" w:type="dxa"/>
              <w:left w:w="100" w:type="dxa"/>
              <w:bottom w:w="100" w:type="dxa"/>
              <w:right w:w="100" w:type="dxa"/>
            </w:tcMar>
          </w:tcPr>
          <w:p w14:paraId="593E22C6"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3FC8EFBB" w14:textId="77777777" w:rsidR="002530E2" w:rsidRDefault="002530E2">
            <w:pPr>
              <w:spacing w:after="0" w:line="276" w:lineRule="auto"/>
            </w:pPr>
            <w:r>
              <w:t>The Nestle KitKat controversy involving traces of pork DNA in Malaysia highlighted the significance of halal integrity and the consequences of cross-cultural blunders for multinational corporations. The incident serves as a lesson for companies to prioritise adherence to religious dietary requirements, implement rigorous quality control measures, and engage in proactive communication with consumers.</w:t>
            </w:r>
          </w:p>
        </w:tc>
      </w:tr>
    </w:tbl>
    <w:p w14:paraId="4551CA43" w14:textId="77777777" w:rsidR="002530E2" w:rsidRDefault="002530E2"/>
    <w:p w14:paraId="6DC93DA2" w14:textId="77777777" w:rsidR="002530E2" w:rsidRDefault="002530E2">
      <w:pPr>
        <w:pStyle w:val="Heading2"/>
      </w:pPr>
      <w:bookmarkStart w:id="455" w:name="_ngwh15e96dyf" w:colFirst="0" w:colLast="0"/>
      <w:bookmarkEnd w:id="455"/>
      <w:r>
        <w:lastRenderedPageBreak/>
        <w:t>IR 036 (2018: KFC, UK)</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41DDD362" w14:textId="77777777">
        <w:tc>
          <w:tcPr>
            <w:tcW w:w="1905" w:type="dxa"/>
            <w:shd w:val="clear" w:color="auto" w:fill="auto"/>
            <w:tcMar>
              <w:top w:w="100" w:type="dxa"/>
              <w:left w:w="100" w:type="dxa"/>
              <w:bottom w:w="100" w:type="dxa"/>
              <w:right w:w="100" w:type="dxa"/>
            </w:tcMar>
          </w:tcPr>
          <w:p w14:paraId="5C4E7320"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8A37575" w14:textId="77777777" w:rsidR="002530E2" w:rsidRDefault="002530E2">
            <w:pPr>
              <w:spacing w:after="0" w:line="276" w:lineRule="auto"/>
            </w:pPr>
            <w:r>
              <w:t>Incident Report Title: “KFC’s halal-only meat felt excluded and misled”</w:t>
            </w:r>
          </w:p>
        </w:tc>
      </w:tr>
      <w:tr w:rsidR="002530E2" w14:paraId="3C28B121" w14:textId="77777777">
        <w:tc>
          <w:tcPr>
            <w:tcW w:w="1905" w:type="dxa"/>
            <w:shd w:val="clear" w:color="auto" w:fill="auto"/>
            <w:tcMar>
              <w:top w:w="100" w:type="dxa"/>
              <w:left w:w="100" w:type="dxa"/>
              <w:bottom w:w="100" w:type="dxa"/>
              <w:right w:w="100" w:type="dxa"/>
            </w:tcMar>
          </w:tcPr>
          <w:p w14:paraId="7603342F"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73F5EA41" w14:textId="77777777" w:rsidR="002530E2" w:rsidRDefault="002530E2">
            <w:pPr>
              <w:spacing w:after="0" w:line="276" w:lineRule="auto"/>
            </w:pPr>
            <w:r>
              <w:t>This case examines a cross-cultural blunder by KFC in 2018, which sparked controversy among Muslim consumers. The report focuses on the consequences of KFC's decision to serve halal-only meat in some of its UK restaurants without proper communication or transparency with the Muslim community. The incident led to criticism and calls for a boycott and highlighted the importance of inclusive practices and effective communication in catering to diverse consumer preferences.</w:t>
            </w:r>
          </w:p>
        </w:tc>
      </w:tr>
      <w:tr w:rsidR="002530E2" w14:paraId="25F044D6" w14:textId="77777777">
        <w:tc>
          <w:tcPr>
            <w:tcW w:w="1905" w:type="dxa"/>
            <w:shd w:val="clear" w:color="auto" w:fill="auto"/>
            <w:tcMar>
              <w:top w:w="100" w:type="dxa"/>
              <w:left w:w="100" w:type="dxa"/>
              <w:bottom w:w="100" w:type="dxa"/>
              <w:right w:w="100" w:type="dxa"/>
            </w:tcMar>
          </w:tcPr>
          <w:p w14:paraId="00202006"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B794245" w14:textId="77777777" w:rsidR="002530E2" w:rsidRDefault="002530E2">
            <w:pPr>
              <w:spacing w:after="0" w:line="276" w:lineRule="auto"/>
            </w:pPr>
            <w:r>
              <w:t>In 2018, it was revealed that certain KFC restaurants in the UK were serving halal-only meat, meaning the meat was prepared according to Islamic dietary laws. The revelation came as a surprise to many Muslim consumers, who were unaware of this practise. The decision to serve halal-only meat was not effectively communicated to the wider Muslim community, leading to concerns and backlash.</w:t>
            </w:r>
          </w:p>
        </w:tc>
      </w:tr>
      <w:tr w:rsidR="002530E2" w14:paraId="0AD58D31" w14:textId="77777777">
        <w:tc>
          <w:tcPr>
            <w:tcW w:w="1905" w:type="dxa"/>
            <w:shd w:val="clear" w:color="auto" w:fill="auto"/>
            <w:tcMar>
              <w:top w:w="100" w:type="dxa"/>
              <w:left w:w="100" w:type="dxa"/>
              <w:bottom w:w="100" w:type="dxa"/>
              <w:right w:w="100" w:type="dxa"/>
            </w:tcMar>
          </w:tcPr>
          <w:p w14:paraId="0D8D79AC"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07816A3E" w14:textId="77777777" w:rsidR="002530E2" w:rsidRDefault="002530E2">
            <w:pPr>
              <w:spacing w:after="0" w:line="276" w:lineRule="auto"/>
            </w:pPr>
            <w:r>
              <w:t>The incident occurred in 2018, when it was brought to light that KFC restaurants in the UK were serving halal-only meat.</w:t>
            </w:r>
          </w:p>
        </w:tc>
      </w:tr>
      <w:tr w:rsidR="002530E2" w14:paraId="1CCFDF4A" w14:textId="77777777">
        <w:tc>
          <w:tcPr>
            <w:tcW w:w="1905" w:type="dxa"/>
            <w:shd w:val="clear" w:color="auto" w:fill="auto"/>
            <w:tcMar>
              <w:top w:w="100" w:type="dxa"/>
              <w:left w:w="100" w:type="dxa"/>
              <w:bottom w:w="100" w:type="dxa"/>
              <w:right w:w="100" w:type="dxa"/>
            </w:tcMar>
          </w:tcPr>
          <w:p w14:paraId="3D963AE9"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75ED9A1" w14:textId="77777777" w:rsidR="002530E2" w:rsidRDefault="002530E2">
            <w:pPr>
              <w:spacing w:after="0" w:line="276" w:lineRule="auto"/>
            </w:pPr>
            <w:r>
              <w:t>The controversy emerged specifically in the UK, where some KFC restaurants implemented the practise of serving halal-only meat.</w:t>
            </w:r>
          </w:p>
        </w:tc>
      </w:tr>
      <w:tr w:rsidR="002530E2" w14:paraId="50F0A394" w14:textId="77777777">
        <w:tc>
          <w:tcPr>
            <w:tcW w:w="1905" w:type="dxa"/>
            <w:shd w:val="clear" w:color="auto" w:fill="auto"/>
            <w:tcMar>
              <w:top w:w="100" w:type="dxa"/>
              <w:left w:w="100" w:type="dxa"/>
              <w:bottom w:w="100" w:type="dxa"/>
              <w:right w:w="100" w:type="dxa"/>
            </w:tcMar>
          </w:tcPr>
          <w:p w14:paraId="6DB5DFA3"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75517489" w14:textId="77777777" w:rsidR="002530E2" w:rsidRDefault="002530E2">
            <w:pPr>
              <w:spacing w:after="0" w:line="276" w:lineRule="auto"/>
            </w:pPr>
            <w:r>
              <w:t>Muslim consumers were directly affected by this cross-cultural blunder. Many Muslims felt that KFC had catered to their community without proper communication or transparency. They believed that the fast food chain should have made it clear to customers that halal-only meat was being served. Consequently, some Muslim consumers expressed their discontent and called for a boycott of the brand (BBC, 2018).</w:t>
            </w:r>
          </w:p>
        </w:tc>
      </w:tr>
      <w:tr w:rsidR="002530E2" w14:paraId="585972A5" w14:textId="77777777">
        <w:tc>
          <w:tcPr>
            <w:tcW w:w="1905" w:type="dxa"/>
            <w:shd w:val="clear" w:color="auto" w:fill="auto"/>
            <w:tcMar>
              <w:top w:w="100" w:type="dxa"/>
              <w:left w:w="100" w:type="dxa"/>
              <w:bottom w:w="100" w:type="dxa"/>
              <w:right w:w="100" w:type="dxa"/>
            </w:tcMar>
          </w:tcPr>
          <w:p w14:paraId="3AC04FB0"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7EBDF47E" w14:textId="77777777" w:rsidR="002530E2" w:rsidRDefault="002530E2">
            <w:pPr>
              <w:spacing w:after="0" w:line="276" w:lineRule="auto"/>
            </w:pPr>
            <w:r>
              <w:t>KFC, a prominent fast food chain, was at the centre of the controversy. The decision to serve halal-only meat in select UK restaurants without effectively informing the Muslim community drew criticism and negative attention.</w:t>
            </w:r>
          </w:p>
        </w:tc>
      </w:tr>
      <w:tr w:rsidR="002530E2" w14:paraId="4103BF0F" w14:textId="77777777">
        <w:tc>
          <w:tcPr>
            <w:tcW w:w="1905" w:type="dxa"/>
            <w:shd w:val="clear" w:color="auto" w:fill="auto"/>
            <w:tcMar>
              <w:top w:w="100" w:type="dxa"/>
              <w:left w:w="100" w:type="dxa"/>
              <w:bottom w:w="100" w:type="dxa"/>
              <w:right w:w="100" w:type="dxa"/>
            </w:tcMar>
          </w:tcPr>
          <w:p w14:paraId="7A8FFAEE" w14:textId="77777777" w:rsidR="002530E2" w:rsidRDefault="002530E2">
            <w:pPr>
              <w:spacing w:after="0" w:line="276" w:lineRule="auto"/>
            </w:pPr>
            <w:r>
              <w:t xml:space="preserve">IRE 7: VICTIMISATION — WHAT WERE THE </w:t>
            </w:r>
            <w:r>
              <w:lastRenderedPageBreak/>
              <w:t>CONSEQUENCES FOR MUSLIMS?</w:t>
            </w:r>
          </w:p>
        </w:tc>
        <w:tc>
          <w:tcPr>
            <w:tcW w:w="7125" w:type="dxa"/>
            <w:shd w:val="clear" w:color="auto" w:fill="auto"/>
            <w:tcMar>
              <w:top w:w="100" w:type="dxa"/>
              <w:left w:w="100" w:type="dxa"/>
              <w:bottom w:w="100" w:type="dxa"/>
              <w:right w:w="100" w:type="dxa"/>
            </w:tcMar>
          </w:tcPr>
          <w:p w14:paraId="009A783F" w14:textId="77777777" w:rsidR="002530E2" w:rsidRDefault="002530E2">
            <w:pPr>
              <w:spacing w:after="0" w:line="276" w:lineRule="auto"/>
            </w:pPr>
            <w:r>
              <w:lastRenderedPageBreak/>
              <w:t xml:space="preserve">Muslim consumers who were not informed about the use of halal-only meat felt excluded and misled. Some expressed concerns about the lack of transparency and communication from KFC. The controversy sparked </w:t>
            </w:r>
            <w:r>
              <w:lastRenderedPageBreak/>
              <w:t>discussions on social media platforms, with many Muslim consumers expressing their disappointment and frustration with the fast food chain.</w:t>
            </w:r>
          </w:p>
        </w:tc>
      </w:tr>
      <w:tr w:rsidR="002530E2" w14:paraId="1B82A4EF" w14:textId="77777777">
        <w:tc>
          <w:tcPr>
            <w:tcW w:w="1905" w:type="dxa"/>
            <w:shd w:val="clear" w:color="auto" w:fill="auto"/>
            <w:tcMar>
              <w:top w:w="100" w:type="dxa"/>
              <w:left w:w="100" w:type="dxa"/>
              <w:bottom w:w="100" w:type="dxa"/>
              <w:right w:w="100" w:type="dxa"/>
            </w:tcMar>
          </w:tcPr>
          <w:p w14:paraId="47C588CD"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001E0A6D" w14:textId="77777777" w:rsidR="002530E2" w:rsidRDefault="002530E2">
            <w:pPr>
              <w:spacing w:after="0" w:line="276" w:lineRule="auto"/>
            </w:pPr>
            <w:r>
              <w:t>The controversy surrounding the halal meat issue had a negative impact on KFC's brand reputation. The incident garnered media attention and led to public scrutiny of the company's communication and inclusive practices. The calls for a boycott by some Muslim consumers further added to the reputational damage and potential financial implications for KFC.</w:t>
            </w:r>
          </w:p>
        </w:tc>
      </w:tr>
      <w:tr w:rsidR="002530E2" w14:paraId="4DC0A197" w14:textId="77777777">
        <w:tc>
          <w:tcPr>
            <w:tcW w:w="1905" w:type="dxa"/>
            <w:shd w:val="clear" w:color="auto" w:fill="auto"/>
            <w:tcMar>
              <w:top w:w="100" w:type="dxa"/>
              <w:left w:w="100" w:type="dxa"/>
              <w:bottom w:w="100" w:type="dxa"/>
              <w:right w:w="100" w:type="dxa"/>
            </w:tcMar>
          </w:tcPr>
          <w:p w14:paraId="7DFE142D"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7590925" w14:textId="77777777" w:rsidR="002530E2" w:rsidRDefault="002530E2">
            <w:pPr>
              <w:spacing w:after="0" w:line="276" w:lineRule="auto"/>
            </w:pPr>
            <w:r>
              <w:t>KFC's failure to effectively communicate its decision to serve halal-only meat in certain UK restaurants to the wider Muslim community indicates a lack of understanding of the importance of transparency and inclusive practices. The lack of proper information dissemination created confusion and disappointment among Muslim consumers.</w:t>
            </w:r>
          </w:p>
        </w:tc>
      </w:tr>
      <w:tr w:rsidR="002530E2" w14:paraId="1ABC7790" w14:textId="77777777">
        <w:tc>
          <w:tcPr>
            <w:tcW w:w="1905" w:type="dxa"/>
            <w:shd w:val="clear" w:color="auto" w:fill="auto"/>
            <w:tcMar>
              <w:top w:w="100" w:type="dxa"/>
              <w:left w:w="100" w:type="dxa"/>
              <w:bottom w:w="100" w:type="dxa"/>
              <w:right w:w="100" w:type="dxa"/>
            </w:tcMar>
          </w:tcPr>
          <w:p w14:paraId="7203ECD4"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1BA16C17" w14:textId="77777777" w:rsidR="002530E2" w:rsidRDefault="002530E2">
            <w:pPr>
              <w:spacing w:after="0" w:line="276" w:lineRule="auto"/>
            </w:pPr>
            <w:r>
              <w:t>In response to the controversy, KFC issued an apology and acknowledged the concerns raised by Muslim consumers. The company emphasised its commitment to transparency and pledged to improve communication regarding the availability of halal-only meat in its restaurants. KFC aimed to rectify the situation and rebuild trust with its Muslim customers.</w:t>
            </w:r>
          </w:p>
        </w:tc>
      </w:tr>
      <w:tr w:rsidR="002530E2" w14:paraId="634B6790" w14:textId="77777777">
        <w:tc>
          <w:tcPr>
            <w:tcW w:w="1905" w:type="dxa"/>
            <w:shd w:val="clear" w:color="auto" w:fill="auto"/>
            <w:tcMar>
              <w:top w:w="100" w:type="dxa"/>
              <w:left w:w="100" w:type="dxa"/>
              <w:bottom w:w="100" w:type="dxa"/>
              <w:right w:w="100" w:type="dxa"/>
            </w:tcMar>
          </w:tcPr>
          <w:p w14:paraId="4B43948C"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7AA69267" w14:textId="77777777" w:rsidR="002530E2" w:rsidRDefault="002530E2">
            <w:pPr>
              <w:spacing w:after="0" w:line="276" w:lineRule="auto"/>
            </w:pPr>
            <w:r>
              <w:t>To prevent similar cross-cultural blunders, companies like KFC should prioritise effective communication and transparency. It is essential to ensure that relevant information reaches the target audience, especially when catering to specific dietary preferences or cultural considerations. Proactive engagement and consultation with community representatives can help align business practices with consumer expectations. Moving forward, KFC and other businesses should consider implementing comprehensive communication plans when introducing changes that may impact specific consumer groups. Conducting thorough research, engaging with diverse communities, and seeking feedback can help companies understand the preferences and sensitivities of their target audience. By integrating these insights into their decision-making process, businesses can avoid potential controversies and strengthen their relationships with diverse consumer segments.</w:t>
            </w:r>
          </w:p>
        </w:tc>
      </w:tr>
      <w:tr w:rsidR="002530E2" w14:paraId="316D269F" w14:textId="77777777">
        <w:tc>
          <w:tcPr>
            <w:tcW w:w="1905" w:type="dxa"/>
            <w:shd w:val="clear" w:color="auto" w:fill="auto"/>
            <w:tcMar>
              <w:top w:w="100" w:type="dxa"/>
              <w:left w:w="100" w:type="dxa"/>
              <w:bottom w:w="100" w:type="dxa"/>
              <w:right w:w="100" w:type="dxa"/>
            </w:tcMar>
          </w:tcPr>
          <w:p w14:paraId="5ED0D9C0"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0D3E7DCF" w14:textId="77777777" w:rsidR="002530E2" w:rsidRDefault="002530E2">
            <w:pPr>
              <w:spacing w:after="0" w:line="276" w:lineRule="auto"/>
            </w:pPr>
            <w:r>
              <w:t>The KFC halal meat controversy in 2018 highlighted the significance of transparent communication and inclusive practices in catering to diverse consumer preferences. The incident resulted in dissatisfaction among Muslim consumers, who felt excluded and misled. KFC faced reputational damage and potential financial implications due to the negative attention and calls for a boycott. To prevent similar incidents, companies should prioritise effective communication, transparency, and engagement with relevant communities.</w:t>
            </w:r>
          </w:p>
        </w:tc>
      </w:tr>
    </w:tbl>
    <w:p w14:paraId="436F72FC" w14:textId="77777777" w:rsidR="002530E2" w:rsidRDefault="002530E2"/>
    <w:p w14:paraId="259B037E" w14:textId="77777777" w:rsidR="002530E2" w:rsidRDefault="002530E2">
      <w:pPr>
        <w:pStyle w:val="Heading2"/>
      </w:pPr>
      <w:bookmarkStart w:id="456" w:name="_w9zk3hy8bfr" w:colFirst="0" w:colLast="0"/>
      <w:bookmarkEnd w:id="456"/>
      <w:r>
        <w:lastRenderedPageBreak/>
        <w:t>IR 037 (2018: McDonald's, Birmingham, UK)</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3F126DFE" w14:textId="77777777">
        <w:tc>
          <w:tcPr>
            <w:tcW w:w="1905" w:type="dxa"/>
            <w:shd w:val="clear" w:color="auto" w:fill="auto"/>
            <w:tcMar>
              <w:top w:w="100" w:type="dxa"/>
              <w:left w:w="100" w:type="dxa"/>
              <w:bottom w:w="100" w:type="dxa"/>
              <w:right w:w="100" w:type="dxa"/>
            </w:tcMar>
          </w:tcPr>
          <w:p w14:paraId="46E1B95D"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C90EE4A" w14:textId="77777777" w:rsidR="002530E2" w:rsidRDefault="002530E2">
            <w:pPr>
              <w:spacing w:after="0" w:line="276" w:lineRule="auto"/>
            </w:pPr>
            <w:r>
              <w:t>Incident Report Title: “McDonald's Hijab Incident and Backlash from Muslim Consumers”</w:t>
            </w:r>
          </w:p>
        </w:tc>
      </w:tr>
      <w:tr w:rsidR="002530E2" w14:paraId="082F28E3" w14:textId="77777777">
        <w:tc>
          <w:tcPr>
            <w:tcW w:w="1905" w:type="dxa"/>
            <w:shd w:val="clear" w:color="auto" w:fill="auto"/>
            <w:tcMar>
              <w:top w:w="100" w:type="dxa"/>
              <w:left w:w="100" w:type="dxa"/>
              <w:bottom w:w="100" w:type="dxa"/>
              <w:right w:w="100" w:type="dxa"/>
            </w:tcMar>
          </w:tcPr>
          <w:p w14:paraId="41126C56"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7AD2E885" w14:textId="77777777" w:rsidR="002530E2" w:rsidRDefault="002530E2">
            <w:pPr>
              <w:spacing w:after="0" w:line="276" w:lineRule="auto"/>
            </w:pPr>
            <w:r>
              <w:t>This case examines the controversy faced by McDonald's in 2018 when a franchise in Birmingham, UK, refused to serve a customer wearing a hijab. The incident was perceived as discriminatory by many Muslim consumers, leading to calls for improved employee training and accountability within McDonald's.</w:t>
            </w:r>
          </w:p>
        </w:tc>
      </w:tr>
      <w:tr w:rsidR="002530E2" w14:paraId="23559930" w14:textId="77777777">
        <w:tc>
          <w:tcPr>
            <w:tcW w:w="1905" w:type="dxa"/>
            <w:shd w:val="clear" w:color="auto" w:fill="auto"/>
            <w:tcMar>
              <w:top w:w="100" w:type="dxa"/>
              <w:left w:w="100" w:type="dxa"/>
              <w:bottom w:w="100" w:type="dxa"/>
              <w:right w:w="100" w:type="dxa"/>
            </w:tcMar>
          </w:tcPr>
          <w:p w14:paraId="1440359A"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7E552411" w14:textId="77777777" w:rsidR="002530E2" w:rsidRDefault="002530E2">
            <w:pPr>
              <w:spacing w:after="0" w:line="276" w:lineRule="auto"/>
            </w:pPr>
            <w:r>
              <w:t>In 2018, a Muslim customer entered a McDonald's franchise in Birmingham, UK, wearing a hijab. However, the customer was refused service by the employees at the counter solely based on her religious head covering. The incident sparked controversy and raised concerns about religious discrimination.</w:t>
            </w:r>
          </w:p>
        </w:tc>
      </w:tr>
      <w:tr w:rsidR="002530E2" w14:paraId="59C07BEB" w14:textId="77777777">
        <w:tc>
          <w:tcPr>
            <w:tcW w:w="1905" w:type="dxa"/>
            <w:shd w:val="clear" w:color="auto" w:fill="auto"/>
            <w:tcMar>
              <w:top w:w="100" w:type="dxa"/>
              <w:left w:w="100" w:type="dxa"/>
              <w:bottom w:w="100" w:type="dxa"/>
              <w:right w:w="100" w:type="dxa"/>
            </w:tcMar>
          </w:tcPr>
          <w:p w14:paraId="25E28767"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7E714066" w14:textId="77777777" w:rsidR="002530E2" w:rsidRDefault="002530E2">
            <w:pPr>
              <w:spacing w:after="0" w:line="276" w:lineRule="auto"/>
            </w:pPr>
            <w:r>
              <w:t>The incident occurred in 2018 when the Muslim customer was denied service at a McDonald's franchise in Birmingham, UK.</w:t>
            </w:r>
          </w:p>
        </w:tc>
      </w:tr>
      <w:tr w:rsidR="002530E2" w14:paraId="5EC81FB0" w14:textId="77777777">
        <w:tc>
          <w:tcPr>
            <w:tcW w:w="1905" w:type="dxa"/>
            <w:shd w:val="clear" w:color="auto" w:fill="auto"/>
            <w:tcMar>
              <w:top w:w="100" w:type="dxa"/>
              <w:left w:w="100" w:type="dxa"/>
              <w:bottom w:w="100" w:type="dxa"/>
              <w:right w:w="100" w:type="dxa"/>
            </w:tcMar>
          </w:tcPr>
          <w:p w14:paraId="485ED1BE"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78A14B06" w14:textId="77777777" w:rsidR="002530E2" w:rsidRDefault="002530E2">
            <w:pPr>
              <w:spacing w:after="0" w:line="276" w:lineRule="auto"/>
            </w:pPr>
            <w:r>
              <w:t>The incident took place at a McDonald's franchise located in Birmingham, UK.</w:t>
            </w:r>
          </w:p>
        </w:tc>
      </w:tr>
      <w:tr w:rsidR="002530E2" w14:paraId="68AF20FE" w14:textId="77777777">
        <w:tc>
          <w:tcPr>
            <w:tcW w:w="1905" w:type="dxa"/>
            <w:shd w:val="clear" w:color="auto" w:fill="auto"/>
            <w:tcMar>
              <w:top w:w="100" w:type="dxa"/>
              <w:left w:w="100" w:type="dxa"/>
              <w:bottom w:w="100" w:type="dxa"/>
              <w:right w:w="100" w:type="dxa"/>
            </w:tcMar>
          </w:tcPr>
          <w:p w14:paraId="3E747C2D"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15CCB101" w14:textId="77777777" w:rsidR="002530E2" w:rsidRDefault="002530E2">
            <w:pPr>
              <w:spacing w:after="0" w:line="276" w:lineRule="auto"/>
            </w:pPr>
            <w:r>
              <w:t>The victim of this incident was the Muslim customer who was refused service at the McDonald's franchise due to wearing a hijab. She experienced the discrimination firsthand and became an advocate for raising awareness about religious inclusivity.</w:t>
            </w:r>
          </w:p>
        </w:tc>
      </w:tr>
      <w:tr w:rsidR="002530E2" w14:paraId="4DE585FC" w14:textId="77777777">
        <w:tc>
          <w:tcPr>
            <w:tcW w:w="1905" w:type="dxa"/>
            <w:shd w:val="clear" w:color="auto" w:fill="auto"/>
            <w:tcMar>
              <w:top w:w="100" w:type="dxa"/>
              <w:left w:w="100" w:type="dxa"/>
              <w:bottom w:w="100" w:type="dxa"/>
              <w:right w:w="100" w:type="dxa"/>
            </w:tcMar>
          </w:tcPr>
          <w:p w14:paraId="2191A1DE"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6AFB8335" w14:textId="77777777" w:rsidR="002530E2" w:rsidRDefault="002530E2">
            <w:pPr>
              <w:spacing w:after="0" w:line="276" w:lineRule="auto"/>
            </w:pPr>
            <w:r>
              <w:t>McDonald's, the multinational fast food chain, faced controversy and backlash from Muslim consumers and the wider public due to the incident at one of its franchises. The incident raised concerns about employee training, adherence to anti-discrimination policies, and the company's commitment to diversity and inclusivity.</w:t>
            </w:r>
          </w:p>
        </w:tc>
      </w:tr>
      <w:tr w:rsidR="002530E2" w14:paraId="1269CB21" w14:textId="77777777">
        <w:tc>
          <w:tcPr>
            <w:tcW w:w="1905" w:type="dxa"/>
            <w:shd w:val="clear" w:color="auto" w:fill="auto"/>
            <w:tcMar>
              <w:top w:w="100" w:type="dxa"/>
              <w:left w:w="100" w:type="dxa"/>
              <w:bottom w:w="100" w:type="dxa"/>
              <w:right w:w="100" w:type="dxa"/>
            </w:tcMar>
          </w:tcPr>
          <w:p w14:paraId="7951E697"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6082B16" w14:textId="77777777" w:rsidR="002530E2" w:rsidRDefault="002530E2">
            <w:pPr>
              <w:spacing w:after="0" w:line="276" w:lineRule="auto"/>
            </w:pPr>
            <w:r>
              <w:t>The incident resulted in outrage and disappointment among Muslim consumers, who saw the refusal to serve the customer as a clear act of discrimination based on religious attire. Many Muslims expressed their frustration and called for McDonald's to take immediate action to address the incident, implement better training, and ensure religious inclusivity across all its franchises.</w:t>
            </w:r>
          </w:p>
        </w:tc>
      </w:tr>
      <w:tr w:rsidR="002530E2" w14:paraId="209DCCDF" w14:textId="77777777">
        <w:tc>
          <w:tcPr>
            <w:tcW w:w="1905" w:type="dxa"/>
            <w:shd w:val="clear" w:color="auto" w:fill="auto"/>
            <w:tcMar>
              <w:top w:w="100" w:type="dxa"/>
              <w:left w:w="100" w:type="dxa"/>
              <w:bottom w:w="100" w:type="dxa"/>
              <w:right w:w="100" w:type="dxa"/>
            </w:tcMar>
          </w:tcPr>
          <w:p w14:paraId="7FA2662F"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143717EE" w14:textId="77777777" w:rsidR="002530E2" w:rsidRDefault="002530E2">
            <w:pPr>
              <w:spacing w:after="0" w:line="276" w:lineRule="auto"/>
            </w:pPr>
            <w:r>
              <w:t>McDonald's faced significant reputational damage as a result of the incident. The company received widespread criticism for the discriminatory action taken by its employees, highlighting concerns about the lack of diversity training and accountability within the franchise. The incident sparked public discussions and demands for McDonald's to address the issue and prevent similar incidents in the future.</w:t>
            </w:r>
          </w:p>
        </w:tc>
      </w:tr>
      <w:tr w:rsidR="002530E2" w14:paraId="4CD8AE39" w14:textId="77777777">
        <w:tc>
          <w:tcPr>
            <w:tcW w:w="1905" w:type="dxa"/>
            <w:shd w:val="clear" w:color="auto" w:fill="auto"/>
            <w:tcMar>
              <w:top w:w="100" w:type="dxa"/>
              <w:left w:w="100" w:type="dxa"/>
              <w:bottom w:w="100" w:type="dxa"/>
              <w:right w:w="100" w:type="dxa"/>
            </w:tcMar>
          </w:tcPr>
          <w:p w14:paraId="60C93E75"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236DF83B" w14:textId="77777777" w:rsidR="002530E2" w:rsidRDefault="002530E2">
            <w:pPr>
              <w:spacing w:after="0" w:line="276" w:lineRule="auto"/>
            </w:pPr>
            <w:r>
              <w:t>The cross-cultural blunder occurred due to the employees' lack of awareness and understanding of religious diversity and cultural sensitivity. Refusing service to a customer based on their hijab reflects a failure to recognise and respect religious practices.</w:t>
            </w:r>
          </w:p>
        </w:tc>
      </w:tr>
      <w:tr w:rsidR="002530E2" w14:paraId="39BCC0C5" w14:textId="77777777">
        <w:tc>
          <w:tcPr>
            <w:tcW w:w="1905" w:type="dxa"/>
            <w:shd w:val="clear" w:color="auto" w:fill="auto"/>
            <w:tcMar>
              <w:top w:w="100" w:type="dxa"/>
              <w:left w:w="100" w:type="dxa"/>
              <w:bottom w:w="100" w:type="dxa"/>
              <w:right w:w="100" w:type="dxa"/>
            </w:tcMar>
          </w:tcPr>
          <w:p w14:paraId="2FA0A2CA"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4091F04E" w14:textId="77777777" w:rsidR="002530E2" w:rsidRDefault="002530E2">
            <w:pPr>
              <w:spacing w:after="0" w:line="276" w:lineRule="auto"/>
            </w:pPr>
            <w:r>
              <w:t>Following the incident, McDonald's issued a public apology to the affected customer and took immediate steps to investigate the matter internally. The company reaffirmed its commitment to diversity and inclusivity, vowing to enhance employee training programmes to prevent religious discrimination and ensure a welcoming environment for all customers.</w:t>
            </w:r>
          </w:p>
        </w:tc>
      </w:tr>
      <w:tr w:rsidR="002530E2" w14:paraId="448A5C6E" w14:textId="77777777">
        <w:tc>
          <w:tcPr>
            <w:tcW w:w="1905" w:type="dxa"/>
            <w:shd w:val="clear" w:color="auto" w:fill="auto"/>
            <w:tcMar>
              <w:top w:w="100" w:type="dxa"/>
              <w:left w:w="100" w:type="dxa"/>
              <w:bottom w:w="100" w:type="dxa"/>
              <w:right w:w="100" w:type="dxa"/>
            </w:tcMar>
          </w:tcPr>
          <w:p w14:paraId="193C16A4"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313D5996" w14:textId="77777777" w:rsidR="002530E2" w:rsidRDefault="002530E2">
            <w:pPr>
              <w:spacing w:after="0" w:line="276" w:lineRule="auto"/>
            </w:pPr>
            <w:r>
              <w:t>To prevent similar incidents, McDonald's should reinforce its policies against discrimination and intolerance, specifically emphasising the importance of religious inclusivity. Ongoing training programmes should focus on cultural sensitivity, religious awareness, and promoting a respectful work environment.</w:t>
            </w:r>
          </w:p>
          <w:p w14:paraId="19A29853" w14:textId="77777777" w:rsidR="002530E2" w:rsidRDefault="002530E2">
            <w:pPr>
              <w:spacing w:after="0" w:line="276" w:lineRule="auto"/>
            </w:pPr>
          </w:p>
          <w:p w14:paraId="0DBA70E9" w14:textId="77777777" w:rsidR="002530E2" w:rsidRDefault="002530E2">
            <w:pPr>
              <w:spacing w:after="0" w:line="276" w:lineRule="auto"/>
            </w:pPr>
            <w:r>
              <w:t>McDonald's should establish clear channels for reporting incidents of discrimination and ensure that employees receive proper guidance on handling diverse customer needs. Regular evaluations, feedback mechanisms, and robust accountability measures will help prevent future instances of religious discrimination within the franchise.</w:t>
            </w:r>
          </w:p>
        </w:tc>
      </w:tr>
      <w:tr w:rsidR="002530E2" w14:paraId="0765D0F0" w14:textId="77777777">
        <w:tc>
          <w:tcPr>
            <w:tcW w:w="1905" w:type="dxa"/>
            <w:shd w:val="clear" w:color="auto" w:fill="auto"/>
            <w:tcMar>
              <w:top w:w="100" w:type="dxa"/>
              <w:left w:w="100" w:type="dxa"/>
              <w:bottom w:w="100" w:type="dxa"/>
              <w:right w:w="100" w:type="dxa"/>
            </w:tcMar>
          </w:tcPr>
          <w:p w14:paraId="0B08D43C"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6CC2C754" w14:textId="77777777" w:rsidR="002530E2" w:rsidRDefault="002530E2">
            <w:pPr>
              <w:spacing w:after="0" w:line="276" w:lineRule="auto"/>
            </w:pPr>
            <w:r>
              <w:t>McDonald's faced controversy in 2018 when a franchise in Birmingham, UK, refused to serve a customer wearing a hijab. The incident sparked backlash from Muslim consumers, who saw it as a clear case of discrimination. Calls for improved employee training and accountability emerged, urging McDonald's to take proactive measures to prevent religious discrimination within its franchises.</w:t>
            </w:r>
          </w:p>
        </w:tc>
      </w:tr>
    </w:tbl>
    <w:p w14:paraId="680D3E8F" w14:textId="77777777" w:rsidR="002530E2" w:rsidRDefault="002530E2"/>
    <w:p w14:paraId="5F25D6B4" w14:textId="77777777" w:rsidR="002530E2" w:rsidRDefault="002530E2">
      <w:pPr>
        <w:pStyle w:val="Heading2"/>
      </w:pPr>
      <w:bookmarkStart w:id="457" w:name="_stgmm56c92gw" w:colFirst="0" w:colLast="0"/>
      <w:bookmarkEnd w:id="457"/>
      <w:r>
        <w:t>IR 038 (2018: Eichbaum, Saudi Arabia)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80"/>
        <w:gridCol w:w="5550"/>
      </w:tblGrid>
      <w:tr w:rsidR="002530E2" w14:paraId="58A758AC" w14:textId="77777777">
        <w:tc>
          <w:tcPr>
            <w:tcW w:w="3480" w:type="dxa"/>
            <w:shd w:val="clear" w:color="auto" w:fill="auto"/>
            <w:tcMar>
              <w:top w:w="100" w:type="dxa"/>
              <w:left w:w="100" w:type="dxa"/>
              <w:bottom w:w="100" w:type="dxa"/>
              <w:right w:w="100" w:type="dxa"/>
            </w:tcMar>
          </w:tcPr>
          <w:p w14:paraId="49AAA0AA" w14:textId="77777777" w:rsidR="002530E2" w:rsidRDefault="002530E2">
            <w:pPr>
              <w:spacing w:after="0" w:line="276" w:lineRule="auto"/>
            </w:pPr>
            <w:r>
              <w:t>IREs / INCIDENT REPORT ELEMENTS</w:t>
            </w:r>
          </w:p>
        </w:tc>
        <w:tc>
          <w:tcPr>
            <w:tcW w:w="5550" w:type="dxa"/>
            <w:shd w:val="clear" w:color="auto" w:fill="auto"/>
            <w:tcMar>
              <w:top w:w="100" w:type="dxa"/>
              <w:left w:w="100" w:type="dxa"/>
              <w:bottom w:w="100" w:type="dxa"/>
              <w:right w:w="100" w:type="dxa"/>
            </w:tcMar>
          </w:tcPr>
          <w:p w14:paraId="31E27B77" w14:textId="77777777" w:rsidR="002530E2" w:rsidRDefault="002530E2">
            <w:pPr>
              <w:spacing w:after="0" w:line="276" w:lineRule="auto"/>
            </w:pPr>
            <w:r>
              <w:t>Incident Report Title: “German Brewery Eichbaum Angers Saudi Arabia by Using its Flag on Bottle Cap”</w:t>
            </w:r>
          </w:p>
        </w:tc>
      </w:tr>
      <w:tr w:rsidR="002530E2" w14:paraId="464F935A" w14:textId="77777777">
        <w:tc>
          <w:tcPr>
            <w:tcW w:w="3480" w:type="dxa"/>
            <w:shd w:val="clear" w:color="auto" w:fill="auto"/>
            <w:tcMar>
              <w:top w:w="100" w:type="dxa"/>
              <w:left w:w="100" w:type="dxa"/>
              <w:bottom w:w="100" w:type="dxa"/>
              <w:right w:w="100" w:type="dxa"/>
            </w:tcMar>
          </w:tcPr>
          <w:p w14:paraId="2701B386" w14:textId="77777777" w:rsidR="002530E2" w:rsidRDefault="002530E2">
            <w:pPr>
              <w:spacing w:after="0" w:line="276" w:lineRule="auto"/>
            </w:pPr>
            <w:r>
              <w:lastRenderedPageBreak/>
              <w:t>IRE 1: INTRODUCTION</w:t>
            </w:r>
          </w:p>
        </w:tc>
        <w:tc>
          <w:tcPr>
            <w:tcW w:w="5550" w:type="dxa"/>
            <w:shd w:val="clear" w:color="auto" w:fill="auto"/>
            <w:tcMar>
              <w:top w:w="100" w:type="dxa"/>
              <w:left w:w="100" w:type="dxa"/>
              <w:bottom w:w="100" w:type="dxa"/>
              <w:right w:w="100" w:type="dxa"/>
            </w:tcMar>
          </w:tcPr>
          <w:p w14:paraId="0750EAE2" w14:textId="77777777" w:rsidR="002530E2" w:rsidRDefault="002530E2">
            <w:pPr>
              <w:spacing w:after="0" w:line="276" w:lineRule="auto"/>
            </w:pPr>
            <w:r>
              <w:t>The incident report addresses the controversy faced by the German brewery Eichbaum in 2018 when it printed the flag of Saudi Arabia, which featured the Islamic statement of faith, on its beer bottle caps.</w:t>
            </w:r>
          </w:p>
        </w:tc>
      </w:tr>
      <w:tr w:rsidR="002530E2" w14:paraId="6A1DCD08" w14:textId="77777777">
        <w:tc>
          <w:tcPr>
            <w:tcW w:w="3480" w:type="dxa"/>
            <w:shd w:val="clear" w:color="auto" w:fill="auto"/>
            <w:tcMar>
              <w:top w:w="100" w:type="dxa"/>
              <w:left w:w="100" w:type="dxa"/>
              <w:bottom w:w="100" w:type="dxa"/>
              <w:right w:w="100" w:type="dxa"/>
            </w:tcMar>
          </w:tcPr>
          <w:p w14:paraId="75D4C6D3" w14:textId="77777777" w:rsidR="002530E2" w:rsidRDefault="002530E2">
            <w:pPr>
              <w:spacing w:after="0" w:line="276" w:lineRule="auto"/>
            </w:pPr>
            <w:r>
              <w:t>IRE 2: INCIDENT BACKGROUND — WHAT HAPPENED?</w:t>
            </w:r>
          </w:p>
        </w:tc>
        <w:tc>
          <w:tcPr>
            <w:tcW w:w="5550" w:type="dxa"/>
            <w:shd w:val="clear" w:color="auto" w:fill="auto"/>
            <w:tcMar>
              <w:top w:w="100" w:type="dxa"/>
              <w:left w:w="100" w:type="dxa"/>
              <w:bottom w:w="100" w:type="dxa"/>
              <w:right w:w="100" w:type="dxa"/>
            </w:tcMar>
          </w:tcPr>
          <w:p w14:paraId="7EDC7267" w14:textId="77777777" w:rsidR="002530E2" w:rsidRDefault="002530E2">
            <w:pPr>
              <w:spacing w:after="0" w:line="276" w:lineRule="auto"/>
            </w:pPr>
            <w:r>
              <w:t>Eichbaum launched a marketing campaign for the FIFA World Cup in Russia, where beer bottle caps were printed with flags of 32 participating countries. The flag of Saudi Arabia, with the Islamic statement of faith, was included on the bottle caps.</w:t>
            </w:r>
          </w:p>
        </w:tc>
      </w:tr>
      <w:tr w:rsidR="002530E2" w14:paraId="51057B88" w14:textId="77777777">
        <w:tc>
          <w:tcPr>
            <w:tcW w:w="3480" w:type="dxa"/>
            <w:shd w:val="clear" w:color="auto" w:fill="auto"/>
            <w:tcMar>
              <w:top w:w="100" w:type="dxa"/>
              <w:left w:w="100" w:type="dxa"/>
              <w:bottom w:w="100" w:type="dxa"/>
              <w:right w:w="100" w:type="dxa"/>
            </w:tcMar>
          </w:tcPr>
          <w:p w14:paraId="144F903D" w14:textId="77777777" w:rsidR="002530E2" w:rsidRDefault="002530E2">
            <w:pPr>
              <w:spacing w:after="0" w:line="276" w:lineRule="auto"/>
            </w:pPr>
            <w:r>
              <w:t>IRE 3: TIME — WHEN DID THE BLUNDER OCCUR?</w:t>
            </w:r>
          </w:p>
        </w:tc>
        <w:tc>
          <w:tcPr>
            <w:tcW w:w="5550" w:type="dxa"/>
            <w:shd w:val="clear" w:color="auto" w:fill="auto"/>
            <w:tcMar>
              <w:top w:w="100" w:type="dxa"/>
              <w:left w:w="100" w:type="dxa"/>
              <w:bottom w:w="100" w:type="dxa"/>
              <w:right w:w="100" w:type="dxa"/>
            </w:tcMar>
          </w:tcPr>
          <w:p w14:paraId="4B5D2FF4" w14:textId="77777777" w:rsidR="002530E2" w:rsidRDefault="002530E2">
            <w:pPr>
              <w:spacing w:after="0" w:line="276" w:lineRule="auto"/>
            </w:pPr>
            <w:r>
              <w:t>The blunder occurred in 2018.</w:t>
            </w:r>
          </w:p>
        </w:tc>
      </w:tr>
      <w:tr w:rsidR="002530E2" w14:paraId="0FF1A1BC" w14:textId="77777777">
        <w:tc>
          <w:tcPr>
            <w:tcW w:w="3480" w:type="dxa"/>
            <w:shd w:val="clear" w:color="auto" w:fill="auto"/>
            <w:tcMar>
              <w:top w:w="100" w:type="dxa"/>
              <w:left w:w="100" w:type="dxa"/>
              <w:bottom w:w="100" w:type="dxa"/>
              <w:right w:w="100" w:type="dxa"/>
            </w:tcMar>
          </w:tcPr>
          <w:p w14:paraId="5A60ECB7" w14:textId="77777777" w:rsidR="002530E2" w:rsidRDefault="002530E2">
            <w:pPr>
              <w:spacing w:after="0" w:line="276" w:lineRule="auto"/>
            </w:pPr>
            <w:r>
              <w:t>IRE 4: PLACE — WHERE DID THE BLUNDER TAKE PLACE?</w:t>
            </w:r>
          </w:p>
        </w:tc>
        <w:tc>
          <w:tcPr>
            <w:tcW w:w="5550" w:type="dxa"/>
            <w:shd w:val="clear" w:color="auto" w:fill="auto"/>
            <w:tcMar>
              <w:top w:w="100" w:type="dxa"/>
              <w:left w:w="100" w:type="dxa"/>
              <w:bottom w:w="100" w:type="dxa"/>
              <w:right w:w="100" w:type="dxa"/>
            </w:tcMar>
          </w:tcPr>
          <w:p w14:paraId="5366204A" w14:textId="77777777" w:rsidR="002530E2" w:rsidRDefault="002530E2">
            <w:pPr>
              <w:spacing w:after="0" w:line="276" w:lineRule="auto"/>
            </w:pPr>
            <w:r>
              <w:t>The blunder took place in Saudi Arabia.</w:t>
            </w:r>
          </w:p>
        </w:tc>
      </w:tr>
      <w:tr w:rsidR="002530E2" w14:paraId="401BB53E" w14:textId="77777777">
        <w:tc>
          <w:tcPr>
            <w:tcW w:w="3480" w:type="dxa"/>
            <w:shd w:val="clear" w:color="auto" w:fill="auto"/>
            <w:tcMar>
              <w:top w:w="100" w:type="dxa"/>
              <w:left w:w="100" w:type="dxa"/>
              <w:bottom w:w="100" w:type="dxa"/>
              <w:right w:w="100" w:type="dxa"/>
            </w:tcMar>
          </w:tcPr>
          <w:p w14:paraId="43D65D86" w14:textId="77777777" w:rsidR="002530E2" w:rsidRDefault="002530E2">
            <w:pPr>
              <w:spacing w:after="0" w:line="276" w:lineRule="auto"/>
            </w:pPr>
            <w:r>
              <w:t>IRE 5: VICTIM GROUP — WHO WAS FIRST AFFECTED?</w:t>
            </w:r>
          </w:p>
        </w:tc>
        <w:tc>
          <w:tcPr>
            <w:tcW w:w="5550" w:type="dxa"/>
            <w:shd w:val="clear" w:color="auto" w:fill="auto"/>
            <w:tcMar>
              <w:top w:w="100" w:type="dxa"/>
              <w:left w:w="100" w:type="dxa"/>
              <w:bottom w:w="100" w:type="dxa"/>
              <w:right w:w="100" w:type="dxa"/>
            </w:tcMar>
          </w:tcPr>
          <w:p w14:paraId="11CEA850" w14:textId="77777777" w:rsidR="002530E2" w:rsidRDefault="002530E2">
            <w:pPr>
              <w:spacing w:after="0" w:line="276" w:lineRule="auto"/>
            </w:pPr>
            <w:r>
              <w:t>Muslims, particularly those within Saudi Arabia, were the first to be affected by the blunder.</w:t>
            </w:r>
          </w:p>
        </w:tc>
      </w:tr>
      <w:tr w:rsidR="002530E2" w14:paraId="3F83DD60" w14:textId="77777777">
        <w:tc>
          <w:tcPr>
            <w:tcW w:w="3480" w:type="dxa"/>
            <w:shd w:val="clear" w:color="auto" w:fill="auto"/>
            <w:tcMar>
              <w:top w:w="100" w:type="dxa"/>
              <w:left w:w="100" w:type="dxa"/>
              <w:bottom w:w="100" w:type="dxa"/>
              <w:right w:w="100" w:type="dxa"/>
            </w:tcMar>
          </w:tcPr>
          <w:p w14:paraId="0204DD80" w14:textId="77777777" w:rsidR="002530E2" w:rsidRDefault="002530E2">
            <w:pPr>
              <w:spacing w:after="0" w:line="276" w:lineRule="auto"/>
            </w:pPr>
            <w:r>
              <w:t>IRE 6: BLUNDERER — WHO MADE THE BLUNDER?</w:t>
            </w:r>
          </w:p>
        </w:tc>
        <w:tc>
          <w:tcPr>
            <w:tcW w:w="5550" w:type="dxa"/>
            <w:shd w:val="clear" w:color="auto" w:fill="auto"/>
            <w:tcMar>
              <w:top w:w="100" w:type="dxa"/>
              <w:left w:w="100" w:type="dxa"/>
              <w:bottom w:w="100" w:type="dxa"/>
              <w:right w:w="100" w:type="dxa"/>
            </w:tcMar>
          </w:tcPr>
          <w:p w14:paraId="0FB2200A" w14:textId="77777777" w:rsidR="002530E2" w:rsidRDefault="002530E2">
            <w:pPr>
              <w:spacing w:after="0" w:line="276" w:lineRule="auto"/>
            </w:pPr>
            <w:r>
              <w:t>Eichbaum, the German beer company, made the blunder.</w:t>
            </w:r>
          </w:p>
        </w:tc>
      </w:tr>
      <w:tr w:rsidR="002530E2" w14:paraId="630A235C" w14:textId="77777777">
        <w:tc>
          <w:tcPr>
            <w:tcW w:w="3480" w:type="dxa"/>
            <w:shd w:val="clear" w:color="auto" w:fill="auto"/>
            <w:tcMar>
              <w:top w:w="100" w:type="dxa"/>
              <w:left w:w="100" w:type="dxa"/>
              <w:bottom w:w="100" w:type="dxa"/>
              <w:right w:w="100" w:type="dxa"/>
            </w:tcMar>
          </w:tcPr>
          <w:p w14:paraId="40D09021" w14:textId="77777777" w:rsidR="002530E2" w:rsidRDefault="002530E2">
            <w:pPr>
              <w:spacing w:after="0" w:line="276" w:lineRule="auto"/>
            </w:pPr>
            <w:r>
              <w:t>IRE 7: VICTIMISATION — WHAT WERE THE CONSEQUENCES FOR MUSLIMS?</w:t>
            </w:r>
          </w:p>
        </w:tc>
        <w:tc>
          <w:tcPr>
            <w:tcW w:w="5550" w:type="dxa"/>
            <w:shd w:val="clear" w:color="auto" w:fill="auto"/>
            <w:tcMar>
              <w:top w:w="100" w:type="dxa"/>
              <w:left w:w="100" w:type="dxa"/>
              <w:bottom w:w="100" w:type="dxa"/>
              <w:right w:w="100" w:type="dxa"/>
            </w:tcMar>
          </w:tcPr>
          <w:p w14:paraId="1C361D2E" w14:textId="77777777" w:rsidR="002530E2" w:rsidRDefault="002530E2">
            <w:pPr>
              <w:spacing w:after="0" w:line="276" w:lineRule="auto"/>
            </w:pPr>
            <w:r>
              <w:t>The presence of the Saudi Arabian flag with the Islamic statement of faith on beer bottle caps was offensive and disrespectful to Muslims. It violated their religious sensitivities and lacked respect for their beliefs.</w:t>
            </w:r>
          </w:p>
        </w:tc>
      </w:tr>
      <w:tr w:rsidR="002530E2" w14:paraId="2982776B" w14:textId="77777777">
        <w:tc>
          <w:tcPr>
            <w:tcW w:w="3480" w:type="dxa"/>
            <w:shd w:val="clear" w:color="auto" w:fill="auto"/>
            <w:tcMar>
              <w:top w:w="100" w:type="dxa"/>
              <w:left w:w="100" w:type="dxa"/>
              <w:bottom w:w="100" w:type="dxa"/>
              <w:right w:w="100" w:type="dxa"/>
            </w:tcMar>
          </w:tcPr>
          <w:p w14:paraId="16FB5C5D" w14:textId="77777777" w:rsidR="002530E2" w:rsidRDefault="002530E2">
            <w:pPr>
              <w:spacing w:after="0" w:line="276" w:lineRule="auto"/>
            </w:pPr>
            <w:r>
              <w:t>IRE 8: RAMIFICATIONS — HOW WAS THE MNC IMPACTED?</w:t>
            </w:r>
          </w:p>
        </w:tc>
        <w:tc>
          <w:tcPr>
            <w:tcW w:w="5550" w:type="dxa"/>
            <w:shd w:val="clear" w:color="auto" w:fill="auto"/>
            <w:tcMar>
              <w:top w:w="100" w:type="dxa"/>
              <w:left w:w="100" w:type="dxa"/>
              <w:bottom w:w="100" w:type="dxa"/>
              <w:right w:w="100" w:type="dxa"/>
            </w:tcMar>
          </w:tcPr>
          <w:p w14:paraId="44130A64" w14:textId="77777777" w:rsidR="002530E2" w:rsidRDefault="002530E2">
            <w:pPr>
              <w:spacing w:after="0" w:line="276" w:lineRule="auto"/>
            </w:pPr>
            <w:r>
              <w:t>Eichbaum faced widespread condemnation and backlash on social media platforms. The incident had negative publicity and damaged the company's reputation.</w:t>
            </w:r>
          </w:p>
        </w:tc>
      </w:tr>
      <w:tr w:rsidR="002530E2" w14:paraId="02110A6B" w14:textId="77777777">
        <w:tc>
          <w:tcPr>
            <w:tcW w:w="3480" w:type="dxa"/>
            <w:shd w:val="clear" w:color="auto" w:fill="auto"/>
            <w:tcMar>
              <w:top w:w="100" w:type="dxa"/>
              <w:left w:w="100" w:type="dxa"/>
              <w:bottom w:w="100" w:type="dxa"/>
              <w:right w:w="100" w:type="dxa"/>
            </w:tcMar>
          </w:tcPr>
          <w:p w14:paraId="0D2C1C97" w14:textId="77777777" w:rsidR="002530E2" w:rsidRDefault="002530E2">
            <w:pPr>
              <w:spacing w:after="0" w:line="276" w:lineRule="auto"/>
            </w:pPr>
            <w:r>
              <w:t xml:space="preserve">IRE 9: REASONS — WHY DID THE BLUNDER HAPPEN? </w:t>
            </w:r>
          </w:p>
        </w:tc>
        <w:tc>
          <w:tcPr>
            <w:tcW w:w="5550" w:type="dxa"/>
            <w:shd w:val="clear" w:color="auto" w:fill="auto"/>
            <w:tcMar>
              <w:top w:w="100" w:type="dxa"/>
              <w:left w:w="100" w:type="dxa"/>
              <w:bottom w:w="100" w:type="dxa"/>
              <w:right w:w="100" w:type="dxa"/>
            </w:tcMar>
          </w:tcPr>
          <w:p w14:paraId="705182BA" w14:textId="77777777" w:rsidR="002530E2" w:rsidRDefault="002530E2">
            <w:pPr>
              <w:spacing w:after="0" w:line="276" w:lineRule="auto"/>
            </w:pPr>
            <w:r>
              <w:t>The blunder occurred due to cultural and religious insensitivity. Eichbaum did not consider the offense caused by using religious symbols and texts in a context associated with alcohol consumption.</w:t>
            </w:r>
          </w:p>
        </w:tc>
      </w:tr>
      <w:tr w:rsidR="002530E2" w14:paraId="7B481DAE" w14:textId="77777777">
        <w:tc>
          <w:tcPr>
            <w:tcW w:w="3480" w:type="dxa"/>
            <w:shd w:val="clear" w:color="auto" w:fill="auto"/>
            <w:tcMar>
              <w:top w:w="100" w:type="dxa"/>
              <w:left w:w="100" w:type="dxa"/>
              <w:bottom w:w="100" w:type="dxa"/>
              <w:right w:w="100" w:type="dxa"/>
            </w:tcMar>
          </w:tcPr>
          <w:p w14:paraId="62C94D43" w14:textId="77777777" w:rsidR="002530E2" w:rsidRDefault="002530E2">
            <w:pPr>
              <w:spacing w:after="0" w:line="276" w:lineRule="auto"/>
            </w:pPr>
            <w:r>
              <w:t>IRE 10: DAMAGE CONTROL — HOW DID THE MNC ADDRESS THE ISSUES?</w:t>
            </w:r>
          </w:p>
        </w:tc>
        <w:tc>
          <w:tcPr>
            <w:tcW w:w="5550" w:type="dxa"/>
            <w:shd w:val="clear" w:color="auto" w:fill="auto"/>
            <w:tcMar>
              <w:top w:w="100" w:type="dxa"/>
              <w:left w:w="100" w:type="dxa"/>
              <w:bottom w:w="100" w:type="dxa"/>
              <w:right w:w="100" w:type="dxa"/>
            </w:tcMar>
          </w:tcPr>
          <w:p w14:paraId="5FA5EB7E" w14:textId="77777777" w:rsidR="002530E2" w:rsidRDefault="002530E2">
            <w:pPr>
              <w:spacing w:after="0" w:line="276" w:lineRule="auto"/>
            </w:pPr>
            <w:r>
              <w:t>Eichbaum issued a public apology, halted the marketing campaign, and expressed its commitment to respecting all cultures and religions. The company took corrective action to address the concerns raised by the Muslim community.</w:t>
            </w:r>
          </w:p>
        </w:tc>
      </w:tr>
      <w:tr w:rsidR="002530E2" w14:paraId="660320D9" w14:textId="77777777">
        <w:tc>
          <w:tcPr>
            <w:tcW w:w="3480" w:type="dxa"/>
            <w:shd w:val="clear" w:color="auto" w:fill="auto"/>
            <w:tcMar>
              <w:top w:w="100" w:type="dxa"/>
              <w:left w:w="100" w:type="dxa"/>
              <w:bottom w:w="100" w:type="dxa"/>
              <w:right w:w="100" w:type="dxa"/>
            </w:tcMar>
          </w:tcPr>
          <w:p w14:paraId="18A7A568" w14:textId="77777777" w:rsidR="002530E2" w:rsidRDefault="002530E2">
            <w:pPr>
              <w:spacing w:after="0" w:line="276" w:lineRule="auto"/>
            </w:pPr>
            <w:r>
              <w:t>IRE 11: FUTURE PREVENTION STRATEGIES — WHAT ARE THE LESSONS LEARNED?</w:t>
            </w:r>
          </w:p>
        </w:tc>
        <w:tc>
          <w:tcPr>
            <w:tcW w:w="5550" w:type="dxa"/>
            <w:shd w:val="clear" w:color="auto" w:fill="auto"/>
            <w:tcMar>
              <w:top w:w="100" w:type="dxa"/>
              <w:left w:w="100" w:type="dxa"/>
              <w:bottom w:w="100" w:type="dxa"/>
              <w:right w:w="100" w:type="dxa"/>
            </w:tcMar>
          </w:tcPr>
          <w:p w14:paraId="728150BC" w14:textId="77777777" w:rsidR="002530E2" w:rsidRDefault="002530E2">
            <w:pPr>
              <w:spacing w:after="0" w:line="276" w:lineRule="auto"/>
            </w:pPr>
            <w:r>
              <w:t xml:space="preserve">The incident highlighted the importance of cultural and religious sensitivity in marketing. MNCs should avoid using religious symbols or texts in contexts that may be </w:t>
            </w:r>
            <w:r>
              <w:lastRenderedPageBreak/>
              <w:t>considered disrespectful or offensive. Thorough research, consulting experts, and implementing approval processes can prevent similar blunders.</w:t>
            </w:r>
          </w:p>
        </w:tc>
      </w:tr>
      <w:tr w:rsidR="002530E2" w14:paraId="548EA30F" w14:textId="77777777">
        <w:tc>
          <w:tcPr>
            <w:tcW w:w="3480" w:type="dxa"/>
            <w:shd w:val="clear" w:color="auto" w:fill="auto"/>
            <w:tcMar>
              <w:top w:w="100" w:type="dxa"/>
              <w:left w:w="100" w:type="dxa"/>
              <w:bottom w:w="100" w:type="dxa"/>
              <w:right w:w="100" w:type="dxa"/>
            </w:tcMar>
          </w:tcPr>
          <w:p w14:paraId="21101C0C" w14:textId="77777777" w:rsidR="002530E2" w:rsidRDefault="002530E2">
            <w:pPr>
              <w:spacing w:after="0" w:line="276" w:lineRule="auto"/>
            </w:pPr>
            <w:r>
              <w:lastRenderedPageBreak/>
              <w:t>IRE 12: CASE SUMMARY</w:t>
            </w:r>
          </w:p>
        </w:tc>
        <w:tc>
          <w:tcPr>
            <w:tcW w:w="5550" w:type="dxa"/>
            <w:shd w:val="clear" w:color="auto" w:fill="auto"/>
            <w:tcMar>
              <w:top w:w="100" w:type="dxa"/>
              <w:left w:w="100" w:type="dxa"/>
              <w:bottom w:w="100" w:type="dxa"/>
              <w:right w:w="100" w:type="dxa"/>
            </w:tcMar>
          </w:tcPr>
          <w:p w14:paraId="0210AB77" w14:textId="77777777" w:rsidR="002530E2" w:rsidRDefault="002530E2">
            <w:pPr>
              <w:spacing w:after="0" w:line="276" w:lineRule="auto"/>
            </w:pPr>
            <w:r>
              <w:t>In summary, Eichbaum's printing of the Saudi Arabian flag, featuring the Islamic statement of faith, on beer bottle caps caused offense to Muslims. The company responded with an apology, discontinued the campaign, and recognized the need for cultural sensitivity in marketing practices.</w:t>
            </w:r>
          </w:p>
        </w:tc>
      </w:tr>
    </w:tbl>
    <w:p w14:paraId="7F126471" w14:textId="77777777" w:rsidR="002530E2" w:rsidRDefault="002530E2"/>
    <w:p w14:paraId="7FA44CC4" w14:textId="77777777" w:rsidR="002530E2" w:rsidRDefault="002530E2">
      <w:pPr>
        <w:pStyle w:val="Heading2"/>
      </w:pPr>
      <w:bookmarkStart w:id="458" w:name="_91l26krlzjsx" w:colFirst="0" w:colLast="0"/>
      <w:bookmarkEnd w:id="458"/>
      <w:r>
        <w:t>IR 039 (2018: Tesco, UK)</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2EBD146" w14:textId="77777777">
        <w:tc>
          <w:tcPr>
            <w:tcW w:w="1905" w:type="dxa"/>
            <w:shd w:val="clear" w:color="auto" w:fill="auto"/>
            <w:tcMar>
              <w:top w:w="100" w:type="dxa"/>
              <w:left w:w="100" w:type="dxa"/>
              <w:bottom w:w="100" w:type="dxa"/>
              <w:right w:w="100" w:type="dxa"/>
            </w:tcMar>
          </w:tcPr>
          <w:p w14:paraId="5D21F602"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AE79FD6" w14:textId="77777777" w:rsidR="002530E2" w:rsidRDefault="002530E2">
            <w:pPr>
              <w:spacing w:after="0" w:line="276" w:lineRule="auto"/>
            </w:pPr>
            <w:r>
              <w:t>Incident Report Title: “Tesco "Halal" Christmas Turkey Controversy”</w:t>
            </w:r>
          </w:p>
        </w:tc>
      </w:tr>
      <w:tr w:rsidR="002530E2" w14:paraId="598CEE2C" w14:textId="77777777">
        <w:tc>
          <w:tcPr>
            <w:tcW w:w="1905" w:type="dxa"/>
            <w:shd w:val="clear" w:color="auto" w:fill="auto"/>
            <w:tcMar>
              <w:top w:w="100" w:type="dxa"/>
              <w:left w:w="100" w:type="dxa"/>
              <w:bottom w:w="100" w:type="dxa"/>
              <w:right w:w="100" w:type="dxa"/>
            </w:tcMar>
          </w:tcPr>
          <w:p w14:paraId="4BC84013"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C4EE3FB" w14:textId="77777777" w:rsidR="002530E2" w:rsidRDefault="002530E2">
            <w:pPr>
              <w:spacing w:after="0" w:line="276" w:lineRule="auto"/>
            </w:pPr>
            <w:r>
              <w:t>This case addresses the controversy faced by British supermarket chain Tesco in 2018 when it faced backlash for selling a "halal" Christmas turkey that was not certified by a recognised halal authority. Muslim consumers accused the company of exploiting their religious dietary laws for commercial gain and called for a boycott.</w:t>
            </w:r>
          </w:p>
        </w:tc>
      </w:tr>
      <w:tr w:rsidR="002530E2" w14:paraId="2D6D3220" w14:textId="77777777">
        <w:tc>
          <w:tcPr>
            <w:tcW w:w="1905" w:type="dxa"/>
            <w:shd w:val="clear" w:color="auto" w:fill="auto"/>
            <w:tcMar>
              <w:top w:w="100" w:type="dxa"/>
              <w:left w:w="100" w:type="dxa"/>
              <w:bottom w:w="100" w:type="dxa"/>
              <w:right w:w="100" w:type="dxa"/>
            </w:tcMar>
          </w:tcPr>
          <w:p w14:paraId="0E99ED99"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23CB15E" w14:textId="77777777" w:rsidR="002530E2" w:rsidRDefault="002530E2">
            <w:pPr>
              <w:spacing w:after="0" w:line="276" w:lineRule="auto"/>
            </w:pPr>
            <w:r>
              <w:t>In 2018, Tesco faced criticism for selling a "halal" Christmas turkey that was not certified by a recognised halal authority. Muslim consumers raised concerns about the lack of proper halal certification, which is essential for ensuring that the meat is prepared in accordance with Islamic dietary laws.</w:t>
            </w:r>
          </w:p>
        </w:tc>
      </w:tr>
      <w:tr w:rsidR="002530E2" w14:paraId="5342A724" w14:textId="77777777">
        <w:tc>
          <w:tcPr>
            <w:tcW w:w="1905" w:type="dxa"/>
            <w:shd w:val="clear" w:color="auto" w:fill="auto"/>
            <w:tcMar>
              <w:top w:w="100" w:type="dxa"/>
              <w:left w:w="100" w:type="dxa"/>
              <w:bottom w:w="100" w:type="dxa"/>
              <w:right w:w="100" w:type="dxa"/>
            </w:tcMar>
          </w:tcPr>
          <w:p w14:paraId="5128BA55"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2813E60" w14:textId="77777777" w:rsidR="002530E2" w:rsidRDefault="002530E2">
            <w:pPr>
              <w:spacing w:after="0" w:line="276" w:lineRule="auto"/>
            </w:pPr>
            <w:r>
              <w:t>The Tesco "Halal" Christmas Turkey controversy occurred in 2018. The specific date or duration of the incident is not provided in the information given.</w:t>
            </w:r>
          </w:p>
        </w:tc>
      </w:tr>
      <w:tr w:rsidR="002530E2" w14:paraId="71BBB68E" w14:textId="77777777">
        <w:tc>
          <w:tcPr>
            <w:tcW w:w="1905" w:type="dxa"/>
            <w:shd w:val="clear" w:color="auto" w:fill="auto"/>
            <w:tcMar>
              <w:top w:w="100" w:type="dxa"/>
              <w:left w:w="100" w:type="dxa"/>
              <w:bottom w:w="100" w:type="dxa"/>
              <w:right w:w="100" w:type="dxa"/>
            </w:tcMar>
          </w:tcPr>
          <w:p w14:paraId="3F12E7BF"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535151CB" w14:textId="77777777" w:rsidR="002530E2" w:rsidRDefault="002530E2">
            <w:pPr>
              <w:spacing w:after="0" w:line="276" w:lineRule="auto"/>
            </w:pPr>
            <w:r>
              <w:t>The controversy primarily took place in the United Kingdom, where Tesco is based and operates a large number of supermarkets.</w:t>
            </w:r>
          </w:p>
        </w:tc>
      </w:tr>
      <w:tr w:rsidR="002530E2" w14:paraId="1ACE6326" w14:textId="77777777">
        <w:tc>
          <w:tcPr>
            <w:tcW w:w="1905" w:type="dxa"/>
            <w:shd w:val="clear" w:color="auto" w:fill="auto"/>
            <w:tcMar>
              <w:top w:w="100" w:type="dxa"/>
              <w:left w:w="100" w:type="dxa"/>
              <w:bottom w:w="100" w:type="dxa"/>
              <w:right w:w="100" w:type="dxa"/>
            </w:tcMar>
          </w:tcPr>
          <w:p w14:paraId="49574F4F"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358A6EEE" w14:textId="77777777" w:rsidR="002530E2" w:rsidRDefault="002530E2">
            <w:pPr>
              <w:spacing w:after="0" w:line="276" w:lineRule="auto"/>
            </w:pPr>
            <w:r>
              <w:t>Muslim consumers in the United Kingdom, who follow Islamic dietary laws, were directly affected by this controversy. They accused Tesco of exploiting their religious dietary laws for commercial gain and expressed concerns about the lack of proper halal certification.</w:t>
            </w:r>
          </w:p>
        </w:tc>
      </w:tr>
      <w:tr w:rsidR="002530E2" w14:paraId="1A1BF874" w14:textId="77777777">
        <w:tc>
          <w:tcPr>
            <w:tcW w:w="1905" w:type="dxa"/>
            <w:shd w:val="clear" w:color="auto" w:fill="auto"/>
            <w:tcMar>
              <w:top w:w="100" w:type="dxa"/>
              <w:left w:w="100" w:type="dxa"/>
              <w:bottom w:w="100" w:type="dxa"/>
              <w:right w:w="100" w:type="dxa"/>
            </w:tcMar>
          </w:tcPr>
          <w:p w14:paraId="7ABE759A" w14:textId="77777777" w:rsidR="002530E2" w:rsidRDefault="002530E2">
            <w:pPr>
              <w:spacing w:after="0" w:line="276" w:lineRule="auto"/>
            </w:pPr>
            <w:r>
              <w:lastRenderedPageBreak/>
              <w:t>IRE 6: BLUNDERER — WHO MADE THE BLUNDER?</w:t>
            </w:r>
          </w:p>
        </w:tc>
        <w:tc>
          <w:tcPr>
            <w:tcW w:w="7125" w:type="dxa"/>
            <w:shd w:val="clear" w:color="auto" w:fill="auto"/>
            <w:tcMar>
              <w:top w:w="100" w:type="dxa"/>
              <w:left w:w="100" w:type="dxa"/>
              <w:bottom w:w="100" w:type="dxa"/>
              <w:right w:w="100" w:type="dxa"/>
            </w:tcMar>
          </w:tcPr>
          <w:p w14:paraId="77B29C1D" w14:textId="77777777" w:rsidR="002530E2" w:rsidRDefault="002530E2">
            <w:pPr>
              <w:spacing w:after="0" w:line="276" w:lineRule="auto"/>
            </w:pPr>
            <w:r>
              <w:t>Tesco, one of the largest supermarket chains in the United Kingdom, was at the centre of the controversy. The company faced criticism for selling a "halal" Christmas turkey that was not certified by a recognised halal authority.</w:t>
            </w:r>
          </w:p>
        </w:tc>
      </w:tr>
      <w:tr w:rsidR="002530E2" w14:paraId="519703EE" w14:textId="77777777">
        <w:tc>
          <w:tcPr>
            <w:tcW w:w="1905" w:type="dxa"/>
            <w:shd w:val="clear" w:color="auto" w:fill="auto"/>
            <w:tcMar>
              <w:top w:w="100" w:type="dxa"/>
              <w:left w:w="100" w:type="dxa"/>
              <w:bottom w:w="100" w:type="dxa"/>
              <w:right w:w="100" w:type="dxa"/>
            </w:tcMar>
          </w:tcPr>
          <w:p w14:paraId="3E172D9E"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1A3DD813" w14:textId="77777777" w:rsidR="002530E2" w:rsidRDefault="002530E2">
            <w:pPr>
              <w:spacing w:after="0" w:line="276" w:lineRule="auto"/>
            </w:pPr>
            <w:r>
              <w:t>Muslim consumers accused Tesco of exploiting their religious dietary laws for commercial gain. They argued that by labelling the turkey as "Halal" without proper certification, the company was misleading customers and taking advantage of their religious dietary requirements.</w:t>
            </w:r>
          </w:p>
        </w:tc>
      </w:tr>
      <w:tr w:rsidR="002530E2" w14:paraId="7DB53846" w14:textId="77777777">
        <w:tc>
          <w:tcPr>
            <w:tcW w:w="1905" w:type="dxa"/>
            <w:shd w:val="clear" w:color="auto" w:fill="auto"/>
            <w:tcMar>
              <w:top w:w="100" w:type="dxa"/>
              <w:left w:w="100" w:type="dxa"/>
              <w:bottom w:w="100" w:type="dxa"/>
              <w:right w:w="100" w:type="dxa"/>
            </w:tcMar>
          </w:tcPr>
          <w:p w14:paraId="297E8FB0"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775B1EB0" w14:textId="77777777" w:rsidR="002530E2" w:rsidRDefault="002530E2">
            <w:pPr>
              <w:spacing w:after="0" w:line="276" w:lineRule="auto"/>
            </w:pPr>
            <w:r>
              <w:t>The impact of the controversy on Tesco's business and brand reputation has not been extensively documented. However, the incident highlighted the importance of proper halal certification and the need for companies to accurately label their products to meet the expectations and requirements of Muslim consumers.</w:t>
            </w:r>
          </w:p>
        </w:tc>
      </w:tr>
      <w:tr w:rsidR="002530E2" w14:paraId="6CCFF994" w14:textId="77777777">
        <w:tc>
          <w:tcPr>
            <w:tcW w:w="1905" w:type="dxa"/>
            <w:shd w:val="clear" w:color="auto" w:fill="auto"/>
            <w:tcMar>
              <w:top w:w="100" w:type="dxa"/>
              <w:left w:w="100" w:type="dxa"/>
              <w:bottom w:w="100" w:type="dxa"/>
              <w:right w:w="100" w:type="dxa"/>
            </w:tcMar>
          </w:tcPr>
          <w:p w14:paraId="2C3CDCD4"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35F06D2F" w14:textId="77777777" w:rsidR="002530E2" w:rsidRDefault="002530E2">
            <w:pPr>
              <w:spacing w:after="0" w:line="276" w:lineRule="auto"/>
            </w:pPr>
            <w:r>
              <w:t>Tesco faced backlash because it sold a "halal" Christmas turkey without proper certification from a recognised halal authority. Muslim consumers expected the halal products they purchased to be prepared and certified according to established Islamic dietary guidelines.</w:t>
            </w:r>
          </w:p>
          <w:p w14:paraId="63997871" w14:textId="77777777" w:rsidR="002530E2" w:rsidRDefault="002530E2">
            <w:pPr>
              <w:spacing w:after="0" w:line="276" w:lineRule="auto"/>
            </w:pPr>
          </w:p>
          <w:p w14:paraId="11AE7520" w14:textId="77777777" w:rsidR="002530E2" w:rsidRDefault="002530E2">
            <w:pPr>
              <w:spacing w:after="0" w:line="276" w:lineRule="auto"/>
            </w:pPr>
            <w:r>
              <w:t>Halal certification is essential for ensuring that food products, especially meat, are prepared in accordance with Islamic dietary laws. Muslim consumers prioritise halal certification to have confidence that the products they purchase meet the necessary religious requirements.</w:t>
            </w:r>
          </w:p>
        </w:tc>
      </w:tr>
      <w:tr w:rsidR="002530E2" w14:paraId="24D32A57" w14:textId="77777777">
        <w:tc>
          <w:tcPr>
            <w:tcW w:w="1905" w:type="dxa"/>
            <w:shd w:val="clear" w:color="auto" w:fill="auto"/>
            <w:tcMar>
              <w:top w:w="100" w:type="dxa"/>
              <w:left w:w="100" w:type="dxa"/>
              <w:bottom w:w="100" w:type="dxa"/>
              <w:right w:w="100" w:type="dxa"/>
            </w:tcMar>
          </w:tcPr>
          <w:p w14:paraId="01A6A25F"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0AFD6DF" w14:textId="77777777" w:rsidR="002530E2" w:rsidRDefault="002530E2">
            <w:pPr>
              <w:spacing w:after="0" w:line="276" w:lineRule="auto"/>
            </w:pPr>
            <w:r>
              <w:t>Tesco responded to the controversy by apologising to customers and acknowledging the concerns raised. The company clarified that the turkey was prepared in accordance with halal standards but admitted that it lacked the proper certification from a recognised halal authority.</w:t>
            </w:r>
          </w:p>
        </w:tc>
      </w:tr>
      <w:tr w:rsidR="002530E2" w14:paraId="1AA967E1" w14:textId="77777777">
        <w:tc>
          <w:tcPr>
            <w:tcW w:w="1905" w:type="dxa"/>
            <w:shd w:val="clear" w:color="auto" w:fill="auto"/>
            <w:tcMar>
              <w:top w:w="100" w:type="dxa"/>
              <w:left w:w="100" w:type="dxa"/>
              <w:bottom w:w="100" w:type="dxa"/>
              <w:right w:w="100" w:type="dxa"/>
            </w:tcMar>
          </w:tcPr>
          <w:p w14:paraId="540C1E40"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6FF16480" w14:textId="77777777" w:rsidR="002530E2" w:rsidRDefault="002530E2">
            <w:pPr>
              <w:spacing w:after="0" w:line="276" w:lineRule="auto"/>
            </w:pPr>
            <w:r>
              <w:t>The Tesco "Halal" Christmas Turkey controversy emphasises the importance of transparency and accurate labelling when it comes to religious dietary requirements. Companies must ensure that their products are properly certified and labelled to avoid misrepresentation and potential backlash from religious communities.</w:t>
            </w:r>
          </w:p>
        </w:tc>
      </w:tr>
      <w:tr w:rsidR="002530E2" w14:paraId="4583AA6B" w14:textId="77777777">
        <w:tc>
          <w:tcPr>
            <w:tcW w:w="1905" w:type="dxa"/>
            <w:shd w:val="clear" w:color="auto" w:fill="auto"/>
            <w:tcMar>
              <w:top w:w="100" w:type="dxa"/>
              <w:left w:w="100" w:type="dxa"/>
              <w:bottom w:w="100" w:type="dxa"/>
              <w:right w:w="100" w:type="dxa"/>
            </w:tcMar>
          </w:tcPr>
          <w:p w14:paraId="7002F36F"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3C41DB37" w14:textId="77777777" w:rsidR="002530E2" w:rsidRDefault="002530E2">
            <w:pPr>
              <w:spacing w:after="0" w:line="276" w:lineRule="auto"/>
            </w:pPr>
            <w:r>
              <w:t xml:space="preserve">In 2018, Tesco faced backlash for selling a "halal" Christmas turkey without proper certification from a recognised halal authority. Muslim consumers accused the company of exploiting their religious dietary laws for commercial gain and called for a boycott. Tesco apologised and acknowledged the </w:t>
            </w:r>
            <w:r>
              <w:lastRenderedPageBreak/>
              <w:t>concerns, clarifying that the turkey was prepared according to halal standards but lacked the necessary certification.</w:t>
            </w:r>
          </w:p>
        </w:tc>
      </w:tr>
    </w:tbl>
    <w:p w14:paraId="672D91C0" w14:textId="77777777" w:rsidR="002530E2" w:rsidRDefault="002530E2"/>
    <w:p w14:paraId="5A3D6C82" w14:textId="77777777" w:rsidR="002530E2" w:rsidRDefault="002530E2">
      <w:pPr>
        <w:pStyle w:val="Heading2"/>
      </w:pPr>
      <w:bookmarkStart w:id="459" w:name="_x8wm9gsyo6gp" w:colFirst="0" w:colLast="0"/>
      <w:bookmarkEnd w:id="459"/>
      <w:r>
        <w:t>IR 040 (2019: Nike,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EA828EE" w14:textId="77777777">
        <w:tc>
          <w:tcPr>
            <w:tcW w:w="1905" w:type="dxa"/>
            <w:shd w:val="clear" w:color="auto" w:fill="auto"/>
            <w:tcMar>
              <w:top w:w="100" w:type="dxa"/>
              <w:left w:w="100" w:type="dxa"/>
              <w:bottom w:w="100" w:type="dxa"/>
              <w:right w:w="100" w:type="dxa"/>
            </w:tcMar>
          </w:tcPr>
          <w:p w14:paraId="01789770"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0A565FDC" w14:textId="77777777" w:rsidR="002530E2" w:rsidRDefault="002530E2">
            <w:pPr>
              <w:spacing w:after="0" w:line="276" w:lineRule="auto"/>
            </w:pPr>
            <w:r>
              <w:t>Incident Report Title: “Nike's Controversial Logo on the Air Max 270”</w:t>
            </w:r>
          </w:p>
        </w:tc>
      </w:tr>
      <w:tr w:rsidR="002530E2" w14:paraId="583D7302" w14:textId="77777777">
        <w:tc>
          <w:tcPr>
            <w:tcW w:w="1905" w:type="dxa"/>
            <w:shd w:val="clear" w:color="auto" w:fill="auto"/>
            <w:tcMar>
              <w:top w:w="100" w:type="dxa"/>
              <w:left w:w="100" w:type="dxa"/>
              <w:bottom w:w="100" w:type="dxa"/>
              <w:right w:w="100" w:type="dxa"/>
            </w:tcMar>
          </w:tcPr>
          <w:p w14:paraId="043705AC"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DE15317" w14:textId="77777777" w:rsidR="002530E2" w:rsidRDefault="002530E2">
            <w:pPr>
              <w:spacing w:after="0" w:line="276" w:lineRule="auto"/>
            </w:pPr>
            <w:r>
              <w:t>This case examines a cross-cultural blunder by Nike in 2019, which generated backlash from Muslim consumers. The report focuses on the controversy surrounding the limited edition Air Max 270 shoe, specifically the logo on the sole resembling the word "Allah" in Arabic script. Many Muslims perceived this resemblance as disrespectful and called for a boycott of the brand.</w:t>
            </w:r>
          </w:p>
        </w:tc>
      </w:tr>
      <w:tr w:rsidR="002530E2" w14:paraId="4A79F804" w14:textId="77777777">
        <w:tc>
          <w:tcPr>
            <w:tcW w:w="1905" w:type="dxa"/>
            <w:shd w:val="clear" w:color="auto" w:fill="auto"/>
            <w:tcMar>
              <w:top w:w="100" w:type="dxa"/>
              <w:left w:w="100" w:type="dxa"/>
              <w:bottom w:w="100" w:type="dxa"/>
              <w:right w:w="100" w:type="dxa"/>
            </w:tcMar>
          </w:tcPr>
          <w:p w14:paraId="4871E732"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54BF5057" w14:textId="77777777" w:rsidR="002530E2" w:rsidRDefault="002530E2">
            <w:pPr>
              <w:spacing w:after="0" w:line="276" w:lineRule="auto"/>
            </w:pPr>
            <w:r>
              <w:t>In 2019, Nike released a limited edition Air Max 270 shoe that featured a logo on the sole that some Muslim consumers believed resembled the word "Allah" in Arabic script. The perception of this resemblance led to widespread criticism and controversy surrounding the design choice.</w:t>
            </w:r>
          </w:p>
        </w:tc>
      </w:tr>
      <w:tr w:rsidR="002530E2" w14:paraId="58E52932" w14:textId="77777777">
        <w:tc>
          <w:tcPr>
            <w:tcW w:w="1905" w:type="dxa"/>
            <w:shd w:val="clear" w:color="auto" w:fill="auto"/>
            <w:tcMar>
              <w:top w:w="100" w:type="dxa"/>
              <w:left w:w="100" w:type="dxa"/>
              <w:bottom w:w="100" w:type="dxa"/>
              <w:right w:w="100" w:type="dxa"/>
            </w:tcMar>
          </w:tcPr>
          <w:p w14:paraId="442C8632"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7B2516B5" w14:textId="77777777" w:rsidR="002530E2" w:rsidRDefault="002530E2">
            <w:pPr>
              <w:spacing w:after="0" w:line="276" w:lineRule="auto"/>
            </w:pPr>
            <w:r>
              <w:t>The incident occurred in 2019, when Nike released the limited-edition Air Max 270 shoe with the controversial logo on the sole.</w:t>
            </w:r>
          </w:p>
        </w:tc>
      </w:tr>
      <w:tr w:rsidR="002530E2" w14:paraId="1BFAA1B2" w14:textId="77777777">
        <w:tc>
          <w:tcPr>
            <w:tcW w:w="1905" w:type="dxa"/>
            <w:shd w:val="clear" w:color="auto" w:fill="auto"/>
            <w:tcMar>
              <w:top w:w="100" w:type="dxa"/>
              <w:left w:w="100" w:type="dxa"/>
              <w:bottom w:w="100" w:type="dxa"/>
              <w:right w:w="100" w:type="dxa"/>
            </w:tcMar>
          </w:tcPr>
          <w:p w14:paraId="6A6A3E59"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08E6DEB6" w14:textId="77777777" w:rsidR="002530E2" w:rsidRDefault="002530E2">
            <w:pPr>
              <w:spacing w:after="0" w:line="276" w:lineRule="auto"/>
            </w:pPr>
            <w:r>
              <w:t>The controversy surrounding Nike's Air Max 270 shoe with the logo resembling the word "Allah" in Arabic script gained attention globally, as the sportswear brand has a wide reach and customer base.</w:t>
            </w:r>
          </w:p>
        </w:tc>
      </w:tr>
      <w:tr w:rsidR="002530E2" w14:paraId="3561DF52" w14:textId="77777777">
        <w:tc>
          <w:tcPr>
            <w:tcW w:w="1905" w:type="dxa"/>
            <w:shd w:val="clear" w:color="auto" w:fill="auto"/>
            <w:tcMar>
              <w:top w:w="100" w:type="dxa"/>
              <w:left w:w="100" w:type="dxa"/>
              <w:bottom w:w="100" w:type="dxa"/>
              <w:right w:w="100" w:type="dxa"/>
            </w:tcMar>
          </w:tcPr>
          <w:p w14:paraId="7919D844"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6F8AA827" w14:textId="77777777" w:rsidR="002530E2" w:rsidRDefault="002530E2">
            <w:pPr>
              <w:spacing w:after="0" w:line="276" w:lineRule="auto"/>
            </w:pPr>
            <w:r>
              <w:t>Muslim consumers were directly affected by this cross-cultural blunder. Many Muslims considered the logo design disrespectful, as they believed it resembled the word "Allah" in Arabic script. Their perception of the logo's resemblance to a sacred word led to a significant outcry and calls for a boycott of Nike (BBC, 2019).</w:t>
            </w:r>
          </w:p>
        </w:tc>
      </w:tr>
      <w:tr w:rsidR="002530E2" w14:paraId="7AC7DC81" w14:textId="77777777">
        <w:tc>
          <w:tcPr>
            <w:tcW w:w="1905" w:type="dxa"/>
            <w:shd w:val="clear" w:color="auto" w:fill="auto"/>
            <w:tcMar>
              <w:top w:w="100" w:type="dxa"/>
              <w:left w:w="100" w:type="dxa"/>
              <w:bottom w:w="100" w:type="dxa"/>
              <w:right w:w="100" w:type="dxa"/>
            </w:tcMar>
          </w:tcPr>
          <w:p w14:paraId="06C13013"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3C5DEFDE" w14:textId="77777777" w:rsidR="002530E2" w:rsidRDefault="002530E2">
            <w:pPr>
              <w:spacing w:after="0" w:line="276" w:lineRule="auto"/>
            </w:pPr>
            <w:r>
              <w:t>Nike, a renowned sportswear brand, faced backlash and criticism following the release of the limited-edition Air Max 270 shoe. The controversy centred around the logo on the sole, which some Muslim consumers found offensive.</w:t>
            </w:r>
          </w:p>
        </w:tc>
      </w:tr>
      <w:tr w:rsidR="002530E2" w14:paraId="3B53A202" w14:textId="77777777">
        <w:tc>
          <w:tcPr>
            <w:tcW w:w="1905" w:type="dxa"/>
            <w:shd w:val="clear" w:color="auto" w:fill="auto"/>
            <w:tcMar>
              <w:top w:w="100" w:type="dxa"/>
              <w:left w:w="100" w:type="dxa"/>
              <w:bottom w:w="100" w:type="dxa"/>
              <w:right w:w="100" w:type="dxa"/>
            </w:tcMar>
          </w:tcPr>
          <w:p w14:paraId="60633E4B" w14:textId="77777777" w:rsidR="002530E2" w:rsidRDefault="002530E2">
            <w:pPr>
              <w:spacing w:after="0" w:line="276" w:lineRule="auto"/>
            </w:pPr>
            <w:r>
              <w:t xml:space="preserve">IRE 7: VICTIMISATION — WHAT WERE THE </w:t>
            </w:r>
            <w:r>
              <w:lastRenderedPageBreak/>
              <w:t>CONSEQUENCES FOR MUSLIMS?</w:t>
            </w:r>
          </w:p>
        </w:tc>
        <w:tc>
          <w:tcPr>
            <w:tcW w:w="7125" w:type="dxa"/>
            <w:shd w:val="clear" w:color="auto" w:fill="auto"/>
            <w:tcMar>
              <w:top w:w="100" w:type="dxa"/>
              <w:left w:w="100" w:type="dxa"/>
              <w:bottom w:w="100" w:type="dxa"/>
              <w:right w:w="100" w:type="dxa"/>
            </w:tcMar>
          </w:tcPr>
          <w:p w14:paraId="5A599FC8" w14:textId="77777777" w:rsidR="002530E2" w:rsidRDefault="002530E2">
            <w:pPr>
              <w:spacing w:after="0" w:line="276" w:lineRule="auto"/>
            </w:pPr>
            <w:r>
              <w:lastRenderedPageBreak/>
              <w:t xml:space="preserve">Muslim consumers who perceived the logo's resemblance to the word "Allah" as disrespectful felt deeply offended by Nike's design choice. Social media platforms and online forums became channels for expressing </w:t>
            </w:r>
            <w:r>
              <w:lastRenderedPageBreak/>
              <w:t>disappointment, frustration, and demands for an apology and withdrawal of the product. The controversy sparked discussions about cultural sensitivity and religious respect (Reuters, 2019).</w:t>
            </w:r>
          </w:p>
        </w:tc>
      </w:tr>
      <w:tr w:rsidR="002530E2" w14:paraId="1E0FB0F2" w14:textId="77777777">
        <w:tc>
          <w:tcPr>
            <w:tcW w:w="1905" w:type="dxa"/>
            <w:shd w:val="clear" w:color="auto" w:fill="auto"/>
            <w:tcMar>
              <w:top w:w="100" w:type="dxa"/>
              <w:left w:w="100" w:type="dxa"/>
              <w:bottom w:w="100" w:type="dxa"/>
              <w:right w:w="100" w:type="dxa"/>
            </w:tcMar>
          </w:tcPr>
          <w:p w14:paraId="127B0537"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1483C455" w14:textId="77777777" w:rsidR="002530E2" w:rsidRDefault="002530E2">
            <w:pPr>
              <w:spacing w:after="0" w:line="276" w:lineRule="auto"/>
            </w:pPr>
            <w:r>
              <w:t>Nike's brand reputation was negatively impacted by the controversy. The backlash from Muslim consumers and the wider public raised questions about the company's cultural awareness and design vetting processes. The calls for a boycott and the negative sentiment expressed through social media and public statements had the potential to affect Nike's sales and overall brand image.</w:t>
            </w:r>
          </w:p>
        </w:tc>
      </w:tr>
      <w:tr w:rsidR="002530E2" w14:paraId="09F82B72" w14:textId="77777777">
        <w:tc>
          <w:tcPr>
            <w:tcW w:w="1905" w:type="dxa"/>
            <w:shd w:val="clear" w:color="auto" w:fill="auto"/>
            <w:tcMar>
              <w:top w:w="100" w:type="dxa"/>
              <w:left w:w="100" w:type="dxa"/>
              <w:bottom w:w="100" w:type="dxa"/>
              <w:right w:w="100" w:type="dxa"/>
            </w:tcMar>
          </w:tcPr>
          <w:p w14:paraId="5B03F301"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418E44F4" w14:textId="77777777" w:rsidR="002530E2" w:rsidRDefault="002530E2">
            <w:pPr>
              <w:spacing w:after="0" w:line="276" w:lineRule="auto"/>
            </w:pPr>
            <w:r>
              <w:t>The controversy surrounding the logo on Nike's Air Max 270 shoe can be attributed to a lack of cultural sensitivity and awareness during the design and production processes. The unintended resemblance to the word "Allah" in Arabic script suggests a failure to recognise the potential offence and disrespect it could cause Muslim consumers.</w:t>
            </w:r>
          </w:p>
        </w:tc>
      </w:tr>
      <w:tr w:rsidR="002530E2" w14:paraId="7DC91F14" w14:textId="77777777">
        <w:tc>
          <w:tcPr>
            <w:tcW w:w="1905" w:type="dxa"/>
            <w:shd w:val="clear" w:color="auto" w:fill="auto"/>
            <w:tcMar>
              <w:top w:w="100" w:type="dxa"/>
              <w:left w:w="100" w:type="dxa"/>
              <w:bottom w:w="100" w:type="dxa"/>
              <w:right w:w="100" w:type="dxa"/>
            </w:tcMar>
          </w:tcPr>
          <w:p w14:paraId="10A76FFC"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027FD989" w14:textId="77777777" w:rsidR="002530E2" w:rsidRDefault="002530E2">
            <w:pPr>
              <w:spacing w:after="0" w:line="276" w:lineRule="auto"/>
            </w:pPr>
            <w:r>
              <w:t>In response to the backlash, Nike issued a public apology and swiftly recalled the limited-edition Air Max 270 shoe. The company expressed regret for any offence caused and emphasised its commitment to diversity, inclusivity, and respect for all cultures and religions. Nike pledged to review and improve its design and vetting processes to prevent similar incidents in the future (CNN, 2019).</w:t>
            </w:r>
          </w:p>
        </w:tc>
      </w:tr>
      <w:tr w:rsidR="002530E2" w14:paraId="48342525" w14:textId="77777777">
        <w:tc>
          <w:tcPr>
            <w:tcW w:w="1905" w:type="dxa"/>
            <w:shd w:val="clear" w:color="auto" w:fill="auto"/>
            <w:tcMar>
              <w:top w:w="100" w:type="dxa"/>
              <w:left w:w="100" w:type="dxa"/>
              <w:bottom w:w="100" w:type="dxa"/>
              <w:right w:w="100" w:type="dxa"/>
            </w:tcMar>
          </w:tcPr>
          <w:p w14:paraId="27BA38F5"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2E27CEC5" w14:textId="77777777" w:rsidR="002530E2" w:rsidRDefault="002530E2">
            <w:pPr>
              <w:spacing w:after="0" w:line="276" w:lineRule="auto"/>
            </w:pPr>
            <w:r>
              <w:t>To prevent future cross-cultural blunders, Nike should prioritise cultural sensitivity and diversity in its design and production processes. Engaging with diverse communities, consulting cultural experts, and conducting thorough reviews and assessments of product designs can help identify potential issues and avoid unintentional offences. Moving forward, Nike should establish clear guidelines and protocols for cultural and religious sensitivity within its design and production departments. Introducing comprehensive training programmes that educate employees about diverse cultures and religious practices can enhance their awareness and understanding, minimising the likelihood of similar incidents in the future.</w:t>
            </w:r>
          </w:p>
        </w:tc>
      </w:tr>
      <w:tr w:rsidR="002530E2" w14:paraId="21F38AA2" w14:textId="77777777">
        <w:tc>
          <w:tcPr>
            <w:tcW w:w="1905" w:type="dxa"/>
            <w:shd w:val="clear" w:color="auto" w:fill="auto"/>
            <w:tcMar>
              <w:top w:w="100" w:type="dxa"/>
              <w:left w:w="100" w:type="dxa"/>
              <w:bottom w:w="100" w:type="dxa"/>
              <w:right w:w="100" w:type="dxa"/>
            </w:tcMar>
          </w:tcPr>
          <w:p w14:paraId="1381E485"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79288141" w14:textId="77777777" w:rsidR="002530E2" w:rsidRDefault="002530E2">
            <w:pPr>
              <w:spacing w:after="0" w:line="276" w:lineRule="auto"/>
            </w:pPr>
            <w:r>
              <w:t>The incident involving Nike's Air Max 270 shoe and its logo resembling the word "Allah" in Arabic script highlighted the importance of cultural sensitivity and awareness in the design and production processes of multinational corporations. The controversy generated significant backlash from Muslim consumers, leading to a public outcry and calls for a boycott. Nike's prompt response, including a public apology and product recall, aimed to address the concerns raised and demonstrated a commitment to cultural respect and inclusivity.</w:t>
            </w:r>
          </w:p>
        </w:tc>
      </w:tr>
    </w:tbl>
    <w:p w14:paraId="171A319C" w14:textId="77777777" w:rsidR="002530E2" w:rsidRDefault="002530E2"/>
    <w:p w14:paraId="62EDEF75" w14:textId="77777777" w:rsidR="002530E2" w:rsidRDefault="002530E2">
      <w:pPr>
        <w:pStyle w:val="Heading2"/>
      </w:pPr>
      <w:bookmarkStart w:id="460" w:name="_uurnfv6qkjeh" w:colFirst="0" w:colLast="0"/>
      <w:bookmarkEnd w:id="460"/>
      <w:r>
        <w:lastRenderedPageBreak/>
        <w:t>IR 041 (2019: Nike,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CFA2811" w14:textId="77777777">
        <w:tc>
          <w:tcPr>
            <w:tcW w:w="1905" w:type="dxa"/>
            <w:shd w:val="clear" w:color="auto" w:fill="auto"/>
            <w:tcMar>
              <w:top w:w="100" w:type="dxa"/>
              <w:left w:w="100" w:type="dxa"/>
              <w:bottom w:w="100" w:type="dxa"/>
              <w:right w:w="100" w:type="dxa"/>
            </w:tcMar>
          </w:tcPr>
          <w:p w14:paraId="5D0847C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1B662D4" w14:textId="77777777" w:rsidR="002530E2" w:rsidRDefault="002530E2">
            <w:pPr>
              <w:spacing w:after="0" w:line="276" w:lineRule="auto"/>
            </w:pPr>
            <w:r>
              <w:t>Incident Report Title: “Nike's Controversial Sponsorship and Political Criticism”</w:t>
            </w:r>
          </w:p>
        </w:tc>
      </w:tr>
      <w:tr w:rsidR="002530E2" w14:paraId="313C0233" w14:textId="77777777">
        <w:tc>
          <w:tcPr>
            <w:tcW w:w="1905" w:type="dxa"/>
            <w:shd w:val="clear" w:color="auto" w:fill="auto"/>
            <w:tcMar>
              <w:top w:w="100" w:type="dxa"/>
              <w:left w:w="100" w:type="dxa"/>
              <w:bottom w:w="100" w:type="dxa"/>
              <w:right w:w="100" w:type="dxa"/>
            </w:tcMar>
          </w:tcPr>
          <w:p w14:paraId="53E01833"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70D3877" w14:textId="77777777" w:rsidR="002530E2" w:rsidRDefault="002530E2">
            <w:pPr>
              <w:spacing w:after="0" w:line="276" w:lineRule="auto"/>
            </w:pPr>
            <w:r>
              <w:t>This case focuses on the controversy faced by Nike in 2019 when the company sponsored a Muslim athlete who openly criticised Israel's treatment of Palestinians. The sponsorship was seen by many Muslims as a political statement, leading to widespread backlash and calls for a boycott of the sports brand.</w:t>
            </w:r>
          </w:p>
        </w:tc>
      </w:tr>
      <w:tr w:rsidR="002530E2" w14:paraId="075511C7" w14:textId="77777777">
        <w:tc>
          <w:tcPr>
            <w:tcW w:w="1905" w:type="dxa"/>
            <w:shd w:val="clear" w:color="auto" w:fill="auto"/>
            <w:tcMar>
              <w:top w:w="100" w:type="dxa"/>
              <w:left w:w="100" w:type="dxa"/>
              <w:bottom w:w="100" w:type="dxa"/>
              <w:right w:w="100" w:type="dxa"/>
            </w:tcMar>
          </w:tcPr>
          <w:p w14:paraId="662D379D"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FBB811C" w14:textId="77777777" w:rsidR="002530E2" w:rsidRDefault="002530E2">
            <w:pPr>
              <w:spacing w:after="0" w:line="276" w:lineRule="auto"/>
            </w:pPr>
            <w:r>
              <w:t>In 2019, Nike faced controversy when it was reported that the company had sponsored a Muslim athlete who publicly criticised Israel's treatment of Palestinians. The athlete's statements were seen as politically charged, and the association of Nike with these remarks sparked a strong reaction among Muslim consumers.</w:t>
            </w:r>
          </w:p>
        </w:tc>
      </w:tr>
      <w:tr w:rsidR="002530E2" w14:paraId="72C9F8DA" w14:textId="77777777">
        <w:tc>
          <w:tcPr>
            <w:tcW w:w="1905" w:type="dxa"/>
            <w:shd w:val="clear" w:color="auto" w:fill="auto"/>
            <w:tcMar>
              <w:top w:w="100" w:type="dxa"/>
              <w:left w:w="100" w:type="dxa"/>
              <w:bottom w:w="100" w:type="dxa"/>
              <w:right w:w="100" w:type="dxa"/>
            </w:tcMar>
          </w:tcPr>
          <w:p w14:paraId="6597A37B"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05679BA0" w14:textId="77777777" w:rsidR="002530E2" w:rsidRDefault="002530E2">
            <w:pPr>
              <w:spacing w:after="0" w:line="276" w:lineRule="auto"/>
            </w:pPr>
            <w:r>
              <w:t>The incident occurred in 2019, when reports surfaced regarding Nike's sponsorship of a Muslim athlete who had criticised Israel's treatment of Palestinians.</w:t>
            </w:r>
          </w:p>
        </w:tc>
      </w:tr>
      <w:tr w:rsidR="002530E2" w14:paraId="277DD079" w14:textId="77777777">
        <w:tc>
          <w:tcPr>
            <w:tcW w:w="1905" w:type="dxa"/>
            <w:shd w:val="clear" w:color="auto" w:fill="auto"/>
            <w:tcMar>
              <w:top w:w="100" w:type="dxa"/>
              <w:left w:w="100" w:type="dxa"/>
              <w:bottom w:w="100" w:type="dxa"/>
              <w:right w:w="100" w:type="dxa"/>
            </w:tcMar>
          </w:tcPr>
          <w:p w14:paraId="495CB815"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050EE542" w14:textId="77777777" w:rsidR="002530E2" w:rsidRDefault="002530E2">
            <w:pPr>
              <w:spacing w:after="0" w:line="276" w:lineRule="auto"/>
            </w:pPr>
            <w:r>
              <w:t>The controversy surrounding Nike's sponsorship and the athlete's political criticism had an impact on Muslim consumers worldwide, wherever Nike products were available and consumed.</w:t>
            </w:r>
          </w:p>
        </w:tc>
      </w:tr>
      <w:tr w:rsidR="002530E2" w14:paraId="68BE4B8F" w14:textId="77777777">
        <w:tc>
          <w:tcPr>
            <w:tcW w:w="1905" w:type="dxa"/>
            <w:shd w:val="clear" w:color="auto" w:fill="auto"/>
            <w:tcMar>
              <w:top w:w="100" w:type="dxa"/>
              <w:left w:w="100" w:type="dxa"/>
              <w:bottom w:w="100" w:type="dxa"/>
              <w:right w:w="100" w:type="dxa"/>
            </w:tcMar>
          </w:tcPr>
          <w:p w14:paraId="20B36DFA"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1E8ED641" w14:textId="77777777" w:rsidR="002530E2" w:rsidRDefault="002530E2">
            <w:pPr>
              <w:spacing w:after="0" w:line="276" w:lineRule="auto"/>
            </w:pPr>
            <w:r>
              <w:t>Muslim consumers, particularly those who felt a strong connection to the Palestinian cause, were directly affected by this incident. They interpreted Nike's sponsorship as an endorsement of the athlete's political views and saw it as a betrayal of their expectations from a globally recognised brand.</w:t>
            </w:r>
          </w:p>
        </w:tc>
      </w:tr>
      <w:tr w:rsidR="002530E2" w14:paraId="3FEA2C1A" w14:textId="77777777">
        <w:tc>
          <w:tcPr>
            <w:tcW w:w="1905" w:type="dxa"/>
            <w:shd w:val="clear" w:color="auto" w:fill="auto"/>
            <w:tcMar>
              <w:top w:w="100" w:type="dxa"/>
              <w:left w:w="100" w:type="dxa"/>
              <w:bottom w:w="100" w:type="dxa"/>
              <w:right w:w="100" w:type="dxa"/>
            </w:tcMar>
          </w:tcPr>
          <w:p w14:paraId="6765A5E2"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4199AF62" w14:textId="77777777" w:rsidR="002530E2" w:rsidRDefault="002530E2">
            <w:pPr>
              <w:spacing w:after="0" w:line="276" w:lineRule="auto"/>
            </w:pPr>
            <w:r>
              <w:t>Nike, a renowned sports brand, faced criticism from Muslim consumers due to its sponsorship of an athlete who had publicly criticised Israel's treatment of Palestinians. The company became the target of boycott calls and was held accountable for its perceived alignment with the athlete's political stance.</w:t>
            </w:r>
          </w:p>
        </w:tc>
      </w:tr>
      <w:tr w:rsidR="002530E2" w14:paraId="6A688C2F" w14:textId="77777777">
        <w:tc>
          <w:tcPr>
            <w:tcW w:w="1905" w:type="dxa"/>
            <w:shd w:val="clear" w:color="auto" w:fill="auto"/>
            <w:tcMar>
              <w:top w:w="100" w:type="dxa"/>
              <w:left w:w="100" w:type="dxa"/>
              <w:bottom w:w="100" w:type="dxa"/>
              <w:right w:w="100" w:type="dxa"/>
            </w:tcMar>
          </w:tcPr>
          <w:p w14:paraId="15AAB1B2"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06FC1BF" w14:textId="77777777" w:rsidR="002530E2" w:rsidRDefault="002530E2">
            <w:pPr>
              <w:spacing w:after="0" w:line="276" w:lineRule="auto"/>
            </w:pPr>
            <w:r>
              <w:t>Many Muslim consumers expressed their disappointment and frustration with Nike, viewing the company's sponsorship as a political statement that conflicted with their own beliefs and values. This led to calls for a boycott of Nike products as a form of protest against the perceived endorsement of controversial political views.</w:t>
            </w:r>
          </w:p>
        </w:tc>
      </w:tr>
      <w:tr w:rsidR="002530E2" w14:paraId="6F717F8F" w14:textId="77777777">
        <w:tc>
          <w:tcPr>
            <w:tcW w:w="1905" w:type="dxa"/>
            <w:shd w:val="clear" w:color="auto" w:fill="auto"/>
            <w:tcMar>
              <w:top w:w="100" w:type="dxa"/>
              <w:left w:w="100" w:type="dxa"/>
              <w:bottom w:w="100" w:type="dxa"/>
              <w:right w:w="100" w:type="dxa"/>
            </w:tcMar>
          </w:tcPr>
          <w:p w14:paraId="47D6D212"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1745E511" w14:textId="77777777" w:rsidR="002530E2" w:rsidRDefault="002530E2">
            <w:pPr>
              <w:spacing w:after="0" w:line="276" w:lineRule="auto"/>
            </w:pPr>
            <w:r>
              <w:t>The controversy had potential repercussions for Nike, with a damaged reputation and potential financial losses resulting from the boycott calls by Muslim consumers. Nike faced the challenge of addressing the concerns raised by the Muslim community and reestablishing its image as a brand that respects diverse perspectives.</w:t>
            </w:r>
          </w:p>
        </w:tc>
      </w:tr>
      <w:tr w:rsidR="002530E2" w14:paraId="61611F28" w14:textId="77777777">
        <w:tc>
          <w:tcPr>
            <w:tcW w:w="1905" w:type="dxa"/>
            <w:shd w:val="clear" w:color="auto" w:fill="auto"/>
            <w:tcMar>
              <w:top w:w="100" w:type="dxa"/>
              <w:left w:w="100" w:type="dxa"/>
              <w:bottom w:w="100" w:type="dxa"/>
              <w:right w:w="100" w:type="dxa"/>
            </w:tcMar>
          </w:tcPr>
          <w:p w14:paraId="70378E9A"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E669B50" w14:textId="77777777" w:rsidR="002530E2" w:rsidRDefault="002530E2">
            <w:pPr>
              <w:spacing w:after="0" w:line="276" w:lineRule="auto"/>
            </w:pPr>
            <w:r>
              <w:t>The controversy arose from the perception that Nike's sponsorship of the athlete prompted political criticism and aligned the company with a specific political stance. The association of a sports brand with sensitive political issues, particularly those related to conflicts and human rights, can lead to unintended consequences and consumer backlash.</w:t>
            </w:r>
          </w:p>
        </w:tc>
      </w:tr>
      <w:tr w:rsidR="002530E2" w14:paraId="0B403EDE" w14:textId="77777777">
        <w:tc>
          <w:tcPr>
            <w:tcW w:w="1905" w:type="dxa"/>
            <w:shd w:val="clear" w:color="auto" w:fill="auto"/>
            <w:tcMar>
              <w:top w:w="100" w:type="dxa"/>
              <w:left w:w="100" w:type="dxa"/>
              <w:bottom w:w="100" w:type="dxa"/>
              <w:right w:w="100" w:type="dxa"/>
            </w:tcMar>
          </w:tcPr>
          <w:p w14:paraId="65F52C3A"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09AEA017" w14:textId="77777777" w:rsidR="002530E2" w:rsidRDefault="002530E2">
            <w:pPr>
              <w:spacing w:after="0" w:line="276" w:lineRule="auto"/>
            </w:pPr>
            <w:r>
              <w:t>In response to the controversy, Nike issued a statement emphasising its commitment to inclusivity, diversity, and respecting different viewpoints. The company clarified that its sponsorship of athletes was not an endorsement of their political opinions but rather a recognition of their sporting achievements and potential as role models.</w:t>
            </w:r>
          </w:p>
        </w:tc>
      </w:tr>
      <w:tr w:rsidR="002530E2" w14:paraId="1CD2DDE8" w14:textId="77777777">
        <w:tc>
          <w:tcPr>
            <w:tcW w:w="1905" w:type="dxa"/>
            <w:shd w:val="clear" w:color="auto" w:fill="auto"/>
            <w:tcMar>
              <w:top w:w="100" w:type="dxa"/>
              <w:left w:w="100" w:type="dxa"/>
              <w:bottom w:w="100" w:type="dxa"/>
              <w:right w:w="100" w:type="dxa"/>
            </w:tcMar>
          </w:tcPr>
          <w:p w14:paraId="3AB87A14"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2302A48" w14:textId="77777777" w:rsidR="002530E2" w:rsidRDefault="002530E2">
            <w:pPr>
              <w:spacing w:after="0" w:line="276" w:lineRule="auto"/>
            </w:pPr>
            <w:r>
              <w:t>To prevent similar incidents in the future, Nike should establish clear guidelines and protocols for evaluating potential sponsorships, considering factors beyond athletic performance. Conducting thorough research on athletes' public statements, political affiliations, and potential controversies can help mitigate the risk of inadvertently aligning the brand with sensitive issues. Moving forward, Nike can engage in dialogue with diverse communities, including Muslim consumers, to better understand their concerns and perspectives. This can involve proactive outreach, collaborations with community leaders and organisations, and fostering an environment of open communication to avoid potential misunderstandings or misinterpretations.</w:t>
            </w:r>
          </w:p>
        </w:tc>
      </w:tr>
      <w:tr w:rsidR="002530E2" w14:paraId="4AF61BAE" w14:textId="77777777">
        <w:tc>
          <w:tcPr>
            <w:tcW w:w="1905" w:type="dxa"/>
            <w:shd w:val="clear" w:color="auto" w:fill="auto"/>
            <w:tcMar>
              <w:top w:w="100" w:type="dxa"/>
              <w:left w:w="100" w:type="dxa"/>
              <w:bottom w:w="100" w:type="dxa"/>
              <w:right w:w="100" w:type="dxa"/>
            </w:tcMar>
          </w:tcPr>
          <w:p w14:paraId="6097C746"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39C4B8E6" w14:textId="77777777" w:rsidR="002530E2" w:rsidRDefault="002530E2">
            <w:pPr>
              <w:spacing w:after="0" w:line="276" w:lineRule="auto"/>
            </w:pPr>
            <w:r>
              <w:t>The controversy surrounding Nike's sponsorship and the athlete's political criticism highlights the challenges faced by brands in navigating cross-cultural sensitivities and political dynamics. By adopting transparency, engaging in dialogue, and clarifying their intentions, companies like Nike can work towards maintaining positive relationships with diverse consumer groups.</w:t>
            </w:r>
          </w:p>
        </w:tc>
      </w:tr>
    </w:tbl>
    <w:p w14:paraId="5E90D107" w14:textId="77777777" w:rsidR="002530E2" w:rsidRDefault="002530E2"/>
    <w:p w14:paraId="74AFEC2E" w14:textId="77777777" w:rsidR="002530E2" w:rsidRDefault="002530E2">
      <w:pPr>
        <w:pStyle w:val="Heading2"/>
      </w:pPr>
      <w:bookmarkStart w:id="461" w:name="_98lt7qyniqoe" w:colFirst="0" w:colLast="0"/>
      <w:bookmarkEnd w:id="461"/>
      <w:r>
        <w:t>IR 042  (2019: Nike,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0357F81" w14:textId="77777777">
        <w:tc>
          <w:tcPr>
            <w:tcW w:w="1905" w:type="dxa"/>
            <w:shd w:val="clear" w:color="auto" w:fill="auto"/>
            <w:tcMar>
              <w:top w:w="100" w:type="dxa"/>
              <w:left w:w="100" w:type="dxa"/>
              <w:bottom w:w="100" w:type="dxa"/>
              <w:right w:w="100" w:type="dxa"/>
            </w:tcMar>
          </w:tcPr>
          <w:p w14:paraId="1C049D78"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819C8B3" w14:textId="77777777" w:rsidR="002530E2" w:rsidRDefault="002530E2">
            <w:pPr>
              <w:spacing w:after="0" w:line="276" w:lineRule="auto"/>
            </w:pPr>
            <w:r>
              <w:t>Incident Report Title: “Nike's Controversial Release of Athletic Hijabs”</w:t>
            </w:r>
          </w:p>
        </w:tc>
      </w:tr>
      <w:tr w:rsidR="002530E2" w14:paraId="011D9777" w14:textId="77777777">
        <w:tc>
          <w:tcPr>
            <w:tcW w:w="1905" w:type="dxa"/>
            <w:shd w:val="clear" w:color="auto" w:fill="auto"/>
            <w:tcMar>
              <w:top w:w="100" w:type="dxa"/>
              <w:left w:w="100" w:type="dxa"/>
              <w:bottom w:w="100" w:type="dxa"/>
              <w:right w:w="100" w:type="dxa"/>
            </w:tcMar>
          </w:tcPr>
          <w:p w14:paraId="6F6930BB" w14:textId="77777777" w:rsidR="002530E2" w:rsidRDefault="002530E2">
            <w:pPr>
              <w:spacing w:after="0" w:line="276" w:lineRule="auto"/>
            </w:pPr>
            <w:r>
              <w:lastRenderedPageBreak/>
              <w:t>IRE 1: INTRODUCTION</w:t>
            </w:r>
          </w:p>
        </w:tc>
        <w:tc>
          <w:tcPr>
            <w:tcW w:w="7125" w:type="dxa"/>
            <w:shd w:val="clear" w:color="auto" w:fill="auto"/>
            <w:tcMar>
              <w:top w:w="100" w:type="dxa"/>
              <w:left w:w="100" w:type="dxa"/>
              <w:bottom w:w="100" w:type="dxa"/>
              <w:right w:w="100" w:type="dxa"/>
            </w:tcMar>
          </w:tcPr>
          <w:p w14:paraId="317F70F8" w14:textId="77777777" w:rsidR="002530E2" w:rsidRDefault="002530E2">
            <w:pPr>
              <w:spacing w:after="0" w:line="276" w:lineRule="auto"/>
            </w:pPr>
            <w:r>
              <w:t>This case examines the controversy faced by Nike in 2019 following the release of a line of athletic hijabs. While the release was initially perceived as a positive step towards inclusivity, the brand faced criticism from Muslim consumers who expressed concerns about the prIRE and limited diversity in size and style options.</w:t>
            </w:r>
          </w:p>
        </w:tc>
      </w:tr>
      <w:tr w:rsidR="002530E2" w14:paraId="2D0A75AF" w14:textId="77777777">
        <w:tc>
          <w:tcPr>
            <w:tcW w:w="1905" w:type="dxa"/>
            <w:shd w:val="clear" w:color="auto" w:fill="auto"/>
            <w:tcMar>
              <w:top w:w="100" w:type="dxa"/>
              <w:left w:w="100" w:type="dxa"/>
              <w:bottom w:w="100" w:type="dxa"/>
              <w:right w:w="100" w:type="dxa"/>
            </w:tcMar>
          </w:tcPr>
          <w:p w14:paraId="67485AA3"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5DCA1813" w14:textId="77777777" w:rsidR="002530E2" w:rsidRDefault="002530E2">
            <w:pPr>
              <w:spacing w:after="0" w:line="276" w:lineRule="auto"/>
            </w:pPr>
            <w:r>
              <w:t>In 2019, Nike introduced a line of athletic hijabs, aiming to provide Muslim women with suitable sportswear options. The release of these hijabs sparked both appreciation and controversy within the Muslim community.</w:t>
            </w:r>
          </w:p>
        </w:tc>
      </w:tr>
      <w:tr w:rsidR="002530E2" w14:paraId="1EE57EEB" w14:textId="77777777">
        <w:tc>
          <w:tcPr>
            <w:tcW w:w="1905" w:type="dxa"/>
            <w:shd w:val="clear" w:color="auto" w:fill="auto"/>
            <w:tcMar>
              <w:top w:w="100" w:type="dxa"/>
              <w:left w:w="100" w:type="dxa"/>
              <w:bottom w:w="100" w:type="dxa"/>
              <w:right w:w="100" w:type="dxa"/>
            </w:tcMar>
          </w:tcPr>
          <w:p w14:paraId="055179D1"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1BB0618" w14:textId="77777777" w:rsidR="002530E2" w:rsidRDefault="002530E2">
            <w:pPr>
              <w:spacing w:after="0" w:line="276" w:lineRule="auto"/>
            </w:pPr>
            <w:r>
              <w:t>The incident occurred in 2019, when Nike unveiled its line of athletic hijabs.</w:t>
            </w:r>
          </w:p>
        </w:tc>
      </w:tr>
      <w:tr w:rsidR="002530E2" w14:paraId="171D6B5B" w14:textId="77777777">
        <w:tc>
          <w:tcPr>
            <w:tcW w:w="1905" w:type="dxa"/>
            <w:shd w:val="clear" w:color="auto" w:fill="auto"/>
            <w:tcMar>
              <w:top w:w="100" w:type="dxa"/>
              <w:left w:w="100" w:type="dxa"/>
              <w:bottom w:w="100" w:type="dxa"/>
              <w:right w:w="100" w:type="dxa"/>
            </w:tcMar>
          </w:tcPr>
          <w:p w14:paraId="6542B9B0"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BDA773E" w14:textId="77777777" w:rsidR="002530E2" w:rsidRDefault="002530E2">
            <w:pPr>
              <w:spacing w:after="0" w:line="276" w:lineRule="auto"/>
            </w:pPr>
            <w:r>
              <w:t>The controversy surrounding Nike's athletic hijabs unfolded globally, with reactions and discussions taking place across various platforms, including social media.</w:t>
            </w:r>
          </w:p>
        </w:tc>
      </w:tr>
      <w:tr w:rsidR="002530E2" w14:paraId="4199E0DC" w14:textId="77777777">
        <w:tc>
          <w:tcPr>
            <w:tcW w:w="1905" w:type="dxa"/>
            <w:shd w:val="clear" w:color="auto" w:fill="auto"/>
            <w:tcMar>
              <w:top w:w="100" w:type="dxa"/>
              <w:left w:w="100" w:type="dxa"/>
              <w:bottom w:w="100" w:type="dxa"/>
              <w:right w:w="100" w:type="dxa"/>
            </w:tcMar>
          </w:tcPr>
          <w:p w14:paraId="5EAC2FC3"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EB14467" w14:textId="77777777" w:rsidR="002530E2" w:rsidRDefault="002530E2">
            <w:pPr>
              <w:spacing w:after="0" w:line="276" w:lineRule="auto"/>
            </w:pPr>
            <w:r>
              <w:t>Muslim consumers were at the centre of the controversy surrounding Nike's athletic hijabs. While some individuals within the Muslim community appreciated Nike's effort to cater to their needs, others expressed disappointment and frustration with the pricing and limited diversity in size and style options.</w:t>
            </w:r>
          </w:p>
        </w:tc>
      </w:tr>
      <w:tr w:rsidR="002530E2" w14:paraId="5F76010A" w14:textId="77777777">
        <w:tc>
          <w:tcPr>
            <w:tcW w:w="1905" w:type="dxa"/>
            <w:shd w:val="clear" w:color="auto" w:fill="auto"/>
            <w:tcMar>
              <w:top w:w="100" w:type="dxa"/>
              <w:left w:w="100" w:type="dxa"/>
              <w:bottom w:w="100" w:type="dxa"/>
              <w:right w:w="100" w:type="dxa"/>
            </w:tcMar>
          </w:tcPr>
          <w:p w14:paraId="47542FAA"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03B55B23" w14:textId="77777777" w:rsidR="002530E2" w:rsidRDefault="002530E2">
            <w:pPr>
              <w:spacing w:after="0" w:line="276" w:lineRule="auto"/>
            </w:pPr>
            <w:r>
              <w:t>Nike, a prominent sportswear brand, faced criticism and feedback from Muslim consumers regarding its line of athletic hijabs. The brand aimed to provide inclusive products, but the concerns raised highlighted areas where improvements were needed.</w:t>
            </w:r>
          </w:p>
        </w:tc>
      </w:tr>
      <w:tr w:rsidR="002530E2" w14:paraId="2533E927" w14:textId="77777777">
        <w:tc>
          <w:tcPr>
            <w:tcW w:w="1905" w:type="dxa"/>
            <w:shd w:val="clear" w:color="auto" w:fill="auto"/>
            <w:tcMar>
              <w:top w:w="100" w:type="dxa"/>
              <w:left w:w="100" w:type="dxa"/>
              <w:bottom w:w="100" w:type="dxa"/>
              <w:right w:w="100" w:type="dxa"/>
            </w:tcMar>
          </w:tcPr>
          <w:p w14:paraId="4D12C6BB"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645ED590" w14:textId="77777777" w:rsidR="002530E2" w:rsidRDefault="002530E2">
            <w:pPr>
              <w:spacing w:after="0" w:line="276" w:lineRule="auto"/>
            </w:pPr>
            <w:r>
              <w:t>The release of Nike's athletic hijabs triggered a range of reactions from Muslim consumers. While some welcomed the availability of sportswear that catered to their needs, others voiced dissatisfaction with the pricing and the limited range of sizes and styles. Social media platforms became a space for these discussions, enabling Muslim consumers to express their opinions and concerns.</w:t>
            </w:r>
          </w:p>
        </w:tc>
      </w:tr>
      <w:tr w:rsidR="002530E2" w14:paraId="139C75BA" w14:textId="77777777">
        <w:tc>
          <w:tcPr>
            <w:tcW w:w="1905" w:type="dxa"/>
            <w:shd w:val="clear" w:color="auto" w:fill="auto"/>
            <w:tcMar>
              <w:top w:w="100" w:type="dxa"/>
              <w:left w:w="100" w:type="dxa"/>
              <w:bottom w:w="100" w:type="dxa"/>
              <w:right w:w="100" w:type="dxa"/>
            </w:tcMar>
          </w:tcPr>
          <w:p w14:paraId="53844FF6"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15FC858F" w14:textId="77777777" w:rsidR="002530E2" w:rsidRDefault="002530E2">
            <w:pPr>
              <w:spacing w:after="0" w:line="276" w:lineRule="auto"/>
            </w:pPr>
            <w:r>
              <w:t>Nike's brand image was impacted by the controversy surrounding its athletic hijabs. The criticism regarding pricing and limited options prompted the brand to reevaluate its approach and address the concerns raised. This incident highlighted the importance of considering diverse perspectives and needs when designing and marketing inclusive products.</w:t>
            </w:r>
          </w:p>
        </w:tc>
      </w:tr>
      <w:tr w:rsidR="002530E2" w14:paraId="6E9568B9" w14:textId="77777777">
        <w:tc>
          <w:tcPr>
            <w:tcW w:w="1905" w:type="dxa"/>
            <w:shd w:val="clear" w:color="auto" w:fill="auto"/>
            <w:tcMar>
              <w:top w:w="100" w:type="dxa"/>
              <w:left w:w="100" w:type="dxa"/>
              <w:bottom w:w="100" w:type="dxa"/>
              <w:right w:w="100" w:type="dxa"/>
            </w:tcMar>
          </w:tcPr>
          <w:p w14:paraId="745D0B94" w14:textId="77777777" w:rsidR="002530E2" w:rsidRDefault="002530E2">
            <w:pPr>
              <w:spacing w:after="0" w:line="276" w:lineRule="auto"/>
            </w:pPr>
            <w:r>
              <w:t xml:space="preserve">IRE 9: REASONS — WHY DID THE </w:t>
            </w:r>
            <w:r>
              <w:lastRenderedPageBreak/>
              <w:t xml:space="preserve">BLUNDER HAPPEN? </w:t>
            </w:r>
          </w:p>
        </w:tc>
        <w:tc>
          <w:tcPr>
            <w:tcW w:w="7125" w:type="dxa"/>
            <w:shd w:val="clear" w:color="auto" w:fill="auto"/>
            <w:tcMar>
              <w:top w:w="100" w:type="dxa"/>
              <w:left w:w="100" w:type="dxa"/>
              <w:bottom w:w="100" w:type="dxa"/>
              <w:right w:w="100" w:type="dxa"/>
            </w:tcMar>
          </w:tcPr>
          <w:p w14:paraId="309210A5" w14:textId="77777777" w:rsidR="002530E2" w:rsidRDefault="002530E2">
            <w:pPr>
              <w:spacing w:after="0" w:line="276" w:lineRule="auto"/>
            </w:pPr>
            <w:r>
              <w:lastRenderedPageBreak/>
              <w:t xml:space="preserve">The controversy surrounding Nike's athletic hijabs stemmed from concerns about affordability and the lack of size and style options. These issues </w:t>
            </w:r>
            <w:r>
              <w:lastRenderedPageBreak/>
              <w:t>reflected a gap between the brand's understanding of Muslim consumers' needs and the actual requirements and preferences within the community.</w:t>
            </w:r>
          </w:p>
        </w:tc>
      </w:tr>
      <w:tr w:rsidR="002530E2" w14:paraId="2C911BF7" w14:textId="77777777">
        <w:tc>
          <w:tcPr>
            <w:tcW w:w="1905" w:type="dxa"/>
            <w:shd w:val="clear" w:color="auto" w:fill="auto"/>
            <w:tcMar>
              <w:top w:w="100" w:type="dxa"/>
              <w:left w:w="100" w:type="dxa"/>
              <w:bottom w:w="100" w:type="dxa"/>
              <w:right w:w="100" w:type="dxa"/>
            </w:tcMar>
          </w:tcPr>
          <w:p w14:paraId="74DF78CA" w14:textId="77777777" w:rsidR="002530E2" w:rsidRDefault="002530E2">
            <w:pPr>
              <w:spacing w:after="0" w:line="276" w:lineRule="auto"/>
            </w:pPr>
            <w:r>
              <w:lastRenderedPageBreak/>
              <w:t>IRE 10: DAMAGE CONTROL — HOW DID THE MNC ADDRESS THE ISSUES?</w:t>
            </w:r>
          </w:p>
        </w:tc>
        <w:tc>
          <w:tcPr>
            <w:tcW w:w="7125" w:type="dxa"/>
            <w:shd w:val="clear" w:color="auto" w:fill="auto"/>
            <w:tcMar>
              <w:top w:w="100" w:type="dxa"/>
              <w:left w:w="100" w:type="dxa"/>
              <w:bottom w:w="100" w:type="dxa"/>
              <w:right w:w="100" w:type="dxa"/>
            </w:tcMar>
          </w:tcPr>
          <w:p w14:paraId="3C29D9B0" w14:textId="77777777" w:rsidR="002530E2" w:rsidRDefault="002530E2">
            <w:pPr>
              <w:spacing w:after="0" w:line="276" w:lineRule="auto"/>
            </w:pPr>
            <w:r>
              <w:t>In response to the criticism, Nike engaged in dialogue with Muslim consumers and took steps to address their concerns. The brand acknowledged the importance of affordability and diversity and pledged to improve the accessibility and range of its athletic hijabs.</w:t>
            </w:r>
          </w:p>
        </w:tc>
      </w:tr>
      <w:tr w:rsidR="002530E2" w14:paraId="7F10C6C4" w14:textId="77777777">
        <w:tc>
          <w:tcPr>
            <w:tcW w:w="1905" w:type="dxa"/>
            <w:shd w:val="clear" w:color="auto" w:fill="auto"/>
            <w:tcMar>
              <w:top w:w="100" w:type="dxa"/>
              <w:left w:w="100" w:type="dxa"/>
              <w:bottom w:w="100" w:type="dxa"/>
              <w:right w:w="100" w:type="dxa"/>
            </w:tcMar>
          </w:tcPr>
          <w:p w14:paraId="55EAA334"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2583DEE1" w14:textId="77777777" w:rsidR="002530E2" w:rsidRDefault="002530E2">
            <w:pPr>
              <w:spacing w:after="0" w:line="276" w:lineRule="auto"/>
            </w:pPr>
            <w:r>
              <w:t>To prevent similar incidents, Nike should conduct comprehensive market research to better understand the needs, preferences, and purchasing power of Muslim consumers. This research would enable the brand to design products that align with their expectations and ensure appropriate pricing and diverse size and style options.</w:t>
            </w:r>
          </w:p>
          <w:p w14:paraId="4F0A212C" w14:textId="77777777" w:rsidR="002530E2" w:rsidRDefault="002530E2">
            <w:pPr>
              <w:spacing w:after="0" w:line="276" w:lineRule="auto"/>
            </w:pPr>
          </w:p>
          <w:p w14:paraId="52A7811B" w14:textId="77777777" w:rsidR="002530E2" w:rsidRDefault="002530E2">
            <w:pPr>
              <w:spacing w:after="0" w:line="276" w:lineRule="auto"/>
            </w:pPr>
            <w:r>
              <w:t>In the future, Nike can establish partnerships with Muslim athletes, designers, and influencers to ensure the inclusivity and authenticity of their products. Ongoing communication and engagement with the Muslim community will aid in understanding evolving needs and maintaining a positive brand reputation.</w:t>
            </w:r>
          </w:p>
        </w:tc>
      </w:tr>
      <w:tr w:rsidR="002530E2" w14:paraId="55CCD3DD" w14:textId="77777777">
        <w:tc>
          <w:tcPr>
            <w:tcW w:w="1905" w:type="dxa"/>
            <w:shd w:val="clear" w:color="auto" w:fill="auto"/>
            <w:tcMar>
              <w:top w:w="100" w:type="dxa"/>
              <w:left w:w="100" w:type="dxa"/>
              <w:bottom w:w="100" w:type="dxa"/>
              <w:right w:w="100" w:type="dxa"/>
            </w:tcMar>
          </w:tcPr>
          <w:p w14:paraId="41A644DD"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2ACAF46" w14:textId="77777777" w:rsidR="002530E2" w:rsidRDefault="002530E2">
            <w:pPr>
              <w:spacing w:after="0" w:line="276" w:lineRule="auto"/>
            </w:pPr>
            <w:r>
              <w:t>Nike's release of athletic hijabs in 2019 garnered mixed reactions from Muslim consumers. While the effort was appreciated, concerns regarding pricing and the limited diversity of size and style options were raised. The incident highlighted the need for brands to prioritise affordability, inclusivity, and understanding of consumer needs when introducing products targeting specific communities.</w:t>
            </w:r>
          </w:p>
        </w:tc>
      </w:tr>
    </w:tbl>
    <w:p w14:paraId="2DE8B168" w14:textId="77777777" w:rsidR="002530E2" w:rsidRDefault="002530E2"/>
    <w:p w14:paraId="52EAC0BE" w14:textId="77777777" w:rsidR="002530E2" w:rsidRDefault="002530E2">
      <w:pPr>
        <w:pStyle w:val="Heading2"/>
      </w:pPr>
      <w:bookmarkStart w:id="462" w:name="_c53u5ijyr8yw" w:colFirst="0" w:colLast="0"/>
      <w:bookmarkEnd w:id="462"/>
      <w:r>
        <w:t>IR 043 (2019: McDonald's, UK &amp; Canada)</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78915DDB" w14:textId="77777777">
        <w:tc>
          <w:tcPr>
            <w:tcW w:w="1905" w:type="dxa"/>
            <w:shd w:val="clear" w:color="auto" w:fill="auto"/>
            <w:tcMar>
              <w:top w:w="100" w:type="dxa"/>
              <w:left w:w="100" w:type="dxa"/>
              <w:bottom w:w="100" w:type="dxa"/>
              <w:right w:w="100" w:type="dxa"/>
            </w:tcMar>
          </w:tcPr>
          <w:p w14:paraId="12F10A53"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4425C8B3" w14:textId="77777777" w:rsidR="002530E2" w:rsidRDefault="002530E2">
            <w:pPr>
              <w:spacing w:after="0" w:line="276" w:lineRule="auto"/>
            </w:pPr>
            <w:r>
              <w:t>Incident Report Title: “McDonald's Controversy Regarding Undisclosed Halal Meat”</w:t>
            </w:r>
          </w:p>
        </w:tc>
      </w:tr>
      <w:tr w:rsidR="002530E2" w14:paraId="2216AC16" w14:textId="77777777">
        <w:tc>
          <w:tcPr>
            <w:tcW w:w="1905" w:type="dxa"/>
            <w:shd w:val="clear" w:color="auto" w:fill="auto"/>
            <w:tcMar>
              <w:top w:w="100" w:type="dxa"/>
              <w:left w:w="100" w:type="dxa"/>
              <w:bottom w:w="100" w:type="dxa"/>
              <w:right w:w="100" w:type="dxa"/>
            </w:tcMar>
          </w:tcPr>
          <w:p w14:paraId="7BCA8ACC"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243BB836" w14:textId="77777777" w:rsidR="002530E2" w:rsidRDefault="002530E2">
            <w:pPr>
              <w:spacing w:after="0" w:line="276" w:lineRule="auto"/>
            </w:pPr>
            <w:r>
              <w:t>This case examines the cross-cultural blunder by McDonald's in 2019, which resulted in criticism from Muslim consumers. The report focuses on the controversy surrounding McDonald's restaurants in the UK and Canada serving halal meat without properly informing customers, leading to feelings of deception and calls for a boycott.</w:t>
            </w:r>
          </w:p>
        </w:tc>
      </w:tr>
      <w:tr w:rsidR="002530E2" w14:paraId="4896C367" w14:textId="77777777">
        <w:tc>
          <w:tcPr>
            <w:tcW w:w="1905" w:type="dxa"/>
            <w:shd w:val="clear" w:color="auto" w:fill="auto"/>
            <w:tcMar>
              <w:top w:w="100" w:type="dxa"/>
              <w:left w:w="100" w:type="dxa"/>
              <w:bottom w:w="100" w:type="dxa"/>
              <w:right w:w="100" w:type="dxa"/>
            </w:tcMar>
          </w:tcPr>
          <w:p w14:paraId="5AD491DF" w14:textId="77777777" w:rsidR="002530E2" w:rsidRDefault="002530E2">
            <w:pPr>
              <w:spacing w:after="0" w:line="276" w:lineRule="auto"/>
            </w:pPr>
            <w:r>
              <w:lastRenderedPageBreak/>
              <w:t>IRE 2: INCIDENT BACKGROUND — WHAT HAPPENED?</w:t>
            </w:r>
          </w:p>
        </w:tc>
        <w:tc>
          <w:tcPr>
            <w:tcW w:w="7125" w:type="dxa"/>
            <w:shd w:val="clear" w:color="auto" w:fill="auto"/>
            <w:tcMar>
              <w:top w:w="100" w:type="dxa"/>
              <w:left w:w="100" w:type="dxa"/>
              <w:bottom w:w="100" w:type="dxa"/>
              <w:right w:w="100" w:type="dxa"/>
            </w:tcMar>
          </w:tcPr>
          <w:p w14:paraId="27ECF599" w14:textId="77777777" w:rsidR="002530E2" w:rsidRDefault="002530E2">
            <w:pPr>
              <w:spacing w:after="0" w:line="276" w:lineRule="auto"/>
            </w:pPr>
            <w:r>
              <w:t>In 2019, McDonald's faced criticism when it was revealed that some of its restaurants in the UK and Canada were serving halal meat without properly disclosing this information to customers. This revelation caused discontent among Muslim consumers, who expected transparency regarding the meat they were consuming.</w:t>
            </w:r>
          </w:p>
        </w:tc>
      </w:tr>
      <w:tr w:rsidR="002530E2" w14:paraId="71BE881F" w14:textId="77777777">
        <w:tc>
          <w:tcPr>
            <w:tcW w:w="1905" w:type="dxa"/>
            <w:shd w:val="clear" w:color="auto" w:fill="auto"/>
            <w:tcMar>
              <w:top w:w="100" w:type="dxa"/>
              <w:left w:w="100" w:type="dxa"/>
              <w:bottom w:w="100" w:type="dxa"/>
              <w:right w:w="100" w:type="dxa"/>
            </w:tcMar>
          </w:tcPr>
          <w:p w14:paraId="5AD31192"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6E55EEFE" w14:textId="77777777" w:rsidR="002530E2" w:rsidRDefault="002530E2">
            <w:pPr>
              <w:spacing w:after="0" w:line="276" w:lineRule="auto"/>
            </w:pPr>
            <w:r>
              <w:t>The incident occurred in 2019, when it was discovered that certain McDonald's restaurants in the UK and Canada were serving halal meat without informing customers.</w:t>
            </w:r>
          </w:p>
        </w:tc>
      </w:tr>
      <w:tr w:rsidR="002530E2" w14:paraId="2D5B5A35" w14:textId="77777777">
        <w:tc>
          <w:tcPr>
            <w:tcW w:w="1905" w:type="dxa"/>
            <w:shd w:val="clear" w:color="auto" w:fill="auto"/>
            <w:tcMar>
              <w:top w:w="100" w:type="dxa"/>
              <w:left w:w="100" w:type="dxa"/>
              <w:bottom w:w="100" w:type="dxa"/>
              <w:right w:w="100" w:type="dxa"/>
            </w:tcMar>
          </w:tcPr>
          <w:p w14:paraId="35790539"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7ECA2E33" w14:textId="77777777" w:rsidR="002530E2" w:rsidRDefault="002530E2">
            <w:pPr>
              <w:spacing w:after="0" w:line="276" w:lineRule="auto"/>
            </w:pPr>
            <w:r>
              <w:t>The controversy surrounding McDonald's and the undisclosed serving of halal meat affected Muslim consumers in the UK and Canada, where these restaurants were located. It impacted individuals who expected accurate information about the food they were consuming.</w:t>
            </w:r>
          </w:p>
        </w:tc>
      </w:tr>
      <w:tr w:rsidR="002530E2" w14:paraId="0CE2E7D6" w14:textId="77777777">
        <w:tc>
          <w:tcPr>
            <w:tcW w:w="1905" w:type="dxa"/>
            <w:shd w:val="clear" w:color="auto" w:fill="auto"/>
            <w:tcMar>
              <w:top w:w="100" w:type="dxa"/>
              <w:left w:w="100" w:type="dxa"/>
              <w:bottom w:w="100" w:type="dxa"/>
              <w:right w:w="100" w:type="dxa"/>
            </w:tcMar>
          </w:tcPr>
          <w:p w14:paraId="24A06A83"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3922F377" w14:textId="77777777" w:rsidR="002530E2" w:rsidRDefault="002530E2">
            <w:pPr>
              <w:spacing w:after="0" w:line="276" w:lineRule="auto"/>
            </w:pPr>
            <w:r>
              <w:t>Muslim consumers who patronized McDonald's in the UK and Canada were directly affected by this incident. They felt deceived and misled by McDonald's failure to disclose that certain restaurants were serving halal meat, which is a significant consideration for individuals following halal dietary guidelines.</w:t>
            </w:r>
          </w:p>
        </w:tc>
      </w:tr>
      <w:tr w:rsidR="002530E2" w14:paraId="1D0C9381" w14:textId="77777777">
        <w:tc>
          <w:tcPr>
            <w:tcW w:w="1905" w:type="dxa"/>
            <w:shd w:val="clear" w:color="auto" w:fill="auto"/>
            <w:tcMar>
              <w:top w:w="100" w:type="dxa"/>
              <w:left w:w="100" w:type="dxa"/>
              <w:bottom w:w="100" w:type="dxa"/>
              <w:right w:w="100" w:type="dxa"/>
            </w:tcMar>
          </w:tcPr>
          <w:p w14:paraId="77E4BAC8"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1CDE73C8" w14:textId="77777777" w:rsidR="002530E2" w:rsidRDefault="002530E2">
            <w:pPr>
              <w:spacing w:after="0" w:line="276" w:lineRule="auto"/>
            </w:pPr>
            <w:r>
              <w:t>McDonald's, a multinational fast-food chain, faced criticism from Muslim consumers for serving halal meat without proper disclosure. The company was held accountable for not providing clear information to customers regarding the halal status of the meat served in specific restaurants.</w:t>
            </w:r>
          </w:p>
        </w:tc>
      </w:tr>
      <w:tr w:rsidR="002530E2" w14:paraId="2F2B62DC" w14:textId="77777777">
        <w:tc>
          <w:tcPr>
            <w:tcW w:w="1905" w:type="dxa"/>
            <w:shd w:val="clear" w:color="auto" w:fill="auto"/>
            <w:tcMar>
              <w:top w:w="100" w:type="dxa"/>
              <w:left w:w="100" w:type="dxa"/>
              <w:bottom w:w="100" w:type="dxa"/>
              <w:right w:w="100" w:type="dxa"/>
            </w:tcMar>
          </w:tcPr>
          <w:p w14:paraId="06837929"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CCBBD55" w14:textId="77777777" w:rsidR="002530E2" w:rsidRDefault="002530E2">
            <w:pPr>
              <w:spacing w:after="0" w:line="276" w:lineRule="auto"/>
            </w:pPr>
            <w:r>
              <w:t>Muslim consumers expressed disappointment and frustration with McDonald's for not transparently communicating that certain restaurants were serving halal meat. Many individuals called for a boycott of McDonald's, as they believed the company had failed to respect their dietary requirements and cultural sensitivities.</w:t>
            </w:r>
          </w:p>
        </w:tc>
      </w:tr>
      <w:tr w:rsidR="002530E2" w14:paraId="3B44294B" w14:textId="77777777">
        <w:tc>
          <w:tcPr>
            <w:tcW w:w="1905" w:type="dxa"/>
            <w:shd w:val="clear" w:color="auto" w:fill="auto"/>
            <w:tcMar>
              <w:top w:w="100" w:type="dxa"/>
              <w:left w:w="100" w:type="dxa"/>
              <w:bottom w:w="100" w:type="dxa"/>
              <w:right w:w="100" w:type="dxa"/>
            </w:tcMar>
          </w:tcPr>
          <w:p w14:paraId="2E7C6ADD"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761C6B10" w14:textId="77777777" w:rsidR="002530E2" w:rsidRDefault="002530E2">
            <w:pPr>
              <w:spacing w:after="0" w:line="276" w:lineRule="auto"/>
            </w:pPr>
            <w:r>
              <w:t>The controversy had significant repercussions for McDonald's, including a damaged reputation and potential financial losses due to the boycott. McDonald's faced the challenge of rebuilding trust with Muslim consumers and implementing measures to ensure transparency regarding the halal status of their food offerings.</w:t>
            </w:r>
          </w:p>
        </w:tc>
      </w:tr>
      <w:tr w:rsidR="002530E2" w14:paraId="10B4338C" w14:textId="77777777">
        <w:tc>
          <w:tcPr>
            <w:tcW w:w="1905" w:type="dxa"/>
            <w:shd w:val="clear" w:color="auto" w:fill="auto"/>
            <w:tcMar>
              <w:top w:w="100" w:type="dxa"/>
              <w:left w:w="100" w:type="dxa"/>
              <w:bottom w:w="100" w:type="dxa"/>
              <w:right w:w="100" w:type="dxa"/>
            </w:tcMar>
          </w:tcPr>
          <w:p w14:paraId="40F0EC0D"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759C8556" w14:textId="77777777" w:rsidR="002530E2" w:rsidRDefault="002530E2">
            <w:pPr>
              <w:spacing w:after="0" w:line="276" w:lineRule="auto"/>
            </w:pPr>
            <w:r>
              <w:t>The failure to properly disclose the serving of halal meat at certain McDonald's restaurants can be attributed to inadequate communication and a lack of transparency. McDonald's should have taken proactive measures to inform customers about the availability of halal options to avoid any confusion or perception of deception.</w:t>
            </w:r>
          </w:p>
        </w:tc>
      </w:tr>
      <w:tr w:rsidR="002530E2" w14:paraId="4B53F96F" w14:textId="77777777">
        <w:tc>
          <w:tcPr>
            <w:tcW w:w="1905" w:type="dxa"/>
            <w:shd w:val="clear" w:color="auto" w:fill="auto"/>
            <w:tcMar>
              <w:top w:w="100" w:type="dxa"/>
              <w:left w:w="100" w:type="dxa"/>
              <w:bottom w:w="100" w:type="dxa"/>
              <w:right w:w="100" w:type="dxa"/>
            </w:tcMar>
          </w:tcPr>
          <w:p w14:paraId="6C2A4CB6" w14:textId="77777777" w:rsidR="002530E2" w:rsidRDefault="002530E2">
            <w:pPr>
              <w:spacing w:after="0" w:line="276" w:lineRule="auto"/>
            </w:pPr>
            <w:r>
              <w:lastRenderedPageBreak/>
              <w:t>IRE 10: DAMAGE CONTROL — HOW DID THE MNC ADDRESS THE ISSUES?</w:t>
            </w:r>
          </w:p>
        </w:tc>
        <w:tc>
          <w:tcPr>
            <w:tcW w:w="7125" w:type="dxa"/>
            <w:shd w:val="clear" w:color="auto" w:fill="auto"/>
            <w:tcMar>
              <w:top w:w="100" w:type="dxa"/>
              <w:left w:w="100" w:type="dxa"/>
              <w:bottom w:w="100" w:type="dxa"/>
              <w:right w:w="100" w:type="dxa"/>
            </w:tcMar>
          </w:tcPr>
          <w:p w14:paraId="2DCDCD91" w14:textId="77777777" w:rsidR="002530E2" w:rsidRDefault="002530E2">
            <w:pPr>
              <w:spacing w:after="0" w:line="276" w:lineRule="auto"/>
            </w:pPr>
            <w:r>
              <w:t>In response to the criticism, McDonald's issued apologies and committed to improving communication and transparency regarding the halal status of its food offerings. The company implemented measures such as clear labelling and signage in restaurants to indicate which locations served halal meat.</w:t>
            </w:r>
          </w:p>
        </w:tc>
      </w:tr>
      <w:tr w:rsidR="002530E2" w14:paraId="5948A8E9" w14:textId="77777777">
        <w:tc>
          <w:tcPr>
            <w:tcW w:w="1905" w:type="dxa"/>
            <w:shd w:val="clear" w:color="auto" w:fill="auto"/>
            <w:tcMar>
              <w:top w:w="100" w:type="dxa"/>
              <w:left w:w="100" w:type="dxa"/>
              <w:bottom w:w="100" w:type="dxa"/>
              <w:right w:w="100" w:type="dxa"/>
            </w:tcMar>
          </w:tcPr>
          <w:p w14:paraId="6F94F54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4092C2D1" w14:textId="77777777" w:rsidR="002530E2" w:rsidRDefault="002530E2">
            <w:pPr>
              <w:spacing w:after="0" w:line="276" w:lineRule="auto"/>
            </w:pPr>
            <w:r>
              <w:t>To prevent similar incidents in the future, McDonald's should establish standardised protocols for communicating the availability of halal options. Improved staff training and customer education can help ensure accurate information is provided, allowing Muslim consumers to make informed choices. Moving forward, McDonald's can engage with Muslim consumer communities and seek input to better understand their needs and expectations. Collaboration with recognised halal certification authorities and regular audits can further enhance transparency and ensure compliance with halal standards.</w:t>
            </w:r>
          </w:p>
        </w:tc>
      </w:tr>
      <w:tr w:rsidR="002530E2" w14:paraId="5038D536" w14:textId="77777777">
        <w:tc>
          <w:tcPr>
            <w:tcW w:w="1905" w:type="dxa"/>
            <w:shd w:val="clear" w:color="auto" w:fill="auto"/>
            <w:tcMar>
              <w:top w:w="100" w:type="dxa"/>
              <w:left w:w="100" w:type="dxa"/>
              <w:bottom w:w="100" w:type="dxa"/>
              <w:right w:w="100" w:type="dxa"/>
            </w:tcMar>
          </w:tcPr>
          <w:p w14:paraId="5384DC71"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2B09C72D" w14:textId="77777777" w:rsidR="002530E2" w:rsidRDefault="002530E2">
            <w:pPr>
              <w:spacing w:after="0" w:line="276" w:lineRule="auto"/>
            </w:pPr>
            <w:r>
              <w:t>The controversy surrounding McDonald's undisclosed serving of halal meat highlights the importance of clear communication and transparency in the food industry. McDonald's faced criticism from Muslim consumers, leading to calls for a boycott and emphasising the need for improved communication and measures to regain trust and meet the expectations of diverse customer segments.</w:t>
            </w:r>
          </w:p>
          <w:p w14:paraId="312AC0F2" w14:textId="77777777" w:rsidR="002530E2" w:rsidRDefault="002530E2">
            <w:pPr>
              <w:spacing w:after="0" w:line="276" w:lineRule="auto"/>
            </w:pPr>
          </w:p>
        </w:tc>
      </w:tr>
    </w:tbl>
    <w:p w14:paraId="2F585588" w14:textId="77777777" w:rsidR="002530E2" w:rsidRDefault="002530E2"/>
    <w:p w14:paraId="6AD5FEDF" w14:textId="77777777" w:rsidR="002530E2" w:rsidRDefault="002530E2">
      <w:pPr>
        <w:pStyle w:val="Heading2"/>
      </w:pPr>
      <w:bookmarkStart w:id="463" w:name="_4c88jxw6w0hq" w:colFirst="0" w:colLast="0"/>
      <w:bookmarkEnd w:id="463"/>
      <w:r>
        <w:t>IR 044 (2019: McDonald's, UK)</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6184F116" w14:textId="77777777">
        <w:tc>
          <w:tcPr>
            <w:tcW w:w="1905" w:type="dxa"/>
            <w:shd w:val="clear" w:color="auto" w:fill="auto"/>
            <w:tcMar>
              <w:top w:w="100" w:type="dxa"/>
              <w:left w:w="100" w:type="dxa"/>
              <w:bottom w:w="100" w:type="dxa"/>
              <w:right w:w="100" w:type="dxa"/>
            </w:tcMar>
          </w:tcPr>
          <w:p w14:paraId="2E9FA141"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3CFA1859" w14:textId="77777777" w:rsidR="002530E2" w:rsidRDefault="002530E2">
            <w:pPr>
              <w:spacing w:after="0" w:line="276" w:lineRule="auto"/>
            </w:pPr>
            <w:r>
              <w:t>Incident Report Title: “McDonald's Controversy Over Non-Halal French Fries”</w:t>
            </w:r>
          </w:p>
        </w:tc>
      </w:tr>
      <w:tr w:rsidR="002530E2" w14:paraId="07E56C98" w14:textId="77777777">
        <w:tc>
          <w:tcPr>
            <w:tcW w:w="1905" w:type="dxa"/>
            <w:shd w:val="clear" w:color="auto" w:fill="auto"/>
            <w:tcMar>
              <w:top w:w="100" w:type="dxa"/>
              <w:left w:w="100" w:type="dxa"/>
              <w:bottom w:w="100" w:type="dxa"/>
              <w:right w:w="100" w:type="dxa"/>
            </w:tcMar>
          </w:tcPr>
          <w:p w14:paraId="4421C244"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E268C68" w14:textId="77777777" w:rsidR="002530E2" w:rsidRDefault="002530E2">
            <w:pPr>
              <w:spacing w:after="0" w:line="276" w:lineRule="auto"/>
            </w:pPr>
            <w:r>
              <w:t>This case examines the controversy faced by McDonald's in 2019 in the UK when it was revealed that their French fries were not halal-certified. The controversy arose as many Muslim consumers felt misled by the fast food chain and called for a boycott.</w:t>
            </w:r>
          </w:p>
        </w:tc>
      </w:tr>
      <w:tr w:rsidR="002530E2" w14:paraId="13F2C6ED" w14:textId="77777777">
        <w:tc>
          <w:tcPr>
            <w:tcW w:w="1905" w:type="dxa"/>
            <w:shd w:val="clear" w:color="auto" w:fill="auto"/>
            <w:tcMar>
              <w:top w:w="100" w:type="dxa"/>
              <w:left w:w="100" w:type="dxa"/>
              <w:bottom w:w="100" w:type="dxa"/>
              <w:right w:w="100" w:type="dxa"/>
            </w:tcMar>
          </w:tcPr>
          <w:p w14:paraId="0783AB89"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1584F9B" w14:textId="77777777" w:rsidR="002530E2" w:rsidRDefault="002530E2">
            <w:pPr>
              <w:spacing w:after="0" w:line="276" w:lineRule="auto"/>
            </w:pPr>
            <w:r>
              <w:t>In 2019, it came to light that McDonald's French fries in the UK were not halal-certified, meaning they did not adhere to the dietary requirements of Islam. This revelation sparked criticism and dissatisfaction among Muslim consumers, who had previously assumed that McDonald's products, including their popular French fries, were halal.</w:t>
            </w:r>
          </w:p>
        </w:tc>
      </w:tr>
      <w:tr w:rsidR="002530E2" w14:paraId="47EDDEBC" w14:textId="77777777">
        <w:tc>
          <w:tcPr>
            <w:tcW w:w="1905" w:type="dxa"/>
            <w:shd w:val="clear" w:color="auto" w:fill="auto"/>
            <w:tcMar>
              <w:top w:w="100" w:type="dxa"/>
              <w:left w:w="100" w:type="dxa"/>
              <w:bottom w:w="100" w:type="dxa"/>
              <w:right w:w="100" w:type="dxa"/>
            </w:tcMar>
          </w:tcPr>
          <w:p w14:paraId="63C62EDD" w14:textId="77777777" w:rsidR="002530E2" w:rsidRDefault="002530E2">
            <w:pPr>
              <w:spacing w:after="0" w:line="276" w:lineRule="auto"/>
            </w:pPr>
            <w:r>
              <w:lastRenderedPageBreak/>
              <w:t>IRE 3: TIME — WHEN DID THE BLUNDER OCCUR?</w:t>
            </w:r>
          </w:p>
        </w:tc>
        <w:tc>
          <w:tcPr>
            <w:tcW w:w="7125" w:type="dxa"/>
            <w:shd w:val="clear" w:color="auto" w:fill="auto"/>
            <w:tcMar>
              <w:top w:w="100" w:type="dxa"/>
              <w:left w:w="100" w:type="dxa"/>
              <w:bottom w:w="100" w:type="dxa"/>
              <w:right w:w="100" w:type="dxa"/>
            </w:tcMar>
          </w:tcPr>
          <w:p w14:paraId="4500BA0A" w14:textId="77777777" w:rsidR="002530E2" w:rsidRDefault="002530E2">
            <w:pPr>
              <w:spacing w:after="0" w:line="276" w:lineRule="auto"/>
            </w:pPr>
            <w:r>
              <w:t>The incident occurred in 2019, when it was revealed that McDonald's French fries in the UK were not halal-certified.</w:t>
            </w:r>
          </w:p>
        </w:tc>
      </w:tr>
      <w:tr w:rsidR="002530E2" w14:paraId="2DD71A7F" w14:textId="77777777">
        <w:tc>
          <w:tcPr>
            <w:tcW w:w="1905" w:type="dxa"/>
            <w:shd w:val="clear" w:color="auto" w:fill="auto"/>
            <w:tcMar>
              <w:top w:w="100" w:type="dxa"/>
              <w:left w:w="100" w:type="dxa"/>
              <w:bottom w:w="100" w:type="dxa"/>
              <w:right w:w="100" w:type="dxa"/>
            </w:tcMar>
          </w:tcPr>
          <w:p w14:paraId="0B86A89E"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47FF7277" w14:textId="77777777" w:rsidR="002530E2" w:rsidRDefault="002530E2">
            <w:pPr>
              <w:spacing w:after="0" w:line="276" w:lineRule="auto"/>
            </w:pPr>
            <w:r>
              <w:t>The controversy took place primarily in the UK, where Muslim consumers were affected by the revelation regarding McDonald's French fries.</w:t>
            </w:r>
          </w:p>
        </w:tc>
      </w:tr>
      <w:tr w:rsidR="002530E2" w14:paraId="0776BCCF" w14:textId="77777777">
        <w:tc>
          <w:tcPr>
            <w:tcW w:w="1905" w:type="dxa"/>
            <w:shd w:val="clear" w:color="auto" w:fill="auto"/>
            <w:tcMar>
              <w:top w:w="100" w:type="dxa"/>
              <w:left w:w="100" w:type="dxa"/>
              <w:bottom w:w="100" w:type="dxa"/>
              <w:right w:w="100" w:type="dxa"/>
            </w:tcMar>
          </w:tcPr>
          <w:p w14:paraId="302036C1"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EE161ED" w14:textId="77777777" w:rsidR="002530E2" w:rsidRDefault="002530E2">
            <w:pPr>
              <w:spacing w:after="0" w:line="276" w:lineRule="auto"/>
            </w:pPr>
            <w:r>
              <w:t>Muslim consumers in the UK were the primary victims of this controversy. Many individuals within the Muslim community felt deceived and misled by McDonald's, as they had consumed French fries under the assumption that they were halal.</w:t>
            </w:r>
          </w:p>
        </w:tc>
      </w:tr>
      <w:tr w:rsidR="002530E2" w14:paraId="6B175E03" w14:textId="77777777">
        <w:tc>
          <w:tcPr>
            <w:tcW w:w="1905" w:type="dxa"/>
            <w:shd w:val="clear" w:color="auto" w:fill="auto"/>
            <w:tcMar>
              <w:top w:w="100" w:type="dxa"/>
              <w:left w:w="100" w:type="dxa"/>
              <w:bottom w:w="100" w:type="dxa"/>
              <w:right w:w="100" w:type="dxa"/>
            </w:tcMar>
          </w:tcPr>
          <w:p w14:paraId="71360067"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3FBA59E4" w14:textId="77777777" w:rsidR="002530E2" w:rsidRDefault="002530E2">
            <w:pPr>
              <w:spacing w:after="0" w:line="276" w:lineRule="auto"/>
            </w:pPr>
            <w:r>
              <w:t>McDonald's, the multinational fast food chain, faced backlash and criticism from Muslim consumers in the UK. The brand was under scrutiny for not having halal certification for their French fries, which conflicted with the expectations of Muslim customers.</w:t>
            </w:r>
          </w:p>
        </w:tc>
      </w:tr>
      <w:tr w:rsidR="002530E2" w14:paraId="56EABFC6" w14:textId="77777777">
        <w:tc>
          <w:tcPr>
            <w:tcW w:w="1905" w:type="dxa"/>
            <w:shd w:val="clear" w:color="auto" w:fill="auto"/>
            <w:tcMar>
              <w:top w:w="100" w:type="dxa"/>
              <w:left w:w="100" w:type="dxa"/>
              <w:bottom w:w="100" w:type="dxa"/>
              <w:right w:w="100" w:type="dxa"/>
            </w:tcMar>
          </w:tcPr>
          <w:p w14:paraId="7A7E7F4A"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61E630CB" w14:textId="77777777" w:rsidR="002530E2" w:rsidRDefault="002530E2">
            <w:pPr>
              <w:spacing w:after="0" w:line="276" w:lineRule="auto"/>
            </w:pPr>
            <w:r>
              <w:t>The revelation that McDonald's French fries in the UK were not halal-certified led to disappointment, frustration, and a sense of betrayal among Muslim consumers. Many individuals expressed their discontent on social media platforms, calling for a boycott of McDonald's and seeking alternative halal options.</w:t>
            </w:r>
          </w:p>
        </w:tc>
      </w:tr>
      <w:tr w:rsidR="002530E2" w14:paraId="59CC931B" w14:textId="77777777">
        <w:tc>
          <w:tcPr>
            <w:tcW w:w="1905" w:type="dxa"/>
            <w:shd w:val="clear" w:color="auto" w:fill="auto"/>
            <w:tcMar>
              <w:top w:w="100" w:type="dxa"/>
              <w:left w:w="100" w:type="dxa"/>
              <w:bottom w:w="100" w:type="dxa"/>
              <w:right w:w="100" w:type="dxa"/>
            </w:tcMar>
          </w:tcPr>
          <w:p w14:paraId="06CBFB94"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5A7F1EC7" w14:textId="77777777" w:rsidR="002530E2" w:rsidRDefault="002530E2">
            <w:pPr>
              <w:spacing w:after="0" w:line="276" w:lineRule="auto"/>
            </w:pPr>
            <w:r>
              <w:t>The controversy surrounding the non-halal certification of McDonald's French fries had a negative impact on the brand's image and reputation, particularly among Muslim consumers. The criticism and boycott calls highlighted the importance of transparency and catering to the specific dietary requirements of diverse customer groups.</w:t>
            </w:r>
          </w:p>
        </w:tc>
      </w:tr>
      <w:tr w:rsidR="002530E2" w14:paraId="1E3CB8E7" w14:textId="77777777">
        <w:tc>
          <w:tcPr>
            <w:tcW w:w="1905" w:type="dxa"/>
            <w:shd w:val="clear" w:color="auto" w:fill="auto"/>
            <w:tcMar>
              <w:top w:w="100" w:type="dxa"/>
              <w:left w:w="100" w:type="dxa"/>
              <w:bottom w:w="100" w:type="dxa"/>
              <w:right w:w="100" w:type="dxa"/>
            </w:tcMar>
          </w:tcPr>
          <w:p w14:paraId="18345258"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2A47C426" w14:textId="77777777" w:rsidR="002530E2" w:rsidRDefault="002530E2">
            <w:pPr>
              <w:spacing w:after="0" w:line="276" w:lineRule="auto"/>
            </w:pPr>
            <w:r>
              <w:t>The cross-cultural blunder occurred because McDonald's did not have halal certification for their French fries in the UK, which contradicted the assumptions and expectations of Muslim consumers. The lack of clarity and communication about the halal status of their products contributed to the controversy.</w:t>
            </w:r>
          </w:p>
        </w:tc>
      </w:tr>
      <w:tr w:rsidR="002530E2" w14:paraId="6B40AF92" w14:textId="77777777">
        <w:tc>
          <w:tcPr>
            <w:tcW w:w="1905" w:type="dxa"/>
            <w:shd w:val="clear" w:color="auto" w:fill="auto"/>
            <w:tcMar>
              <w:top w:w="100" w:type="dxa"/>
              <w:left w:w="100" w:type="dxa"/>
              <w:bottom w:w="100" w:type="dxa"/>
              <w:right w:w="100" w:type="dxa"/>
            </w:tcMar>
          </w:tcPr>
          <w:p w14:paraId="1A8E3A41"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5D5D9C43" w14:textId="77777777" w:rsidR="002530E2" w:rsidRDefault="002530E2">
            <w:pPr>
              <w:spacing w:after="0" w:line="276" w:lineRule="auto"/>
            </w:pPr>
            <w:r>
              <w:t>In response to the controversy, McDonald's engaged in damage control efforts. The company issued statements acknowledging the concerns of Muslim consumers and expressing their commitment to better communicate the halal status of their products. McDonald's also sought to explore opportunities to expand its range of halal-certified options.</w:t>
            </w:r>
          </w:p>
        </w:tc>
      </w:tr>
      <w:tr w:rsidR="002530E2" w14:paraId="41F30998" w14:textId="77777777">
        <w:tc>
          <w:tcPr>
            <w:tcW w:w="1905" w:type="dxa"/>
            <w:shd w:val="clear" w:color="auto" w:fill="auto"/>
            <w:tcMar>
              <w:top w:w="100" w:type="dxa"/>
              <w:left w:w="100" w:type="dxa"/>
              <w:bottom w:w="100" w:type="dxa"/>
              <w:right w:w="100" w:type="dxa"/>
            </w:tcMar>
          </w:tcPr>
          <w:p w14:paraId="2B9C7032" w14:textId="77777777" w:rsidR="002530E2" w:rsidRDefault="002530E2">
            <w:pPr>
              <w:spacing w:after="0" w:line="276" w:lineRule="auto"/>
            </w:pPr>
            <w:r>
              <w:t xml:space="preserve">IRE 11: FUTURE PREVENTION </w:t>
            </w:r>
            <w:r>
              <w:lastRenderedPageBreak/>
              <w:t>STRATEGIES — WHAT ARE THE LESSONS LEARNED?</w:t>
            </w:r>
          </w:p>
        </w:tc>
        <w:tc>
          <w:tcPr>
            <w:tcW w:w="7125" w:type="dxa"/>
            <w:shd w:val="clear" w:color="auto" w:fill="auto"/>
            <w:tcMar>
              <w:top w:w="100" w:type="dxa"/>
              <w:left w:w="100" w:type="dxa"/>
              <w:bottom w:w="100" w:type="dxa"/>
              <w:right w:w="100" w:type="dxa"/>
            </w:tcMar>
          </w:tcPr>
          <w:p w14:paraId="2B890741" w14:textId="77777777" w:rsidR="002530E2" w:rsidRDefault="002530E2">
            <w:pPr>
              <w:spacing w:after="0" w:line="276" w:lineRule="auto"/>
            </w:pPr>
            <w:r>
              <w:lastRenderedPageBreak/>
              <w:t xml:space="preserve">To prevent similar incidents in the future, McDonald's should consider obtaining halal certification for their products, particularly in regions with a </w:t>
            </w:r>
            <w:r>
              <w:lastRenderedPageBreak/>
              <w:t>significant Muslim population. Clear labelling and communication regarding the halal status of their offerings would help avoid misunderstandings and build trust among Muslim consumers.</w:t>
            </w:r>
          </w:p>
          <w:p w14:paraId="42E82154" w14:textId="77777777" w:rsidR="002530E2" w:rsidRDefault="002530E2">
            <w:pPr>
              <w:spacing w:after="0" w:line="276" w:lineRule="auto"/>
            </w:pPr>
          </w:p>
          <w:p w14:paraId="5E536FC0" w14:textId="77777777" w:rsidR="002530E2" w:rsidRDefault="002530E2">
            <w:pPr>
              <w:spacing w:after="0" w:line="276" w:lineRule="auto"/>
            </w:pPr>
            <w:r>
              <w:t>In the future, McDonald's can work closely with Muslim consumer groups and religious organisations to ensure their understanding of the specific dietary requirements and expectations. Regular audits and certification processes can be implemented to maintain compliance with halal standards and provide reassurance to Muslim consumers.</w:t>
            </w:r>
          </w:p>
        </w:tc>
      </w:tr>
      <w:tr w:rsidR="002530E2" w14:paraId="686B1ECC" w14:textId="77777777">
        <w:tc>
          <w:tcPr>
            <w:tcW w:w="1905" w:type="dxa"/>
            <w:shd w:val="clear" w:color="auto" w:fill="auto"/>
            <w:tcMar>
              <w:top w:w="100" w:type="dxa"/>
              <w:left w:w="100" w:type="dxa"/>
              <w:bottom w:w="100" w:type="dxa"/>
              <w:right w:w="100" w:type="dxa"/>
            </w:tcMar>
          </w:tcPr>
          <w:p w14:paraId="23C3D4D4"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2AC87CDE" w14:textId="77777777" w:rsidR="002530E2" w:rsidRDefault="002530E2">
            <w:pPr>
              <w:spacing w:after="0" w:line="276" w:lineRule="auto"/>
            </w:pPr>
            <w:r>
              <w:t>McDonald's faced backlash from Muslim consumers in the UK in 2019 after it was revealed that their French fries were not halal-certified. The incident highlighted the importance of clear communication and adherence to dietary requirements when catering to diverse customer groups. McDonald's took steps to address the concerns and pledged to improve transparency regarding the halal status of their products.</w:t>
            </w:r>
          </w:p>
        </w:tc>
      </w:tr>
    </w:tbl>
    <w:p w14:paraId="70896341" w14:textId="77777777" w:rsidR="002530E2" w:rsidRDefault="002530E2"/>
    <w:p w14:paraId="61B1AB13" w14:textId="77777777" w:rsidR="002530E2" w:rsidRDefault="002530E2">
      <w:pPr>
        <w:pStyle w:val="Heading2"/>
      </w:pPr>
      <w:bookmarkStart w:id="464" w:name="_xz9saxjr9biw" w:colFirst="0" w:colLast="0"/>
      <w:bookmarkEnd w:id="464"/>
      <w:r>
        <w:t>IR 045 (2019: Amazon,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9B1BB37" w14:textId="77777777">
        <w:tc>
          <w:tcPr>
            <w:tcW w:w="1905" w:type="dxa"/>
            <w:shd w:val="clear" w:color="auto" w:fill="auto"/>
            <w:tcMar>
              <w:top w:w="100" w:type="dxa"/>
              <w:left w:w="100" w:type="dxa"/>
              <w:bottom w:w="100" w:type="dxa"/>
              <w:right w:w="100" w:type="dxa"/>
            </w:tcMar>
          </w:tcPr>
          <w:p w14:paraId="77FCD87B"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3A09EC0E" w14:textId="77777777" w:rsidR="002530E2" w:rsidRDefault="002530E2">
            <w:pPr>
              <w:spacing w:after="0" w:line="276" w:lineRule="auto"/>
            </w:pPr>
            <w:r>
              <w:t>Incident Report Title: “Amazon's Controversy Over Selling Islamic Call to Prayer Doormats”</w:t>
            </w:r>
          </w:p>
        </w:tc>
      </w:tr>
      <w:tr w:rsidR="002530E2" w14:paraId="5D892F7B" w14:textId="77777777">
        <w:tc>
          <w:tcPr>
            <w:tcW w:w="1905" w:type="dxa"/>
            <w:shd w:val="clear" w:color="auto" w:fill="auto"/>
            <w:tcMar>
              <w:top w:w="100" w:type="dxa"/>
              <w:left w:w="100" w:type="dxa"/>
              <w:bottom w:w="100" w:type="dxa"/>
              <w:right w:w="100" w:type="dxa"/>
            </w:tcMar>
          </w:tcPr>
          <w:p w14:paraId="2267F690"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96AB407" w14:textId="77777777" w:rsidR="002530E2" w:rsidRDefault="002530E2">
            <w:pPr>
              <w:spacing w:after="0" w:line="276" w:lineRule="auto"/>
            </w:pPr>
            <w:r>
              <w:t>This case examines the cross-cultural blunder by Amazon in 2019, which led to criticism from Muslim consumers. The report focuses on the controversy surrounding the sale of doormats featuring the Islamic call to prayer, which was deemed disrespectful by many Muslims.</w:t>
            </w:r>
          </w:p>
        </w:tc>
      </w:tr>
      <w:tr w:rsidR="002530E2" w14:paraId="32B9C6DF" w14:textId="77777777">
        <w:tc>
          <w:tcPr>
            <w:tcW w:w="1905" w:type="dxa"/>
            <w:shd w:val="clear" w:color="auto" w:fill="auto"/>
            <w:tcMar>
              <w:top w:w="100" w:type="dxa"/>
              <w:left w:w="100" w:type="dxa"/>
              <w:bottom w:w="100" w:type="dxa"/>
              <w:right w:w="100" w:type="dxa"/>
            </w:tcMar>
          </w:tcPr>
          <w:p w14:paraId="72EF71B3"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66E9CF12" w14:textId="77777777" w:rsidR="002530E2" w:rsidRDefault="002530E2">
            <w:pPr>
              <w:spacing w:after="0" w:line="276" w:lineRule="auto"/>
            </w:pPr>
            <w:r>
              <w:t>In 2019, Amazon faced criticism when it was reported that the company was selling doormats featuring the Islamic call to prayer. The doormats, which are commonly used to clean shoes, were seen as offensive and disrespectful towards the Islamic religion and its practices.</w:t>
            </w:r>
          </w:p>
        </w:tc>
      </w:tr>
      <w:tr w:rsidR="002530E2" w14:paraId="041414C6" w14:textId="77777777">
        <w:tc>
          <w:tcPr>
            <w:tcW w:w="1905" w:type="dxa"/>
            <w:shd w:val="clear" w:color="auto" w:fill="auto"/>
            <w:tcMar>
              <w:top w:w="100" w:type="dxa"/>
              <w:left w:w="100" w:type="dxa"/>
              <w:bottom w:w="100" w:type="dxa"/>
              <w:right w:w="100" w:type="dxa"/>
            </w:tcMar>
          </w:tcPr>
          <w:p w14:paraId="1C0F30FB"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0DD6CA1B" w14:textId="77777777" w:rsidR="002530E2" w:rsidRDefault="002530E2">
            <w:pPr>
              <w:spacing w:after="0" w:line="276" w:lineRule="auto"/>
            </w:pPr>
            <w:r>
              <w:t>The incident occurred in 2019, when it came to light that Amazon was selling doormats featuring the Islamic call to prayer.</w:t>
            </w:r>
          </w:p>
        </w:tc>
      </w:tr>
      <w:tr w:rsidR="002530E2" w14:paraId="58F5982A" w14:textId="77777777">
        <w:tc>
          <w:tcPr>
            <w:tcW w:w="1905" w:type="dxa"/>
            <w:shd w:val="clear" w:color="auto" w:fill="auto"/>
            <w:tcMar>
              <w:top w:w="100" w:type="dxa"/>
              <w:left w:w="100" w:type="dxa"/>
              <w:bottom w:w="100" w:type="dxa"/>
              <w:right w:w="100" w:type="dxa"/>
            </w:tcMar>
          </w:tcPr>
          <w:p w14:paraId="116DB4CB"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38BD8073" w14:textId="77777777" w:rsidR="002530E2" w:rsidRDefault="002530E2">
            <w:pPr>
              <w:spacing w:after="0" w:line="276" w:lineRule="auto"/>
            </w:pPr>
            <w:r>
              <w:t>The controversy surrounding Amazon's sale of Islamic call-to-prayer doormats affected Muslim consumers worldwide, as Amazon operates as an online retailer serving customers globally.</w:t>
            </w:r>
          </w:p>
        </w:tc>
      </w:tr>
      <w:tr w:rsidR="002530E2" w14:paraId="19393E95" w14:textId="77777777">
        <w:tc>
          <w:tcPr>
            <w:tcW w:w="1905" w:type="dxa"/>
            <w:shd w:val="clear" w:color="auto" w:fill="auto"/>
            <w:tcMar>
              <w:top w:w="100" w:type="dxa"/>
              <w:left w:w="100" w:type="dxa"/>
              <w:bottom w:w="100" w:type="dxa"/>
              <w:right w:w="100" w:type="dxa"/>
            </w:tcMar>
          </w:tcPr>
          <w:p w14:paraId="60DB5BAC" w14:textId="77777777" w:rsidR="002530E2" w:rsidRDefault="002530E2">
            <w:pPr>
              <w:spacing w:after="0" w:line="276" w:lineRule="auto"/>
            </w:pPr>
            <w:r>
              <w:lastRenderedPageBreak/>
              <w:t>IRE 5: VICTIM GROUP — WHO WAS FIRST AFFECTED?</w:t>
            </w:r>
          </w:p>
        </w:tc>
        <w:tc>
          <w:tcPr>
            <w:tcW w:w="7125" w:type="dxa"/>
            <w:shd w:val="clear" w:color="auto" w:fill="auto"/>
            <w:tcMar>
              <w:top w:w="100" w:type="dxa"/>
              <w:left w:w="100" w:type="dxa"/>
              <w:bottom w:w="100" w:type="dxa"/>
              <w:right w:w="100" w:type="dxa"/>
            </w:tcMar>
          </w:tcPr>
          <w:p w14:paraId="5A58BC36" w14:textId="77777777" w:rsidR="002530E2" w:rsidRDefault="002530E2">
            <w:pPr>
              <w:spacing w:after="0" w:line="276" w:lineRule="auto"/>
            </w:pPr>
            <w:r>
              <w:t>Muslim consumers were directly affected by this incident, as they perceived the sale of doormats featuring the Islamic call to prayer as a disrespectful act towards their religious beliefs and practices. Many Muslims expressed their disappointment and outrage at Amazon's insensitivity.</w:t>
            </w:r>
          </w:p>
        </w:tc>
      </w:tr>
      <w:tr w:rsidR="002530E2" w14:paraId="613689ED" w14:textId="77777777">
        <w:tc>
          <w:tcPr>
            <w:tcW w:w="1905" w:type="dxa"/>
            <w:shd w:val="clear" w:color="auto" w:fill="auto"/>
            <w:tcMar>
              <w:top w:w="100" w:type="dxa"/>
              <w:left w:w="100" w:type="dxa"/>
              <w:bottom w:w="100" w:type="dxa"/>
              <w:right w:w="100" w:type="dxa"/>
            </w:tcMar>
          </w:tcPr>
          <w:p w14:paraId="4422A13C"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7F906318" w14:textId="77777777" w:rsidR="002530E2" w:rsidRDefault="002530E2">
            <w:pPr>
              <w:spacing w:after="0" w:line="276" w:lineRule="auto"/>
            </w:pPr>
            <w:r>
              <w:t>Amazon, one of the world's largest online retailers, faced criticism for selling doormats featuring the Islamic call to prayer. As the platform facilitating the sale, Amazon was held responsible for the availability of these products and the potential offence caused to Muslim consumers.</w:t>
            </w:r>
          </w:p>
        </w:tc>
      </w:tr>
      <w:tr w:rsidR="002530E2" w14:paraId="729FC4E0" w14:textId="77777777">
        <w:tc>
          <w:tcPr>
            <w:tcW w:w="1905" w:type="dxa"/>
            <w:shd w:val="clear" w:color="auto" w:fill="auto"/>
            <w:tcMar>
              <w:top w:w="100" w:type="dxa"/>
              <w:left w:w="100" w:type="dxa"/>
              <w:bottom w:w="100" w:type="dxa"/>
              <w:right w:w="100" w:type="dxa"/>
            </w:tcMar>
          </w:tcPr>
          <w:p w14:paraId="04562CD5"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790291C9" w14:textId="77777777" w:rsidR="002530E2" w:rsidRDefault="002530E2">
            <w:pPr>
              <w:spacing w:after="0" w:line="276" w:lineRule="auto"/>
            </w:pPr>
            <w:r>
              <w:t>Muslim consumers expressed their deep offence and hurt at the sale of doormats featuring the Islamic call to prayer. Many individuals called for a boycott of Amazon and voiced their concerns through social media platforms, expressing their disappointment and demanding the immediate removal of these products from the marketplace.</w:t>
            </w:r>
          </w:p>
        </w:tc>
      </w:tr>
      <w:tr w:rsidR="002530E2" w14:paraId="14E656AE" w14:textId="77777777">
        <w:tc>
          <w:tcPr>
            <w:tcW w:w="1905" w:type="dxa"/>
            <w:shd w:val="clear" w:color="auto" w:fill="auto"/>
            <w:tcMar>
              <w:top w:w="100" w:type="dxa"/>
              <w:left w:w="100" w:type="dxa"/>
              <w:bottom w:w="100" w:type="dxa"/>
              <w:right w:w="100" w:type="dxa"/>
            </w:tcMar>
          </w:tcPr>
          <w:p w14:paraId="7650C520"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13A7514B" w14:textId="77777777" w:rsidR="002530E2" w:rsidRDefault="002530E2">
            <w:pPr>
              <w:spacing w:after="0" w:line="276" w:lineRule="auto"/>
            </w:pPr>
            <w:r>
              <w:t>The controversy had significant repercussions for Amazon, as the company's reputation was tarnished by accusations of insensitivity and cultural disrespect. The calls for a boycott and negative publicity posed a threat to Amazon's customer base and brand image, potentially leading to financial losses and a loss of trust among Muslim consumers.</w:t>
            </w:r>
          </w:p>
        </w:tc>
      </w:tr>
      <w:tr w:rsidR="002530E2" w14:paraId="6D5B2527" w14:textId="77777777">
        <w:tc>
          <w:tcPr>
            <w:tcW w:w="1905" w:type="dxa"/>
            <w:shd w:val="clear" w:color="auto" w:fill="auto"/>
            <w:tcMar>
              <w:top w:w="100" w:type="dxa"/>
              <w:left w:w="100" w:type="dxa"/>
              <w:bottom w:w="100" w:type="dxa"/>
              <w:right w:w="100" w:type="dxa"/>
            </w:tcMar>
          </w:tcPr>
          <w:p w14:paraId="63982009"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5E11D667" w14:textId="77777777" w:rsidR="002530E2" w:rsidRDefault="002530E2">
            <w:pPr>
              <w:spacing w:after="0" w:line="276" w:lineRule="auto"/>
            </w:pPr>
            <w:r>
              <w:t>The sale of doormats featuring the Islamic call to prayer on Amazon's platform can be attributed to lapses in product vetting and oversight. It demonstrated a lack of cultural sensitivity and understanding of religious sensitivities, highlighting the need for robust guidelines and scrutiny when selecting and monitoring products for sale.</w:t>
            </w:r>
          </w:p>
        </w:tc>
      </w:tr>
      <w:tr w:rsidR="002530E2" w14:paraId="4DF9D0AA" w14:textId="77777777">
        <w:tc>
          <w:tcPr>
            <w:tcW w:w="1905" w:type="dxa"/>
            <w:shd w:val="clear" w:color="auto" w:fill="auto"/>
            <w:tcMar>
              <w:top w:w="100" w:type="dxa"/>
              <w:left w:w="100" w:type="dxa"/>
              <w:bottom w:w="100" w:type="dxa"/>
              <w:right w:w="100" w:type="dxa"/>
            </w:tcMar>
          </w:tcPr>
          <w:p w14:paraId="5CAD2D0C"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AA60424" w14:textId="77777777" w:rsidR="002530E2" w:rsidRDefault="002530E2">
            <w:pPr>
              <w:spacing w:after="0" w:line="276" w:lineRule="auto"/>
            </w:pPr>
            <w:r>
              <w:t>In response to the criticism, Amazon promptly removed the doormats featuring the Islamic call to prayer from its platform. The company issued a public apology, acknowledging the offence caused to Muslim consumers and pledging to strengthen its product review processes to prevent similar incidents in the future.</w:t>
            </w:r>
          </w:p>
        </w:tc>
      </w:tr>
      <w:tr w:rsidR="002530E2" w14:paraId="08DEB2B1" w14:textId="77777777">
        <w:tc>
          <w:tcPr>
            <w:tcW w:w="1905" w:type="dxa"/>
            <w:shd w:val="clear" w:color="auto" w:fill="auto"/>
            <w:tcMar>
              <w:top w:w="100" w:type="dxa"/>
              <w:left w:w="100" w:type="dxa"/>
              <w:bottom w:w="100" w:type="dxa"/>
              <w:right w:w="100" w:type="dxa"/>
            </w:tcMar>
          </w:tcPr>
          <w:p w14:paraId="03C6DFB4"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7F80BCFA" w14:textId="77777777" w:rsidR="002530E2" w:rsidRDefault="002530E2">
            <w:pPr>
              <w:spacing w:after="0" w:line="276" w:lineRule="auto"/>
            </w:pPr>
            <w:r>
              <w:t>To prevent similar incidents, Amazon should implement stricter policies and guidelines for product selection and verification. This includes establishing cultural sensitivity training for employees involved in product curation and leveraging advanced algorithms and filters to identify potentially offensive items before they are made available for sale. Moving forward, Amazon can engage in proactive collaboration with cultural and religious organisations, seeking their input and feedback on product-related matters. This approach can help Amazon better understand the diverse sensitivities of its customer base and ensure the avoidance of offensive or disrespectful products.</w:t>
            </w:r>
          </w:p>
        </w:tc>
      </w:tr>
      <w:tr w:rsidR="002530E2" w14:paraId="301FD868" w14:textId="77777777">
        <w:tc>
          <w:tcPr>
            <w:tcW w:w="1905" w:type="dxa"/>
            <w:shd w:val="clear" w:color="auto" w:fill="auto"/>
            <w:tcMar>
              <w:top w:w="100" w:type="dxa"/>
              <w:left w:w="100" w:type="dxa"/>
              <w:bottom w:w="100" w:type="dxa"/>
              <w:right w:w="100" w:type="dxa"/>
            </w:tcMar>
          </w:tcPr>
          <w:p w14:paraId="6279EB1E" w14:textId="77777777" w:rsidR="002530E2" w:rsidRDefault="002530E2">
            <w:pPr>
              <w:spacing w:after="0" w:line="276" w:lineRule="auto"/>
            </w:pPr>
            <w:r>
              <w:lastRenderedPageBreak/>
              <w:t>IRE 12: CASE SUMMARY</w:t>
            </w:r>
          </w:p>
        </w:tc>
        <w:tc>
          <w:tcPr>
            <w:tcW w:w="7125" w:type="dxa"/>
            <w:shd w:val="clear" w:color="auto" w:fill="auto"/>
            <w:tcMar>
              <w:top w:w="100" w:type="dxa"/>
              <w:left w:w="100" w:type="dxa"/>
              <w:bottom w:w="100" w:type="dxa"/>
              <w:right w:w="100" w:type="dxa"/>
            </w:tcMar>
          </w:tcPr>
          <w:p w14:paraId="7A3DCE4A" w14:textId="77777777" w:rsidR="002530E2" w:rsidRDefault="002530E2">
            <w:pPr>
              <w:spacing w:after="0" w:line="276" w:lineRule="auto"/>
            </w:pPr>
            <w:r>
              <w:t>The controversy surrounding Amazon's sale of doormats featuring the Islamic call to prayer highlighted the importance of cultural sensitivity and respect for religious beliefs. Amazon faced criticism from Muslim consumers, leading to calls for a boycott and necessitating swift action to address the issue. This incident underscores the need for robust product vetting processes and ongoing dialogue with diverse communities to prevent future cross-cultural blunders.</w:t>
            </w:r>
          </w:p>
        </w:tc>
      </w:tr>
    </w:tbl>
    <w:p w14:paraId="50BDDA6F" w14:textId="77777777" w:rsidR="002530E2" w:rsidRDefault="002530E2"/>
    <w:p w14:paraId="1E71A733" w14:textId="77777777" w:rsidR="002530E2" w:rsidRDefault="002530E2">
      <w:pPr>
        <w:pStyle w:val="Heading2"/>
      </w:pPr>
      <w:bookmarkStart w:id="465" w:name="_5ekn9yt5hy80" w:colFirst="0" w:colLast="0"/>
      <w:bookmarkEnd w:id="465"/>
      <w:r>
        <w:t>IR 046 (2019: Edeka, Germany)</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105B4F91" w14:textId="77777777">
        <w:tc>
          <w:tcPr>
            <w:tcW w:w="1905" w:type="dxa"/>
            <w:shd w:val="clear" w:color="auto" w:fill="auto"/>
            <w:tcMar>
              <w:top w:w="100" w:type="dxa"/>
              <w:left w:w="100" w:type="dxa"/>
              <w:bottom w:w="100" w:type="dxa"/>
              <w:right w:w="100" w:type="dxa"/>
            </w:tcMar>
          </w:tcPr>
          <w:p w14:paraId="0927FEF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5E6CD604" w14:textId="77777777" w:rsidR="002530E2" w:rsidRDefault="002530E2">
            <w:pPr>
              <w:spacing w:after="0" w:line="276" w:lineRule="auto"/>
            </w:pPr>
            <w:r>
              <w:t>Incident Report Title: “Cultural Insensitivity in Edeka's Christmas Advertisement”</w:t>
            </w:r>
          </w:p>
        </w:tc>
      </w:tr>
      <w:tr w:rsidR="002530E2" w14:paraId="3FB75BFC" w14:textId="77777777">
        <w:tc>
          <w:tcPr>
            <w:tcW w:w="1905" w:type="dxa"/>
            <w:shd w:val="clear" w:color="auto" w:fill="auto"/>
            <w:tcMar>
              <w:top w:w="100" w:type="dxa"/>
              <w:left w:w="100" w:type="dxa"/>
              <w:bottom w:w="100" w:type="dxa"/>
              <w:right w:w="100" w:type="dxa"/>
            </w:tcMar>
          </w:tcPr>
          <w:p w14:paraId="1A0827AC"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45E6BB97" w14:textId="77777777" w:rsidR="002530E2" w:rsidRDefault="002530E2">
            <w:pPr>
              <w:spacing w:after="0" w:line="276" w:lineRule="auto"/>
            </w:pPr>
            <w:r>
              <w:t>In 2019, a controversial incident occurred involving a German supermarket chain, Edeka, and their Christmas advertisement. The ad generated significant backlash due to its portrayal of a Muslim family celebrating Christmas, which many viewers found insensitive and offensive.</w:t>
            </w:r>
          </w:p>
        </w:tc>
      </w:tr>
      <w:tr w:rsidR="002530E2" w14:paraId="797E071E" w14:textId="77777777">
        <w:tc>
          <w:tcPr>
            <w:tcW w:w="1905" w:type="dxa"/>
            <w:shd w:val="clear" w:color="auto" w:fill="auto"/>
            <w:tcMar>
              <w:top w:w="100" w:type="dxa"/>
              <w:left w:w="100" w:type="dxa"/>
              <w:bottom w:w="100" w:type="dxa"/>
              <w:right w:w="100" w:type="dxa"/>
            </w:tcMar>
          </w:tcPr>
          <w:p w14:paraId="78509B00"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75741A4" w14:textId="77777777" w:rsidR="002530E2" w:rsidRDefault="002530E2">
            <w:pPr>
              <w:spacing w:after="0" w:line="276" w:lineRule="auto"/>
            </w:pPr>
            <w:r>
              <w:t>Edeka released a Christmas advertisement featuring a grandfather who fakes his own death to bring his family together. The ad depicts various family members arriving at the grandfather's home, including a Muslim family. The inclusion of the Muslim family in a Christmas-themed advertisement sparked controversy and raised questions about cultural insensitivity.</w:t>
            </w:r>
          </w:p>
        </w:tc>
      </w:tr>
      <w:tr w:rsidR="002530E2" w14:paraId="36DFFE96" w14:textId="77777777">
        <w:tc>
          <w:tcPr>
            <w:tcW w:w="1905" w:type="dxa"/>
            <w:shd w:val="clear" w:color="auto" w:fill="auto"/>
            <w:tcMar>
              <w:top w:w="100" w:type="dxa"/>
              <w:left w:w="100" w:type="dxa"/>
              <w:bottom w:w="100" w:type="dxa"/>
              <w:right w:w="100" w:type="dxa"/>
            </w:tcMar>
          </w:tcPr>
          <w:p w14:paraId="72E4023B"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303686D9" w14:textId="77777777" w:rsidR="002530E2" w:rsidRDefault="002530E2">
            <w:pPr>
              <w:spacing w:after="0" w:line="276" w:lineRule="auto"/>
            </w:pPr>
            <w:r>
              <w:t>The incident took place in 2019, when Edeka launched its Christmas advertisement campaign.</w:t>
            </w:r>
          </w:p>
        </w:tc>
      </w:tr>
      <w:tr w:rsidR="002530E2" w14:paraId="082CF4D8" w14:textId="77777777">
        <w:tc>
          <w:tcPr>
            <w:tcW w:w="1905" w:type="dxa"/>
            <w:shd w:val="clear" w:color="auto" w:fill="auto"/>
            <w:tcMar>
              <w:top w:w="100" w:type="dxa"/>
              <w:left w:w="100" w:type="dxa"/>
              <w:bottom w:w="100" w:type="dxa"/>
              <w:right w:w="100" w:type="dxa"/>
            </w:tcMar>
          </w:tcPr>
          <w:p w14:paraId="4A368C78"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29B7B87A" w14:textId="77777777" w:rsidR="002530E2" w:rsidRDefault="002530E2">
            <w:pPr>
              <w:spacing w:after="0" w:line="276" w:lineRule="auto"/>
            </w:pPr>
            <w:r>
              <w:t>The incident occurred in Germany, where Edeka is a well-known supermarket chain.</w:t>
            </w:r>
          </w:p>
        </w:tc>
      </w:tr>
      <w:tr w:rsidR="002530E2" w14:paraId="541EE801" w14:textId="77777777">
        <w:tc>
          <w:tcPr>
            <w:tcW w:w="1905" w:type="dxa"/>
            <w:shd w:val="clear" w:color="auto" w:fill="auto"/>
            <w:tcMar>
              <w:top w:w="100" w:type="dxa"/>
              <w:left w:w="100" w:type="dxa"/>
              <w:bottom w:w="100" w:type="dxa"/>
              <w:right w:w="100" w:type="dxa"/>
            </w:tcMar>
          </w:tcPr>
          <w:p w14:paraId="3FB9B1C0"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1E4DDD4" w14:textId="77777777" w:rsidR="002530E2" w:rsidRDefault="002530E2">
            <w:pPr>
              <w:spacing w:after="0" w:line="276" w:lineRule="auto"/>
            </w:pPr>
            <w:r>
              <w:t>Muslim consumers were one of the victim groups affected by this incident. The portrayal of a Muslim family celebrating Christmas in the advertisement was perceived by some viewers as an inappropriate representation and disregard for their cultural and religious practices.</w:t>
            </w:r>
          </w:p>
        </w:tc>
      </w:tr>
      <w:tr w:rsidR="002530E2" w14:paraId="04047B49" w14:textId="77777777">
        <w:tc>
          <w:tcPr>
            <w:tcW w:w="1905" w:type="dxa"/>
            <w:shd w:val="clear" w:color="auto" w:fill="auto"/>
            <w:tcMar>
              <w:top w:w="100" w:type="dxa"/>
              <w:left w:w="100" w:type="dxa"/>
              <w:bottom w:w="100" w:type="dxa"/>
              <w:right w:w="100" w:type="dxa"/>
            </w:tcMar>
          </w:tcPr>
          <w:p w14:paraId="40B74DF9"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3371A9B" w14:textId="77777777" w:rsidR="002530E2" w:rsidRDefault="002530E2">
            <w:pPr>
              <w:spacing w:after="0" w:line="276" w:lineRule="auto"/>
            </w:pPr>
            <w:r>
              <w:t xml:space="preserve">Edeka, the German supermarket chain, became the focal point of criticism and faced significant backlash from the public, particularly from the Muslim community. The company's marketing and creative teams responsible for the </w:t>
            </w:r>
            <w:r>
              <w:lastRenderedPageBreak/>
              <w:t>advertisement came under scrutiny for their insensitivity and lack of cultural understanding.</w:t>
            </w:r>
          </w:p>
        </w:tc>
      </w:tr>
      <w:tr w:rsidR="002530E2" w14:paraId="6E2A1CF0" w14:textId="77777777">
        <w:tc>
          <w:tcPr>
            <w:tcW w:w="1905" w:type="dxa"/>
            <w:shd w:val="clear" w:color="auto" w:fill="auto"/>
            <w:tcMar>
              <w:top w:w="100" w:type="dxa"/>
              <w:left w:w="100" w:type="dxa"/>
              <w:bottom w:w="100" w:type="dxa"/>
              <w:right w:w="100" w:type="dxa"/>
            </w:tcMar>
          </w:tcPr>
          <w:p w14:paraId="3AFA643B" w14:textId="77777777" w:rsidR="002530E2" w:rsidRDefault="002530E2">
            <w:pPr>
              <w:spacing w:after="0" w:line="276" w:lineRule="auto"/>
            </w:pPr>
            <w:r>
              <w:lastRenderedPageBreak/>
              <w:t>IRE 7: VICTIMISATION — WHAT WERE THE CONSEQUENCES FOR MUSLIMS?</w:t>
            </w:r>
          </w:p>
        </w:tc>
        <w:tc>
          <w:tcPr>
            <w:tcW w:w="7125" w:type="dxa"/>
            <w:shd w:val="clear" w:color="auto" w:fill="auto"/>
            <w:tcMar>
              <w:top w:w="100" w:type="dxa"/>
              <w:left w:w="100" w:type="dxa"/>
              <w:bottom w:w="100" w:type="dxa"/>
              <w:right w:w="100" w:type="dxa"/>
            </w:tcMar>
          </w:tcPr>
          <w:p w14:paraId="32E3F491" w14:textId="77777777" w:rsidR="002530E2" w:rsidRDefault="002530E2">
            <w:pPr>
              <w:spacing w:after="0" w:line="276" w:lineRule="auto"/>
            </w:pPr>
            <w:r>
              <w:t>Muslim consumers expressed their disappointment and frustration on social media platforms. Many criticised the advertisement for perpetuating stereotypes and disrespecting their religious beliefs. Some called for a boycott of Edeka stores, while others demanded an apology and a retraction of the advertisement.</w:t>
            </w:r>
          </w:p>
        </w:tc>
      </w:tr>
      <w:tr w:rsidR="002530E2" w14:paraId="0045EB4E" w14:textId="77777777">
        <w:tc>
          <w:tcPr>
            <w:tcW w:w="1905" w:type="dxa"/>
            <w:shd w:val="clear" w:color="auto" w:fill="auto"/>
            <w:tcMar>
              <w:top w:w="100" w:type="dxa"/>
              <w:left w:w="100" w:type="dxa"/>
              <w:bottom w:w="100" w:type="dxa"/>
              <w:right w:w="100" w:type="dxa"/>
            </w:tcMar>
          </w:tcPr>
          <w:p w14:paraId="60A52137"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39F828E7" w14:textId="77777777" w:rsidR="002530E2" w:rsidRDefault="002530E2">
            <w:pPr>
              <w:spacing w:after="0" w:line="276" w:lineRule="auto"/>
            </w:pPr>
            <w:r>
              <w:t>The controversy surrounding the advertisement had a negative impact on Edeka's reputation and brand image. The public backlash resulted in a significant decline in customer trust and loyalty. Edeka faced widespread criticism for their lack of cultural sensitivity and failure to understand the diverse backgrounds and traditions of their customer base.</w:t>
            </w:r>
          </w:p>
        </w:tc>
      </w:tr>
      <w:tr w:rsidR="002530E2" w14:paraId="67DF5166" w14:textId="77777777">
        <w:tc>
          <w:tcPr>
            <w:tcW w:w="1905" w:type="dxa"/>
            <w:shd w:val="clear" w:color="auto" w:fill="auto"/>
            <w:tcMar>
              <w:top w:w="100" w:type="dxa"/>
              <w:left w:w="100" w:type="dxa"/>
              <w:bottom w:w="100" w:type="dxa"/>
              <w:right w:w="100" w:type="dxa"/>
            </w:tcMar>
          </w:tcPr>
          <w:p w14:paraId="1560CA75"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3D43AA0C" w14:textId="77777777" w:rsidR="002530E2" w:rsidRDefault="002530E2">
            <w:pPr>
              <w:spacing w:after="0" w:line="276" w:lineRule="auto"/>
            </w:pPr>
            <w:r>
              <w:t>The incident occurred due to a lack of cultural understanding and sensitivity on the part of Edeka's marketing and creative teams. It highlighted the importance of conducting thorough research and consulting with cultural experts to ensure advertisements respect and represent diverse communities accurately.</w:t>
            </w:r>
          </w:p>
        </w:tc>
      </w:tr>
      <w:tr w:rsidR="002530E2" w14:paraId="3D1A6587" w14:textId="77777777">
        <w:tc>
          <w:tcPr>
            <w:tcW w:w="1905" w:type="dxa"/>
            <w:shd w:val="clear" w:color="auto" w:fill="auto"/>
            <w:tcMar>
              <w:top w:w="100" w:type="dxa"/>
              <w:left w:w="100" w:type="dxa"/>
              <w:bottom w:w="100" w:type="dxa"/>
              <w:right w:w="100" w:type="dxa"/>
            </w:tcMar>
          </w:tcPr>
          <w:p w14:paraId="7D42AD90"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020962A8" w14:textId="77777777" w:rsidR="002530E2" w:rsidRDefault="002530E2">
            <w:pPr>
              <w:spacing w:after="0" w:line="276" w:lineRule="auto"/>
            </w:pPr>
            <w:r>
              <w:t>In response to the controversy, Edeka issued an official statement acknowledging the concerns raised by the Muslim community and expressing regret for any offence caused. The company emphasised its commitment to diversity and pledged to improve its internal processes to prevent similar incidents in the future.</w:t>
            </w:r>
          </w:p>
        </w:tc>
      </w:tr>
      <w:tr w:rsidR="002530E2" w14:paraId="6BDDD7CD" w14:textId="77777777">
        <w:tc>
          <w:tcPr>
            <w:tcW w:w="1905" w:type="dxa"/>
            <w:shd w:val="clear" w:color="auto" w:fill="auto"/>
            <w:tcMar>
              <w:top w:w="100" w:type="dxa"/>
              <w:left w:w="100" w:type="dxa"/>
              <w:bottom w:w="100" w:type="dxa"/>
              <w:right w:w="100" w:type="dxa"/>
            </w:tcMar>
          </w:tcPr>
          <w:p w14:paraId="38B5C31D"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300AFC90" w14:textId="77777777" w:rsidR="002530E2" w:rsidRDefault="002530E2">
            <w:pPr>
              <w:spacing w:after="0" w:line="276" w:lineRule="auto"/>
            </w:pPr>
            <w:r>
              <w:t>To prevent future cross-cultural blunders, Edeka implemented measures such as cultural sensitivity training for their marketing and creative teams. They also established a diverse advisory panel to provide insights and guidance on cultural representation in their advertisements.</w:t>
            </w:r>
          </w:p>
          <w:p w14:paraId="3087EFAA" w14:textId="77777777" w:rsidR="002530E2" w:rsidRDefault="002530E2">
            <w:pPr>
              <w:spacing w:after="0" w:line="276" w:lineRule="auto"/>
            </w:pPr>
          </w:p>
          <w:p w14:paraId="6A020DF1" w14:textId="77777777" w:rsidR="002530E2" w:rsidRDefault="002530E2">
            <w:pPr>
              <w:spacing w:after="0" w:line="276" w:lineRule="auto"/>
            </w:pPr>
            <w:r>
              <w:t>In addition to the immediate actions taken, Edeka committed to conducting thorough market research and engaging with cultural and religious organisations when creating advertisements. They recognised the need for ongoing dialogue and collaboration with diverse communities to ensure their campaigns resonate positively with all customer segments.</w:t>
            </w:r>
          </w:p>
        </w:tc>
      </w:tr>
      <w:tr w:rsidR="002530E2" w14:paraId="7C889834" w14:textId="77777777">
        <w:tc>
          <w:tcPr>
            <w:tcW w:w="1905" w:type="dxa"/>
            <w:shd w:val="clear" w:color="auto" w:fill="auto"/>
            <w:tcMar>
              <w:top w:w="100" w:type="dxa"/>
              <w:left w:w="100" w:type="dxa"/>
              <w:bottom w:w="100" w:type="dxa"/>
              <w:right w:w="100" w:type="dxa"/>
            </w:tcMar>
          </w:tcPr>
          <w:p w14:paraId="38ACB9FA"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556771E1" w14:textId="77777777" w:rsidR="002530E2" w:rsidRDefault="002530E2">
            <w:pPr>
              <w:spacing w:after="0" w:line="276" w:lineRule="auto"/>
            </w:pPr>
            <w:r>
              <w:t xml:space="preserve">The incident involving Edeka's Christmas advertisement highlighted the importance of cultural sensitivity and understanding in marketing campaigns. The controversy surrounding the ad served as a reminder for companies to consider the diverse backgrounds and traditions of their customer base. By implementing prevention strategies and fostering ongoing dialogue, </w:t>
            </w:r>
            <w:r>
              <w:lastRenderedPageBreak/>
              <w:t>businesses can avoid cross-cultural blunders and build stronger relationships with their customers.</w:t>
            </w:r>
          </w:p>
        </w:tc>
      </w:tr>
    </w:tbl>
    <w:p w14:paraId="1F44106F" w14:textId="77777777" w:rsidR="002530E2" w:rsidRDefault="002530E2"/>
    <w:p w14:paraId="11372A73" w14:textId="77777777" w:rsidR="002530E2" w:rsidRDefault="002530E2">
      <w:pPr>
        <w:pStyle w:val="Heading2"/>
      </w:pPr>
      <w:bookmarkStart w:id="466" w:name="_wfdkevfmkggf" w:colFirst="0" w:colLast="0"/>
      <w:bookmarkEnd w:id="466"/>
      <w:r>
        <w:t>IR 047 (2019: Chanel, Australians)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523B8D2D" w14:textId="77777777">
        <w:tc>
          <w:tcPr>
            <w:tcW w:w="1905" w:type="dxa"/>
            <w:shd w:val="clear" w:color="auto" w:fill="auto"/>
            <w:tcMar>
              <w:top w:w="100" w:type="dxa"/>
              <w:left w:w="100" w:type="dxa"/>
              <w:bottom w:w="100" w:type="dxa"/>
              <w:right w:w="100" w:type="dxa"/>
            </w:tcMar>
          </w:tcPr>
          <w:p w14:paraId="0C643321"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B0A390C" w14:textId="77777777" w:rsidR="002530E2" w:rsidRDefault="002530E2">
            <w:pPr>
              <w:spacing w:after="0" w:line="276" w:lineRule="auto"/>
            </w:pPr>
            <w:r>
              <w:t>Incident Report Title: “Chanel Boomerang-Shaped Accessories Controversy”</w:t>
            </w:r>
          </w:p>
        </w:tc>
      </w:tr>
      <w:tr w:rsidR="002530E2" w14:paraId="5400A69F" w14:textId="77777777">
        <w:tc>
          <w:tcPr>
            <w:tcW w:w="1905" w:type="dxa"/>
            <w:shd w:val="clear" w:color="auto" w:fill="auto"/>
            <w:tcMar>
              <w:top w:w="100" w:type="dxa"/>
              <w:left w:w="100" w:type="dxa"/>
              <w:bottom w:w="100" w:type="dxa"/>
              <w:right w:w="100" w:type="dxa"/>
            </w:tcMar>
          </w:tcPr>
          <w:p w14:paraId="51A3CF17"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144C73BC" w14:textId="77777777" w:rsidR="002530E2" w:rsidRDefault="002530E2">
            <w:pPr>
              <w:spacing w:after="0" w:line="276" w:lineRule="auto"/>
            </w:pPr>
            <w:r>
              <w:t>This case addresses the controversy faced by the French luxury fashion brand Chanel in 2019 when it released a line of boomerang-shaped accessories. Many Aboriginal Australians saw this as cultural appropriation, while some Muslim consumers accused the company of insensitivity towards their cultural and religious values due to the sacred significance of the boomerang.</w:t>
            </w:r>
          </w:p>
        </w:tc>
      </w:tr>
      <w:tr w:rsidR="002530E2" w14:paraId="33148D10" w14:textId="77777777">
        <w:tc>
          <w:tcPr>
            <w:tcW w:w="1905" w:type="dxa"/>
            <w:shd w:val="clear" w:color="auto" w:fill="auto"/>
            <w:tcMar>
              <w:top w:w="100" w:type="dxa"/>
              <w:left w:w="100" w:type="dxa"/>
              <w:bottom w:w="100" w:type="dxa"/>
              <w:right w:w="100" w:type="dxa"/>
            </w:tcMar>
          </w:tcPr>
          <w:p w14:paraId="38050BDC"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34A4D88E" w14:textId="77777777" w:rsidR="002530E2" w:rsidRDefault="002530E2">
            <w:pPr>
              <w:spacing w:after="0" w:line="276" w:lineRule="auto"/>
            </w:pPr>
            <w:r>
              <w:t>In 2019, Chanel faced backlash for releasing a line of boomerang-shaped accessories. This decision sparked controversy among Aboriginal Australians and Muslim consumers, who felt that the brand was appropriating Aboriginal culture and disregarding the cultural and religious significance of the boomerang.</w:t>
            </w:r>
          </w:p>
        </w:tc>
      </w:tr>
      <w:tr w:rsidR="002530E2" w14:paraId="5E18B145" w14:textId="77777777">
        <w:tc>
          <w:tcPr>
            <w:tcW w:w="1905" w:type="dxa"/>
            <w:shd w:val="clear" w:color="auto" w:fill="auto"/>
            <w:tcMar>
              <w:top w:w="100" w:type="dxa"/>
              <w:left w:w="100" w:type="dxa"/>
              <w:bottom w:w="100" w:type="dxa"/>
              <w:right w:w="100" w:type="dxa"/>
            </w:tcMar>
          </w:tcPr>
          <w:p w14:paraId="3674719C"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C373C7F" w14:textId="77777777" w:rsidR="002530E2" w:rsidRDefault="002530E2">
            <w:pPr>
              <w:spacing w:after="0" w:line="276" w:lineRule="auto"/>
            </w:pPr>
            <w:r>
              <w:t>The Chanel boomerang-shaped accessories controversy occurred in 2019. The specific date or duration of the incident is not provided in the information given.</w:t>
            </w:r>
          </w:p>
        </w:tc>
      </w:tr>
      <w:tr w:rsidR="002530E2" w14:paraId="22BFBA7B" w14:textId="77777777">
        <w:tc>
          <w:tcPr>
            <w:tcW w:w="1905" w:type="dxa"/>
            <w:shd w:val="clear" w:color="auto" w:fill="auto"/>
            <w:tcMar>
              <w:top w:w="100" w:type="dxa"/>
              <w:left w:w="100" w:type="dxa"/>
              <w:bottom w:w="100" w:type="dxa"/>
              <w:right w:w="100" w:type="dxa"/>
            </w:tcMar>
          </w:tcPr>
          <w:p w14:paraId="74559BCD"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1346EB5B" w14:textId="77777777" w:rsidR="002530E2" w:rsidRDefault="002530E2">
            <w:pPr>
              <w:spacing w:after="0" w:line="276" w:lineRule="auto"/>
            </w:pPr>
            <w:r>
              <w:t>The controversy was international in scope, as Chanel is a global luxury fashion brand. However, the specific locations or regions affected by the controversy are not mentioned in the provided information.</w:t>
            </w:r>
          </w:p>
        </w:tc>
      </w:tr>
      <w:tr w:rsidR="002530E2" w14:paraId="2F567CA9" w14:textId="77777777">
        <w:tc>
          <w:tcPr>
            <w:tcW w:w="1905" w:type="dxa"/>
            <w:shd w:val="clear" w:color="auto" w:fill="auto"/>
            <w:tcMar>
              <w:top w:w="100" w:type="dxa"/>
              <w:left w:w="100" w:type="dxa"/>
              <w:bottom w:w="100" w:type="dxa"/>
              <w:right w:w="100" w:type="dxa"/>
            </w:tcMar>
          </w:tcPr>
          <w:p w14:paraId="3061D1E8"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33BE873A" w14:textId="77777777" w:rsidR="002530E2" w:rsidRDefault="002530E2">
            <w:pPr>
              <w:spacing w:after="0" w:line="276" w:lineRule="auto"/>
            </w:pPr>
            <w:r>
              <w:t>Aboriginal Australians were among the groups directly affected by the controversy. They criticised Chanel for appropriating their cultural symbol, the boomerang, and disregarding its significance within Aboriginal culture.</w:t>
            </w:r>
          </w:p>
        </w:tc>
      </w:tr>
      <w:tr w:rsidR="002530E2" w14:paraId="0B919CD2" w14:textId="77777777">
        <w:tc>
          <w:tcPr>
            <w:tcW w:w="1905" w:type="dxa"/>
            <w:shd w:val="clear" w:color="auto" w:fill="auto"/>
            <w:tcMar>
              <w:top w:w="100" w:type="dxa"/>
              <w:left w:w="100" w:type="dxa"/>
              <w:bottom w:w="100" w:type="dxa"/>
              <w:right w:w="100" w:type="dxa"/>
            </w:tcMar>
          </w:tcPr>
          <w:p w14:paraId="23F928E7"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28A2E0AA" w14:textId="77777777" w:rsidR="002530E2" w:rsidRDefault="002530E2">
            <w:pPr>
              <w:spacing w:after="0" w:line="276" w:lineRule="auto"/>
            </w:pPr>
            <w:r>
              <w:t>Chanel, the global luxury fashion brand.</w:t>
            </w:r>
          </w:p>
        </w:tc>
      </w:tr>
      <w:tr w:rsidR="002530E2" w14:paraId="72F88BFB" w14:textId="77777777">
        <w:tc>
          <w:tcPr>
            <w:tcW w:w="1905" w:type="dxa"/>
            <w:shd w:val="clear" w:color="auto" w:fill="auto"/>
            <w:tcMar>
              <w:top w:w="100" w:type="dxa"/>
              <w:left w:w="100" w:type="dxa"/>
              <w:bottom w:w="100" w:type="dxa"/>
              <w:right w:w="100" w:type="dxa"/>
            </w:tcMar>
          </w:tcPr>
          <w:p w14:paraId="6C39ED91" w14:textId="77777777" w:rsidR="002530E2" w:rsidRDefault="002530E2">
            <w:pPr>
              <w:spacing w:after="0" w:line="276" w:lineRule="auto"/>
            </w:pPr>
            <w:r>
              <w:t xml:space="preserve">IRE 7: VICTIMISATION — WHAT WERE THE </w:t>
            </w:r>
            <w:r>
              <w:lastRenderedPageBreak/>
              <w:t>CONSEQUENCES FOR MUSLIMS?</w:t>
            </w:r>
          </w:p>
        </w:tc>
        <w:tc>
          <w:tcPr>
            <w:tcW w:w="7125" w:type="dxa"/>
            <w:shd w:val="clear" w:color="auto" w:fill="auto"/>
            <w:tcMar>
              <w:top w:w="100" w:type="dxa"/>
              <w:left w:w="100" w:type="dxa"/>
              <w:bottom w:w="100" w:type="dxa"/>
              <w:right w:w="100" w:type="dxa"/>
            </w:tcMar>
          </w:tcPr>
          <w:p w14:paraId="055BC63F" w14:textId="77777777" w:rsidR="002530E2" w:rsidRDefault="002530E2">
            <w:pPr>
              <w:spacing w:after="0" w:line="276" w:lineRule="auto"/>
            </w:pPr>
            <w:r>
              <w:lastRenderedPageBreak/>
              <w:t xml:space="preserve">Muslim consumers accused Chanel of insensitivity towards their cultural and religious values by using the boomerang, which they considered a sacred </w:t>
            </w:r>
            <w:r>
              <w:lastRenderedPageBreak/>
              <w:t>object. They felt that the fashion brand disregarded the importance of cultural and religious symbols by using them for aesthetic purposes.</w:t>
            </w:r>
          </w:p>
          <w:p w14:paraId="2CD10806" w14:textId="77777777" w:rsidR="002530E2" w:rsidRDefault="002530E2">
            <w:pPr>
              <w:spacing w:after="0" w:line="276" w:lineRule="auto"/>
            </w:pPr>
          </w:p>
          <w:p w14:paraId="6A2D9D4D" w14:textId="77777777" w:rsidR="002530E2" w:rsidRDefault="002530E2">
            <w:pPr>
              <w:spacing w:after="0" w:line="276" w:lineRule="auto"/>
            </w:pPr>
            <w:r>
              <w:t>Some Muslim consumers also expressed their concerns and accused Chanel of insensitivity towards their cultural and religious values. They viewed the boomerang as a sacred object and felt that Chanel was trivialising its significance through its fashion accessories.</w:t>
            </w:r>
          </w:p>
        </w:tc>
      </w:tr>
      <w:tr w:rsidR="002530E2" w14:paraId="7581EFC0" w14:textId="77777777">
        <w:tc>
          <w:tcPr>
            <w:tcW w:w="1905" w:type="dxa"/>
            <w:shd w:val="clear" w:color="auto" w:fill="auto"/>
            <w:tcMar>
              <w:top w:w="100" w:type="dxa"/>
              <w:left w:w="100" w:type="dxa"/>
              <w:bottom w:w="100" w:type="dxa"/>
              <w:right w:w="100" w:type="dxa"/>
            </w:tcMar>
          </w:tcPr>
          <w:p w14:paraId="441F036F"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74D39ED9" w14:textId="77777777" w:rsidR="002530E2" w:rsidRDefault="002530E2">
            <w:pPr>
              <w:spacing w:after="0" w:line="276" w:lineRule="auto"/>
            </w:pPr>
            <w:r>
              <w:t>The impact of the controversy on Chanel's business and operations is not extensively documented. However, the incident highlighted the need for cultural sensitivity and respect for cultural and religious symbols in the fashion industry, emphasising the importance of avoiding cultural appropriation.</w:t>
            </w:r>
          </w:p>
        </w:tc>
      </w:tr>
      <w:tr w:rsidR="002530E2" w14:paraId="72184B33" w14:textId="77777777">
        <w:tc>
          <w:tcPr>
            <w:tcW w:w="1905" w:type="dxa"/>
            <w:shd w:val="clear" w:color="auto" w:fill="auto"/>
            <w:tcMar>
              <w:top w:w="100" w:type="dxa"/>
              <w:left w:w="100" w:type="dxa"/>
              <w:bottom w:w="100" w:type="dxa"/>
              <w:right w:w="100" w:type="dxa"/>
            </w:tcMar>
          </w:tcPr>
          <w:p w14:paraId="14D7A1F2"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2F6C8ADF" w14:textId="77777777" w:rsidR="002530E2" w:rsidRDefault="002530E2">
            <w:pPr>
              <w:spacing w:after="0" w:line="276" w:lineRule="auto"/>
            </w:pPr>
            <w:r>
              <w:t>The controversy arose due to allegations of cultural appropriation. Aboriginal Australians and some Muslim consumers argued that Chanel's use of the boomerang symbol in fashion accessories was disrespectful, as it appropriated and commodified a cultural symbol with deep cultural and spiritual significance. The boomerang holds significant cultural and spiritual importance within Aboriginal Australian culture. It is considered a symbol of cultural identity and carries sacred meaning. Muslim consumers also viewed the boomerang as a sacred object, thus raising concerns about its appropriation by Chanel.</w:t>
            </w:r>
          </w:p>
        </w:tc>
      </w:tr>
      <w:tr w:rsidR="002530E2" w14:paraId="5DB2D2E8" w14:textId="77777777">
        <w:trPr>
          <w:trHeight w:val="1888"/>
        </w:trPr>
        <w:tc>
          <w:tcPr>
            <w:tcW w:w="1905" w:type="dxa"/>
            <w:shd w:val="clear" w:color="auto" w:fill="auto"/>
            <w:tcMar>
              <w:top w:w="100" w:type="dxa"/>
              <w:left w:w="100" w:type="dxa"/>
              <w:bottom w:w="100" w:type="dxa"/>
              <w:right w:w="100" w:type="dxa"/>
            </w:tcMar>
          </w:tcPr>
          <w:p w14:paraId="2909DA97"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7A139E74" w14:textId="77777777" w:rsidR="002530E2" w:rsidRDefault="002530E2">
            <w:pPr>
              <w:spacing w:after="0" w:line="276" w:lineRule="auto"/>
            </w:pPr>
            <w:r>
              <w:t>Chanel responded to the controversy by issuing an apology and withdrawing the boomerang-shaped accessories from sale. The company expressed regret for any offence caused and acknowledged the concerns raised by Aboriginal Australians and Muslim consumers.</w:t>
            </w:r>
          </w:p>
        </w:tc>
      </w:tr>
      <w:tr w:rsidR="002530E2" w14:paraId="68C011E8" w14:textId="77777777">
        <w:tc>
          <w:tcPr>
            <w:tcW w:w="1905" w:type="dxa"/>
            <w:shd w:val="clear" w:color="auto" w:fill="auto"/>
            <w:tcMar>
              <w:top w:w="100" w:type="dxa"/>
              <w:left w:w="100" w:type="dxa"/>
              <w:bottom w:w="100" w:type="dxa"/>
              <w:right w:w="100" w:type="dxa"/>
            </w:tcMar>
          </w:tcPr>
          <w:p w14:paraId="3051F76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38D248D" w14:textId="77777777" w:rsidR="002530E2" w:rsidRDefault="002530E2">
            <w:pPr>
              <w:spacing w:after="0" w:line="276" w:lineRule="auto"/>
            </w:pPr>
            <w:r>
              <w:t>The Chanel boomerang-shaped accessories controversy served as a reminder for luxury fashion brands to engage in responsible cultural representation and avoid appropriating sacred symbols or cultural artefacts. It highlighted the importance of collaboration and consultation with cultural communities to ensure respect and understanding.</w:t>
            </w:r>
          </w:p>
        </w:tc>
      </w:tr>
      <w:tr w:rsidR="002530E2" w14:paraId="1535EE9F" w14:textId="77777777">
        <w:tc>
          <w:tcPr>
            <w:tcW w:w="1905" w:type="dxa"/>
            <w:shd w:val="clear" w:color="auto" w:fill="auto"/>
            <w:tcMar>
              <w:top w:w="100" w:type="dxa"/>
              <w:left w:w="100" w:type="dxa"/>
              <w:bottom w:w="100" w:type="dxa"/>
              <w:right w:w="100" w:type="dxa"/>
            </w:tcMar>
          </w:tcPr>
          <w:p w14:paraId="2B7BE592"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4B22E848" w14:textId="77777777" w:rsidR="002530E2" w:rsidRDefault="002530E2">
            <w:pPr>
              <w:spacing w:after="0" w:line="276" w:lineRule="auto"/>
            </w:pPr>
            <w:r>
              <w:t>In 2019, Chanel faced backlash for releasing a line of boomerang-shaped accessories, with criticisms of cultural appropriation from Aboriginal Australians and accusations of insensitivity from some Muslim consumers. Chanel apologised, withdrew the accessories from sale, and acknowledged the need for cultural sensitivity and respect.</w:t>
            </w:r>
          </w:p>
        </w:tc>
      </w:tr>
    </w:tbl>
    <w:p w14:paraId="511002C8" w14:textId="77777777" w:rsidR="002530E2" w:rsidRDefault="002530E2"/>
    <w:p w14:paraId="6E479542" w14:textId="77777777" w:rsidR="002530E2" w:rsidRDefault="002530E2">
      <w:pPr>
        <w:pStyle w:val="Heading2"/>
      </w:pPr>
      <w:bookmarkStart w:id="467" w:name="_80ovu24y51f4" w:colFirst="0" w:colLast="0"/>
      <w:bookmarkEnd w:id="467"/>
      <w:r>
        <w:lastRenderedPageBreak/>
        <w:t>IR 048 (2019: Marks &amp; Spencer, UK)</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5E6B9AD" w14:textId="77777777">
        <w:tc>
          <w:tcPr>
            <w:tcW w:w="1905" w:type="dxa"/>
            <w:shd w:val="clear" w:color="auto" w:fill="auto"/>
            <w:tcMar>
              <w:top w:w="100" w:type="dxa"/>
              <w:left w:w="100" w:type="dxa"/>
              <w:bottom w:w="100" w:type="dxa"/>
              <w:right w:w="100" w:type="dxa"/>
            </w:tcMar>
          </w:tcPr>
          <w:p w14:paraId="4B3606AD"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72AB04DE" w14:textId="77777777" w:rsidR="002530E2" w:rsidRDefault="002530E2">
            <w:pPr>
              <w:spacing w:after="0" w:line="276" w:lineRule="auto"/>
            </w:pPr>
            <w:r>
              <w:t>Incident Report Title: “Marks &amp; Spencer's "Islamic" School Hijabs Controversy”</w:t>
            </w:r>
          </w:p>
        </w:tc>
      </w:tr>
      <w:tr w:rsidR="002530E2" w14:paraId="689B6DDE" w14:textId="77777777">
        <w:tc>
          <w:tcPr>
            <w:tcW w:w="1905" w:type="dxa"/>
            <w:shd w:val="clear" w:color="auto" w:fill="auto"/>
            <w:tcMar>
              <w:top w:w="100" w:type="dxa"/>
              <w:left w:w="100" w:type="dxa"/>
              <w:bottom w:w="100" w:type="dxa"/>
              <w:right w:w="100" w:type="dxa"/>
            </w:tcMar>
          </w:tcPr>
          <w:p w14:paraId="1F6DF399"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5826EE93" w14:textId="77777777" w:rsidR="002530E2" w:rsidRDefault="002530E2">
            <w:pPr>
              <w:spacing w:after="0" w:line="276" w:lineRule="auto"/>
            </w:pPr>
            <w:r>
              <w:t>This case addresses the controversy faced by the British supermarket chain Marks &amp; Spencer in 2018 for selling a line of "Islamic" school hijabs made of polyester. Muslim consumers criticised the company for offering hijabs that were deemed unsuitable for Muslim girls, accusing Marks &amp; Spencer of exploiting their religious dress code for profit and failing to consult with Muslim communities before launching the product.</w:t>
            </w:r>
          </w:p>
        </w:tc>
      </w:tr>
      <w:tr w:rsidR="002530E2" w14:paraId="717EFD0B" w14:textId="77777777">
        <w:tc>
          <w:tcPr>
            <w:tcW w:w="1905" w:type="dxa"/>
            <w:shd w:val="clear" w:color="auto" w:fill="auto"/>
            <w:tcMar>
              <w:top w:w="100" w:type="dxa"/>
              <w:left w:w="100" w:type="dxa"/>
              <w:bottom w:w="100" w:type="dxa"/>
              <w:right w:w="100" w:type="dxa"/>
            </w:tcMar>
          </w:tcPr>
          <w:p w14:paraId="2DD2D024"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0B87BD8A" w14:textId="77777777" w:rsidR="002530E2" w:rsidRDefault="002530E2">
            <w:pPr>
              <w:spacing w:after="0" w:line="276" w:lineRule="auto"/>
            </w:pPr>
            <w:r>
              <w:t>In 2018, Marks &amp; Spencer faced criticism for selling a line of "Islamic" school hijabs made of polyester. Muslim consumers raised concerns about the suitability of the hijabs for Muslim girls, claiming that the material was not appropriate and did not meet the requirements of modesty and comfort.</w:t>
            </w:r>
          </w:p>
        </w:tc>
      </w:tr>
      <w:tr w:rsidR="002530E2" w14:paraId="07947BD2" w14:textId="77777777">
        <w:tc>
          <w:tcPr>
            <w:tcW w:w="1905" w:type="dxa"/>
            <w:shd w:val="clear" w:color="auto" w:fill="auto"/>
            <w:tcMar>
              <w:top w:w="100" w:type="dxa"/>
              <w:left w:w="100" w:type="dxa"/>
              <w:bottom w:w="100" w:type="dxa"/>
              <w:right w:w="100" w:type="dxa"/>
            </w:tcMar>
          </w:tcPr>
          <w:p w14:paraId="2FBE8BC1"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3C042F39" w14:textId="77777777" w:rsidR="002530E2" w:rsidRDefault="002530E2">
            <w:pPr>
              <w:spacing w:after="0" w:line="276" w:lineRule="auto"/>
            </w:pPr>
            <w:r>
              <w:t>The Marks &amp; Spencer "Islamic" school hijabs controversy occurred in 2018. The specific date or duration of the incident is not provided in the information given.</w:t>
            </w:r>
          </w:p>
        </w:tc>
      </w:tr>
      <w:tr w:rsidR="002530E2" w14:paraId="4DDACCE4" w14:textId="77777777">
        <w:tc>
          <w:tcPr>
            <w:tcW w:w="1905" w:type="dxa"/>
            <w:shd w:val="clear" w:color="auto" w:fill="auto"/>
            <w:tcMar>
              <w:top w:w="100" w:type="dxa"/>
              <w:left w:w="100" w:type="dxa"/>
              <w:bottom w:w="100" w:type="dxa"/>
              <w:right w:w="100" w:type="dxa"/>
            </w:tcMar>
          </w:tcPr>
          <w:p w14:paraId="665EE028"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60CA5990" w14:textId="77777777" w:rsidR="002530E2" w:rsidRDefault="002530E2">
            <w:pPr>
              <w:spacing w:after="0" w:line="276" w:lineRule="auto"/>
            </w:pPr>
            <w:r>
              <w:t>The controversy was primarily centred in the United Kingdom, where Marks &amp; Spencer is based and operates numerous stores.</w:t>
            </w:r>
          </w:p>
        </w:tc>
      </w:tr>
      <w:tr w:rsidR="002530E2" w14:paraId="1DCF3DB9" w14:textId="77777777">
        <w:tc>
          <w:tcPr>
            <w:tcW w:w="1905" w:type="dxa"/>
            <w:shd w:val="clear" w:color="auto" w:fill="auto"/>
            <w:tcMar>
              <w:top w:w="100" w:type="dxa"/>
              <w:left w:w="100" w:type="dxa"/>
              <w:bottom w:w="100" w:type="dxa"/>
              <w:right w:w="100" w:type="dxa"/>
            </w:tcMar>
          </w:tcPr>
          <w:p w14:paraId="5DF33007"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55865748" w14:textId="77777777" w:rsidR="002530E2" w:rsidRDefault="002530E2">
            <w:pPr>
              <w:spacing w:after="0" w:line="276" w:lineRule="auto"/>
            </w:pPr>
            <w:r>
              <w:t>Muslim consumers, particularly those residing in the United Kingdom, were among the groups directly affected by the controversy. They criticised Marks &amp; Spencer for offering hijabs made of polyester, considering them unsuitable and incompatible with the requirements of modesty and comfort.</w:t>
            </w:r>
          </w:p>
        </w:tc>
      </w:tr>
      <w:tr w:rsidR="002530E2" w14:paraId="7C8C5B21" w14:textId="77777777">
        <w:tc>
          <w:tcPr>
            <w:tcW w:w="1905" w:type="dxa"/>
            <w:shd w:val="clear" w:color="auto" w:fill="auto"/>
            <w:tcMar>
              <w:top w:w="100" w:type="dxa"/>
              <w:left w:w="100" w:type="dxa"/>
              <w:bottom w:w="100" w:type="dxa"/>
              <w:right w:w="100" w:type="dxa"/>
            </w:tcMar>
          </w:tcPr>
          <w:p w14:paraId="327FB082"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67A33DF2" w14:textId="77777777" w:rsidR="002530E2" w:rsidRDefault="002530E2">
            <w:pPr>
              <w:spacing w:after="0" w:line="276" w:lineRule="auto"/>
            </w:pPr>
            <w:r>
              <w:t>The Marks &amp; Spencer company.</w:t>
            </w:r>
          </w:p>
        </w:tc>
      </w:tr>
      <w:tr w:rsidR="002530E2" w14:paraId="3A9CE8A3" w14:textId="77777777">
        <w:tc>
          <w:tcPr>
            <w:tcW w:w="1905" w:type="dxa"/>
            <w:shd w:val="clear" w:color="auto" w:fill="auto"/>
            <w:tcMar>
              <w:top w:w="100" w:type="dxa"/>
              <w:left w:w="100" w:type="dxa"/>
              <w:bottom w:w="100" w:type="dxa"/>
              <w:right w:w="100" w:type="dxa"/>
            </w:tcMar>
          </w:tcPr>
          <w:p w14:paraId="2F91089C"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6A0419D1" w14:textId="77777777" w:rsidR="002530E2" w:rsidRDefault="002530E2">
            <w:pPr>
              <w:spacing w:after="0" w:line="276" w:lineRule="auto"/>
            </w:pPr>
            <w:r>
              <w:t>Muslim consumers accused Marks &amp; Spencer of exploiting their religious dress code for profit. They believed that the company had launched the "Islamic" school hijabs without proper consultation with Muslim communities, suggesting that Marks &amp; Spencer was attempting to capitalise on the growing market for modest clothing.</w:t>
            </w:r>
          </w:p>
          <w:p w14:paraId="3A5F5C44" w14:textId="77777777" w:rsidR="002530E2" w:rsidRDefault="002530E2">
            <w:pPr>
              <w:spacing w:after="0" w:line="276" w:lineRule="auto"/>
            </w:pPr>
          </w:p>
          <w:p w14:paraId="77636169" w14:textId="77777777" w:rsidR="002530E2" w:rsidRDefault="002530E2">
            <w:pPr>
              <w:spacing w:after="0" w:line="276" w:lineRule="auto"/>
            </w:pPr>
            <w:r>
              <w:t xml:space="preserve">The controversy arose due to concerns about the suitability of the polyester hijabs offered by Marks &amp; Spencer. Muslim consumers argued that the </w:t>
            </w:r>
            <w:r>
              <w:lastRenderedPageBreak/>
              <w:t>material used did not meet the desired standards of modesty and comfort required for hijabs, particularly for school-aged Muslim girls.</w:t>
            </w:r>
          </w:p>
        </w:tc>
      </w:tr>
      <w:tr w:rsidR="002530E2" w14:paraId="6EECC51E" w14:textId="77777777">
        <w:tc>
          <w:tcPr>
            <w:tcW w:w="1905" w:type="dxa"/>
            <w:shd w:val="clear" w:color="auto" w:fill="auto"/>
            <w:tcMar>
              <w:top w:w="100" w:type="dxa"/>
              <w:left w:w="100" w:type="dxa"/>
              <w:bottom w:w="100" w:type="dxa"/>
              <w:right w:w="100" w:type="dxa"/>
            </w:tcMar>
          </w:tcPr>
          <w:p w14:paraId="309599D8"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763BCB22" w14:textId="77777777" w:rsidR="002530E2" w:rsidRDefault="002530E2">
            <w:pPr>
              <w:spacing w:after="0" w:line="276" w:lineRule="auto"/>
            </w:pPr>
            <w:r>
              <w:t>The impact of the controversy on Marks &amp; Spencer's business and operations has not been extensively documented. However, the incident highlighted the importance of proper consultation with relevant communities and ensuring the suitability of products, especially when they involve cultural or religious aspects.</w:t>
            </w:r>
          </w:p>
        </w:tc>
      </w:tr>
      <w:tr w:rsidR="002530E2" w14:paraId="1E329942" w14:textId="77777777">
        <w:tc>
          <w:tcPr>
            <w:tcW w:w="1905" w:type="dxa"/>
            <w:shd w:val="clear" w:color="auto" w:fill="auto"/>
            <w:tcMar>
              <w:top w:w="100" w:type="dxa"/>
              <w:left w:w="100" w:type="dxa"/>
              <w:bottom w:w="100" w:type="dxa"/>
              <w:right w:w="100" w:type="dxa"/>
            </w:tcMar>
          </w:tcPr>
          <w:p w14:paraId="0C531426"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6A38C035" w14:textId="77777777" w:rsidR="002530E2" w:rsidRDefault="002530E2">
            <w:pPr>
              <w:spacing w:after="0" w:line="276" w:lineRule="auto"/>
            </w:pPr>
            <w:r>
              <w:t>Some Muslim consumers felt that Marks &amp; Spencer had neglected to consult with Muslim communities before launching the product. They argued that involving Muslim voices in the design and selection process could have ensured the hijabs' suitability and addressed concerns regarding the material choice. Muslim consumers emphasised the importance of modesty and comfort in hijabs, particularly for school-aged girls. They believed that the polyester hijabs offered by Marks &amp; Spencer did not meet these requirements and could hinder the girls' ability to observe their religious obligations while maintaining their comfort during school activities.</w:t>
            </w:r>
          </w:p>
        </w:tc>
      </w:tr>
      <w:tr w:rsidR="002530E2" w14:paraId="1DF3E965" w14:textId="77777777">
        <w:tc>
          <w:tcPr>
            <w:tcW w:w="1905" w:type="dxa"/>
            <w:shd w:val="clear" w:color="auto" w:fill="auto"/>
            <w:tcMar>
              <w:top w:w="100" w:type="dxa"/>
              <w:left w:w="100" w:type="dxa"/>
              <w:bottom w:w="100" w:type="dxa"/>
              <w:right w:w="100" w:type="dxa"/>
            </w:tcMar>
          </w:tcPr>
          <w:p w14:paraId="162E30F3"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0518A80F" w14:textId="77777777" w:rsidR="002530E2" w:rsidRDefault="002530E2">
            <w:pPr>
              <w:spacing w:after="0" w:line="276" w:lineRule="auto"/>
            </w:pPr>
            <w:r>
              <w:t>Marks &amp; Spencer responded to the criticism by apologising and promptly withdrawing the polyester hijabs from sale. The company acknowledged the concerns raised by Muslim consumers and expressed a commitment to learning from the incident to better meet the needs of their diverse customer base.</w:t>
            </w:r>
          </w:p>
        </w:tc>
      </w:tr>
      <w:tr w:rsidR="002530E2" w14:paraId="718FFAC7" w14:textId="77777777">
        <w:tc>
          <w:tcPr>
            <w:tcW w:w="1905" w:type="dxa"/>
            <w:shd w:val="clear" w:color="auto" w:fill="auto"/>
            <w:tcMar>
              <w:top w:w="100" w:type="dxa"/>
              <w:left w:w="100" w:type="dxa"/>
              <w:bottom w:w="100" w:type="dxa"/>
              <w:right w:w="100" w:type="dxa"/>
            </w:tcMar>
          </w:tcPr>
          <w:p w14:paraId="314D8608"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061BBF8B" w14:textId="77777777" w:rsidR="002530E2" w:rsidRDefault="002530E2">
            <w:pPr>
              <w:spacing w:after="0" w:line="276" w:lineRule="auto"/>
            </w:pPr>
            <w:r>
              <w:t>The Marks &amp; Spencer "Islamic" school hijabs controversy served as a reminder for companies to involve relevant communities, consult with them, and prioritise their needs when developing products related to culture or religion. It underscored the importance of respectful engagement and understanding when offering products that have significance for specific communities.</w:t>
            </w:r>
          </w:p>
        </w:tc>
      </w:tr>
      <w:tr w:rsidR="002530E2" w14:paraId="0CB3551F" w14:textId="77777777">
        <w:tc>
          <w:tcPr>
            <w:tcW w:w="1905" w:type="dxa"/>
            <w:shd w:val="clear" w:color="auto" w:fill="auto"/>
            <w:tcMar>
              <w:top w:w="100" w:type="dxa"/>
              <w:left w:w="100" w:type="dxa"/>
              <w:bottom w:w="100" w:type="dxa"/>
              <w:right w:w="100" w:type="dxa"/>
            </w:tcMar>
          </w:tcPr>
          <w:p w14:paraId="3B94A8D7"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511E2662" w14:textId="77777777" w:rsidR="002530E2" w:rsidRDefault="002530E2">
            <w:pPr>
              <w:spacing w:after="0" w:line="276" w:lineRule="auto"/>
            </w:pPr>
            <w:r>
              <w:t>In 2018, Marks &amp; Spencer faced criticism for selling polyester "Islamic" school hijabs that were deemed unsuitable for Muslim girls. Muslim consumers accused the company of exploiting their religious dress code for profit and neglecting to consult with Muslim communities before launching the product. Marks &amp; Spencer apologised and withdrew the hijabs from sale in response to the concerns raised.</w:t>
            </w:r>
          </w:p>
        </w:tc>
      </w:tr>
    </w:tbl>
    <w:p w14:paraId="56D53FBB" w14:textId="77777777" w:rsidR="002530E2" w:rsidRDefault="002530E2"/>
    <w:p w14:paraId="4DFACEFC" w14:textId="77777777" w:rsidR="002530E2" w:rsidRDefault="002530E2">
      <w:pPr>
        <w:pStyle w:val="Heading2"/>
      </w:pPr>
      <w:bookmarkStart w:id="468" w:name="_drhkhfh7n9yy" w:colFirst="0" w:colLast="0"/>
      <w:bookmarkEnd w:id="468"/>
      <w:r>
        <w:lastRenderedPageBreak/>
        <w:t>IR 049 (2019: Forever 21,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2F06CA85" w14:textId="77777777">
        <w:tc>
          <w:tcPr>
            <w:tcW w:w="1905" w:type="dxa"/>
            <w:shd w:val="clear" w:color="auto" w:fill="auto"/>
            <w:tcMar>
              <w:top w:w="100" w:type="dxa"/>
              <w:left w:w="100" w:type="dxa"/>
              <w:bottom w:w="100" w:type="dxa"/>
              <w:right w:w="100" w:type="dxa"/>
            </w:tcMar>
          </w:tcPr>
          <w:p w14:paraId="29E38286"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18131484" w14:textId="77777777" w:rsidR="002530E2" w:rsidRDefault="002530E2">
            <w:pPr>
              <w:spacing w:after="0" w:line="276" w:lineRule="auto"/>
            </w:pPr>
            <w:r>
              <w:t>Incident Report Title: “Forever 21 Islamic Prayer Mats Controversy”</w:t>
            </w:r>
          </w:p>
        </w:tc>
      </w:tr>
      <w:tr w:rsidR="002530E2" w14:paraId="5EA546C2" w14:textId="77777777">
        <w:tc>
          <w:tcPr>
            <w:tcW w:w="1905" w:type="dxa"/>
            <w:shd w:val="clear" w:color="auto" w:fill="auto"/>
            <w:tcMar>
              <w:top w:w="100" w:type="dxa"/>
              <w:left w:w="100" w:type="dxa"/>
              <w:bottom w:w="100" w:type="dxa"/>
              <w:right w:w="100" w:type="dxa"/>
            </w:tcMar>
          </w:tcPr>
          <w:p w14:paraId="32941D7E"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773C480E" w14:textId="77777777" w:rsidR="002530E2" w:rsidRDefault="002530E2">
            <w:pPr>
              <w:spacing w:after="0" w:line="276" w:lineRule="auto"/>
            </w:pPr>
            <w:r>
              <w:t>This case addresses the controversy faced by American fashion retailer Forever 21 in 2019 when it released a line of "Islamic" prayer mats that featured images of Hindu deities. Muslim consumers accused the company of disrespecting their religious beliefs and demanded an apology.</w:t>
            </w:r>
          </w:p>
        </w:tc>
      </w:tr>
      <w:tr w:rsidR="002530E2" w14:paraId="032A30DA" w14:textId="77777777">
        <w:tc>
          <w:tcPr>
            <w:tcW w:w="1905" w:type="dxa"/>
            <w:shd w:val="clear" w:color="auto" w:fill="auto"/>
            <w:tcMar>
              <w:top w:w="100" w:type="dxa"/>
              <w:left w:w="100" w:type="dxa"/>
              <w:bottom w:w="100" w:type="dxa"/>
              <w:right w:w="100" w:type="dxa"/>
            </w:tcMar>
          </w:tcPr>
          <w:p w14:paraId="05985C1E"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4112A3FE" w14:textId="77777777" w:rsidR="002530E2" w:rsidRDefault="002530E2">
            <w:pPr>
              <w:spacing w:after="0" w:line="276" w:lineRule="auto"/>
            </w:pPr>
            <w:r>
              <w:t>In 2019, Forever 21 faced criticism for releasing a line of "Islamic" prayer mats that included images of Hindu deities. This decision sparked controversy and raised concerns among Muslim consumers, who perceived it as disrespectful and insensitive to their religious beliefs.</w:t>
            </w:r>
          </w:p>
        </w:tc>
      </w:tr>
      <w:tr w:rsidR="002530E2" w14:paraId="2B5F6ABE" w14:textId="77777777">
        <w:tc>
          <w:tcPr>
            <w:tcW w:w="1905" w:type="dxa"/>
            <w:shd w:val="clear" w:color="auto" w:fill="auto"/>
            <w:tcMar>
              <w:top w:w="100" w:type="dxa"/>
              <w:left w:w="100" w:type="dxa"/>
              <w:bottom w:w="100" w:type="dxa"/>
              <w:right w:w="100" w:type="dxa"/>
            </w:tcMar>
          </w:tcPr>
          <w:p w14:paraId="04A0CC0D"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27C0D2B0" w14:textId="77777777" w:rsidR="002530E2" w:rsidRDefault="002530E2">
            <w:pPr>
              <w:spacing w:after="0" w:line="276" w:lineRule="auto"/>
            </w:pPr>
            <w:r>
              <w:t>The Forever 21 "Islamic" Prayer Mats controversy occurred in 2019. The specific date or duration of the incident is not provided in the information given.</w:t>
            </w:r>
          </w:p>
        </w:tc>
      </w:tr>
      <w:tr w:rsidR="002530E2" w14:paraId="2ED1E5FA" w14:textId="77777777">
        <w:tc>
          <w:tcPr>
            <w:tcW w:w="1905" w:type="dxa"/>
            <w:shd w:val="clear" w:color="auto" w:fill="auto"/>
            <w:tcMar>
              <w:top w:w="100" w:type="dxa"/>
              <w:left w:w="100" w:type="dxa"/>
              <w:bottom w:w="100" w:type="dxa"/>
              <w:right w:w="100" w:type="dxa"/>
            </w:tcMar>
          </w:tcPr>
          <w:p w14:paraId="068ECA30"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2EEF5663" w14:textId="77777777" w:rsidR="002530E2" w:rsidRDefault="002530E2">
            <w:pPr>
              <w:spacing w:after="0" w:line="276" w:lineRule="auto"/>
            </w:pPr>
            <w:r>
              <w:t>The controversy received attention both within the United States, where Forever 21 is based, and internationally due to the brand's global reach and the potential impact on Muslim consumers worldwide.</w:t>
            </w:r>
          </w:p>
        </w:tc>
      </w:tr>
      <w:tr w:rsidR="002530E2" w14:paraId="52331379" w14:textId="77777777">
        <w:tc>
          <w:tcPr>
            <w:tcW w:w="1905" w:type="dxa"/>
            <w:shd w:val="clear" w:color="auto" w:fill="auto"/>
            <w:tcMar>
              <w:top w:w="100" w:type="dxa"/>
              <w:left w:w="100" w:type="dxa"/>
              <w:bottom w:w="100" w:type="dxa"/>
              <w:right w:w="100" w:type="dxa"/>
            </w:tcMar>
          </w:tcPr>
          <w:p w14:paraId="45706706"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042D200C" w14:textId="77777777" w:rsidR="002530E2" w:rsidRDefault="002530E2">
            <w:pPr>
              <w:spacing w:after="0" w:line="276" w:lineRule="auto"/>
            </w:pPr>
            <w:r>
              <w:t>Muslim consumers, both within and outside the United States, were directly affected by this controversy. They criticised Forever 21 for featuring images of Hindu deities on the "Islamic" prayer mats, viewing it as disrespectful and offensive to their religious beliefs.</w:t>
            </w:r>
          </w:p>
        </w:tc>
      </w:tr>
      <w:tr w:rsidR="002530E2" w14:paraId="073E5954" w14:textId="77777777">
        <w:tc>
          <w:tcPr>
            <w:tcW w:w="1905" w:type="dxa"/>
            <w:shd w:val="clear" w:color="auto" w:fill="auto"/>
            <w:tcMar>
              <w:top w:w="100" w:type="dxa"/>
              <w:left w:w="100" w:type="dxa"/>
              <w:bottom w:w="100" w:type="dxa"/>
              <w:right w:w="100" w:type="dxa"/>
            </w:tcMar>
          </w:tcPr>
          <w:p w14:paraId="0C7EDBC2"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79C149EF" w14:textId="77777777" w:rsidR="002530E2" w:rsidRDefault="002530E2">
            <w:pPr>
              <w:spacing w:after="0" w:line="276" w:lineRule="auto"/>
            </w:pPr>
            <w:r>
              <w:t>Forever 21, an American fashion retailer known for its trendy and affordable clothing, was at the centre of the controversy. The company faced criticism for releasing prayer mats that included images of Hindu deities, which were perceived as inappropriate and disrespectful.</w:t>
            </w:r>
          </w:p>
        </w:tc>
      </w:tr>
      <w:tr w:rsidR="002530E2" w14:paraId="6DC1E884" w14:textId="77777777">
        <w:tc>
          <w:tcPr>
            <w:tcW w:w="1905" w:type="dxa"/>
            <w:shd w:val="clear" w:color="auto" w:fill="auto"/>
            <w:tcMar>
              <w:top w:w="100" w:type="dxa"/>
              <w:left w:w="100" w:type="dxa"/>
              <w:bottom w:w="100" w:type="dxa"/>
              <w:right w:w="100" w:type="dxa"/>
            </w:tcMar>
          </w:tcPr>
          <w:p w14:paraId="7DF59699" w14:textId="77777777" w:rsidR="002530E2" w:rsidRDefault="002530E2">
            <w:pPr>
              <w:spacing w:after="0" w:line="276" w:lineRule="auto"/>
            </w:pPr>
            <w:r>
              <w:t>IRE 7: VICTIMISATION — WHAT WERE THE CONSEQUENCES FOR MUSLIMS?</w:t>
            </w:r>
          </w:p>
        </w:tc>
        <w:tc>
          <w:tcPr>
            <w:tcW w:w="7125" w:type="dxa"/>
            <w:shd w:val="clear" w:color="auto" w:fill="auto"/>
            <w:tcMar>
              <w:top w:w="100" w:type="dxa"/>
              <w:left w:w="100" w:type="dxa"/>
              <w:bottom w:w="100" w:type="dxa"/>
              <w:right w:w="100" w:type="dxa"/>
            </w:tcMar>
          </w:tcPr>
          <w:p w14:paraId="519F566E" w14:textId="77777777" w:rsidR="002530E2" w:rsidRDefault="002530E2">
            <w:pPr>
              <w:spacing w:after="0" w:line="276" w:lineRule="auto"/>
            </w:pPr>
            <w:r>
              <w:t>Forever 21 faced backlash because it released prayer mats that featured images of Hindu deities, which were seen as inappropriate and insensitive within the context of Islamic prayer. The inclusion of these images on prayer mats intended for Islamic use was perceived as disrespectful by Muslim consumers.</w:t>
            </w:r>
          </w:p>
          <w:p w14:paraId="68C394B2" w14:textId="77777777" w:rsidR="002530E2" w:rsidRDefault="002530E2">
            <w:pPr>
              <w:spacing w:after="0" w:line="276" w:lineRule="auto"/>
            </w:pPr>
          </w:p>
          <w:p w14:paraId="322C6F98" w14:textId="77777777" w:rsidR="002530E2" w:rsidRDefault="002530E2">
            <w:pPr>
              <w:spacing w:after="0" w:line="276" w:lineRule="auto"/>
            </w:pPr>
            <w:r>
              <w:t xml:space="preserve">Muslim consumers accused Forever 21 of religious insensitivity for featuring images of Hindu deities on prayer mats labelled "Islamic." They argued that </w:t>
            </w:r>
            <w:r>
              <w:lastRenderedPageBreak/>
              <w:t>this decision displayed a lack of understanding and respect for their religious beliefs and practices.</w:t>
            </w:r>
          </w:p>
        </w:tc>
      </w:tr>
      <w:tr w:rsidR="002530E2" w14:paraId="621778AA" w14:textId="77777777">
        <w:tc>
          <w:tcPr>
            <w:tcW w:w="1905" w:type="dxa"/>
            <w:shd w:val="clear" w:color="auto" w:fill="auto"/>
            <w:tcMar>
              <w:top w:w="100" w:type="dxa"/>
              <w:left w:w="100" w:type="dxa"/>
              <w:bottom w:w="100" w:type="dxa"/>
              <w:right w:w="100" w:type="dxa"/>
            </w:tcMar>
          </w:tcPr>
          <w:p w14:paraId="4302090A" w14:textId="77777777" w:rsidR="002530E2" w:rsidRDefault="002530E2">
            <w:pPr>
              <w:spacing w:after="0" w:line="276" w:lineRule="auto"/>
            </w:pPr>
            <w:r>
              <w:lastRenderedPageBreak/>
              <w:t>IRE 8: RAMIFICATIONS — HOW WAS THE MNC IMPACTED?</w:t>
            </w:r>
          </w:p>
        </w:tc>
        <w:tc>
          <w:tcPr>
            <w:tcW w:w="7125" w:type="dxa"/>
            <w:shd w:val="clear" w:color="auto" w:fill="auto"/>
            <w:tcMar>
              <w:top w:w="100" w:type="dxa"/>
              <w:left w:w="100" w:type="dxa"/>
              <w:bottom w:w="100" w:type="dxa"/>
              <w:right w:w="100" w:type="dxa"/>
            </w:tcMar>
          </w:tcPr>
          <w:p w14:paraId="40218C7D" w14:textId="77777777" w:rsidR="002530E2" w:rsidRDefault="002530E2">
            <w:pPr>
              <w:spacing w:after="0" w:line="276" w:lineRule="auto"/>
            </w:pPr>
            <w:r>
              <w:t>The impact of the controversy on Forever 21's business and brand reputation has not been extensively documented. However, the incident highlighted the importance for brands to exercise caution and cultural awareness when designing and marketing products that are associated with religious beliefs and practices.</w:t>
            </w:r>
          </w:p>
        </w:tc>
      </w:tr>
      <w:tr w:rsidR="002530E2" w14:paraId="2F5F75ED" w14:textId="77777777">
        <w:tc>
          <w:tcPr>
            <w:tcW w:w="1905" w:type="dxa"/>
            <w:shd w:val="clear" w:color="auto" w:fill="auto"/>
            <w:tcMar>
              <w:top w:w="100" w:type="dxa"/>
              <w:left w:w="100" w:type="dxa"/>
              <w:bottom w:w="100" w:type="dxa"/>
              <w:right w:w="100" w:type="dxa"/>
            </w:tcMar>
          </w:tcPr>
          <w:p w14:paraId="397D091F"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0CD3AB4E" w14:textId="77777777" w:rsidR="002530E2" w:rsidRDefault="002530E2">
            <w:pPr>
              <w:spacing w:after="0" w:line="276" w:lineRule="auto"/>
            </w:pPr>
            <w:r>
              <w:t>The controversy arose due to the religious sensitivities surrounding the use of religious imagery in contexts where it may be considered disrespectful or inappropriate. Muslim consumers felt that the inclusion of Hindu deities on Islamic prayer mats crossed a boundary and undermined the sanctity of their religious practices.</w:t>
            </w:r>
          </w:p>
        </w:tc>
      </w:tr>
      <w:tr w:rsidR="002530E2" w14:paraId="3B6766DD" w14:textId="77777777">
        <w:tc>
          <w:tcPr>
            <w:tcW w:w="1905" w:type="dxa"/>
            <w:shd w:val="clear" w:color="auto" w:fill="auto"/>
            <w:tcMar>
              <w:top w:w="100" w:type="dxa"/>
              <w:left w:w="100" w:type="dxa"/>
              <w:bottom w:w="100" w:type="dxa"/>
              <w:right w:w="100" w:type="dxa"/>
            </w:tcMar>
          </w:tcPr>
          <w:p w14:paraId="7C3BCD7A"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1D46ACFF" w14:textId="77777777" w:rsidR="002530E2" w:rsidRDefault="002530E2">
            <w:pPr>
              <w:spacing w:after="0" w:line="276" w:lineRule="auto"/>
            </w:pPr>
            <w:r>
              <w:t>Forever 21 issued an apology in response to the controversy, acknowledging the concerns raised by Muslim consumers. The company expressed regret for any offence caused and stated that the design in question was an oversight. Forever 21 assured its commitment to cultural sensitivity and understanding in the future.</w:t>
            </w:r>
          </w:p>
        </w:tc>
      </w:tr>
      <w:tr w:rsidR="002530E2" w14:paraId="6DDB0431" w14:textId="77777777">
        <w:tc>
          <w:tcPr>
            <w:tcW w:w="1905" w:type="dxa"/>
            <w:shd w:val="clear" w:color="auto" w:fill="auto"/>
            <w:tcMar>
              <w:top w:w="100" w:type="dxa"/>
              <w:left w:w="100" w:type="dxa"/>
              <w:bottom w:w="100" w:type="dxa"/>
              <w:right w:w="100" w:type="dxa"/>
            </w:tcMar>
          </w:tcPr>
          <w:p w14:paraId="08E1F6EB"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5FCA458C" w14:textId="77777777" w:rsidR="002530E2" w:rsidRDefault="002530E2">
            <w:pPr>
              <w:spacing w:after="0" w:line="276" w:lineRule="auto"/>
            </w:pPr>
            <w:r>
              <w:t>The Forever 21 "Islamic" Prayer Mats controversy serves as a reminder to companies to exercise careful consideration and research when creating products related to religious practices. It underscores the importance of cultural sensitivity and the need to engage in dialogue with affected communities to avoid unintended offence or disrespect.</w:t>
            </w:r>
          </w:p>
        </w:tc>
      </w:tr>
      <w:tr w:rsidR="002530E2" w14:paraId="73C6F27D" w14:textId="77777777">
        <w:tc>
          <w:tcPr>
            <w:tcW w:w="1905" w:type="dxa"/>
            <w:shd w:val="clear" w:color="auto" w:fill="auto"/>
            <w:tcMar>
              <w:top w:w="100" w:type="dxa"/>
              <w:left w:w="100" w:type="dxa"/>
              <w:bottom w:w="100" w:type="dxa"/>
              <w:right w:w="100" w:type="dxa"/>
            </w:tcMar>
          </w:tcPr>
          <w:p w14:paraId="063CC111"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63C766FD" w14:textId="77777777" w:rsidR="002530E2" w:rsidRDefault="002530E2">
            <w:pPr>
              <w:spacing w:after="0" w:line="276" w:lineRule="auto"/>
            </w:pPr>
            <w:r>
              <w:t>In 2019, Forever 21 faced controversy for releasing prayer mats labelled "Islamic" that featured images of Hindu deities. Muslim consumers accused the company of disrespecting their religious beliefs and demanded an apology. Forever 21 responded by issuing an apology, acknowledging the oversight, and expressing its commitment to cultural sensitivity in the future.</w:t>
            </w:r>
          </w:p>
        </w:tc>
      </w:tr>
    </w:tbl>
    <w:p w14:paraId="3251ABE8" w14:textId="77777777" w:rsidR="002530E2" w:rsidRDefault="002530E2"/>
    <w:p w14:paraId="023CBEEC" w14:textId="77777777" w:rsidR="002530E2" w:rsidRDefault="002530E2">
      <w:pPr>
        <w:pStyle w:val="Heading2"/>
      </w:pPr>
      <w:bookmarkStart w:id="469" w:name="_7tv71wrxqfck" w:colFirst="0" w:colLast="0"/>
      <w:bookmarkEnd w:id="469"/>
      <w:r>
        <w:t>IR 050 (2019: Netflix,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85"/>
        <w:gridCol w:w="5745"/>
      </w:tblGrid>
      <w:tr w:rsidR="002530E2" w14:paraId="78D1C112" w14:textId="77777777">
        <w:tc>
          <w:tcPr>
            <w:tcW w:w="3285" w:type="dxa"/>
            <w:shd w:val="clear" w:color="auto" w:fill="auto"/>
            <w:tcMar>
              <w:top w:w="100" w:type="dxa"/>
              <w:left w:w="100" w:type="dxa"/>
              <w:bottom w:w="100" w:type="dxa"/>
              <w:right w:w="100" w:type="dxa"/>
            </w:tcMar>
          </w:tcPr>
          <w:p w14:paraId="6F751CD4" w14:textId="77777777" w:rsidR="002530E2" w:rsidRDefault="002530E2">
            <w:pPr>
              <w:spacing w:after="0" w:line="276" w:lineRule="auto"/>
            </w:pPr>
            <w:r>
              <w:t>IREs / INCIDENT REPORT ELEMENTS</w:t>
            </w:r>
          </w:p>
        </w:tc>
        <w:tc>
          <w:tcPr>
            <w:tcW w:w="5745" w:type="dxa"/>
            <w:shd w:val="clear" w:color="auto" w:fill="auto"/>
            <w:tcMar>
              <w:top w:w="100" w:type="dxa"/>
              <w:left w:w="100" w:type="dxa"/>
              <w:bottom w:w="100" w:type="dxa"/>
              <w:right w:w="100" w:type="dxa"/>
            </w:tcMar>
          </w:tcPr>
          <w:p w14:paraId="7ADFDA97" w14:textId="77777777" w:rsidR="002530E2" w:rsidRDefault="002530E2">
            <w:pPr>
              <w:spacing w:after="0" w:line="276" w:lineRule="auto"/>
            </w:pPr>
            <w:r>
              <w:t>Incident Report Title: “Netflix's Removal of 'Patriot Act with Hasan Minhaj' Episode Criticizing Saudi Arabia”</w:t>
            </w:r>
          </w:p>
        </w:tc>
      </w:tr>
      <w:tr w:rsidR="002530E2" w14:paraId="1F452BFE" w14:textId="77777777">
        <w:tc>
          <w:tcPr>
            <w:tcW w:w="3285" w:type="dxa"/>
            <w:shd w:val="clear" w:color="auto" w:fill="auto"/>
            <w:tcMar>
              <w:top w:w="100" w:type="dxa"/>
              <w:left w:w="100" w:type="dxa"/>
              <w:bottom w:w="100" w:type="dxa"/>
              <w:right w:w="100" w:type="dxa"/>
            </w:tcMar>
          </w:tcPr>
          <w:p w14:paraId="21E8D73D" w14:textId="77777777" w:rsidR="002530E2" w:rsidRDefault="002530E2">
            <w:pPr>
              <w:spacing w:after="0" w:line="276" w:lineRule="auto"/>
            </w:pPr>
            <w:r>
              <w:t>IRE 1: INTRODUCTION</w:t>
            </w:r>
          </w:p>
        </w:tc>
        <w:tc>
          <w:tcPr>
            <w:tcW w:w="5745" w:type="dxa"/>
            <w:shd w:val="clear" w:color="auto" w:fill="auto"/>
            <w:tcMar>
              <w:top w:w="100" w:type="dxa"/>
              <w:left w:w="100" w:type="dxa"/>
              <w:bottom w:w="100" w:type="dxa"/>
              <w:right w:w="100" w:type="dxa"/>
            </w:tcMar>
          </w:tcPr>
          <w:p w14:paraId="7C95F0D6" w14:textId="77777777" w:rsidR="002530E2" w:rsidRDefault="002530E2">
            <w:pPr>
              <w:spacing w:after="0" w:line="276" w:lineRule="auto"/>
            </w:pPr>
            <w:r>
              <w:t xml:space="preserve">The incident report focuses on the controversy surrounding Netflix's removal of an episode of "Patriot Act with Hasan </w:t>
            </w:r>
            <w:r>
              <w:lastRenderedPageBreak/>
              <w:t>Minhaj" in Saudi Arabia, which criticized the Saudi government and sensitive topics.</w:t>
            </w:r>
          </w:p>
        </w:tc>
      </w:tr>
      <w:tr w:rsidR="002530E2" w14:paraId="56B79DB2" w14:textId="77777777">
        <w:tc>
          <w:tcPr>
            <w:tcW w:w="3285" w:type="dxa"/>
            <w:shd w:val="clear" w:color="auto" w:fill="auto"/>
            <w:tcMar>
              <w:top w:w="100" w:type="dxa"/>
              <w:left w:w="100" w:type="dxa"/>
              <w:bottom w:w="100" w:type="dxa"/>
              <w:right w:w="100" w:type="dxa"/>
            </w:tcMar>
          </w:tcPr>
          <w:p w14:paraId="3BB578A1" w14:textId="77777777" w:rsidR="002530E2" w:rsidRDefault="002530E2">
            <w:pPr>
              <w:spacing w:after="0" w:line="276" w:lineRule="auto"/>
            </w:pPr>
            <w:r>
              <w:lastRenderedPageBreak/>
              <w:t>IRE 2: INCIDENT BACKGROUND — WHAT HAPPENED?</w:t>
            </w:r>
          </w:p>
        </w:tc>
        <w:tc>
          <w:tcPr>
            <w:tcW w:w="5745" w:type="dxa"/>
            <w:shd w:val="clear" w:color="auto" w:fill="auto"/>
            <w:tcMar>
              <w:top w:w="100" w:type="dxa"/>
              <w:left w:w="100" w:type="dxa"/>
              <w:bottom w:w="100" w:type="dxa"/>
              <w:right w:w="100" w:type="dxa"/>
            </w:tcMar>
          </w:tcPr>
          <w:p w14:paraId="3BE18BA9" w14:textId="77777777" w:rsidR="002530E2" w:rsidRDefault="002530E2">
            <w:pPr>
              <w:spacing w:after="0" w:line="276" w:lineRule="auto"/>
            </w:pPr>
            <w:r>
              <w:t>Netflix released an episode discussing Saudi Arabia's human rights record, the killing of journalist Jamal Khashoggi, and the Saudi-led military campaign in Yemen. It received criticism and was removed in Saudi Arabia.</w:t>
            </w:r>
          </w:p>
        </w:tc>
      </w:tr>
      <w:tr w:rsidR="002530E2" w14:paraId="4BF1B16F" w14:textId="77777777">
        <w:tc>
          <w:tcPr>
            <w:tcW w:w="3285" w:type="dxa"/>
            <w:shd w:val="clear" w:color="auto" w:fill="auto"/>
            <w:tcMar>
              <w:top w:w="100" w:type="dxa"/>
              <w:left w:w="100" w:type="dxa"/>
              <w:bottom w:w="100" w:type="dxa"/>
              <w:right w:w="100" w:type="dxa"/>
            </w:tcMar>
          </w:tcPr>
          <w:p w14:paraId="5D29A48E" w14:textId="77777777" w:rsidR="002530E2" w:rsidRDefault="002530E2">
            <w:pPr>
              <w:spacing w:after="0" w:line="276" w:lineRule="auto"/>
            </w:pPr>
            <w:r>
              <w:t>IRE 3: TIME — WHEN DID THE BLUNDER OCCUR?</w:t>
            </w:r>
          </w:p>
        </w:tc>
        <w:tc>
          <w:tcPr>
            <w:tcW w:w="5745" w:type="dxa"/>
            <w:shd w:val="clear" w:color="auto" w:fill="auto"/>
            <w:tcMar>
              <w:top w:w="100" w:type="dxa"/>
              <w:left w:w="100" w:type="dxa"/>
              <w:bottom w:w="100" w:type="dxa"/>
              <w:right w:w="100" w:type="dxa"/>
            </w:tcMar>
          </w:tcPr>
          <w:p w14:paraId="219AD532" w14:textId="77777777" w:rsidR="002530E2" w:rsidRDefault="002530E2">
            <w:pPr>
              <w:spacing w:after="0" w:line="276" w:lineRule="auto"/>
            </w:pPr>
            <w:r>
              <w:t>The blunder occurred in 2019.</w:t>
            </w:r>
          </w:p>
        </w:tc>
      </w:tr>
      <w:tr w:rsidR="002530E2" w14:paraId="6525FC23" w14:textId="77777777">
        <w:tc>
          <w:tcPr>
            <w:tcW w:w="3285" w:type="dxa"/>
            <w:shd w:val="clear" w:color="auto" w:fill="auto"/>
            <w:tcMar>
              <w:top w:w="100" w:type="dxa"/>
              <w:left w:w="100" w:type="dxa"/>
              <w:bottom w:w="100" w:type="dxa"/>
              <w:right w:w="100" w:type="dxa"/>
            </w:tcMar>
          </w:tcPr>
          <w:p w14:paraId="1230DA1A" w14:textId="77777777" w:rsidR="002530E2" w:rsidRDefault="002530E2">
            <w:pPr>
              <w:spacing w:after="0" w:line="276" w:lineRule="auto"/>
            </w:pPr>
            <w:r>
              <w:t>IRE 4: PLACE — WHERE DID THE BLUNDER TAKE PLACE?</w:t>
            </w:r>
          </w:p>
        </w:tc>
        <w:tc>
          <w:tcPr>
            <w:tcW w:w="5745" w:type="dxa"/>
            <w:shd w:val="clear" w:color="auto" w:fill="auto"/>
            <w:tcMar>
              <w:top w:w="100" w:type="dxa"/>
              <w:left w:w="100" w:type="dxa"/>
              <w:bottom w:w="100" w:type="dxa"/>
              <w:right w:w="100" w:type="dxa"/>
            </w:tcMar>
          </w:tcPr>
          <w:p w14:paraId="772BC4B3" w14:textId="77777777" w:rsidR="002530E2" w:rsidRDefault="002530E2">
            <w:pPr>
              <w:spacing w:after="0" w:line="276" w:lineRule="auto"/>
            </w:pPr>
            <w:r>
              <w:t>The blunder took place in Saudi Arabia.</w:t>
            </w:r>
          </w:p>
        </w:tc>
      </w:tr>
      <w:tr w:rsidR="002530E2" w14:paraId="3C7E8033" w14:textId="77777777">
        <w:tc>
          <w:tcPr>
            <w:tcW w:w="3285" w:type="dxa"/>
            <w:shd w:val="clear" w:color="auto" w:fill="auto"/>
            <w:tcMar>
              <w:top w:w="100" w:type="dxa"/>
              <w:left w:w="100" w:type="dxa"/>
              <w:bottom w:w="100" w:type="dxa"/>
              <w:right w:w="100" w:type="dxa"/>
            </w:tcMar>
          </w:tcPr>
          <w:p w14:paraId="7D46C751" w14:textId="77777777" w:rsidR="002530E2" w:rsidRDefault="002530E2">
            <w:pPr>
              <w:spacing w:after="0" w:line="276" w:lineRule="auto"/>
            </w:pPr>
            <w:r>
              <w:t>IRE 5: VICTIM GROUP — WHO WAS FIRST AFFECTED?</w:t>
            </w:r>
          </w:p>
        </w:tc>
        <w:tc>
          <w:tcPr>
            <w:tcW w:w="5745" w:type="dxa"/>
            <w:shd w:val="clear" w:color="auto" w:fill="auto"/>
            <w:tcMar>
              <w:top w:w="100" w:type="dxa"/>
              <w:left w:w="100" w:type="dxa"/>
              <w:bottom w:w="100" w:type="dxa"/>
              <w:right w:w="100" w:type="dxa"/>
            </w:tcMar>
          </w:tcPr>
          <w:p w14:paraId="1F597141" w14:textId="77777777" w:rsidR="002530E2" w:rsidRDefault="002530E2">
            <w:pPr>
              <w:spacing w:after="0" w:line="276" w:lineRule="auto"/>
            </w:pPr>
            <w:r>
              <w:t>The first affected group was Muslims who found the episode's content insensitive and viewed the removal as an attempt to silence criticism.</w:t>
            </w:r>
          </w:p>
          <w:p w14:paraId="455A83C9" w14:textId="77777777" w:rsidR="002530E2" w:rsidRDefault="002530E2">
            <w:pPr>
              <w:spacing w:after="0" w:line="276" w:lineRule="auto"/>
            </w:pPr>
          </w:p>
        </w:tc>
      </w:tr>
      <w:tr w:rsidR="002530E2" w14:paraId="16107086" w14:textId="77777777">
        <w:tc>
          <w:tcPr>
            <w:tcW w:w="3285" w:type="dxa"/>
            <w:shd w:val="clear" w:color="auto" w:fill="auto"/>
            <w:tcMar>
              <w:top w:w="100" w:type="dxa"/>
              <w:left w:w="100" w:type="dxa"/>
              <w:bottom w:w="100" w:type="dxa"/>
              <w:right w:w="100" w:type="dxa"/>
            </w:tcMar>
          </w:tcPr>
          <w:p w14:paraId="5C08F79F" w14:textId="77777777" w:rsidR="002530E2" w:rsidRDefault="002530E2">
            <w:pPr>
              <w:spacing w:after="0" w:line="276" w:lineRule="auto"/>
            </w:pPr>
            <w:r>
              <w:t>IRE 6: BLUNDERER — WHO MADE THE BLUNDER?</w:t>
            </w:r>
          </w:p>
        </w:tc>
        <w:tc>
          <w:tcPr>
            <w:tcW w:w="5745" w:type="dxa"/>
            <w:shd w:val="clear" w:color="auto" w:fill="auto"/>
            <w:tcMar>
              <w:top w:w="100" w:type="dxa"/>
              <w:left w:w="100" w:type="dxa"/>
              <w:bottom w:w="100" w:type="dxa"/>
              <w:right w:w="100" w:type="dxa"/>
            </w:tcMar>
          </w:tcPr>
          <w:p w14:paraId="5F107975" w14:textId="77777777" w:rsidR="002530E2" w:rsidRDefault="002530E2">
            <w:pPr>
              <w:spacing w:after="0" w:line="276" w:lineRule="auto"/>
            </w:pPr>
            <w:r>
              <w:t>Netflix made the blunder by releasing the controversial episode and later complying with the legal demand to remove it in Saudi Arabia.</w:t>
            </w:r>
          </w:p>
        </w:tc>
      </w:tr>
      <w:tr w:rsidR="002530E2" w14:paraId="7A6CF472" w14:textId="77777777">
        <w:tc>
          <w:tcPr>
            <w:tcW w:w="3285" w:type="dxa"/>
            <w:shd w:val="clear" w:color="auto" w:fill="auto"/>
            <w:tcMar>
              <w:top w:w="100" w:type="dxa"/>
              <w:left w:w="100" w:type="dxa"/>
              <w:bottom w:w="100" w:type="dxa"/>
              <w:right w:w="100" w:type="dxa"/>
            </w:tcMar>
          </w:tcPr>
          <w:p w14:paraId="0FB97131" w14:textId="77777777" w:rsidR="002530E2" w:rsidRDefault="002530E2">
            <w:pPr>
              <w:spacing w:after="0" w:line="276" w:lineRule="auto"/>
            </w:pPr>
            <w:r>
              <w:t>IRE 7: VICTIMISATION — WHAT WERE THE CONSEQUENCES FOR MUSLIMS?</w:t>
            </w:r>
          </w:p>
        </w:tc>
        <w:tc>
          <w:tcPr>
            <w:tcW w:w="5745" w:type="dxa"/>
            <w:shd w:val="clear" w:color="auto" w:fill="auto"/>
            <w:tcMar>
              <w:top w:w="100" w:type="dxa"/>
              <w:left w:w="100" w:type="dxa"/>
              <w:bottom w:w="100" w:type="dxa"/>
              <w:right w:w="100" w:type="dxa"/>
            </w:tcMar>
          </w:tcPr>
          <w:p w14:paraId="5838143B" w14:textId="77777777" w:rsidR="002530E2" w:rsidRDefault="002530E2">
            <w:pPr>
              <w:spacing w:after="0" w:line="276" w:lineRule="auto"/>
            </w:pPr>
            <w:r>
              <w:t>Muslims criticized the insensitivity of the episode, called for a boycott of Netflix, and felt negatively portrayed and stereotyped.</w:t>
            </w:r>
          </w:p>
        </w:tc>
      </w:tr>
      <w:tr w:rsidR="002530E2" w14:paraId="265A239C" w14:textId="77777777">
        <w:tc>
          <w:tcPr>
            <w:tcW w:w="3285" w:type="dxa"/>
            <w:shd w:val="clear" w:color="auto" w:fill="auto"/>
            <w:tcMar>
              <w:top w:w="100" w:type="dxa"/>
              <w:left w:w="100" w:type="dxa"/>
              <w:bottom w:w="100" w:type="dxa"/>
              <w:right w:w="100" w:type="dxa"/>
            </w:tcMar>
          </w:tcPr>
          <w:p w14:paraId="40EAB186" w14:textId="77777777" w:rsidR="002530E2" w:rsidRDefault="002530E2">
            <w:pPr>
              <w:spacing w:after="0" w:line="276" w:lineRule="auto"/>
            </w:pPr>
            <w:r>
              <w:t>IRE 8: RAMIFICATIONS — HOW WAS THE MNC IMPACTED?</w:t>
            </w:r>
          </w:p>
        </w:tc>
        <w:tc>
          <w:tcPr>
            <w:tcW w:w="5745" w:type="dxa"/>
            <w:shd w:val="clear" w:color="auto" w:fill="auto"/>
            <w:tcMar>
              <w:top w:w="100" w:type="dxa"/>
              <w:left w:w="100" w:type="dxa"/>
              <w:bottom w:w="100" w:type="dxa"/>
              <w:right w:w="100" w:type="dxa"/>
            </w:tcMar>
          </w:tcPr>
          <w:p w14:paraId="06A9421E" w14:textId="77777777" w:rsidR="002530E2" w:rsidRDefault="002530E2">
            <w:pPr>
              <w:spacing w:after="0" w:line="276" w:lineRule="auto"/>
            </w:pPr>
            <w:r>
              <w:t>Netflix faced mixed consequences. While complying with the removal helped avoid legal consequences, it faced backlash for compromising freedom of speech and cultural sensitivity.</w:t>
            </w:r>
          </w:p>
        </w:tc>
      </w:tr>
      <w:tr w:rsidR="002530E2" w14:paraId="19DA71C1" w14:textId="77777777">
        <w:tc>
          <w:tcPr>
            <w:tcW w:w="3285" w:type="dxa"/>
            <w:shd w:val="clear" w:color="auto" w:fill="auto"/>
            <w:tcMar>
              <w:top w:w="100" w:type="dxa"/>
              <w:left w:w="100" w:type="dxa"/>
              <w:bottom w:w="100" w:type="dxa"/>
              <w:right w:w="100" w:type="dxa"/>
            </w:tcMar>
          </w:tcPr>
          <w:p w14:paraId="6B14DFAD" w14:textId="77777777" w:rsidR="002530E2" w:rsidRDefault="002530E2">
            <w:pPr>
              <w:spacing w:after="0" w:line="276" w:lineRule="auto"/>
            </w:pPr>
            <w:r>
              <w:t xml:space="preserve">IRE 9: REASONS — WHY DID THE BLUNDER HAPPEN? </w:t>
            </w:r>
          </w:p>
        </w:tc>
        <w:tc>
          <w:tcPr>
            <w:tcW w:w="5745" w:type="dxa"/>
            <w:shd w:val="clear" w:color="auto" w:fill="auto"/>
            <w:tcMar>
              <w:top w:w="100" w:type="dxa"/>
              <w:left w:w="100" w:type="dxa"/>
              <w:bottom w:w="100" w:type="dxa"/>
              <w:right w:w="100" w:type="dxa"/>
            </w:tcMar>
          </w:tcPr>
          <w:p w14:paraId="1AD5DF0B" w14:textId="77777777" w:rsidR="002530E2" w:rsidRDefault="002530E2">
            <w:pPr>
              <w:spacing w:after="0" w:line="276" w:lineRule="auto"/>
            </w:pPr>
            <w:r>
              <w:t>The blunder happened due to the controversial content of the episode that criticized the Saudi government, leading to its removal.</w:t>
            </w:r>
          </w:p>
        </w:tc>
      </w:tr>
      <w:tr w:rsidR="002530E2" w14:paraId="14E04927" w14:textId="77777777">
        <w:tc>
          <w:tcPr>
            <w:tcW w:w="3285" w:type="dxa"/>
            <w:shd w:val="clear" w:color="auto" w:fill="auto"/>
            <w:tcMar>
              <w:top w:w="100" w:type="dxa"/>
              <w:left w:w="100" w:type="dxa"/>
              <w:bottom w:w="100" w:type="dxa"/>
              <w:right w:w="100" w:type="dxa"/>
            </w:tcMar>
          </w:tcPr>
          <w:p w14:paraId="6C4ABAE6" w14:textId="77777777" w:rsidR="002530E2" w:rsidRDefault="002530E2">
            <w:pPr>
              <w:spacing w:after="0" w:line="276" w:lineRule="auto"/>
            </w:pPr>
            <w:r>
              <w:t>IRE 10: DAMAGE CONTROL — HOW DID THE MNC ADDRESS THE ISSUES?</w:t>
            </w:r>
          </w:p>
        </w:tc>
        <w:tc>
          <w:tcPr>
            <w:tcW w:w="5745" w:type="dxa"/>
            <w:shd w:val="clear" w:color="auto" w:fill="auto"/>
            <w:tcMar>
              <w:top w:w="100" w:type="dxa"/>
              <w:left w:w="100" w:type="dxa"/>
              <w:bottom w:w="100" w:type="dxa"/>
              <w:right w:w="100" w:type="dxa"/>
            </w:tcMar>
          </w:tcPr>
          <w:p w14:paraId="09F0F5D4" w14:textId="77777777" w:rsidR="002530E2" w:rsidRDefault="002530E2">
            <w:pPr>
              <w:spacing w:after="0" w:line="276" w:lineRule="auto"/>
            </w:pPr>
            <w:r>
              <w:t>Netflix complied with the legal demand and removed the episode from its platform in Saudi Arabia. However, it did not address specific reactions from Muslims publicly.</w:t>
            </w:r>
          </w:p>
          <w:p w14:paraId="7C138B9F" w14:textId="77777777" w:rsidR="002530E2" w:rsidRDefault="002530E2">
            <w:pPr>
              <w:spacing w:after="0" w:line="276" w:lineRule="auto"/>
            </w:pPr>
          </w:p>
        </w:tc>
      </w:tr>
      <w:tr w:rsidR="002530E2" w14:paraId="44E7C803" w14:textId="77777777">
        <w:tc>
          <w:tcPr>
            <w:tcW w:w="3285" w:type="dxa"/>
            <w:shd w:val="clear" w:color="auto" w:fill="auto"/>
            <w:tcMar>
              <w:top w:w="100" w:type="dxa"/>
              <w:left w:w="100" w:type="dxa"/>
              <w:bottom w:w="100" w:type="dxa"/>
              <w:right w:w="100" w:type="dxa"/>
            </w:tcMar>
          </w:tcPr>
          <w:p w14:paraId="7B631057" w14:textId="77777777" w:rsidR="002530E2" w:rsidRDefault="002530E2">
            <w:pPr>
              <w:spacing w:after="0" w:line="276" w:lineRule="auto"/>
            </w:pPr>
            <w:r>
              <w:t>IRE 11: FUTURE PREVENTION STRATEGIES — WHAT ARE THE LESSONS LEARNED?</w:t>
            </w:r>
          </w:p>
        </w:tc>
        <w:tc>
          <w:tcPr>
            <w:tcW w:w="5745" w:type="dxa"/>
            <w:shd w:val="clear" w:color="auto" w:fill="auto"/>
            <w:tcMar>
              <w:top w:w="100" w:type="dxa"/>
              <w:left w:w="100" w:type="dxa"/>
              <w:bottom w:w="100" w:type="dxa"/>
              <w:right w:w="100" w:type="dxa"/>
            </w:tcMar>
          </w:tcPr>
          <w:p w14:paraId="2276DC22" w14:textId="77777777" w:rsidR="002530E2" w:rsidRDefault="002530E2">
            <w:pPr>
              <w:spacing w:after="0" w:line="276" w:lineRule="auto"/>
            </w:pPr>
            <w:r>
              <w:t>The incident highlights the importance of cultural sensitivity and awareness when creating global content. MNCs should consider the impact on diverse cultures, engage with local communities, and be mindful of local laws.</w:t>
            </w:r>
          </w:p>
        </w:tc>
      </w:tr>
      <w:tr w:rsidR="002530E2" w14:paraId="72711E89" w14:textId="77777777">
        <w:tc>
          <w:tcPr>
            <w:tcW w:w="3285" w:type="dxa"/>
            <w:shd w:val="clear" w:color="auto" w:fill="auto"/>
            <w:tcMar>
              <w:top w:w="100" w:type="dxa"/>
              <w:left w:w="100" w:type="dxa"/>
              <w:bottom w:w="100" w:type="dxa"/>
              <w:right w:w="100" w:type="dxa"/>
            </w:tcMar>
          </w:tcPr>
          <w:p w14:paraId="0AF0F5C2" w14:textId="77777777" w:rsidR="002530E2" w:rsidRDefault="002530E2">
            <w:pPr>
              <w:spacing w:after="0" w:line="276" w:lineRule="auto"/>
            </w:pPr>
            <w:r>
              <w:lastRenderedPageBreak/>
              <w:t>IRE 12: CASE SUMMARY</w:t>
            </w:r>
          </w:p>
        </w:tc>
        <w:tc>
          <w:tcPr>
            <w:tcW w:w="5745" w:type="dxa"/>
            <w:shd w:val="clear" w:color="auto" w:fill="auto"/>
            <w:tcMar>
              <w:top w:w="100" w:type="dxa"/>
              <w:left w:w="100" w:type="dxa"/>
              <w:bottom w:w="100" w:type="dxa"/>
              <w:right w:w="100" w:type="dxa"/>
            </w:tcMar>
          </w:tcPr>
          <w:p w14:paraId="5910BEB6" w14:textId="77777777" w:rsidR="002530E2" w:rsidRDefault="002530E2">
            <w:pPr>
              <w:spacing w:after="0" w:line="276" w:lineRule="auto"/>
            </w:pPr>
            <w:r>
              <w:t>The controversy surrounding Netflix's removal of the episode emphasizes the challenges MNCs face in balancing cultural sensitivities and freedom of speech. It serves as a reminder to consider the impact of content on diverse audiences and engage in dialogue with local communities.</w:t>
            </w:r>
          </w:p>
        </w:tc>
      </w:tr>
    </w:tbl>
    <w:p w14:paraId="78AD667A" w14:textId="77777777" w:rsidR="002530E2" w:rsidRDefault="002530E2"/>
    <w:p w14:paraId="2F414823" w14:textId="77777777" w:rsidR="002530E2" w:rsidRDefault="002530E2">
      <w:pPr>
        <w:pStyle w:val="Heading2"/>
      </w:pPr>
      <w:bookmarkStart w:id="470" w:name="_4jligsewuq7h" w:colFirst="0" w:colLast="0"/>
      <w:bookmarkEnd w:id="470"/>
      <w:r>
        <w:t>IR 051 (2020: Facebook, Global)</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125"/>
      </w:tblGrid>
      <w:tr w:rsidR="002530E2" w14:paraId="5B88DF53" w14:textId="77777777">
        <w:tc>
          <w:tcPr>
            <w:tcW w:w="1905" w:type="dxa"/>
            <w:shd w:val="clear" w:color="auto" w:fill="auto"/>
            <w:tcMar>
              <w:top w:w="100" w:type="dxa"/>
              <w:left w:w="100" w:type="dxa"/>
              <w:bottom w:w="100" w:type="dxa"/>
              <w:right w:w="100" w:type="dxa"/>
            </w:tcMar>
          </w:tcPr>
          <w:p w14:paraId="76793D41" w14:textId="77777777" w:rsidR="002530E2" w:rsidRDefault="002530E2">
            <w:pPr>
              <w:spacing w:after="0" w:line="276" w:lineRule="auto"/>
            </w:pPr>
            <w:r>
              <w:t>IREs / INCIDENT REPORT ELEMENTS</w:t>
            </w:r>
          </w:p>
        </w:tc>
        <w:tc>
          <w:tcPr>
            <w:tcW w:w="7125" w:type="dxa"/>
            <w:shd w:val="clear" w:color="auto" w:fill="auto"/>
            <w:tcMar>
              <w:top w:w="100" w:type="dxa"/>
              <w:left w:w="100" w:type="dxa"/>
              <w:bottom w:w="100" w:type="dxa"/>
              <w:right w:w="100" w:type="dxa"/>
            </w:tcMar>
          </w:tcPr>
          <w:p w14:paraId="242FDEF3" w14:textId="77777777" w:rsidR="002530E2" w:rsidRDefault="002530E2">
            <w:pPr>
              <w:spacing w:after="0" w:line="276" w:lineRule="auto"/>
            </w:pPr>
            <w:r>
              <w:t>Incident Report Title: “Facebook's Backlash Regarding Promotion of Anti-Muslim Hate Speech”</w:t>
            </w:r>
          </w:p>
        </w:tc>
      </w:tr>
      <w:tr w:rsidR="002530E2" w14:paraId="1A8E20FE" w14:textId="77777777">
        <w:tc>
          <w:tcPr>
            <w:tcW w:w="1905" w:type="dxa"/>
            <w:shd w:val="clear" w:color="auto" w:fill="auto"/>
            <w:tcMar>
              <w:top w:w="100" w:type="dxa"/>
              <w:left w:w="100" w:type="dxa"/>
              <w:bottom w:w="100" w:type="dxa"/>
              <w:right w:w="100" w:type="dxa"/>
            </w:tcMar>
          </w:tcPr>
          <w:p w14:paraId="2CEC6532" w14:textId="77777777" w:rsidR="002530E2" w:rsidRDefault="002530E2">
            <w:pPr>
              <w:spacing w:after="0" w:line="276" w:lineRule="auto"/>
            </w:pPr>
            <w:r>
              <w:t>IRE 1: INTRODUCTION</w:t>
            </w:r>
          </w:p>
        </w:tc>
        <w:tc>
          <w:tcPr>
            <w:tcW w:w="7125" w:type="dxa"/>
            <w:shd w:val="clear" w:color="auto" w:fill="auto"/>
            <w:tcMar>
              <w:top w:w="100" w:type="dxa"/>
              <w:left w:w="100" w:type="dxa"/>
              <w:bottom w:w="100" w:type="dxa"/>
              <w:right w:w="100" w:type="dxa"/>
            </w:tcMar>
          </w:tcPr>
          <w:p w14:paraId="03F2F42D" w14:textId="77777777" w:rsidR="002530E2" w:rsidRDefault="002530E2">
            <w:pPr>
              <w:spacing w:after="0" w:line="276" w:lineRule="auto"/>
            </w:pPr>
            <w:r>
              <w:t>This case examines the cross-cultural blunder by Facebook in 2020, which resulted in backlash from Muslim consumers. The report focuses on the controversy surrounding Facebook's algorithm, which promotes anti-Muslim hate speech and conspiracy theories, and the subsequent response from the Muslim community.</w:t>
            </w:r>
          </w:p>
        </w:tc>
      </w:tr>
      <w:tr w:rsidR="002530E2" w14:paraId="28542EEF" w14:textId="77777777">
        <w:tc>
          <w:tcPr>
            <w:tcW w:w="1905" w:type="dxa"/>
            <w:shd w:val="clear" w:color="auto" w:fill="auto"/>
            <w:tcMar>
              <w:top w:w="100" w:type="dxa"/>
              <w:left w:w="100" w:type="dxa"/>
              <w:bottom w:w="100" w:type="dxa"/>
              <w:right w:w="100" w:type="dxa"/>
            </w:tcMar>
          </w:tcPr>
          <w:p w14:paraId="59945E0E" w14:textId="77777777" w:rsidR="002530E2" w:rsidRDefault="002530E2">
            <w:pPr>
              <w:spacing w:after="0" w:line="276" w:lineRule="auto"/>
            </w:pPr>
            <w:r>
              <w:t>IRE 2: INCIDENT BACKGROUND — WHAT HAPPENED?</w:t>
            </w:r>
          </w:p>
        </w:tc>
        <w:tc>
          <w:tcPr>
            <w:tcW w:w="7125" w:type="dxa"/>
            <w:shd w:val="clear" w:color="auto" w:fill="auto"/>
            <w:tcMar>
              <w:top w:w="100" w:type="dxa"/>
              <w:left w:w="100" w:type="dxa"/>
              <w:bottom w:w="100" w:type="dxa"/>
              <w:right w:w="100" w:type="dxa"/>
            </w:tcMar>
          </w:tcPr>
          <w:p w14:paraId="2BE91841" w14:textId="77777777" w:rsidR="002530E2" w:rsidRDefault="002530E2">
            <w:pPr>
              <w:spacing w:after="0" w:line="276" w:lineRule="auto"/>
            </w:pPr>
            <w:r>
              <w:t>In 2020, Facebook faced criticism when it was reported that the company's algorithm was promoting anti-Muslim hate speech and conspiracy theories. This discovery raised concerns among Muslim consumers, who felt targeted and marginalised by the spread of harmful content on social media platforms.</w:t>
            </w:r>
          </w:p>
        </w:tc>
      </w:tr>
      <w:tr w:rsidR="002530E2" w14:paraId="532170DD" w14:textId="77777777">
        <w:tc>
          <w:tcPr>
            <w:tcW w:w="1905" w:type="dxa"/>
            <w:shd w:val="clear" w:color="auto" w:fill="auto"/>
            <w:tcMar>
              <w:top w:w="100" w:type="dxa"/>
              <w:left w:w="100" w:type="dxa"/>
              <w:bottom w:w="100" w:type="dxa"/>
              <w:right w:w="100" w:type="dxa"/>
            </w:tcMar>
          </w:tcPr>
          <w:p w14:paraId="40995EF1" w14:textId="77777777" w:rsidR="002530E2" w:rsidRDefault="002530E2">
            <w:pPr>
              <w:spacing w:after="0" w:line="276" w:lineRule="auto"/>
            </w:pPr>
            <w:r>
              <w:t>IRE 3: TIME — WHEN DID THE BLUNDER OCCUR?</w:t>
            </w:r>
          </w:p>
        </w:tc>
        <w:tc>
          <w:tcPr>
            <w:tcW w:w="7125" w:type="dxa"/>
            <w:shd w:val="clear" w:color="auto" w:fill="auto"/>
            <w:tcMar>
              <w:top w:w="100" w:type="dxa"/>
              <w:left w:w="100" w:type="dxa"/>
              <w:bottom w:w="100" w:type="dxa"/>
              <w:right w:w="100" w:type="dxa"/>
            </w:tcMar>
          </w:tcPr>
          <w:p w14:paraId="56DC0E67" w14:textId="77777777" w:rsidR="002530E2" w:rsidRDefault="002530E2">
            <w:pPr>
              <w:spacing w:after="0" w:line="276" w:lineRule="auto"/>
            </w:pPr>
            <w:r>
              <w:t>The incident occurred in 2020, when it was revealed that Facebook's algorithm was actively promoting anti-Muslim hate speech and conspiracy theories.</w:t>
            </w:r>
          </w:p>
        </w:tc>
      </w:tr>
      <w:tr w:rsidR="002530E2" w14:paraId="2AB3478A" w14:textId="77777777">
        <w:tc>
          <w:tcPr>
            <w:tcW w:w="1905" w:type="dxa"/>
            <w:shd w:val="clear" w:color="auto" w:fill="auto"/>
            <w:tcMar>
              <w:top w:w="100" w:type="dxa"/>
              <w:left w:w="100" w:type="dxa"/>
              <w:bottom w:w="100" w:type="dxa"/>
              <w:right w:w="100" w:type="dxa"/>
            </w:tcMar>
          </w:tcPr>
          <w:p w14:paraId="44F3BA42" w14:textId="77777777" w:rsidR="002530E2" w:rsidRDefault="002530E2">
            <w:pPr>
              <w:spacing w:after="0" w:line="276" w:lineRule="auto"/>
            </w:pPr>
            <w:r>
              <w:t>IRE 4: PLACE — WHERE DID THE BLUNDER TAKE PLACE?</w:t>
            </w:r>
          </w:p>
        </w:tc>
        <w:tc>
          <w:tcPr>
            <w:tcW w:w="7125" w:type="dxa"/>
            <w:shd w:val="clear" w:color="auto" w:fill="auto"/>
            <w:tcMar>
              <w:top w:w="100" w:type="dxa"/>
              <w:left w:w="100" w:type="dxa"/>
              <w:bottom w:w="100" w:type="dxa"/>
              <w:right w:w="100" w:type="dxa"/>
            </w:tcMar>
          </w:tcPr>
          <w:p w14:paraId="553D4600" w14:textId="77777777" w:rsidR="002530E2" w:rsidRDefault="002530E2">
            <w:pPr>
              <w:spacing w:after="0" w:line="276" w:lineRule="auto"/>
            </w:pPr>
            <w:r>
              <w:t>The controversy surrounding Facebook's algorithm and the promotion of anti-Muslim hate speech affected Muslim consumers globally, as Facebook is a widely used social media platform with a diverse user base.</w:t>
            </w:r>
          </w:p>
        </w:tc>
      </w:tr>
      <w:tr w:rsidR="002530E2" w14:paraId="78D159FC" w14:textId="77777777">
        <w:tc>
          <w:tcPr>
            <w:tcW w:w="1905" w:type="dxa"/>
            <w:shd w:val="clear" w:color="auto" w:fill="auto"/>
            <w:tcMar>
              <w:top w:w="100" w:type="dxa"/>
              <w:left w:w="100" w:type="dxa"/>
              <w:bottom w:w="100" w:type="dxa"/>
              <w:right w:w="100" w:type="dxa"/>
            </w:tcMar>
          </w:tcPr>
          <w:p w14:paraId="3ACC554C" w14:textId="77777777" w:rsidR="002530E2" w:rsidRDefault="002530E2">
            <w:pPr>
              <w:spacing w:after="0" w:line="276" w:lineRule="auto"/>
            </w:pPr>
            <w:r>
              <w:t>IRE 5: VICTIM GROUP — WHO WAS FIRST AFFECTED?</w:t>
            </w:r>
          </w:p>
        </w:tc>
        <w:tc>
          <w:tcPr>
            <w:tcW w:w="7125" w:type="dxa"/>
            <w:shd w:val="clear" w:color="auto" w:fill="auto"/>
            <w:tcMar>
              <w:top w:w="100" w:type="dxa"/>
              <w:left w:w="100" w:type="dxa"/>
              <w:bottom w:w="100" w:type="dxa"/>
              <w:right w:w="100" w:type="dxa"/>
            </w:tcMar>
          </w:tcPr>
          <w:p w14:paraId="4BF1081F" w14:textId="77777777" w:rsidR="002530E2" w:rsidRDefault="002530E2">
            <w:pPr>
              <w:spacing w:after="0" w:line="276" w:lineRule="auto"/>
            </w:pPr>
            <w:r>
              <w:t>Muslim consumers, as a targeted group, were directly affected by the promotion of anti-Muslim hate speech on Facebook. They felt victimised and discriminated against as their religious beliefs and community were subjected to derogatory content and conspiracy theories.</w:t>
            </w:r>
          </w:p>
        </w:tc>
      </w:tr>
      <w:tr w:rsidR="002530E2" w14:paraId="3C169B7F" w14:textId="77777777">
        <w:tc>
          <w:tcPr>
            <w:tcW w:w="1905" w:type="dxa"/>
            <w:shd w:val="clear" w:color="auto" w:fill="auto"/>
            <w:tcMar>
              <w:top w:w="100" w:type="dxa"/>
              <w:left w:w="100" w:type="dxa"/>
              <w:bottom w:w="100" w:type="dxa"/>
              <w:right w:w="100" w:type="dxa"/>
            </w:tcMar>
          </w:tcPr>
          <w:p w14:paraId="127618C1" w14:textId="77777777" w:rsidR="002530E2" w:rsidRDefault="002530E2">
            <w:pPr>
              <w:spacing w:after="0" w:line="276" w:lineRule="auto"/>
            </w:pPr>
            <w:r>
              <w:t>IRE 6: BLUNDERER — WHO MADE THE BLUNDER?</w:t>
            </w:r>
          </w:p>
        </w:tc>
        <w:tc>
          <w:tcPr>
            <w:tcW w:w="7125" w:type="dxa"/>
            <w:shd w:val="clear" w:color="auto" w:fill="auto"/>
            <w:tcMar>
              <w:top w:w="100" w:type="dxa"/>
              <w:left w:w="100" w:type="dxa"/>
              <w:bottom w:w="100" w:type="dxa"/>
              <w:right w:w="100" w:type="dxa"/>
            </w:tcMar>
          </w:tcPr>
          <w:p w14:paraId="57A04F7F" w14:textId="77777777" w:rsidR="002530E2" w:rsidRDefault="002530E2">
            <w:pPr>
              <w:spacing w:after="0" w:line="276" w:lineRule="auto"/>
            </w:pPr>
            <w:r>
              <w:t>Facebook, as a leading social media platform, faced criticism for the promotion of anti-Muslim hate speech on its platform. The company was held responsible for not adequately addressing the issue and ensuring a safe and inclusive environment for all users, regardless of their religious background.</w:t>
            </w:r>
          </w:p>
        </w:tc>
      </w:tr>
      <w:tr w:rsidR="002530E2" w14:paraId="47FEB620" w14:textId="77777777">
        <w:tc>
          <w:tcPr>
            <w:tcW w:w="1905" w:type="dxa"/>
            <w:shd w:val="clear" w:color="auto" w:fill="auto"/>
            <w:tcMar>
              <w:top w:w="100" w:type="dxa"/>
              <w:left w:w="100" w:type="dxa"/>
              <w:bottom w:w="100" w:type="dxa"/>
              <w:right w:w="100" w:type="dxa"/>
            </w:tcMar>
          </w:tcPr>
          <w:p w14:paraId="4A58213E" w14:textId="77777777" w:rsidR="002530E2" w:rsidRDefault="002530E2">
            <w:pPr>
              <w:spacing w:after="0" w:line="276" w:lineRule="auto"/>
            </w:pPr>
            <w:r>
              <w:lastRenderedPageBreak/>
              <w:t>IRE 7: VICTIMISATION — WHAT WERE THE CONSEQUENCES FOR MUSLIMS?</w:t>
            </w:r>
          </w:p>
        </w:tc>
        <w:tc>
          <w:tcPr>
            <w:tcW w:w="7125" w:type="dxa"/>
            <w:shd w:val="clear" w:color="auto" w:fill="auto"/>
            <w:tcMar>
              <w:top w:w="100" w:type="dxa"/>
              <w:left w:w="100" w:type="dxa"/>
              <w:bottom w:w="100" w:type="dxa"/>
              <w:right w:w="100" w:type="dxa"/>
            </w:tcMar>
          </w:tcPr>
          <w:p w14:paraId="320013A7" w14:textId="77777777" w:rsidR="002530E2" w:rsidRDefault="002530E2">
            <w:pPr>
              <w:spacing w:after="0" w:line="276" w:lineRule="auto"/>
            </w:pPr>
            <w:r>
              <w:t>Muslim consumers expressed their outrage and frustration at Facebook for the proliferation of anti-Muslim hate speech. Many individuals called for a boycott of the platform, highlighting their concerns over the impact on their well-being and safety in the online space.</w:t>
            </w:r>
          </w:p>
        </w:tc>
      </w:tr>
      <w:tr w:rsidR="002530E2" w14:paraId="55020219" w14:textId="77777777">
        <w:tc>
          <w:tcPr>
            <w:tcW w:w="1905" w:type="dxa"/>
            <w:shd w:val="clear" w:color="auto" w:fill="auto"/>
            <w:tcMar>
              <w:top w:w="100" w:type="dxa"/>
              <w:left w:w="100" w:type="dxa"/>
              <w:bottom w:w="100" w:type="dxa"/>
              <w:right w:w="100" w:type="dxa"/>
            </w:tcMar>
          </w:tcPr>
          <w:p w14:paraId="119DB5E8" w14:textId="77777777" w:rsidR="002530E2" w:rsidRDefault="002530E2">
            <w:pPr>
              <w:spacing w:after="0" w:line="276" w:lineRule="auto"/>
            </w:pPr>
            <w:r>
              <w:t>IRE 8: RAMIFICATIONS — HOW WAS THE MNC IMPACTED?</w:t>
            </w:r>
          </w:p>
        </w:tc>
        <w:tc>
          <w:tcPr>
            <w:tcW w:w="7125" w:type="dxa"/>
            <w:shd w:val="clear" w:color="auto" w:fill="auto"/>
            <w:tcMar>
              <w:top w:w="100" w:type="dxa"/>
              <w:left w:w="100" w:type="dxa"/>
              <w:bottom w:w="100" w:type="dxa"/>
              <w:right w:w="100" w:type="dxa"/>
            </w:tcMar>
          </w:tcPr>
          <w:p w14:paraId="6A58354F" w14:textId="77777777" w:rsidR="002530E2" w:rsidRDefault="002530E2">
            <w:pPr>
              <w:spacing w:after="0" w:line="276" w:lineRule="auto"/>
            </w:pPr>
            <w:r>
              <w:t>The controversy had significant repercussions for Facebook, including a damaged reputation and a potential loss of user trust. The company faced pressure to take immediate action to address the issue, implement stricter content moderation policies, and invest in technologies that can effectively identify and remove hate speech targeting the Muslim community.</w:t>
            </w:r>
          </w:p>
        </w:tc>
      </w:tr>
      <w:tr w:rsidR="002530E2" w14:paraId="698A001B" w14:textId="77777777">
        <w:tc>
          <w:tcPr>
            <w:tcW w:w="1905" w:type="dxa"/>
            <w:shd w:val="clear" w:color="auto" w:fill="auto"/>
            <w:tcMar>
              <w:top w:w="100" w:type="dxa"/>
              <w:left w:w="100" w:type="dxa"/>
              <w:bottom w:w="100" w:type="dxa"/>
              <w:right w:w="100" w:type="dxa"/>
            </w:tcMar>
          </w:tcPr>
          <w:p w14:paraId="49175039" w14:textId="77777777" w:rsidR="002530E2" w:rsidRDefault="002530E2">
            <w:pPr>
              <w:spacing w:after="0" w:line="276" w:lineRule="auto"/>
            </w:pPr>
            <w:r>
              <w:t xml:space="preserve">IRE 9: REASONS — WHY DID THE BLUNDER HAPPEN? </w:t>
            </w:r>
          </w:p>
        </w:tc>
        <w:tc>
          <w:tcPr>
            <w:tcW w:w="7125" w:type="dxa"/>
            <w:shd w:val="clear" w:color="auto" w:fill="auto"/>
            <w:tcMar>
              <w:top w:w="100" w:type="dxa"/>
              <w:left w:w="100" w:type="dxa"/>
              <w:bottom w:w="100" w:type="dxa"/>
              <w:right w:w="100" w:type="dxa"/>
            </w:tcMar>
          </w:tcPr>
          <w:p w14:paraId="1E6D7E10" w14:textId="77777777" w:rsidR="002530E2" w:rsidRDefault="002530E2">
            <w:pPr>
              <w:spacing w:after="0" w:line="276" w:lineRule="auto"/>
            </w:pPr>
            <w:r>
              <w:t>The promotion of anti-Muslim hate speech on Facebook can be attributed to flaws in the platform's algorithm and content moderation mechanisms. The incident highlighted the need for continuous improvement and increased vigilance to prevent the spread of harmful content and the targeting of specific religious or ethnic groups.</w:t>
            </w:r>
          </w:p>
        </w:tc>
      </w:tr>
      <w:tr w:rsidR="002530E2" w14:paraId="42DFA0EF" w14:textId="77777777">
        <w:tc>
          <w:tcPr>
            <w:tcW w:w="1905" w:type="dxa"/>
            <w:shd w:val="clear" w:color="auto" w:fill="auto"/>
            <w:tcMar>
              <w:top w:w="100" w:type="dxa"/>
              <w:left w:w="100" w:type="dxa"/>
              <w:bottom w:w="100" w:type="dxa"/>
              <w:right w:w="100" w:type="dxa"/>
            </w:tcMar>
          </w:tcPr>
          <w:p w14:paraId="6E32F2E8" w14:textId="77777777" w:rsidR="002530E2" w:rsidRDefault="002530E2">
            <w:pPr>
              <w:spacing w:after="0" w:line="276" w:lineRule="auto"/>
            </w:pPr>
            <w:r>
              <w:t>IRE 10: DAMAGE CONTROL — HOW DID THE MNC ADDRESS THE ISSUES?</w:t>
            </w:r>
          </w:p>
        </w:tc>
        <w:tc>
          <w:tcPr>
            <w:tcW w:w="7125" w:type="dxa"/>
            <w:shd w:val="clear" w:color="auto" w:fill="auto"/>
            <w:tcMar>
              <w:top w:w="100" w:type="dxa"/>
              <w:left w:w="100" w:type="dxa"/>
              <w:bottom w:w="100" w:type="dxa"/>
              <w:right w:w="100" w:type="dxa"/>
            </w:tcMar>
          </w:tcPr>
          <w:p w14:paraId="339DAC16" w14:textId="77777777" w:rsidR="002530E2" w:rsidRDefault="002530E2">
            <w:pPr>
              <w:spacing w:after="0" w:line="276" w:lineRule="auto"/>
            </w:pPr>
            <w:r>
              <w:t>In response to the backlash, Facebook acknowledged the concerns raised by Muslim consumers and committed to strengthening its content moderation policies. The company pledged to invest in artificial intelligence technologies to proactively identify and remove hate speech targeting Muslims, as well as to improve transparency and accountability in its content moderation processes.</w:t>
            </w:r>
          </w:p>
        </w:tc>
      </w:tr>
      <w:tr w:rsidR="002530E2" w14:paraId="11F50A55" w14:textId="77777777">
        <w:tc>
          <w:tcPr>
            <w:tcW w:w="1905" w:type="dxa"/>
            <w:shd w:val="clear" w:color="auto" w:fill="auto"/>
            <w:tcMar>
              <w:top w:w="100" w:type="dxa"/>
              <w:left w:w="100" w:type="dxa"/>
              <w:bottom w:w="100" w:type="dxa"/>
              <w:right w:w="100" w:type="dxa"/>
            </w:tcMar>
          </w:tcPr>
          <w:p w14:paraId="182DBB9B" w14:textId="77777777" w:rsidR="002530E2" w:rsidRDefault="002530E2">
            <w:pPr>
              <w:spacing w:after="0" w:line="276" w:lineRule="auto"/>
            </w:pPr>
            <w:r>
              <w:t>IRE 11: FUTURE PREVENTION STRATEGIES — WHAT ARE THE LESSONS LEARNED?</w:t>
            </w:r>
          </w:p>
        </w:tc>
        <w:tc>
          <w:tcPr>
            <w:tcW w:w="7125" w:type="dxa"/>
            <w:shd w:val="clear" w:color="auto" w:fill="auto"/>
            <w:tcMar>
              <w:top w:w="100" w:type="dxa"/>
              <w:left w:w="100" w:type="dxa"/>
              <w:bottom w:w="100" w:type="dxa"/>
              <w:right w:w="100" w:type="dxa"/>
            </w:tcMar>
          </w:tcPr>
          <w:p w14:paraId="2D82E76D" w14:textId="77777777" w:rsidR="002530E2" w:rsidRDefault="002530E2">
            <w:pPr>
              <w:spacing w:after="0" w:line="276" w:lineRule="auto"/>
            </w:pPr>
            <w:r>
              <w:t>To prevent the recurrence of similar incidents, Facebook should prioritise diversity and inclusion in its workforce, ensuring that employees with diverse backgrounds are involved in content moderation decisions. Regular audits, engagement with external experts, and collaboration with Muslim organisations can also contribute to developing effective prevention strategies. Moving forward, Facebook can enhance its efforts by fostering partnerships with civil society organisations, including Muslim advocacy groups, to better understand the specific concerns and needs of the Muslim community. Education and awareness campaigns can help promote tolerance, combat misinformation, and foster a safer online environment for all users.</w:t>
            </w:r>
          </w:p>
        </w:tc>
      </w:tr>
      <w:tr w:rsidR="002530E2" w14:paraId="71D6E431" w14:textId="77777777">
        <w:tc>
          <w:tcPr>
            <w:tcW w:w="1905" w:type="dxa"/>
            <w:shd w:val="clear" w:color="auto" w:fill="auto"/>
            <w:tcMar>
              <w:top w:w="100" w:type="dxa"/>
              <w:left w:w="100" w:type="dxa"/>
              <w:bottom w:w="100" w:type="dxa"/>
              <w:right w:w="100" w:type="dxa"/>
            </w:tcMar>
          </w:tcPr>
          <w:p w14:paraId="009A082B" w14:textId="77777777" w:rsidR="002530E2" w:rsidRDefault="002530E2">
            <w:pPr>
              <w:spacing w:after="0" w:line="276" w:lineRule="auto"/>
            </w:pPr>
            <w:r>
              <w:t>IRE 12: CASE SUMMARY</w:t>
            </w:r>
          </w:p>
        </w:tc>
        <w:tc>
          <w:tcPr>
            <w:tcW w:w="7125" w:type="dxa"/>
            <w:shd w:val="clear" w:color="auto" w:fill="auto"/>
            <w:tcMar>
              <w:top w:w="100" w:type="dxa"/>
              <w:left w:w="100" w:type="dxa"/>
              <w:bottom w:w="100" w:type="dxa"/>
              <w:right w:w="100" w:type="dxa"/>
            </w:tcMar>
          </w:tcPr>
          <w:p w14:paraId="30381052" w14:textId="77777777" w:rsidR="002530E2" w:rsidRDefault="002530E2">
            <w:pPr>
              <w:spacing w:after="0" w:line="276" w:lineRule="auto"/>
            </w:pPr>
            <w:r>
              <w:t>The backlash faced by Facebook in 2020 due to the promotion of anti-Muslim hate speech on its platform emphasized the need for stronger content moderation policies and proactive measures to ensure the safety and well-being of Muslim users. Facebook's commitment to addressing these issues and working towards a more inclusive environment is crucial to rebuilding trust and preventing similar incidents in the future.</w:t>
            </w:r>
          </w:p>
        </w:tc>
      </w:tr>
    </w:tbl>
    <w:p w14:paraId="5BFD1F4D" w14:textId="77777777" w:rsidR="002530E2" w:rsidRDefault="002530E2"/>
    <w:p w14:paraId="18A6B9FF" w14:textId="77777777" w:rsidR="002530E2" w:rsidRDefault="002530E2">
      <w:pPr>
        <w:ind w:left="720"/>
      </w:pPr>
    </w:p>
    <w:p w14:paraId="4F3A2A20" w14:textId="77777777" w:rsidR="002530E2" w:rsidRDefault="002530E2">
      <w:pPr>
        <w:ind w:left="720"/>
      </w:pPr>
    </w:p>
    <w:p w14:paraId="056EFA33" w14:textId="77777777" w:rsidR="002530E2" w:rsidRDefault="002530E2">
      <w:pPr>
        <w:pStyle w:val="Heading5"/>
        <w:spacing w:before="100" w:after="100" w:line="240" w:lineRule="auto"/>
        <w:ind w:left="720"/>
        <w:jc w:val="center"/>
        <w:rPr>
          <w:sz w:val="2"/>
          <w:szCs w:val="2"/>
        </w:rPr>
      </w:pPr>
      <w:bookmarkStart w:id="471" w:name="_womx031qjvaq" w:colFirst="0" w:colLast="0"/>
      <w:bookmarkEnd w:id="471"/>
      <w:r>
        <w:rPr>
          <w:color w:val="FFFFFF"/>
          <w:sz w:val="16"/>
          <w:szCs w:val="16"/>
        </w:rPr>
        <w:t>TABLE OF CONTENT</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30578CF9"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0D813193" w14:textId="77777777" w:rsidR="002530E2" w:rsidRDefault="002530E2">
            <w:pPr>
              <w:widowControl w:val="0"/>
              <w:spacing w:after="0" w:line="276" w:lineRule="auto"/>
              <w:jc w:val="center"/>
              <w:rPr>
                <w:color w:val="0E101A"/>
              </w:rPr>
            </w:pPr>
            <w:r>
              <w:rPr>
                <w:color w:val="0E101A"/>
              </w:rPr>
              <w:t>APPENDIX (CHP:6) 001</w:t>
            </w:r>
          </w:p>
        </w:tc>
      </w:tr>
    </w:tbl>
    <w:p w14:paraId="29C80B9E" w14:textId="77777777" w:rsidR="002530E2" w:rsidRDefault="002530E2">
      <w:pPr>
        <w:spacing w:before="200"/>
        <w:jc w:val="center"/>
      </w:pPr>
      <w:r>
        <w:t>DOs &amp; DONTs CHECKLIST FOR MUSLIMS ON RESPONSE TO BLUNDERS</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14C2F8C9"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A727A19" w14:textId="77777777" w:rsidR="002530E2" w:rsidRDefault="002530E2">
            <w:pPr>
              <w:widowControl w:val="0"/>
              <w:spacing w:after="0" w:line="276" w:lineRule="auto"/>
              <w:jc w:val="center"/>
              <w:rPr>
                <w:color w:val="0E101A"/>
              </w:rPr>
            </w:pPr>
            <w:r>
              <w:rPr>
                <w:color w:val="0E101A"/>
              </w:rPr>
              <w:t>APPENDIX (CHP:6) 002</w:t>
            </w:r>
          </w:p>
        </w:tc>
      </w:tr>
    </w:tbl>
    <w:p w14:paraId="16CEF97C" w14:textId="77777777" w:rsidR="002530E2" w:rsidRDefault="002530E2">
      <w:pPr>
        <w:spacing w:before="200"/>
        <w:jc w:val="center"/>
      </w:pPr>
      <w:r>
        <w:t>DOs &amp; DONTs BLUNDER PREVENTION IN ADVANCE CHECKLIST FOR MNCs</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182E27B9"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D45C1F2" w14:textId="77777777" w:rsidR="002530E2" w:rsidRDefault="002530E2">
            <w:pPr>
              <w:widowControl w:val="0"/>
              <w:spacing w:after="0" w:line="276" w:lineRule="auto"/>
              <w:jc w:val="center"/>
              <w:rPr>
                <w:color w:val="0E101A"/>
              </w:rPr>
            </w:pPr>
            <w:r>
              <w:rPr>
                <w:color w:val="0E101A"/>
              </w:rPr>
              <w:t>APPENDIX (CHP:6) 003</w:t>
            </w:r>
          </w:p>
        </w:tc>
      </w:tr>
    </w:tbl>
    <w:p w14:paraId="3DB6B0A2" w14:textId="77777777" w:rsidR="002530E2" w:rsidRDefault="002530E2">
      <w:pPr>
        <w:spacing w:before="200"/>
        <w:jc w:val="center"/>
      </w:pPr>
      <w:r>
        <w:t>BLUNDER DISASTER MANAGEMENT DOs &amp; DONTs CHECKLIST FOR MNCs</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205695DF"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4A31B2F" w14:textId="77777777" w:rsidR="002530E2" w:rsidRDefault="002530E2">
            <w:pPr>
              <w:widowControl w:val="0"/>
              <w:spacing w:after="0" w:line="276" w:lineRule="auto"/>
              <w:jc w:val="center"/>
              <w:rPr>
                <w:color w:val="0E101A"/>
              </w:rPr>
            </w:pPr>
            <w:r>
              <w:rPr>
                <w:color w:val="0E101A"/>
              </w:rPr>
              <w:t>APPENDIX (CHP:6) 004</w:t>
            </w:r>
          </w:p>
        </w:tc>
      </w:tr>
    </w:tbl>
    <w:p w14:paraId="34C03D8A" w14:textId="77777777" w:rsidR="002530E2" w:rsidRDefault="002530E2">
      <w:pPr>
        <w:spacing w:before="200"/>
        <w:jc w:val="center"/>
      </w:pPr>
      <w:r>
        <w:t>RESEARCH REPORT FOR ACADEMIC RESEARCH &amp; RELEVANT INDUSTRY</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4BC1EDDC"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4E05B372" w14:textId="77777777" w:rsidR="002530E2" w:rsidRDefault="002530E2">
            <w:pPr>
              <w:widowControl w:val="0"/>
              <w:spacing w:after="0" w:line="276" w:lineRule="auto"/>
              <w:jc w:val="center"/>
              <w:rPr>
                <w:color w:val="0E101A"/>
              </w:rPr>
            </w:pPr>
            <w:r>
              <w:rPr>
                <w:color w:val="0E101A"/>
              </w:rPr>
              <w:t>APPENDIX (CHP:6) 005</w:t>
            </w:r>
          </w:p>
        </w:tc>
      </w:tr>
    </w:tbl>
    <w:p w14:paraId="69CEFBC4" w14:textId="77777777" w:rsidR="002530E2" w:rsidRDefault="002530E2">
      <w:pPr>
        <w:spacing w:before="200"/>
        <w:jc w:val="center"/>
      </w:pPr>
      <w:r>
        <w:t>RESEARCH ARTICLE FOR ACADEMIC RESEARCH &amp; RELEVANT INDUSTRY</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6B89BC28"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449D8F28" w14:textId="77777777" w:rsidR="002530E2" w:rsidRDefault="002530E2">
            <w:pPr>
              <w:widowControl w:val="0"/>
              <w:spacing w:after="0" w:line="276" w:lineRule="auto"/>
              <w:jc w:val="center"/>
              <w:rPr>
                <w:color w:val="0E101A"/>
              </w:rPr>
            </w:pPr>
            <w:r>
              <w:rPr>
                <w:color w:val="0E101A"/>
              </w:rPr>
              <w:t>APPENDIX (CHP:6) 006</w:t>
            </w:r>
          </w:p>
        </w:tc>
      </w:tr>
    </w:tbl>
    <w:p w14:paraId="1E044770" w14:textId="77777777" w:rsidR="002530E2" w:rsidRDefault="002530E2">
      <w:pPr>
        <w:spacing w:before="200"/>
        <w:jc w:val="center"/>
      </w:pPr>
      <w:r>
        <w:t>CONFERENCE PRESENTATION OR ACADEMIC RESEARCH &amp; RELEVANT INDUSTRY</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0C8CB32B"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253565BC" w14:textId="77777777" w:rsidR="002530E2" w:rsidRDefault="002530E2">
            <w:pPr>
              <w:widowControl w:val="0"/>
              <w:spacing w:after="0" w:line="276" w:lineRule="auto"/>
              <w:jc w:val="center"/>
              <w:rPr>
                <w:color w:val="0E101A"/>
              </w:rPr>
            </w:pPr>
            <w:r>
              <w:rPr>
                <w:color w:val="0E101A"/>
              </w:rPr>
              <w:t>APPENDIX (CHP:6) 007</w:t>
            </w:r>
          </w:p>
        </w:tc>
      </w:tr>
    </w:tbl>
    <w:p w14:paraId="0CC2323F" w14:textId="77777777" w:rsidR="002530E2" w:rsidRDefault="002530E2">
      <w:pPr>
        <w:spacing w:before="200"/>
        <w:jc w:val="center"/>
      </w:pPr>
      <w:r>
        <w:t>A FUTURISTIC BOOK CHAPTER OUTLINE ON THE TOPIC</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6B0C8C89"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10E4227" w14:textId="77777777" w:rsidR="002530E2" w:rsidRDefault="002530E2">
            <w:pPr>
              <w:widowControl w:val="0"/>
              <w:spacing w:after="0" w:line="276" w:lineRule="auto"/>
              <w:jc w:val="center"/>
              <w:rPr>
                <w:color w:val="0E101A"/>
              </w:rPr>
            </w:pPr>
            <w:r>
              <w:rPr>
                <w:color w:val="0E101A"/>
              </w:rPr>
              <w:t>APPENDIX (CHP:6) 008</w:t>
            </w:r>
          </w:p>
        </w:tc>
      </w:tr>
    </w:tbl>
    <w:p w14:paraId="5B7850B7" w14:textId="77777777" w:rsidR="002530E2" w:rsidRDefault="002530E2">
      <w:pPr>
        <w:spacing w:before="200"/>
        <w:jc w:val="center"/>
      </w:pPr>
      <w:r>
        <w:t>EXAMINER’S DOs &amp; DON'Ts CHECKLIST FOR STUDENT''S REFLECTION</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48465238"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31BD5A84" w14:textId="77777777" w:rsidR="002530E2" w:rsidRDefault="002530E2">
            <w:pPr>
              <w:widowControl w:val="0"/>
              <w:spacing w:after="0" w:line="276" w:lineRule="auto"/>
              <w:jc w:val="center"/>
              <w:rPr>
                <w:color w:val="0E101A"/>
              </w:rPr>
            </w:pPr>
            <w:r>
              <w:rPr>
                <w:color w:val="0E101A"/>
              </w:rPr>
              <w:t>APPENDIX (CHP:6) 009</w:t>
            </w:r>
          </w:p>
        </w:tc>
      </w:tr>
    </w:tbl>
    <w:p w14:paraId="4CCD0722" w14:textId="77777777" w:rsidR="002530E2" w:rsidRDefault="002530E2">
      <w:pPr>
        <w:spacing w:before="200"/>
        <w:jc w:val="center"/>
      </w:pPr>
      <w:r>
        <w:t>POTENTIAL VIVA Q&amp;A SET 1 FOR STUDENT''S REFLECTION &amp; ANTICIPATION</w:t>
      </w: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tblGrid>
      <w:tr w:rsidR="002530E2" w14:paraId="0011E250" w14:textId="77777777">
        <w:trPr>
          <w:trHeight w:val="394"/>
          <w:jc w:val="center"/>
        </w:trPr>
        <w:tc>
          <w:tcPr>
            <w:tcW w:w="280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7097868E" w14:textId="77777777" w:rsidR="002530E2" w:rsidRDefault="002530E2">
            <w:pPr>
              <w:widowControl w:val="0"/>
              <w:spacing w:after="0" w:line="276" w:lineRule="auto"/>
              <w:jc w:val="center"/>
              <w:rPr>
                <w:color w:val="0E101A"/>
              </w:rPr>
            </w:pPr>
            <w:r>
              <w:rPr>
                <w:color w:val="0E101A"/>
              </w:rPr>
              <w:t>APPENDIX (CHP:6) 010</w:t>
            </w:r>
          </w:p>
        </w:tc>
      </w:tr>
    </w:tbl>
    <w:p w14:paraId="4923B9C1" w14:textId="77777777" w:rsidR="002530E2" w:rsidRDefault="002530E2">
      <w:pPr>
        <w:spacing w:before="200" w:after="0"/>
        <w:jc w:val="center"/>
      </w:pPr>
      <w:r>
        <w:lastRenderedPageBreak/>
        <w:t>POTENTIAL VIVA Q&amp;A SET 2 FOR STUDENT''S REFLECTION &amp; ANTICIPATION</w:t>
      </w:r>
    </w:p>
    <w:p w14:paraId="7A99FEC6" w14:textId="77777777" w:rsidR="002530E2" w:rsidRDefault="002530E2">
      <w:pPr>
        <w:spacing w:after="0"/>
      </w:pPr>
    </w:p>
    <w:p w14:paraId="00CFDB5C" w14:textId="77777777" w:rsidR="002530E2" w:rsidRDefault="002530E2">
      <w:pPr>
        <w:spacing w:after="0"/>
        <w:rPr>
          <w:sz w:val="2"/>
          <w:szCs w:val="2"/>
        </w:rPr>
      </w:pPr>
      <w:r>
        <w:t xml:space="preserve">TABLE OF CONTENT FOR APPENDIX (CHP:6) 001 — APPENDIX (CHP:6) 010  </w:t>
      </w:r>
    </w:p>
    <w:p w14:paraId="411EFB6A" w14:textId="77777777" w:rsidR="002530E2" w:rsidRDefault="002530E2">
      <w:pPr>
        <w:spacing w:after="0"/>
        <w:rPr>
          <w:sz w:val="2"/>
          <w:szCs w:val="2"/>
        </w:rPr>
      </w:pPr>
    </w:p>
    <w:sdt>
      <w:sdtPr>
        <w:id w:val="-267862632"/>
        <w:docPartObj>
          <w:docPartGallery w:val="Table of Contents"/>
          <w:docPartUnique/>
        </w:docPartObj>
      </w:sdtPr>
      <w:sdtContent>
        <w:p w14:paraId="5C9FE4AE" w14:textId="77777777" w:rsidR="002530E2" w:rsidRDefault="002530E2">
          <w:pPr>
            <w:widowControl w:val="0"/>
            <w:tabs>
              <w:tab w:val="right" w:leader="dot" w:pos="12000"/>
            </w:tabs>
            <w:spacing w:before="60" w:after="0"/>
            <w:rPr>
              <w:rFonts w:ascii="Arial" w:eastAsia="Arial" w:hAnsi="Arial" w:cs="Arial"/>
              <w:b/>
              <w:color w:val="000000"/>
              <w:sz w:val="20"/>
              <w:szCs w:val="20"/>
            </w:rPr>
          </w:pPr>
          <w:r>
            <w:fldChar w:fldCharType="begin"/>
          </w:r>
          <w:r>
            <w:instrText xml:space="preserve"> TOC \h \u \z \t "Heading 1,1,Heading 2,2,Heading 3,3,Heading 4,4,Heading 6,6,"</w:instrText>
          </w:r>
          <w:r>
            <w:fldChar w:fldCharType="separate"/>
          </w:r>
          <w:hyperlink w:anchor="_c744r9rbn3td">
            <w:r>
              <w:rPr>
                <w:rFonts w:ascii="Book Antiqua" w:eastAsia="Book Antiqua" w:hAnsi="Book Antiqua" w:cs="Book Antiqua"/>
                <w:color w:val="1155CC"/>
                <w:sz w:val="20"/>
                <w:szCs w:val="20"/>
              </w:rPr>
              <w:t>INTRODUCTION</w:t>
            </w:r>
            <w:r>
              <w:rPr>
                <w:rFonts w:ascii="Book Antiqua" w:eastAsia="Book Antiqua" w:hAnsi="Book Antiqua" w:cs="Book Antiqua"/>
                <w:color w:val="1155CC"/>
                <w:sz w:val="20"/>
                <w:szCs w:val="20"/>
              </w:rPr>
              <w:tab/>
              <w:t>762</w:t>
            </w:r>
          </w:hyperlink>
        </w:p>
        <w:p w14:paraId="7D14BDF9"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53mosj890mv3">
            <w:r>
              <w:rPr>
                <w:rFonts w:ascii="Book Antiqua" w:eastAsia="Book Antiqua" w:hAnsi="Book Antiqua" w:cs="Book Antiqua"/>
                <w:color w:val="1155CC"/>
                <w:sz w:val="20"/>
                <w:szCs w:val="20"/>
              </w:rPr>
              <w:t>APPENDIX (CHP:6) 001: DOs &amp; DONTs CHECKLIST FOR MUSLIMS</w:t>
            </w:r>
            <w:r>
              <w:rPr>
                <w:rFonts w:ascii="Book Antiqua" w:eastAsia="Book Antiqua" w:hAnsi="Book Antiqua" w:cs="Book Antiqua"/>
                <w:color w:val="1155CC"/>
                <w:sz w:val="20"/>
                <w:szCs w:val="20"/>
              </w:rPr>
              <w:tab/>
              <w:t>762</w:t>
            </w:r>
          </w:hyperlink>
        </w:p>
        <w:p w14:paraId="1FC906B3"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bgyjajyxeugu">
            <w:r>
              <w:rPr>
                <w:rFonts w:ascii="Book Antiqua" w:eastAsia="Book Antiqua" w:hAnsi="Book Antiqua" w:cs="Book Antiqua"/>
                <w:color w:val="1155CC"/>
                <w:sz w:val="20"/>
                <w:szCs w:val="20"/>
              </w:rPr>
              <w:t>FOR MUSLIMS ON HOW TO RESPONDING TO BLUNDERS</w:t>
            </w:r>
            <w:r>
              <w:rPr>
                <w:rFonts w:ascii="Book Antiqua" w:eastAsia="Book Antiqua" w:hAnsi="Book Antiqua" w:cs="Book Antiqua"/>
                <w:color w:val="1155CC"/>
                <w:sz w:val="20"/>
                <w:szCs w:val="20"/>
              </w:rPr>
              <w:tab/>
              <w:t>762</w:t>
            </w:r>
          </w:hyperlink>
        </w:p>
        <w:p w14:paraId="7E12C3A3"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zeg6woe2hcc8">
            <w:r>
              <w:rPr>
                <w:rFonts w:ascii="Book Antiqua" w:eastAsia="Book Antiqua" w:hAnsi="Book Antiqua" w:cs="Book Antiqua"/>
                <w:color w:val="1155CC"/>
                <w:sz w:val="20"/>
                <w:szCs w:val="20"/>
              </w:rPr>
              <w:t>APPENDIX (CHP:6) 002: DOs &amp; DONTs CHECKLIST FOR MNCs</w:t>
            </w:r>
            <w:r>
              <w:rPr>
                <w:rFonts w:ascii="Book Antiqua" w:eastAsia="Book Antiqua" w:hAnsi="Book Antiqua" w:cs="Book Antiqua"/>
                <w:color w:val="1155CC"/>
                <w:sz w:val="20"/>
                <w:szCs w:val="20"/>
              </w:rPr>
              <w:tab/>
              <w:t>763</w:t>
            </w:r>
          </w:hyperlink>
        </w:p>
        <w:p w14:paraId="30E8306A"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kseidqn8oa3v">
            <w:r>
              <w:rPr>
                <w:rFonts w:ascii="Book Antiqua" w:eastAsia="Book Antiqua" w:hAnsi="Book Antiqua" w:cs="Book Antiqua"/>
                <w:color w:val="1155CC"/>
                <w:sz w:val="20"/>
                <w:szCs w:val="20"/>
              </w:rPr>
              <w:t>BLUNDER PREVENTION IN ADVANCE FOR MNCs</w:t>
            </w:r>
            <w:r>
              <w:rPr>
                <w:rFonts w:ascii="Book Antiqua" w:eastAsia="Book Antiqua" w:hAnsi="Book Antiqua" w:cs="Book Antiqua"/>
                <w:color w:val="1155CC"/>
                <w:sz w:val="20"/>
                <w:szCs w:val="20"/>
              </w:rPr>
              <w:tab/>
              <w:t>763</w:t>
            </w:r>
          </w:hyperlink>
        </w:p>
        <w:p w14:paraId="56961112"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hmrhmmvfppnh">
            <w:r>
              <w:rPr>
                <w:rFonts w:ascii="Book Antiqua" w:eastAsia="Book Antiqua" w:hAnsi="Book Antiqua" w:cs="Book Antiqua"/>
                <w:color w:val="1155CC"/>
                <w:sz w:val="20"/>
                <w:szCs w:val="20"/>
              </w:rPr>
              <w:t>APPENDIX (CHP:6) 003: DISASTER MANAGEMENT DOs &amp; DONTs CHECKLIST FOR MNCs</w:t>
            </w:r>
            <w:r>
              <w:rPr>
                <w:rFonts w:ascii="Book Antiqua" w:eastAsia="Book Antiqua" w:hAnsi="Book Antiqua" w:cs="Book Antiqua"/>
                <w:color w:val="1155CC"/>
                <w:sz w:val="20"/>
                <w:szCs w:val="20"/>
              </w:rPr>
              <w:tab/>
              <w:t>764</w:t>
            </w:r>
          </w:hyperlink>
        </w:p>
        <w:p w14:paraId="5619D314"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yn4cxjf3o9n5">
            <w:r>
              <w:rPr>
                <w:rFonts w:ascii="Book Antiqua" w:eastAsia="Book Antiqua" w:hAnsi="Book Antiqua" w:cs="Book Antiqua"/>
                <w:color w:val="1155CC"/>
                <w:sz w:val="20"/>
                <w:szCs w:val="20"/>
              </w:rPr>
              <w:t>APPENDIX (CHP:6) 004: RESEARCH REPORT</w:t>
            </w:r>
            <w:r>
              <w:rPr>
                <w:rFonts w:ascii="Book Antiqua" w:eastAsia="Book Antiqua" w:hAnsi="Book Antiqua" w:cs="Book Antiqua"/>
                <w:color w:val="1155CC"/>
                <w:sz w:val="20"/>
                <w:szCs w:val="20"/>
              </w:rPr>
              <w:tab/>
              <w:t>765</w:t>
            </w:r>
          </w:hyperlink>
        </w:p>
        <w:p w14:paraId="37C3838D"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l62xxbpkjd1i">
            <w:r>
              <w:rPr>
                <w:rFonts w:ascii="Book Antiqua" w:eastAsia="Book Antiqua" w:hAnsi="Book Antiqua" w:cs="Book Antiqua"/>
                <w:color w:val="1155CC"/>
                <w:sz w:val="20"/>
                <w:szCs w:val="20"/>
              </w:rPr>
              <w:t>FOR ACADEMIC RESEARCH &amp; RELEVANT INDUSTRY</w:t>
            </w:r>
            <w:r>
              <w:rPr>
                <w:rFonts w:ascii="Book Antiqua" w:eastAsia="Book Antiqua" w:hAnsi="Book Antiqua" w:cs="Book Antiqua"/>
                <w:color w:val="1155CC"/>
                <w:sz w:val="20"/>
                <w:szCs w:val="20"/>
              </w:rPr>
              <w:tab/>
              <w:t>765</w:t>
            </w:r>
          </w:hyperlink>
        </w:p>
        <w:p w14:paraId="629A9788"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fuq4dgs8r5bm">
            <w:r>
              <w:rPr>
                <w:rFonts w:ascii="Book Antiqua" w:eastAsia="Book Antiqua" w:hAnsi="Book Antiqua" w:cs="Book Antiqua"/>
                <w:color w:val="1155CC"/>
                <w:sz w:val="20"/>
                <w:szCs w:val="20"/>
              </w:rPr>
              <w:t>APPENDIX (CHP:6) 005: RESEARCH ARTICLE</w:t>
            </w:r>
            <w:r>
              <w:rPr>
                <w:rFonts w:ascii="Book Antiqua" w:eastAsia="Book Antiqua" w:hAnsi="Book Antiqua" w:cs="Book Antiqua"/>
                <w:color w:val="1155CC"/>
                <w:sz w:val="20"/>
                <w:szCs w:val="20"/>
              </w:rPr>
              <w:tab/>
              <w:t>767</w:t>
            </w:r>
          </w:hyperlink>
        </w:p>
        <w:p w14:paraId="5FB4180B"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b4a1xs8utnk0">
            <w:r>
              <w:rPr>
                <w:rFonts w:ascii="Book Antiqua" w:eastAsia="Book Antiqua" w:hAnsi="Book Antiqua" w:cs="Book Antiqua"/>
                <w:color w:val="1155CC"/>
                <w:sz w:val="20"/>
                <w:szCs w:val="20"/>
              </w:rPr>
              <w:t>FOR ACADEMIC RESEARCH &amp; RELEVANT INDUSTRY</w:t>
            </w:r>
            <w:r>
              <w:rPr>
                <w:rFonts w:ascii="Book Antiqua" w:eastAsia="Book Antiqua" w:hAnsi="Book Antiqua" w:cs="Book Antiqua"/>
                <w:color w:val="1155CC"/>
                <w:sz w:val="20"/>
                <w:szCs w:val="20"/>
              </w:rPr>
              <w:tab/>
              <w:t>767</w:t>
            </w:r>
          </w:hyperlink>
        </w:p>
        <w:p w14:paraId="1B0B3D75"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7xd0hk3z5bjw">
            <w:r>
              <w:rPr>
                <w:rFonts w:ascii="Book Antiqua" w:eastAsia="Book Antiqua" w:hAnsi="Book Antiqua" w:cs="Book Antiqua"/>
                <w:color w:val="1155CC"/>
                <w:sz w:val="20"/>
                <w:szCs w:val="20"/>
              </w:rPr>
              <w:t>APPENDIX (CHP:6) 006: CONFERENCE PRESENTATION</w:t>
            </w:r>
            <w:r>
              <w:rPr>
                <w:rFonts w:ascii="Book Antiqua" w:eastAsia="Book Antiqua" w:hAnsi="Book Antiqua" w:cs="Book Antiqua"/>
                <w:color w:val="1155CC"/>
                <w:sz w:val="20"/>
                <w:szCs w:val="20"/>
              </w:rPr>
              <w:tab/>
              <w:t>769</w:t>
            </w:r>
          </w:hyperlink>
        </w:p>
        <w:p w14:paraId="194174B8"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5abrk58wfqgr">
            <w:r>
              <w:rPr>
                <w:rFonts w:ascii="Book Antiqua" w:eastAsia="Book Antiqua" w:hAnsi="Book Antiqua" w:cs="Book Antiqua"/>
                <w:color w:val="1155CC"/>
                <w:sz w:val="20"/>
                <w:szCs w:val="20"/>
              </w:rPr>
              <w:t>FOR ACADEMIC RESEARCH &amp; RELEVANT INDUSTRY</w:t>
            </w:r>
            <w:r>
              <w:rPr>
                <w:rFonts w:ascii="Book Antiqua" w:eastAsia="Book Antiqua" w:hAnsi="Book Antiqua" w:cs="Book Antiqua"/>
                <w:color w:val="1155CC"/>
                <w:sz w:val="20"/>
                <w:szCs w:val="20"/>
              </w:rPr>
              <w:tab/>
              <w:t>769</w:t>
            </w:r>
          </w:hyperlink>
        </w:p>
        <w:p w14:paraId="7F2767B2"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l6ljeprblgsf">
            <w:r>
              <w:rPr>
                <w:rFonts w:ascii="Book Antiqua" w:eastAsia="Book Antiqua" w:hAnsi="Book Antiqua" w:cs="Book Antiqua"/>
                <w:color w:val="1155CC"/>
                <w:sz w:val="20"/>
                <w:szCs w:val="20"/>
              </w:rPr>
              <w:t>APPENDIX (CHP:6) 007: A FUTURISTIC BOOK CHAPTER OUTLINE ON THE TOPIC</w:t>
            </w:r>
            <w:r>
              <w:rPr>
                <w:rFonts w:ascii="Book Antiqua" w:eastAsia="Book Antiqua" w:hAnsi="Book Antiqua" w:cs="Book Antiqua"/>
                <w:color w:val="1155CC"/>
                <w:sz w:val="20"/>
                <w:szCs w:val="20"/>
              </w:rPr>
              <w:tab/>
              <w:t>771</w:t>
            </w:r>
          </w:hyperlink>
        </w:p>
        <w:p w14:paraId="25C201FD"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e2dc47idxwg">
            <w:r>
              <w:rPr>
                <w:rFonts w:ascii="Book Antiqua" w:eastAsia="Book Antiqua" w:hAnsi="Book Antiqua" w:cs="Book Antiqua"/>
                <w:color w:val="1155CC"/>
                <w:sz w:val="20"/>
                <w:szCs w:val="20"/>
              </w:rPr>
              <w:t>FOR ACADEMIC RESEARCH &amp; RELEVANT INDUSTRY</w:t>
            </w:r>
            <w:r>
              <w:rPr>
                <w:rFonts w:ascii="Book Antiqua" w:eastAsia="Book Antiqua" w:hAnsi="Book Antiqua" w:cs="Book Antiqua"/>
                <w:color w:val="1155CC"/>
                <w:sz w:val="20"/>
                <w:szCs w:val="20"/>
              </w:rPr>
              <w:tab/>
              <w:t>771</w:t>
            </w:r>
          </w:hyperlink>
        </w:p>
        <w:p w14:paraId="1ED31729"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d7rjwe4cvsy6">
            <w:r>
              <w:rPr>
                <w:rFonts w:ascii="Book Antiqua" w:eastAsia="Book Antiqua" w:hAnsi="Book Antiqua" w:cs="Book Antiqua"/>
                <w:color w:val="1155CC"/>
                <w:sz w:val="20"/>
                <w:szCs w:val="20"/>
              </w:rPr>
              <w:t>APPENDIX (CHP:6) 008: EXAMINER’S DOs &amp; DON'Ts CHECKLIST</w:t>
            </w:r>
            <w:r>
              <w:rPr>
                <w:rFonts w:ascii="Book Antiqua" w:eastAsia="Book Antiqua" w:hAnsi="Book Antiqua" w:cs="Book Antiqua"/>
                <w:color w:val="1155CC"/>
                <w:sz w:val="20"/>
                <w:szCs w:val="20"/>
              </w:rPr>
              <w:tab/>
              <w:t>773</w:t>
            </w:r>
          </w:hyperlink>
        </w:p>
        <w:p w14:paraId="232C47FA"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helkii39nzbb">
            <w:r>
              <w:rPr>
                <w:rFonts w:ascii="Book Antiqua" w:eastAsia="Book Antiqua" w:hAnsi="Book Antiqua" w:cs="Book Antiqua"/>
                <w:color w:val="1155CC"/>
                <w:sz w:val="20"/>
                <w:szCs w:val="20"/>
              </w:rPr>
              <w:t>FOR THE ANTICIPATION OF AUTHOR TOWARDS EXAMS</w:t>
            </w:r>
            <w:r>
              <w:rPr>
                <w:rFonts w:ascii="Book Antiqua" w:eastAsia="Book Antiqua" w:hAnsi="Book Antiqua" w:cs="Book Antiqua"/>
                <w:color w:val="1155CC"/>
                <w:sz w:val="20"/>
                <w:szCs w:val="20"/>
              </w:rPr>
              <w:tab/>
              <w:t>773</w:t>
            </w:r>
          </w:hyperlink>
        </w:p>
        <w:p w14:paraId="74D2119E"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yjmmd1lmzw40">
            <w:r>
              <w:rPr>
                <w:rFonts w:ascii="Book Antiqua" w:eastAsia="Book Antiqua" w:hAnsi="Book Antiqua" w:cs="Book Antiqua"/>
                <w:color w:val="1155CC"/>
                <w:sz w:val="20"/>
                <w:szCs w:val="20"/>
              </w:rPr>
              <w:t>APPENDIX (CHP:6) 009: VIVA QUESTIONNAIRE 1</w:t>
            </w:r>
            <w:r>
              <w:rPr>
                <w:rFonts w:ascii="Book Antiqua" w:eastAsia="Book Antiqua" w:hAnsi="Book Antiqua" w:cs="Book Antiqua"/>
                <w:color w:val="1155CC"/>
                <w:sz w:val="20"/>
                <w:szCs w:val="20"/>
              </w:rPr>
              <w:tab/>
              <w:t>775</w:t>
            </w:r>
          </w:hyperlink>
        </w:p>
        <w:p w14:paraId="39FAC566"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b9yd714h080y">
            <w:r>
              <w:rPr>
                <w:rFonts w:ascii="Book Antiqua" w:eastAsia="Book Antiqua" w:hAnsi="Book Antiqua" w:cs="Book Antiqua"/>
                <w:color w:val="1155CC"/>
                <w:sz w:val="20"/>
                <w:szCs w:val="20"/>
              </w:rPr>
              <w:t>Q&amp;A FOR AUTHOR’S REFLECTION TOWARDS VIVA / EXAMS</w:t>
            </w:r>
            <w:r>
              <w:rPr>
                <w:rFonts w:ascii="Book Antiqua" w:eastAsia="Book Antiqua" w:hAnsi="Book Antiqua" w:cs="Book Antiqua"/>
                <w:color w:val="1155CC"/>
                <w:sz w:val="20"/>
                <w:szCs w:val="20"/>
              </w:rPr>
              <w:tab/>
              <w:t>775</w:t>
            </w:r>
          </w:hyperlink>
        </w:p>
        <w:p w14:paraId="64739C37" w14:textId="77777777" w:rsidR="002530E2" w:rsidRDefault="002530E2">
          <w:pPr>
            <w:widowControl w:val="0"/>
            <w:tabs>
              <w:tab w:val="right" w:leader="dot" w:pos="12000"/>
            </w:tabs>
            <w:spacing w:before="60" w:after="0"/>
            <w:ind w:left="720"/>
            <w:rPr>
              <w:rFonts w:ascii="Arial" w:eastAsia="Arial" w:hAnsi="Arial" w:cs="Arial"/>
              <w:color w:val="000000"/>
              <w:sz w:val="20"/>
              <w:szCs w:val="20"/>
            </w:rPr>
          </w:pPr>
          <w:hyperlink w:anchor="_on3igruoepvk">
            <w:r>
              <w:rPr>
                <w:rFonts w:ascii="Book Antiqua" w:eastAsia="Book Antiqua" w:hAnsi="Book Antiqua" w:cs="Book Antiqua"/>
                <w:color w:val="1155CC"/>
                <w:sz w:val="20"/>
                <w:szCs w:val="20"/>
              </w:rPr>
              <w:t>BRIEF ANSWERS TO Q1</w:t>
            </w:r>
            <w:r>
              <w:rPr>
                <w:rFonts w:ascii="Book Antiqua" w:eastAsia="Book Antiqua" w:hAnsi="Book Antiqua" w:cs="Book Antiqua"/>
                <w:color w:val="1155CC"/>
                <w:sz w:val="20"/>
                <w:szCs w:val="20"/>
              </w:rPr>
              <w:tab/>
              <w:t>775</w:t>
            </w:r>
          </w:hyperlink>
        </w:p>
        <w:p w14:paraId="423CD2BB" w14:textId="77777777" w:rsidR="002530E2" w:rsidRDefault="002530E2">
          <w:pPr>
            <w:widowControl w:val="0"/>
            <w:tabs>
              <w:tab w:val="right" w:leader="dot" w:pos="12000"/>
            </w:tabs>
            <w:spacing w:before="60" w:after="0"/>
            <w:ind w:left="720"/>
            <w:rPr>
              <w:rFonts w:ascii="Arial" w:eastAsia="Arial" w:hAnsi="Arial" w:cs="Arial"/>
              <w:color w:val="000000"/>
              <w:sz w:val="20"/>
              <w:szCs w:val="20"/>
            </w:rPr>
          </w:pPr>
          <w:hyperlink w:anchor="_wwvpahpi9zza">
            <w:r>
              <w:rPr>
                <w:rFonts w:ascii="Book Antiqua" w:eastAsia="Book Antiqua" w:hAnsi="Book Antiqua" w:cs="Book Antiqua"/>
                <w:color w:val="1155CC"/>
                <w:sz w:val="20"/>
                <w:szCs w:val="20"/>
              </w:rPr>
              <w:t>BRIEF ANSWERS TO Q2</w:t>
            </w:r>
            <w:r>
              <w:rPr>
                <w:rFonts w:ascii="Book Antiqua" w:eastAsia="Book Antiqua" w:hAnsi="Book Antiqua" w:cs="Book Antiqua"/>
                <w:color w:val="1155CC"/>
                <w:sz w:val="20"/>
                <w:szCs w:val="20"/>
              </w:rPr>
              <w:tab/>
              <w:t>776</w:t>
            </w:r>
          </w:hyperlink>
        </w:p>
        <w:p w14:paraId="326D273A" w14:textId="77777777" w:rsidR="002530E2" w:rsidRDefault="002530E2">
          <w:pPr>
            <w:widowControl w:val="0"/>
            <w:tabs>
              <w:tab w:val="right" w:leader="dot" w:pos="12000"/>
            </w:tabs>
            <w:spacing w:before="60" w:after="0"/>
            <w:ind w:left="720"/>
            <w:rPr>
              <w:rFonts w:ascii="Arial" w:eastAsia="Arial" w:hAnsi="Arial" w:cs="Arial"/>
              <w:color w:val="000000"/>
              <w:sz w:val="20"/>
              <w:szCs w:val="20"/>
            </w:rPr>
          </w:pPr>
          <w:hyperlink w:anchor="_xuh2i0myh2kc">
            <w:r>
              <w:rPr>
                <w:rFonts w:ascii="Book Antiqua" w:eastAsia="Book Antiqua" w:hAnsi="Book Antiqua" w:cs="Book Antiqua"/>
                <w:color w:val="1155CC"/>
                <w:sz w:val="20"/>
                <w:szCs w:val="20"/>
              </w:rPr>
              <w:t>BRIEF ANSWERS TO Q3</w:t>
            </w:r>
            <w:r>
              <w:rPr>
                <w:rFonts w:ascii="Book Antiqua" w:eastAsia="Book Antiqua" w:hAnsi="Book Antiqua" w:cs="Book Antiqua"/>
                <w:color w:val="1155CC"/>
                <w:sz w:val="20"/>
                <w:szCs w:val="20"/>
              </w:rPr>
              <w:tab/>
              <w:t>776</w:t>
            </w:r>
          </w:hyperlink>
        </w:p>
        <w:p w14:paraId="2086A700" w14:textId="77777777" w:rsidR="002530E2" w:rsidRDefault="002530E2">
          <w:pPr>
            <w:widowControl w:val="0"/>
            <w:tabs>
              <w:tab w:val="right" w:leader="dot" w:pos="12000"/>
            </w:tabs>
            <w:spacing w:before="60" w:after="0"/>
            <w:ind w:left="720"/>
            <w:rPr>
              <w:rFonts w:ascii="Arial" w:eastAsia="Arial" w:hAnsi="Arial" w:cs="Arial"/>
              <w:color w:val="000000"/>
              <w:sz w:val="20"/>
              <w:szCs w:val="20"/>
            </w:rPr>
          </w:pPr>
          <w:hyperlink w:anchor="_nlirjvso08sb">
            <w:r>
              <w:rPr>
                <w:rFonts w:ascii="Book Antiqua" w:eastAsia="Book Antiqua" w:hAnsi="Book Antiqua" w:cs="Book Antiqua"/>
                <w:color w:val="1155CC"/>
                <w:sz w:val="20"/>
                <w:szCs w:val="20"/>
              </w:rPr>
              <w:t>BRIEF ANSWERS TO Q4</w:t>
            </w:r>
            <w:r>
              <w:rPr>
                <w:rFonts w:ascii="Book Antiqua" w:eastAsia="Book Antiqua" w:hAnsi="Book Antiqua" w:cs="Book Antiqua"/>
                <w:color w:val="1155CC"/>
                <w:sz w:val="20"/>
                <w:szCs w:val="20"/>
              </w:rPr>
              <w:tab/>
              <w:t>776</w:t>
            </w:r>
          </w:hyperlink>
        </w:p>
        <w:p w14:paraId="68C1770D" w14:textId="77777777" w:rsidR="002530E2" w:rsidRDefault="002530E2">
          <w:pPr>
            <w:widowControl w:val="0"/>
            <w:tabs>
              <w:tab w:val="right" w:leader="dot" w:pos="12000"/>
            </w:tabs>
            <w:spacing w:before="60" w:after="0"/>
            <w:rPr>
              <w:rFonts w:ascii="Arial" w:eastAsia="Arial" w:hAnsi="Arial" w:cs="Arial"/>
              <w:b/>
              <w:color w:val="000000"/>
              <w:sz w:val="20"/>
              <w:szCs w:val="20"/>
            </w:rPr>
          </w:pPr>
          <w:hyperlink w:anchor="_xwmu0b9ltitz">
            <w:r>
              <w:rPr>
                <w:rFonts w:ascii="Book Antiqua" w:eastAsia="Book Antiqua" w:hAnsi="Book Antiqua" w:cs="Book Antiqua"/>
                <w:color w:val="1155CC"/>
                <w:sz w:val="20"/>
                <w:szCs w:val="20"/>
              </w:rPr>
              <w:t>APPENDIX (CHP:6) 010: VIVA QUESTIONNAIRE 2</w:t>
            </w:r>
            <w:r>
              <w:rPr>
                <w:rFonts w:ascii="Book Antiqua" w:eastAsia="Book Antiqua" w:hAnsi="Book Antiqua" w:cs="Book Antiqua"/>
                <w:color w:val="1155CC"/>
                <w:sz w:val="20"/>
                <w:szCs w:val="20"/>
              </w:rPr>
              <w:tab/>
              <w:t>777</w:t>
            </w:r>
          </w:hyperlink>
        </w:p>
        <w:p w14:paraId="61011592" w14:textId="77777777" w:rsidR="002530E2" w:rsidRDefault="002530E2">
          <w:pPr>
            <w:widowControl w:val="0"/>
            <w:tabs>
              <w:tab w:val="right" w:leader="dot" w:pos="12000"/>
            </w:tabs>
            <w:spacing w:before="60" w:after="0"/>
            <w:ind w:left="360"/>
            <w:rPr>
              <w:rFonts w:ascii="Arial" w:eastAsia="Arial" w:hAnsi="Arial" w:cs="Arial"/>
              <w:color w:val="000000"/>
              <w:sz w:val="20"/>
              <w:szCs w:val="20"/>
            </w:rPr>
          </w:pPr>
          <w:hyperlink w:anchor="_jj33wlsdlkf9">
            <w:r>
              <w:rPr>
                <w:rFonts w:ascii="Book Antiqua" w:eastAsia="Book Antiqua" w:hAnsi="Book Antiqua" w:cs="Book Antiqua"/>
                <w:color w:val="1155CC"/>
                <w:sz w:val="20"/>
                <w:szCs w:val="20"/>
              </w:rPr>
              <w:t>Q&amp;A FOR AUTHOR’S REFLECTION TOWARDS VIVA / EXAMS</w:t>
            </w:r>
            <w:r>
              <w:rPr>
                <w:rFonts w:ascii="Book Antiqua" w:eastAsia="Book Antiqua" w:hAnsi="Book Antiqua" w:cs="Book Antiqua"/>
                <w:color w:val="1155CC"/>
                <w:sz w:val="20"/>
                <w:szCs w:val="20"/>
              </w:rPr>
              <w:tab/>
              <w:t>777</w:t>
            </w:r>
          </w:hyperlink>
          <w:r>
            <w:fldChar w:fldCharType="end"/>
          </w:r>
        </w:p>
      </w:sdtContent>
    </w:sdt>
    <w:p w14:paraId="01A578CE" w14:textId="77777777" w:rsidR="002530E2" w:rsidRDefault="002530E2">
      <w:pPr>
        <w:pStyle w:val="Heading1"/>
      </w:pPr>
      <w:r>
        <w:br w:type="page"/>
      </w:r>
    </w:p>
    <w:p w14:paraId="4418267E" w14:textId="77777777" w:rsidR="002530E2" w:rsidRDefault="002530E2">
      <w:pPr>
        <w:pStyle w:val="Heading1"/>
      </w:pPr>
      <w:bookmarkStart w:id="472" w:name="_c744r9rbn3td" w:colFirst="0" w:colLast="0"/>
      <w:bookmarkEnd w:id="472"/>
      <w:r>
        <w:lastRenderedPageBreak/>
        <w:t>INTRODUCTION</w:t>
      </w:r>
    </w:p>
    <w:p w14:paraId="6D897754" w14:textId="77777777" w:rsidR="002530E2" w:rsidRDefault="002530E2">
      <w:r>
        <w:t xml:space="preserve">This appendix serves as a platform for disseminating the findings of this study and contributing to the existing body of knowledge. It presents several avenues through which the research outcomes are shared, highlighting the efforts to reach a wider audience and make a meaningful contribution to the field. </w:t>
      </w:r>
    </w:p>
    <w:p w14:paraId="4DB3C8BA" w14:textId="77777777" w:rsidR="002530E2" w:rsidRDefault="002530E2">
      <w:r>
        <w:t>The disseminations encompass diverse channels such as academic conferences, research publications, online platforms, and collaborative networks. By disseminating the study's results, this appendix aims to enhance the visibility and accessibility of the research, fostering dialogue and further exploration within the academic and professional communities.</w:t>
      </w:r>
    </w:p>
    <w:p w14:paraId="0528611D" w14:textId="77777777" w:rsidR="002530E2" w:rsidRDefault="002530E2">
      <w:pPr>
        <w:pStyle w:val="Heading1"/>
      </w:pPr>
      <w:bookmarkStart w:id="473" w:name="_okppfyv6l8q0" w:colFirst="0" w:colLast="0"/>
      <w:bookmarkEnd w:id="473"/>
    </w:p>
    <w:p w14:paraId="79224B55" w14:textId="77777777" w:rsidR="002530E2" w:rsidRDefault="002530E2">
      <w:pPr>
        <w:pStyle w:val="Heading1"/>
      </w:pPr>
      <w:bookmarkStart w:id="474" w:name="_53mosj890mv3" w:colFirst="0" w:colLast="0"/>
      <w:bookmarkEnd w:id="474"/>
      <w:r>
        <w:t>APPENDIX (CHP:6) 001: DOs &amp; DONTs CHECKLIST FOR MUSLIMS</w:t>
      </w:r>
    </w:p>
    <w:p w14:paraId="33B0E5C1" w14:textId="77777777" w:rsidR="002530E2" w:rsidRDefault="002530E2">
      <w:pPr>
        <w:pStyle w:val="Heading2"/>
      </w:pPr>
      <w:bookmarkStart w:id="475" w:name="_bgyjajyxeugu" w:colFirst="0" w:colLast="0"/>
      <w:bookmarkEnd w:id="475"/>
      <w:r>
        <w:t xml:space="preserve">FOR MUSLIMS ON HOW TO RESPONDING TO BLUNDERS </w:t>
      </w:r>
    </w:p>
    <w:p w14:paraId="246AE9EB" w14:textId="77777777" w:rsidR="002530E2" w:rsidRDefault="002530E2">
      <w:r>
        <w:t>Follows below, a checklist of DOs and DON'Ts on best practices for Muslims when responding to cross-cultural blunders. This checklist provides Muslims with practical guidance on how to respond to cross-cultural blunders in a way that is respectful and constructive.</w:t>
      </w:r>
    </w:p>
    <w:p w14:paraId="349C96D1" w14:textId="77777777" w:rsidR="002530E2" w:rsidRDefault="002530E2">
      <w:r>
        <w:t>DOs for Muslims</w:t>
      </w:r>
    </w:p>
    <w:p w14:paraId="76529D79" w14:textId="77777777" w:rsidR="002530E2" w:rsidRDefault="002530E2" w:rsidP="002530E2">
      <w:pPr>
        <w:numPr>
          <w:ilvl w:val="0"/>
          <w:numId w:val="175"/>
        </w:numPr>
        <w:spacing w:before="240" w:after="200" w:line="360" w:lineRule="auto"/>
        <w:jc w:val="both"/>
      </w:pPr>
      <w:r>
        <w:t>Be aware of your own cultural values and norms. This will help you to identify potential areas of conflict with other cultures.</w:t>
      </w:r>
    </w:p>
    <w:p w14:paraId="5A702B15" w14:textId="77777777" w:rsidR="002530E2" w:rsidRDefault="002530E2" w:rsidP="002530E2">
      <w:pPr>
        <w:numPr>
          <w:ilvl w:val="0"/>
          <w:numId w:val="175"/>
        </w:numPr>
        <w:spacing w:before="240" w:after="200" w:line="360" w:lineRule="auto"/>
        <w:jc w:val="both"/>
      </w:pPr>
      <w:r>
        <w:t>Be respectful of other cultures. This means being mindful of their customs and traditions, even if they are different from your own.</w:t>
      </w:r>
    </w:p>
    <w:p w14:paraId="1C31B5D9" w14:textId="77777777" w:rsidR="002530E2" w:rsidRDefault="002530E2" w:rsidP="002530E2">
      <w:pPr>
        <w:numPr>
          <w:ilvl w:val="0"/>
          <w:numId w:val="175"/>
        </w:numPr>
        <w:spacing w:before="240" w:after="200" w:line="360" w:lineRule="auto"/>
        <w:jc w:val="both"/>
      </w:pPr>
      <w:r>
        <w:t>Be open to learning about other cultures. This will help you to understand why people from other cultures behave the way they do.</w:t>
      </w:r>
    </w:p>
    <w:p w14:paraId="3A1A0AEB" w14:textId="77777777" w:rsidR="002530E2" w:rsidRDefault="002530E2" w:rsidP="002530E2">
      <w:pPr>
        <w:numPr>
          <w:ilvl w:val="0"/>
          <w:numId w:val="175"/>
        </w:numPr>
        <w:spacing w:before="240" w:after="200" w:line="360" w:lineRule="auto"/>
        <w:jc w:val="both"/>
      </w:pPr>
      <w:r>
        <w:t>Be willing to ask questions. If you are unsure about something, don't be afraid to ask for clarification.</w:t>
      </w:r>
    </w:p>
    <w:p w14:paraId="14219EFC" w14:textId="77777777" w:rsidR="002530E2" w:rsidRDefault="002530E2">
      <w:r>
        <w:t>DON'Ts for Muslims</w:t>
      </w:r>
    </w:p>
    <w:p w14:paraId="68DCD334" w14:textId="77777777" w:rsidR="002530E2" w:rsidRDefault="002530E2" w:rsidP="002530E2">
      <w:pPr>
        <w:numPr>
          <w:ilvl w:val="0"/>
          <w:numId w:val="180"/>
        </w:numPr>
        <w:spacing w:before="240" w:after="200" w:line="360" w:lineRule="auto"/>
        <w:jc w:val="both"/>
      </w:pPr>
      <w:r>
        <w:lastRenderedPageBreak/>
        <w:t>Don't assume that everyone shares your cultural values. This can lead to misunderstandings and offence.</w:t>
      </w:r>
    </w:p>
    <w:p w14:paraId="7A9F71CA" w14:textId="77777777" w:rsidR="002530E2" w:rsidRDefault="002530E2" w:rsidP="002530E2">
      <w:pPr>
        <w:numPr>
          <w:ilvl w:val="0"/>
          <w:numId w:val="180"/>
        </w:numPr>
        <w:spacing w:before="240" w:after="200" w:line="360" w:lineRule="auto"/>
        <w:jc w:val="both"/>
      </w:pPr>
      <w:r>
        <w:t>Don't be afraid to speak up if you see something that you believe is wrong. This is important for promoting understanding and tolerance between cultures.</w:t>
      </w:r>
    </w:p>
    <w:p w14:paraId="51DD54E8" w14:textId="77777777" w:rsidR="002530E2" w:rsidRDefault="002530E2" w:rsidP="002530E2">
      <w:pPr>
        <w:numPr>
          <w:ilvl w:val="0"/>
          <w:numId w:val="180"/>
        </w:numPr>
        <w:spacing w:before="240" w:after="200" w:line="360" w:lineRule="auto"/>
        <w:jc w:val="both"/>
      </w:pPr>
      <w:r>
        <w:t>Don't be afraid to challenge stereotypes. Stereotypes can be harmful and can lead to discrimination.</w:t>
      </w:r>
    </w:p>
    <w:p w14:paraId="330F324E" w14:textId="77777777" w:rsidR="002530E2" w:rsidRDefault="002530E2" w:rsidP="002530E2">
      <w:pPr>
        <w:numPr>
          <w:ilvl w:val="0"/>
          <w:numId w:val="180"/>
        </w:numPr>
        <w:spacing w:before="240" w:after="200" w:line="360" w:lineRule="auto"/>
        <w:jc w:val="both"/>
      </w:pPr>
      <w:r>
        <w:t>Don't be afraid to be yourself. Your unique cultural identity is something to be celebrated, not something to be ashamed of.</w:t>
      </w:r>
    </w:p>
    <w:p w14:paraId="6909B4FF" w14:textId="77777777" w:rsidR="002530E2" w:rsidRDefault="002530E2">
      <w:pPr>
        <w:spacing w:after="240" w:line="432" w:lineRule="auto"/>
        <w:rPr>
          <w:sz w:val="2"/>
          <w:szCs w:val="2"/>
        </w:rPr>
      </w:pPr>
    </w:p>
    <w:p w14:paraId="34719299" w14:textId="77777777" w:rsidR="002530E2" w:rsidRDefault="002530E2">
      <w:pPr>
        <w:pStyle w:val="Heading1"/>
      </w:pPr>
      <w:bookmarkStart w:id="476" w:name="_zeg6woe2hcc8" w:colFirst="0" w:colLast="0"/>
      <w:bookmarkEnd w:id="476"/>
      <w:r>
        <w:t xml:space="preserve">APPENDIX (CHP:6) 002: DOs &amp; DONTs CHECKLIST FOR MNCs </w:t>
      </w:r>
    </w:p>
    <w:p w14:paraId="0411CA02" w14:textId="77777777" w:rsidR="002530E2" w:rsidRDefault="002530E2">
      <w:pPr>
        <w:pStyle w:val="Heading2"/>
      </w:pPr>
      <w:bookmarkStart w:id="477" w:name="_kseidqn8oa3v" w:colFirst="0" w:colLast="0"/>
      <w:bookmarkEnd w:id="477"/>
      <w:r>
        <w:t>BLUNDER PREVENTION IN ADVANCE FOR MNCs</w:t>
      </w:r>
    </w:p>
    <w:p w14:paraId="397F5AB6" w14:textId="77777777" w:rsidR="002530E2" w:rsidRDefault="002530E2">
      <w:r>
        <w:t>Follows below, a checklist of DOs and DON'Ts on best practices for MNCs when responding to cross-cultural blunders. This checklist provides MNCs with practical guidance on how to respond to cross-cultural blunders in a way that is respectful and constructive.</w:t>
      </w:r>
    </w:p>
    <w:p w14:paraId="65C7C37E" w14:textId="77777777" w:rsidR="002530E2" w:rsidRDefault="002530E2">
      <w:r>
        <w:t>DOs for MNCs</w:t>
      </w:r>
    </w:p>
    <w:p w14:paraId="3BA3AEA3" w14:textId="77777777" w:rsidR="002530E2" w:rsidRDefault="002530E2" w:rsidP="002530E2">
      <w:pPr>
        <w:numPr>
          <w:ilvl w:val="0"/>
          <w:numId w:val="181"/>
        </w:numPr>
        <w:spacing w:before="240" w:after="200" w:line="360" w:lineRule="auto"/>
        <w:jc w:val="both"/>
      </w:pPr>
      <w:r>
        <w:t>Do your research. Before you enter a new market, take the time to learn about the cultural norms and values of that market.</w:t>
      </w:r>
    </w:p>
    <w:p w14:paraId="116F7258" w14:textId="77777777" w:rsidR="002530E2" w:rsidRDefault="002530E2" w:rsidP="002530E2">
      <w:pPr>
        <w:numPr>
          <w:ilvl w:val="0"/>
          <w:numId w:val="181"/>
        </w:numPr>
        <w:spacing w:before="240" w:after="200" w:line="360" w:lineRule="auto"/>
        <w:jc w:val="both"/>
      </w:pPr>
      <w:r>
        <w:t>Be respectful of local customs and traditions. This means avoiding anything that could be seen as offensive or disrespectful.</w:t>
      </w:r>
    </w:p>
    <w:p w14:paraId="7B824640" w14:textId="77777777" w:rsidR="002530E2" w:rsidRDefault="002530E2" w:rsidP="002530E2">
      <w:pPr>
        <w:numPr>
          <w:ilvl w:val="0"/>
          <w:numId w:val="181"/>
        </w:numPr>
        <w:spacing w:before="240" w:after="200" w:line="360" w:lineRule="auto"/>
        <w:jc w:val="both"/>
      </w:pPr>
      <w:r>
        <w:t>Use local partners. Working with local partners can help you to avoid making cultural blunders.</w:t>
      </w:r>
    </w:p>
    <w:p w14:paraId="4FCDEC80" w14:textId="77777777" w:rsidR="002530E2" w:rsidRDefault="002530E2" w:rsidP="002530E2">
      <w:pPr>
        <w:numPr>
          <w:ilvl w:val="0"/>
          <w:numId w:val="181"/>
        </w:numPr>
        <w:spacing w:before="240" w:after="200" w:line="360" w:lineRule="auto"/>
        <w:jc w:val="both"/>
      </w:pPr>
      <w:r>
        <w:t>Be open to feedback. If you make a mistake, be willing to listen to feedback and learn from it.</w:t>
      </w:r>
    </w:p>
    <w:p w14:paraId="29F6D008" w14:textId="77777777" w:rsidR="002530E2" w:rsidRDefault="002530E2">
      <w:r>
        <w:t>DON'Ts for MNCs</w:t>
      </w:r>
    </w:p>
    <w:p w14:paraId="7C977B19" w14:textId="77777777" w:rsidR="002530E2" w:rsidRDefault="002530E2" w:rsidP="002530E2">
      <w:pPr>
        <w:numPr>
          <w:ilvl w:val="0"/>
          <w:numId w:val="174"/>
        </w:numPr>
        <w:spacing w:before="240" w:after="200" w:line="360" w:lineRule="auto"/>
        <w:jc w:val="both"/>
      </w:pPr>
      <w:r>
        <w:t>Don't assume that your own culture is superior. Every culture has its own strengths and weaknesses.</w:t>
      </w:r>
    </w:p>
    <w:p w14:paraId="5A5A7720" w14:textId="77777777" w:rsidR="002530E2" w:rsidRDefault="002530E2" w:rsidP="002530E2">
      <w:pPr>
        <w:numPr>
          <w:ilvl w:val="0"/>
          <w:numId w:val="174"/>
        </w:numPr>
        <w:spacing w:before="240" w:after="200" w:line="360" w:lineRule="auto"/>
        <w:jc w:val="both"/>
      </w:pPr>
      <w:r>
        <w:lastRenderedPageBreak/>
        <w:t>Don't try to force your own culture on others. This will only alienate people and make them less likely to do business with you.</w:t>
      </w:r>
    </w:p>
    <w:p w14:paraId="5B98E901" w14:textId="77777777" w:rsidR="002530E2" w:rsidRDefault="002530E2" w:rsidP="002530E2">
      <w:pPr>
        <w:numPr>
          <w:ilvl w:val="0"/>
          <w:numId w:val="174"/>
        </w:numPr>
        <w:spacing w:before="240" w:after="200" w:line="360" w:lineRule="auto"/>
        <w:jc w:val="both"/>
      </w:pPr>
      <w:r>
        <w:t>Don't be afraid to adapt your products and services to local tastes. This will make your products and services more appealing to local consumers.</w:t>
      </w:r>
    </w:p>
    <w:p w14:paraId="142FB82A" w14:textId="77777777" w:rsidR="002530E2" w:rsidRDefault="002530E2" w:rsidP="002530E2">
      <w:pPr>
        <w:numPr>
          <w:ilvl w:val="0"/>
          <w:numId w:val="174"/>
        </w:numPr>
        <w:spacing w:before="240" w:after="200" w:line="360" w:lineRule="auto"/>
        <w:jc w:val="both"/>
      </w:pPr>
      <w:r>
        <w:t>Don't be afraid to listen to local stakeholders. They can provide valuable insights into the cultural landscape of your target market.</w:t>
      </w:r>
    </w:p>
    <w:p w14:paraId="05B8CCD9" w14:textId="77777777" w:rsidR="002530E2" w:rsidRDefault="002530E2">
      <w:r>
        <w:t>By following these DOs and DON'Ts, Muslims and MNCs can help to avoid cross-cultural blunders and promote understanding and tolerance between cultures.</w:t>
      </w:r>
    </w:p>
    <w:p w14:paraId="1D974D0B" w14:textId="77777777" w:rsidR="002530E2" w:rsidRDefault="002530E2">
      <w:pPr>
        <w:pStyle w:val="Heading1"/>
      </w:pPr>
      <w:bookmarkStart w:id="478" w:name="_s1n7i2iglfa9" w:colFirst="0" w:colLast="0"/>
      <w:bookmarkEnd w:id="478"/>
      <w:r>
        <w:br w:type="page"/>
      </w:r>
    </w:p>
    <w:p w14:paraId="507358EA" w14:textId="77777777" w:rsidR="002530E2" w:rsidRDefault="002530E2">
      <w:pPr>
        <w:pStyle w:val="Heading1"/>
      </w:pPr>
      <w:bookmarkStart w:id="479" w:name="_hmrhmmvfppnh" w:colFirst="0" w:colLast="0"/>
      <w:bookmarkEnd w:id="479"/>
      <w:r>
        <w:lastRenderedPageBreak/>
        <w:t>APPENDIX (CHP:6) 003: DISASTER MANAGEMENT DOs &amp; DONTs CHECKLIST FOR MNCs</w:t>
      </w:r>
    </w:p>
    <w:p w14:paraId="7426F281" w14:textId="77777777" w:rsidR="002530E2" w:rsidRDefault="002530E2">
      <w:r>
        <w:t>Below is a checklist of DOs and DON'Ts on best practices for MNCs when addressing issues, disputes, and conflicts raised after cross-cultural blunders have been made. This checklist provides MNCs with practical guidance on how to deal with situations following cross-cultural blunders in a systematic and professional manner to avoid further disagreements and problems.</w:t>
      </w:r>
    </w:p>
    <w:p w14:paraId="1532357A" w14:textId="77777777" w:rsidR="002530E2" w:rsidRDefault="002530E2">
      <w:r>
        <w:t>DOs:</w:t>
      </w:r>
    </w:p>
    <w:p w14:paraId="423A517A" w14:textId="77777777" w:rsidR="002530E2" w:rsidRDefault="002530E2" w:rsidP="002530E2">
      <w:pPr>
        <w:numPr>
          <w:ilvl w:val="0"/>
          <w:numId w:val="157"/>
        </w:numPr>
        <w:spacing w:before="240" w:after="200" w:line="360" w:lineRule="auto"/>
        <w:jc w:val="both"/>
      </w:pPr>
      <w:r>
        <w:t>Apologize sincerely and promptly. This shows that you understand that you have made a mistake and that you are taking responsibility for it.</w:t>
      </w:r>
    </w:p>
    <w:p w14:paraId="52548C16" w14:textId="77777777" w:rsidR="002530E2" w:rsidRDefault="002530E2" w:rsidP="002530E2">
      <w:pPr>
        <w:numPr>
          <w:ilvl w:val="0"/>
          <w:numId w:val="157"/>
        </w:numPr>
        <w:spacing w:before="240" w:after="200" w:line="360" w:lineRule="auto"/>
        <w:jc w:val="both"/>
      </w:pPr>
      <w:r>
        <w:t>Acknowledge the cultural sensitivities that were violated. This shows that you understand the impact of your actions and that you are committed to avoiding similar mistakes in the future.</w:t>
      </w:r>
    </w:p>
    <w:p w14:paraId="108F0EDF" w14:textId="77777777" w:rsidR="002530E2" w:rsidRDefault="002530E2" w:rsidP="002530E2">
      <w:pPr>
        <w:numPr>
          <w:ilvl w:val="0"/>
          <w:numId w:val="157"/>
        </w:numPr>
        <w:spacing w:before="240" w:after="200" w:line="360" w:lineRule="auto"/>
        <w:jc w:val="both"/>
      </w:pPr>
      <w:r>
        <w:t>Take steps to correct the mistake. This could involve removing the offending content, issuing a public statement, or making a donation to a relevant charity.</w:t>
      </w:r>
    </w:p>
    <w:p w14:paraId="5B3A438C" w14:textId="77777777" w:rsidR="002530E2" w:rsidRDefault="002530E2" w:rsidP="002530E2">
      <w:pPr>
        <w:numPr>
          <w:ilvl w:val="0"/>
          <w:numId w:val="157"/>
        </w:numPr>
        <w:spacing w:before="240" w:after="200" w:line="360" w:lineRule="auto"/>
        <w:jc w:val="both"/>
      </w:pPr>
      <w:r>
        <w:t>Listen to feedback from Muslim consumers. This will help you to understand the impact of your actions and to develop a plan to address the concerns of Muslim consumers.</w:t>
      </w:r>
    </w:p>
    <w:p w14:paraId="653E3716" w14:textId="77777777" w:rsidR="002530E2" w:rsidRDefault="002530E2" w:rsidP="002530E2">
      <w:pPr>
        <w:numPr>
          <w:ilvl w:val="0"/>
          <w:numId w:val="157"/>
        </w:numPr>
        <w:spacing w:before="240" w:after="200" w:line="360" w:lineRule="auto"/>
        <w:jc w:val="both"/>
      </w:pPr>
      <w:r>
        <w:t>Take steps to prevent similar mistakes from happening in the future. This could involve conducting cultural sensitivity training for employees, creating a code of conduct, or appointing a cultural advisor.</w:t>
      </w:r>
    </w:p>
    <w:p w14:paraId="1ED4300B" w14:textId="77777777" w:rsidR="002530E2" w:rsidRDefault="002530E2">
      <w:r>
        <w:t>DON'Ts:</w:t>
      </w:r>
    </w:p>
    <w:p w14:paraId="4D43E2CC" w14:textId="77777777" w:rsidR="002530E2" w:rsidRDefault="002530E2" w:rsidP="002530E2">
      <w:pPr>
        <w:numPr>
          <w:ilvl w:val="0"/>
          <w:numId w:val="152"/>
        </w:numPr>
        <w:spacing w:before="240" w:after="200" w:line="360" w:lineRule="auto"/>
        <w:jc w:val="both"/>
      </w:pPr>
      <w:r>
        <w:t>Make excuses or deny that you did anything wrong. This will only make the situation worse.</w:t>
      </w:r>
    </w:p>
    <w:p w14:paraId="40608CEB" w14:textId="77777777" w:rsidR="002530E2" w:rsidRDefault="002530E2" w:rsidP="002530E2">
      <w:pPr>
        <w:numPr>
          <w:ilvl w:val="0"/>
          <w:numId w:val="152"/>
        </w:numPr>
        <w:spacing w:before="240" w:after="200" w:line="360" w:lineRule="auto"/>
        <w:jc w:val="both"/>
      </w:pPr>
      <w:r>
        <w:t>Blame others for the mistake. This will not help to resolve the situation and could damage your relationship with Muslim consumers.</w:t>
      </w:r>
    </w:p>
    <w:p w14:paraId="530AE0EC" w14:textId="77777777" w:rsidR="002530E2" w:rsidRDefault="002530E2" w:rsidP="002530E2">
      <w:pPr>
        <w:numPr>
          <w:ilvl w:val="0"/>
          <w:numId w:val="152"/>
        </w:numPr>
        <w:spacing w:before="240" w:after="200" w:line="360" w:lineRule="auto"/>
        <w:jc w:val="both"/>
      </w:pPr>
      <w:r>
        <w:t>Ignore the concerns of Muslim consumers. This will only make them feel like their concerns are not being taken seriously.</w:t>
      </w:r>
    </w:p>
    <w:p w14:paraId="6363977F" w14:textId="77777777" w:rsidR="002530E2" w:rsidRDefault="002530E2" w:rsidP="002530E2">
      <w:pPr>
        <w:numPr>
          <w:ilvl w:val="0"/>
          <w:numId w:val="152"/>
        </w:numPr>
        <w:spacing w:before="240" w:after="200" w:line="360" w:lineRule="auto"/>
        <w:jc w:val="both"/>
      </w:pPr>
      <w:r>
        <w:t>Make promises that you cannot keep. This will only make the situation worse if you are not able to follow through on your promises.</w:t>
      </w:r>
    </w:p>
    <w:p w14:paraId="7EB7D433" w14:textId="77777777" w:rsidR="002530E2" w:rsidRDefault="002530E2" w:rsidP="002530E2">
      <w:pPr>
        <w:numPr>
          <w:ilvl w:val="0"/>
          <w:numId w:val="152"/>
        </w:numPr>
        <w:spacing w:before="240" w:after="200" w:line="360" w:lineRule="auto"/>
        <w:jc w:val="both"/>
      </w:pPr>
      <w:r>
        <w:lastRenderedPageBreak/>
        <w:t>Be defensive or aggressive. This will only make the situation worse and could damage your relationship with Muslim consumers.</w:t>
      </w:r>
    </w:p>
    <w:p w14:paraId="6D54AC66" w14:textId="77777777" w:rsidR="002530E2" w:rsidRDefault="002530E2">
      <w:r>
        <w:t>By following these DOs and DON'Ts, MNCs can minimize the damage to their reputation and relationships with Muslim consumers when they make cross-cultural blunders.</w:t>
      </w:r>
    </w:p>
    <w:p w14:paraId="6466B944" w14:textId="77777777" w:rsidR="002530E2" w:rsidRDefault="002530E2">
      <w:r>
        <w:t>Here are some additional tips for MNCs:</w:t>
      </w:r>
    </w:p>
    <w:p w14:paraId="53DE5B6A" w14:textId="77777777" w:rsidR="002530E2" w:rsidRDefault="002530E2" w:rsidP="002530E2">
      <w:pPr>
        <w:numPr>
          <w:ilvl w:val="0"/>
          <w:numId w:val="164"/>
        </w:numPr>
        <w:spacing w:before="240" w:after="200" w:line="360" w:lineRule="auto"/>
        <w:jc w:val="both"/>
      </w:pPr>
      <w:r>
        <w:t>Do your research. Before you launch any marketing or advertising campaign, take the time to research the cultural sensitivities of the target audience. This will help you to avoid making any mistakes that could offend or alienate potential customers.</w:t>
      </w:r>
    </w:p>
    <w:p w14:paraId="1465D910" w14:textId="77777777" w:rsidR="002530E2" w:rsidRDefault="002530E2" w:rsidP="002530E2">
      <w:pPr>
        <w:numPr>
          <w:ilvl w:val="0"/>
          <w:numId w:val="164"/>
        </w:numPr>
        <w:spacing w:before="240" w:after="200" w:line="360" w:lineRule="auto"/>
        <w:jc w:val="both"/>
      </w:pPr>
      <w:r>
        <w:t>Get feedback from a diverse group of people. Once you have developed your marketing or advertising campaign, get feedback from a diverse group of people. This will help you to identify any potential problems with the campaign before it goes live.</w:t>
      </w:r>
    </w:p>
    <w:p w14:paraId="2244EF57" w14:textId="77777777" w:rsidR="002530E2" w:rsidRDefault="002530E2" w:rsidP="002530E2">
      <w:pPr>
        <w:numPr>
          <w:ilvl w:val="0"/>
          <w:numId w:val="164"/>
        </w:numPr>
        <w:spacing w:before="240" w:after="200" w:line="360" w:lineRule="auto"/>
        <w:jc w:val="both"/>
      </w:pPr>
      <w:r>
        <w:t>Be prepared to apologize. If you do make a cross-cultural blunder, be prepared to apologize sincerely and promptly. This will show that you understand that you have made a mistake and that you are committed to avoiding similar mistakes in the future.</w:t>
      </w:r>
    </w:p>
    <w:p w14:paraId="499E9CBE" w14:textId="77777777" w:rsidR="002530E2" w:rsidRDefault="002530E2">
      <w:r>
        <w:t>By following these tips, MNCs can minimize the risk of making cross-cultural blunders and can protect their reputation and relationships with Muslim consumers.</w:t>
      </w:r>
    </w:p>
    <w:p w14:paraId="64F01171" w14:textId="77777777" w:rsidR="002530E2" w:rsidRDefault="002530E2"/>
    <w:p w14:paraId="68DA15E2" w14:textId="77777777" w:rsidR="002530E2" w:rsidRDefault="002530E2">
      <w:pPr>
        <w:pStyle w:val="Heading1"/>
      </w:pPr>
      <w:bookmarkStart w:id="480" w:name="_yn4cxjf3o9n5" w:colFirst="0" w:colLast="0"/>
      <w:bookmarkEnd w:id="480"/>
      <w:r>
        <w:t>APPENDIX (CHP:6) 004: RESEARCH REPORT</w:t>
      </w:r>
    </w:p>
    <w:p w14:paraId="11866648" w14:textId="77777777" w:rsidR="002530E2" w:rsidRDefault="002530E2">
      <w:pPr>
        <w:pStyle w:val="Heading2"/>
      </w:pPr>
      <w:bookmarkStart w:id="481" w:name="_l62xxbpkjd1i" w:colFirst="0" w:colLast="0"/>
      <w:bookmarkEnd w:id="481"/>
      <w:r>
        <w:t>FOR ACADEMIC RESEARCH &amp; RELEVANT INDUSTRY</w:t>
      </w:r>
    </w:p>
    <w:p w14:paraId="6C0E9033" w14:textId="77777777" w:rsidR="002530E2" w:rsidRDefault="002530E2">
      <w:pPr>
        <w:spacing w:after="0"/>
      </w:pPr>
      <w:r>
        <w:t>Below is a research report content proposal based on the topic of cross-cultural blunders and final report of this study:</w:t>
      </w:r>
    </w:p>
    <w:p w14:paraId="05BEEFA3" w14:textId="77777777" w:rsidR="002530E2" w:rsidRDefault="002530E2">
      <w:pPr>
        <w:spacing w:after="0"/>
      </w:pPr>
      <w:r>
        <w:t>Title: The Impact of Cross-Cultural Blunders on MNCs and Muslim Consumers</w:t>
      </w:r>
    </w:p>
    <w:p w14:paraId="08FC047A" w14:textId="77777777" w:rsidR="002530E2" w:rsidRDefault="002530E2">
      <w:pPr>
        <w:spacing w:after="0"/>
      </w:pPr>
      <w:r>
        <w:t>Author: Firoz A Khan</w:t>
      </w:r>
    </w:p>
    <w:p w14:paraId="47448201" w14:textId="77777777" w:rsidR="002530E2" w:rsidRDefault="002530E2">
      <w:pPr>
        <w:spacing w:after="0"/>
      </w:pPr>
      <w:r>
        <w:t>Date: Monday, 10th July, 2023</w:t>
      </w:r>
    </w:p>
    <w:p w14:paraId="2A3C375B" w14:textId="77777777" w:rsidR="002530E2" w:rsidRDefault="002530E2">
      <w:pPr>
        <w:spacing w:after="0"/>
      </w:pPr>
      <w:r>
        <w:pict w14:anchorId="138EF215">
          <v:rect id="_x0000_i1025" style="width:0;height:1.5pt" o:hralign="center" o:hrstd="t" o:hr="t" fillcolor="#a0a0a0" stroked="f"/>
        </w:pict>
      </w:r>
    </w:p>
    <w:p w14:paraId="6324737A" w14:textId="77777777" w:rsidR="002530E2" w:rsidRDefault="002530E2">
      <w:pPr>
        <w:spacing w:after="0"/>
      </w:pPr>
      <w:r>
        <w:t>Abstract:</w:t>
      </w:r>
    </w:p>
    <w:p w14:paraId="086EEBDC" w14:textId="77777777" w:rsidR="002530E2" w:rsidRDefault="002530E2">
      <w:pPr>
        <w:spacing w:after="0"/>
      </w:pPr>
    </w:p>
    <w:p w14:paraId="225B16EA" w14:textId="77777777" w:rsidR="002530E2" w:rsidRDefault="002530E2">
      <w:pPr>
        <w:spacing w:after="0"/>
      </w:pPr>
      <w:r>
        <w:t xml:space="preserve">This study investigated the impact of cross-cultural blunders on multinational corporations (MNCs) and Muslim consumers. The study found that cross-cultural blunders can have a significant impact on both MNCs and Muslim consumers. For MNCs, cross-cultural blunders can damage reputations, reduce customer trust, and lead to financial losses. For Muslim consumers, cross-cultural blunders </w:t>
      </w:r>
      <w:r>
        <w:lastRenderedPageBreak/>
        <w:t>can have a negative impact on psychological well-being, behavioural intentions, and brand perception. The study also identified a number of factors that contribute to cross-cultural blunders, such as cultural misunderstandings, lack of cultural awareness, and poor communication. The study also proposed a number of proactive strategies that MNCs can adopt to prevent cross-cultural blunders and effectively engage with Muslim consumers.</w:t>
      </w:r>
    </w:p>
    <w:p w14:paraId="1B8AC722" w14:textId="77777777" w:rsidR="002530E2" w:rsidRDefault="002530E2">
      <w:r>
        <w:t>Introduction:</w:t>
      </w:r>
    </w:p>
    <w:p w14:paraId="360618B4" w14:textId="77777777" w:rsidR="002530E2" w:rsidRDefault="002530E2">
      <w:r>
        <w:t>In today's globalized world, multinational corporations (MNCs) are increasingly operating in Muslim-majority and minority countries. This presents a number of challenges for MNCs, as they need to be sensitive to the cultural norms and values of these countries. However, MNCs often make cross-cultural blunders, which can have a significant impact on their reputations, customer trust, and financial performance.</w:t>
      </w:r>
    </w:p>
    <w:p w14:paraId="22EE7175" w14:textId="77777777" w:rsidR="002530E2" w:rsidRDefault="002530E2">
      <w:r>
        <w:t>The purpose of this study was to investigate the impact of cross-cultural blunders on MNCs and Muslim consumers. The study also aimed to identify the factors that contribute to cross-cultural blunders and to propose proactive strategies that MNCs can adopt to prevent them.</w:t>
      </w:r>
    </w:p>
    <w:p w14:paraId="30835498" w14:textId="77777777" w:rsidR="002530E2" w:rsidRDefault="002530E2">
      <w:r>
        <w:t>Literature Review:</w:t>
      </w:r>
    </w:p>
    <w:p w14:paraId="395122D0" w14:textId="77777777" w:rsidR="002530E2" w:rsidRDefault="002530E2">
      <w:r>
        <w:t>The literature review section of the study reviewed the relevant literature on cross-cultural blunders, MNCs, and Muslim consumers. The review identified a number of key findings from previous research, including:</w:t>
      </w:r>
    </w:p>
    <w:p w14:paraId="78B145FF" w14:textId="77777777" w:rsidR="002530E2" w:rsidRDefault="002530E2" w:rsidP="002530E2">
      <w:pPr>
        <w:numPr>
          <w:ilvl w:val="0"/>
          <w:numId w:val="182"/>
        </w:numPr>
        <w:spacing w:before="240" w:after="200" w:line="360" w:lineRule="auto"/>
        <w:jc w:val="both"/>
      </w:pPr>
      <w:r>
        <w:t>Cross-cultural blunders can have a significant impact on MNCs, including damage to reputation, loss of customer trust, and financial losses.</w:t>
      </w:r>
    </w:p>
    <w:p w14:paraId="43D74FEE" w14:textId="77777777" w:rsidR="002530E2" w:rsidRDefault="002530E2" w:rsidP="002530E2">
      <w:pPr>
        <w:numPr>
          <w:ilvl w:val="0"/>
          <w:numId w:val="182"/>
        </w:numPr>
        <w:spacing w:before="240" w:after="200" w:line="360" w:lineRule="auto"/>
        <w:jc w:val="both"/>
      </w:pPr>
      <w:r>
        <w:t>Muslim consumers are more likely to be offended by cross-cultural blunders than non-Muslim consumers.</w:t>
      </w:r>
    </w:p>
    <w:p w14:paraId="362246E3" w14:textId="77777777" w:rsidR="002530E2" w:rsidRDefault="002530E2" w:rsidP="002530E2">
      <w:pPr>
        <w:numPr>
          <w:ilvl w:val="0"/>
          <w:numId w:val="182"/>
        </w:numPr>
        <w:spacing w:before="240" w:after="200" w:line="360" w:lineRule="auto"/>
        <w:jc w:val="both"/>
      </w:pPr>
      <w:r>
        <w:t>There are a number of factors that contribute to cross-cultural blunders, including cultural misunderstandings, lack of cultural awareness, and poor communication.</w:t>
      </w:r>
    </w:p>
    <w:p w14:paraId="5C063BBE" w14:textId="77777777" w:rsidR="002530E2" w:rsidRDefault="002530E2">
      <w:r>
        <w:t>Methods:</w:t>
      </w:r>
    </w:p>
    <w:p w14:paraId="762EDA96" w14:textId="77777777" w:rsidR="002530E2" w:rsidRDefault="002530E2">
      <w:r>
        <w:t xml:space="preserve">The methods section of the study described the methods that were used to collect and analyze the data. The study used a qualitative mono-method approach, which involved collecting qualitative data. The research method chosen for this study was qualitative document analysis, which involved a meticulous review and analysis of diverse document types. Academic journals, news articles, government reports, incident reports, social media posts, online forums, and corporate documents were scrutinized to gather data on the factors contributing to cross-cultural blunders. </w:t>
      </w:r>
    </w:p>
    <w:p w14:paraId="7E84A247" w14:textId="77777777" w:rsidR="002530E2" w:rsidRDefault="002530E2">
      <w:r>
        <w:t>Results:</w:t>
      </w:r>
    </w:p>
    <w:p w14:paraId="41526C50" w14:textId="77777777" w:rsidR="002530E2" w:rsidRDefault="002530E2">
      <w:r>
        <w:t>The results section of the study presented the findings of the data analysis. The qualitative data showed that cross-cultural blunders had a significant impact on Muslim consumers' psychological well-being, behavioural intentions, and brand perception. The qualitative data provided insights into the factors that contribute to cross-cultural blunders, such as cultural misunderstandings, lack of cultural awareness, and poor communication.</w:t>
      </w:r>
    </w:p>
    <w:p w14:paraId="12120FE8" w14:textId="77777777" w:rsidR="002530E2" w:rsidRDefault="002530E2">
      <w:r>
        <w:lastRenderedPageBreak/>
        <w:t>Discussion:</w:t>
      </w:r>
    </w:p>
    <w:p w14:paraId="59F8FEC3" w14:textId="77777777" w:rsidR="002530E2" w:rsidRDefault="002530E2">
      <w:r>
        <w:t xml:space="preserve">The discussion section of the study discussed the findings of the study in relation to the main research questions. The discussion also discussed the implications of the findings for theory and practice. Furthermore, study limitations and biases were included. </w:t>
      </w:r>
    </w:p>
    <w:p w14:paraId="4052639E" w14:textId="77777777" w:rsidR="002530E2" w:rsidRDefault="002530E2">
      <w:r>
        <w:t>The study found that cross-cultural blunders can have a significant impact on both MNCs and Muslim consumers. For MNCs, cross-cultural blunders can damage reputations, reduce customer trust, and lead to financial losses. For Muslim consumers, cross-cultural blunders can have a negative impact on psychological well-being, behavioural intentions, and brand perception.</w:t>
      </w:r>
    </w:p>
    <w:p w14:paraId="33C48A01" w14:textId="77777777" w:rsidR="002530E2" w:rsidRDefault="002530E2">
      <w:r>
        <w:t>The study also identified a number of factors that contribute to cross-cultural blunders, such as cultural misunderstandings, lack of cultural awareness, and poor communication. The study also proposed a number of proactive strategies that MNCs can adopt to prevent cross-cultural blunders and effectively engage with Muslim consumers.</w:t>
      </w:r>
    </w:p>
    <w:p w14:paraId="15EF0788" w14:textId="77777777" w:rsidR="002530E2" w:rsidRDefault="002530E2">
      <w:r>
        <w:t>Conclusion:</w:t>
      </w:r>
    </w:p>
    <w:p w14:paraId="0E00A49B" w14:textId="77777777" w:rsidR="002530E2" w:rsidRDefault="002530E2">
      <w:r>
        <w:t>The conclusion section of the study summarized the main findings of the study and discussed the limitations of the study. The conclusion also made recommendations for future research. The study made a number of contributions to the literature on cross-cultural blunders, MNCs, and Muslim consumers. The study also provided practical recommendations for MNCs on how to prevent cross-cultural blunders and effectively engage with Muslim consumers.</w:t>
      </w:r>
    </w:p>
    <w:p w14:paraId="49B78AA0" w14:textId="77777777" w:rsidR="002530E2" w:rsidRDefault="002530E2">
      <w:r>
        <w:t>References: The references section of the study listed all of the sources that were used in the study.</w:t>
      </w:r>
    </w:p>
    <w:p w14:paraId="214DFE6F" w14:textId="77777777" w:rsidR="002530E2" w:rsidRDefault="002530E2"/>
    <w:p w14:paraId="4826A7CA" w14:textId="77777777" w:rsidR="002530E2" w:rsidRDefault="002530E2">
      <w:pPr>
        <w:pStyle w:val="Heading1"/>
      </w:pPr>
      <w:bookmarkStart w:id="482" w:name="_fuq4dgs8r5bm" w:colFirst="0" w:colLast="0"/>
      <w:bookmarkEnd w:id="482"/>
      <w:r>
        <w:t>APPENDIX (CHP:6) 005: RESEARCH ARTICLE</w:t>
      </w:r>
    </w:p>
    <w:p w14:paraId="0DFFC475" w14:textId="77777777" w:rsidR="002530E2" w:rsidRDefault="002530E2">
      <w:pPr>
        <w:pStyle w:val="Heading2"/>
      </w:pPr>
      <w:bookmarkStart w:id="483" w:name="_b4a1xs8utnk0" w:colFirst="0" w:colLast="0"/>
      <w:bookmarkEnd w:id="483"/>
      <w:r>
        <w:t>FOR ACADEMIC RESEARCH &amp; RELEVANT INDUSTRY</w:t>
      </w:r>
    </w:p>
    <w:p w14:paraId="28206857" w14:textId="77777777" w:rsidR="002530E2" w:rsidRDefault="002530E2">
      <w:pPr>
        <w:spacing w:after="0"/>
      </w:pPr>
      <w:r>
        <w:t>Below is a research article content proposal based on the topic of cross-cultural blunders and final report of this study:</w:t>
      </w:r>
    </w:p>
    <w:p w14:paraId="7E4F8F0B" w14:textId="77777777" w:rsidR="002530E2" w:rsidRDefault="002530E2">
      <w:pPr>
        <w:spacing w:before="200"/>
      </w:pPr>
      <w:r>
        <w:t>The Impact of Cross-Cultural Blunders on MNCs and Muslim Consumers</w:t>
      </w:r>
    </w:p>
    <w:p w14:paraId="4D2F971A" w14:textId="77777777" w:rsidR="002530E2" w:rsidRDefault="002530E2">
      <w:r>
        <w:pict w14:anchorId="6DE9DBD4">
          <v:rect id="_x0000_i1026" style="width:0;height:1.5pt" o:hralign="center" o:hrstd="t" o:hr="t" fillcolor="#a0a0a0" stroked="f"/>
        </w:pict>
      </w:r>
    </w:p>
    <w:p w14:paraId="35C48EE5" w14:textId="77777777" w:rsidR="002530E2" w:rsidRDefault="002530E2">
      <w:r>
        <w:t>Abstract</w:t>
      </w:r>
    </w:p>
    <w:p w14:paraId="50AAC7D9" w14:textId="77777777" w:rsidR="002530E2" w:rsidRDefault="002530E2">
      <w:r>
        <w:t>In today's globalized world, multinational corporations (MNCs) are increasingly operating in Muslim-majority and minority countries. This presents a number of challenges for MNCs, as they need to be sensitive to the cultural norms and values of these countries. However, MNCs often make cross-cultural blunders, which can have a significant impact on their reputations, customer trust, and financial performance.</w:t>
      </w:r>
    </w:p>
    <w:p w14:paraId="42C1B5CF" w14:textId="77777777" w:rsidR="002530E2" w:rsidRDefault="002530E2">
      <w:r>
        <w:t xml:space="preserve">This study investigated the impact of cross-cultural blunders on MNCs and Muslim consumers. The study found that cross-cultural blunders can have a significant impact on both MNCs and Muslim </w:t>
      </w:r>
      <w:r>
        <w:lastRenderedPageBreak/>
        <w:t>consumers. For MNCs, cross-cultural blunders can damage reputations, reduce customer trust, and lead to financial losses. For Muslim consumers, cross-cultural blunders can have a negative impact on psychological well-being, behavioural intentions, and brand perception. The study also identified a number of factors that contribute to cross-cultural blunders, such as cultural misunderstandings, lack of cultural awareness, and poor communication. The study also proposed a number of proactive strategies that MNCs can adopt to prevent cross-cultural blunders and effectively engage with Muslim consumers.</w:t>
      </w:r>
    </w:p>
    <w:p w14:paraId="1C68A835" w14:textId="77777777" w:rsidR="002530E2" w:rsidRDefault="002530E2">
      <w:r>
        <w:t>Keywords: cross-cultural blunders, MNCs, Muslim consumers, impact, prevention</w:t>
      </w:r>
    </w:p>
    <w:p w14:paraId="7609C335" w14:textId="77777777" w:rsidR="002530E2" w:rsidRDefault="002530E2">
      <w:r>
        <w:pict w14:anchorId="3FA349CE">
          <v:rect id="_x0000_i1027" style="width:0;height:1.5pt" o:hralign="center" o:hrstd="t" o:hr="t" fillcolor="#a0a0a0" stroked="f"/>
        </w:pict>
      </w:r>
    </w:p>
    <w:p w14:paraId="6F92ACCE" w14:textId="77777777" w:rsidR="002530E2" w:rsidRDefault="002530E2">
      <w:r>
        <w:t>Introduction</w:t>
      </w:r>
    </w:p>
    <w:p w14:paraId="68FC520B" w14:textId="77777777" w:rsidR="002530E2" w:rsidRDefault="002530E2">
      <w:r>
        <w:t>In today's globalized world, multinational corporations (MNCs) are increasingly operating in Muslim-majority and minority countries. This presents a number of challenges for MNCs, as they need to be sensitive to the cultural norms and values of these countries. However, MNCs often make cross-cultural blunders, which can have a significant impact on their reputations, customer trust, and financial performance.</w:t>
      </w:r>
    </w:p>
    <w:p w14:paraId="32E46FE6" w14:textId="77777777" w:rsidR="002530E2" w:rsidRDefault="002530E2">
      <w:r>
        <w:t>The purpose of this study was to investigate the impact of cross-cultural blunders on MNCs and Muslim consumers. The study also aimed to identify the factors that contribute to cross-cultural blunders and to propose proactive strategies that MNCs can adopt to prevent them.</w:t>
      </w:r>
    </w:p>
    <w:p w14:paraId="00A5A6B8" w14:textId="77777777" w:rsidR="002530E2" w:rsidRDefault="002530E2">
      <w:r>
        <w:t>Literature Review</w:t>
      </w:r>
    </w:p>
    <w:p w14:paraId="6DF9A45A" w14:textId="77777777" w:rsidR="002530E2" w:rsidRDefault="002530E2">
      <w:r>
        <w:t xml:space="preserve">The literature review section of the study reviewed the relevant literature on cross-cultural blunders, MNCs, and Muslim consumers. </w:t>
      </w:r>
    </w:p>
    <w:p w14:paraId="1D2303CA" w14:textId="77777777" w:rsidR="002530E2" w:rsidRDefault="002530E2">
      <w:r>
        <w:t>The review identified a number of key findings from previous research, including:</w:t>
      </w:r>
    </w:p>
    <w:p w14:paraId="63551B65" w14:textId="77777777" w:rsidR="002530E2" w:rsidRDefault="002530E2" w:rsidP="002530E2">
      <w:pPr>
        <w:numPr>
          <w:ilvl w:val="0"/>
          <w:numId w:val="163"/>
        </w:numPr>
        <w:spacing w:after="200" w:line="360" w:lineRule="auto"/>
        <w:jc w:val="both"/>
      </w:pPr>
      <w:r>
        <w:t>Cross-cultural blunders can have a significant impact on MNCs, including damage to reputation, loss of customer trust, and financial losses.</w:t>
      </w:r>
    </w:p>
    <w:p w14:paraId="5308E8AD" w14:textId="77777777" w:rsidR="002530E2" w:rsidRDefault="002530E2" w:rsidP="002530E2">
      <w:pPr>
        <w:numPr>
          <w:ilvl w:val="0"/>
          <w:numId w:val="163"/>
        </w:numPr>
        <w:spacing w:after="200" w:line="360" w:lineRule="auto"/>
        <w:jc w:val="both"/>
      </w:pPr>
      <w:r>
        <w:t>Muslim consumers are more likely to be offended by cross-cultural blunders than non-Muslim consumers.</w:t>
      </w:r>
    </w:p>
    <w:p w14:paraId="17D31FC6" w14:textId="77777777" w:rsidR="002530E2" w:rsidRDefault="002530E2" w:rsidP="002530E2">
      <w:pPr>
        <w:numPr>
          <w:ilvl w:val="0"/>
          <w:numId w:val="163"/>
        </w:numPr>
        <w:spacing w:after="200" w:line="360" w:lineRule="auto"/>
        <w:jc w:val="both"/>
      </w:pPr>
      <w:r>
        <w:t>There are a number of factors that contribute to cross-cultural blunders, including cultural misunderstandings, lack of cultural awareness, and poor communication.</w:t>
      </w:r>
    </w:p>
    <w:p w14:paraId="1976AA20" w14:textId="77777777" w:rsidR="002530E2" w:rsidRDefault="002530E2">
      <w:r>
        <w:t>Methods:</w:t>
      </w:r>
    </w:p>
    <w:p w14:paraId="78695421" w14:textId="77777777" w:rsidR="002530E2" w:rsidRDefault="002530E2">
      <w:r>
        <w:t xml:space="preserve">The methods section of the study described the methods that were used to collect and analyze the data. The study used a qualitative mono-method approach, which involved collecting qualitative data. The research method chosen for this study was qualitative document analysis, which involved a meticulous review and analysis of diverse document types. </w:t>
      </w:r>
    </w:p>
    <w:p w14:paraId="7BCD7344" w14:textId="77777777" w:rsidR="002530E2" w:rsidRDefault="002530E2">
      <w:r>
        <w:t xml:space="preserve">Academic journals, news articles, government reports, incident reports, social media posts, online forums, and corporate documents were scrutinized to gather data on the factors contributing to cross-cultural blunders. </w:t>
      </w:r>
    </w:p>
    <w:p w14:paraId="13CBEC85" w14:textId="77777777" w:rsidR="002530E2" w:rsidRDefault="002530E2">
      <w:r>
        <w:lastRenderedPageBreak/>
        <w:t>Results:</w:t>
      </w:r>
    </w:p>
    <w:p w14:paraId="113D64B0" w14:textId="77777777" w:rsidR="002530E2" w:rsidRDefault="002530E2">
      <w:r>
        <w:t>The results section of the study presented the findings of the data analysis. The qualitative data showed that cross-cultural blunders had a significant impact on Muslim consumers' psychological well-being, behavioural intentions, and brand perception. The qualitative data provided insights into the factors that contribute to cross-cultural blunders, such as cultural misunderstandings, lack of cultural awareness, and poor communication.</w:t>
      </w:r>
    </w:p>
    <w:p w14:paraId="7B4C7A84" w14:textId="77777777" w:rsidR="002530E2" w:rsidRDefault="002530E2">
      <w:r>
        <w:t>Discussion:</w:t>
      </w:r>
    </w:p>
    <w:p w14:paraId="40051E34" w14:textId="77777777" w:rsidR="002530E2" w:rsidRDefault="002530E2">
      <w:r>
        <w:t xml:space="preserve">The discussion section of the study discussed the findings of the study in relation to the main research questions. The discussion also discussed the implications of the findings for theory and practice. Furthermore, study limitations and biases were included. </w:t>
      </w:r>
    </w:p>
    <w:p w14:paraId="1F647B4C" w14:textId="77777777" w:rsidR="002530E2" w:rsidRDefault="002530E2">
      <w:r>
        <w:t>The study found that cross-cultural blunders can have a significant impact on both MNCs and Muslim consumers. For MNCs, cross-cultural blunders can damage reputations, reduce customer trust, and lead to financial losses. For Muslim consumers, cross-cultural blunders can have a negative impact on psychological well-being, behavioural intentions, and brand perception.</w:t>
      </w:r>
    </w:p>
    <w:p w14:paraId="6CDAD43F" w14:textId="77777777" w:rsidR="002530E2" w:rsidRDefault="002530E2">
      <w:r>
        <w:t>The study also identified a number of factors that contribute to cross-cultural blunders, such as cultural misunderstandings, lack of cultural awareness, and poor communication. The study also proposed a number of proactive strategies that MNCs can adopt to prevent cross-cultural blunders and effectively engage with Muslim consumers.</w:t>
      </w:r>
    </w:p>
    <w:p w14:paraId="220D5339" w14:textId="77777777" w:rsidR="002530E2" w:rsidRDefault="002530E2">
      <w:r>
        <w:t>Conclusion</w:t>
      </w:r>
    </w:p>
    <w:p w14:paraId="743E7F8E" w14:textId="77777777" w:rsidR="002530E2" w:rsidRDefault="002530E2">
      <w:r>
        <w:t>The conclusion section of the study summarized the main findings of the study and discussed the limitations of the study. The conclusion also made recommendations for future research. The study made a number of contributions to the literature on cross-cultural blunders, MNCs, and Muslim consumers. The study also provided practical recommendations for MNCs on how to prevent cross-cultural</w:t>
      </w:r>
    </w:p>
    <w:p w14:paraId="1CB0603A" w14:textId="77777777" w:rsidR="002530E2" w:rsidRDefault="002530E2"/>
    <w:p w14:paraId="35684B71" w14:textId="77777777" w:rsidR="002530E2" w:rsidRDefault="002530E2">
      <w:pPr>
        <w:pStyle w:val="Heading1"/>
      </w:pPr>
      <w:bookmarkStart w:id="484" w:name="_7xd0hk3z5bjw" w:colFirst="0" w:colLast="0"/>
      <w:bookmarkEnd w:id="484"/>
      <w:r>
        <w:t>APPENDIX (CHP:6) 006: CONFERENCE PRESENTATION</w:t>
      </w:r>
    </w:p>
    <w:p w14:paraId="7D22F4A1" w14:textId="77777777" w:rsidR="002530E2" w:rsidRDefault="002530E2">
      <w:pPr>
        <w:pStyle w:val="Heading2"/>
      </w:pPr>
      <w:bookmarkStart w:id="485" w:name="_5abrk58wfqgr" w:colFirst="0" w:colLast="0"/>
      <w:bookmarkEnd w:id="485"/>
      <w:r>
        <w:t>FOR ACADEMIC RESEARCH &amp; RELEVANT INDUSTRY</w:t>
      </w:r>
    </w:p>
    <w:p w14:paraId="410FC8BD" w14:textId="77777777" w:rsidR="002530E2" w:rsidRDefault="002530E2">
      <w:r>
        <w:t>Below is a conference presentation content proposal based on the topic of cross-cultural blunders and final report of this study:</w:t>
      </w:r>
    </w:p>
    <w:p w14:paraId="1594C511" w14:textId="77777777" w:rsidR="002530E2" w:rsidRDefault="002530E2">
      <w:r>
        <w:t>Title: The Impact of Cross-Cultural Blunders on MNCs and Muslim Consumers</w:t>
      </w:r>
    </w:p>
    <w:p w14:paraId="0758DED1" w14:textId="77777777" w:rsidR="002530E2" w:rsidRDefault="002530E2">
      <w:r>
        <w:t>Introduction</w:t>
      </w:r>
    </w:p>
    <w:p w14:paraId="7768AFE5" w14:textId="77777777" w:rsidR="002530E2" w:rsidRDefault="002530E2">
      <w:r>
        <w:t>Good morning, everyone. My name is Firoz Khan, I just completed my PhD on this topic. I'm here today to talk to you about the impact of cross-cultural blunders on MNCs and Muslim consumers.</w:t>
      </w:r>
    </w:p>
    <w:p w14:paraId="0630D856" w14:textId="77777777" w:rsidR="002530E2" w:rsidRDefault="002530E2">
      <w:r>
        <w:t>What are cross-cultural blunders?</w:t>
      </w:r>
    </w:p>
    <w:p w14:paraId="1AE7FD56" w14:textId="77777777" w:rsidR="002530E2" w:rsidRDefault="002530E2">
      <w:r>
        <w:lastRenderedPageBreak/>
        <w:t>Cross-cultural blunders are mistakes that are made when interacting with people from other cultures. These mistakes can be unintentional, but they can still have a significant impact.</w:t>
      </w:r>
    </w:p>
    <w:p w14:paraId="50EE9885" w14:textId="77777777" w:rsidR="002530E2" w:rsidRDefault="002530E2">
      <w:r>
        <w:t>Why are cross-cultural blunders important?</w:t>
      </w:r>
    </w:p>
    <w:p w14:paraId="6C5DFCB5" w14:textId="77777777" w:rsidR="002530E2" w:rsidRDefault="002530E2">
      <w:r>
        <w:t>Cross-cultural blunders can have a number of negative consequences for MNCs and Muslim consumers. For MNCs, cross-cultural blunders can damage reputations, reduce customer trust, and lead to financial losses. For Muslim consumers, cross-cultural blunders can have a negative impact on psychological well-being, behavioural intentions, and brand perception.</w:t>
      </w:r>
    </w:p>
    <w:p w14:paraId="6CB49626" w14:textId="77777777" w:rsidR="002530E2" w:rsidRDefault="002530E2">
      <w:r>
        <w:t>What are the factors that contribute to cross-cultural blunders?</w:t>
      </w:r>
    </w:p>
    <w:p w14:paraId="66F12D4F" w14:textId="77777777" w:rsidR="002530E2" w:rsidRDefault="002530E2">
      <w:r>
        <w:t>There are a number of factors that can contribute to cross-cultural blunders. These factors include:</w:t>
      </w:r>
    </w:p>
    <w:p w14:paraId="4D641321" w14:textId="77777777" w:rsidR="002530E2" w:rsidRDefault="002530E2" w:rsidP="002530E2">
      <w:pPr>
        <w:numPr>
          <w:ilvl w:val="0"/>
          <w:numId w:val="154"/>
        </w:numPr>
        <w:spacing w:before="240" w:after="200" w:line="360" w:lineRule="auto"/>
        <w:jc w:val="both"/>
      </w:pPr>
      <w:r>
        <w:t>Cultural misunderstandings: This can happen when people from different cultures have different understandings of the same thing.</w:t>
      </w:r>
    </w:p>
    <w:p w14:paraId="133EB441" w14:textId="77777777" w:rsidR="002530E2" w:rsidRDefault="002530E2" w:rsidP="002530E2">
      <w:pPr>
        <w:numPr>
          <w:ilvl w:val="0"/>
          <w:numId w:val="154"/>
        </w:numPr>
        <w:spacing w:before="240" w:after="200" w:line="360" w:lineRule="auto"/>
        <w:jc w:val="both"/>
      </w:pPr>
      <w:r>
        <w:t>Lack of cultural awareness: This can happen when people from one culture are not aware of the customs and traditions of another culture.</w:t>
      </w:r>
    </w:p>
    <w:p w14:paraId="6795DE3A" w14:textId="77777777" w:rsidR="002530E2" w:rsidRDefault="002530E2" w:rsidP="002530E2">
      <w:pPr>
        <w:numPr>
          <w:ilvl w:val="0"/>
          <w:numId w:val="154"/>
        </w:numPr>
        <w:spacing w:before="240" w:after="200" w:line="360" w:lineRule="auto"/>
        <w:jc w:val="both"/>
      </w:pPr>
      <w:r>
        <w:t>Poor communication: This can happen when people from different cultures have different communication styles.</w:t>
      </w:r>
    </w:p>
    <w:p w14:paraId="7B7B553F" w14:textId="77777777" w:rsidR="002530E2" w:rsidRDefault="002530E2">
      <w:r>
        <w:t>How can MNCs and Muslim consumers avoid cross-cultural blunders?</w:t>
      </w:r>
    </w:p>
    <w:p w14:paraId="45824D98" w14:textId="77777777" w:rsidR="002530E2" w:rsidRDefault="002530E2">
      <w:r>
        <w:t>There are a number of things that MNCs and Muslim consumers can do to avoid cross-cultural blunders. These include:</w:t>
      </w:r>
    </w:p>
    <w:p w14:paraId="32E795DD" w14:textId="77777777" w:rsidR="002530E2" w:rsidRDefault="002530E2" w:rsidP="002530E2">
      <w:pPr>
        <w:numPr>
          <w:ilvl w:val="0"/>
          <w:numId w:val="162"/>
        </w:numPr>
        <w:spacing w:before="240" w:after="200" w:line="360" w:lineRule="auto"/>
        <w:jc w:val="both"/>
      </w:pPr>
      <w:r>
        <w:t>Do your research: Before you interact with people from another culture, take the time to learn about their customs and traditions.</w:t>
      </w:r>
    </w:p>
    <w:p w14:paraId="796D0A5C" w14:textId="77777777" w:rsidR="002530E2" w:rsidRDefault="002530E2" w:rsidP="002530E2">
      <w:pPr>
        <w:numPr>
          <w:ilvl w:val="0"/>
          <w:numId w:val="162"/>
        </w:numPr>
        <w:spacing w:before="240" w:after="200" w:line="360" w:lineRule="auto"/>
        <w:jc w:val="both"/>
      </w:pPr>
      <w:r>
        <w:t>Be respectful: Be mindful of the cultural norms and values of the people you are interacting with.</w:t>
      </w:r>
    </w:p>
    <w:p w14:paraId="67336BC6" w14:textId="77777777" w:rsidR="002530E2" w:rsidRDefault="002530E2" w:rsidP="002530E2">
      <w:pPr>
        <w:numPr>
          <w:ilvl w:val="0"/>
          <w:numId w:val="162"/>
        </w:numPr>
        <w:spacing w:before="240" w:after="200" w:line="360" w:lineRule="auto"/>
        <w:jc w:val="both"/>
      </w:pPr>
      <w:r>
        <w:t>Be open to feedback: If you make a mistake, be willing to listen to feedback and learn from it.</w:t>
      </w:r>
    </w:p>
    <w:p w14:paraId="3ABA6A9D" w14:textId="77777777" w:rsidR="002530E2" w:rsidRDefault="002530E2">
      <w:r>
        <w:t>Conclusion</w:t>
      </w:r>
    </w:p>
    <w:p w14:paraId="1C98E127" w14:textId="77777777" w:rsidR="002530E2" w:rsidRDefault="002530E2">
      <w:r>
        <w:t>Cross-cultural blunders can have a significant impact on MNCs and Muslim consumers. By following the tips I've mentioned, you can help to avoid these blunders and promote understanding and tolerance between cultures.</w:t>
      </w:r>
    </w:p>
    <w:p w14:paraId="30026006" w14:textId="77777777" w:rsidR="002530E2" w:rsidRDefault="002530E2">
      <w:r>
        <w:t>Thank you for your time.</w:t>
      </w:r>
    </w:p>
    <w:p w14:paraId="662A8B43" w14:textId="77777777" w:rsidR="002530E2" w:rsidRDefault="002530E2">
      <w:pPr>
        <w:pStyle w:val="Heading1"/>
        <w:spacing w:before="0"/>
      </w:pPr>
      <w:bookmarkStart w:id="486" w:name="_y8jrs02u12cd" w:colFirst="0" w:colLast="0"/>
      <w:bookmarkEnd w:id="486"/>
    </w:p>
    <w:p w14:paraId="092D7551" w14:textId="77777777" w:rsidR="002530E2" w:rsidRDefault="002530E2">
      <w:pPr>
        <w:pStyle w:val="Heading1"/>
      </w:pPr>
      <w:bookmarkStart w:id="487" w:name="_xqxy9ymbquj7" w:colFirst="0" w:colLast="0"/>
      <w:bookmarkEnd w:id="487"/>
      <w:r>
        <w:br w:type="page"/>
      </w:r>
    </w:p>
    <w:p w14:paraId="2FFA4E16" w14:textId="77777777" w:rsidR="002530E2" w:rsidRDefault="002530E2">
      <w:pPr>
        <w:pStyle w:val="Heading1"/>
      </w:pPr>
      <w:bookmarkStart w:id="488" w:name="_l6ljeprblgsf" w:colFirst="0" w:colLast="0"/>
      <w:bookmarkEnd w:id="488"/>
      <w:r>
        <w:lastRenderedPageBreak/>
        <w:t>APPENDIX (CHP:6) 007: A FUTURISTIC BOOK CHAPTER OUTLINE ON THE TOPIC</w:t>
      </w:r>
    </w:p>
    <w:p w14:paraId="30927B88" w14:textId="77777777" w:rsidR="002530E2" w:rsidRDefault="002530E2">
      <w:pPr>
        <w:pStyle w:val="Heading2"/>
      </w:pPr>
      <w:bookmarkStart w:id="489" w:name="_e2dc47idxwg" w:colFirst="0" w:colLast="0"/>
      <w:bookmarkEnd w:id="489"/>
      <w:r>
        <w:t>FOR ACADEMIC RESEARCH &amp; RELEVANT INDUSTRY</w:t>
      </w:r>
    </w:p>
    <w:p w14:paraId="7E99EC91" w14:textId="77777777" w:rsidR="002530E2" w:rsidRDefault="002530E2">
      <w:r>
        <w:t>Below is a chapter outline content proposal for a book on the topic of cross-cultural blunders and final report of this study:</w:t>
      </w:r>
    </w:p>
    <w:p w14:paraId="7215608C" w14:textId="77777777" w:rsidR="002530E2" w:rsidRDefault="002530E2">
      <w:r>
        <w:t>Chapter 1: Introduction</w:t>
      </w:r>
    </w:p>
    <w:p w14:paraId="3925CE06" w14:textId="77777777" w:rsidR="002530E2" w:rsidRDefault="002530E2" w:rsidP="002530E2">
      <w:pPr>
        <w:numPr>
          <w:ilvl w:val="0"/>
          <w:numId w:val="153"/>
        </w:numPr>
        <w:spacing w:after="0" w:line="360" w:lineRule="auto"/>
        <w:jc w:val="both"/>
      </w:pPr>
      <w:r>
        <w:t>What are cross-cultural blunders?</w:t>
      </w:r>
    </w:p>
    <w:p w14:paraId="7A5D9D0F" w14:textId="77777777" w:rsidR="002530E2" w:rsidRDefault="002530E2" w:rsidP="002530E2">
      <w:pPr>
        <w:numPr>
          <w:ilvl w:val="0"/>
          <w:numId w:val="153"/>
        </w:numPr>
        <w:spacing w:after="0" w:line="360" w:lineRule="auto"/>
        <w:jc w:val="both"/>
      </w:pPr>
      <w:r>
        <w:t>Why are cross-cultural blunders important?</w:t>
      </w:r>
    </w:p>
    <w:p w14:paraId="745F4354" w14:textId="77777777" w:rsidR="002530E2" w:rsidRDefault="002530E2" w:rsidP="002530E2">
      <w:pPr>
        <w:numPr>
          <w:ilvl w:val="0"/>
          <w:numId w:val="153"/>
        </w:numPr>
        <w:spacing w:after="0" w:line="360" w:lineRule="auto"/>
        <w:jc w:val="both"/>
      </w:pPr>
      <w:r>
        <w:t>What are the factors that contribute to cross-cultural blunders?</w:t>
      </w:r>
    </w:p>
    <w:p w14:paraId="05A6E987" w14:textId="77777777" w:rsidR="002530E2" w:rsidRDefault="002530E2" w:rsidP="002530E2">
      <w:pPr>
        <w:numPr>
          <w:ilvl w:val="0"/>
          <w:numId w:val="153"/>
        </w:numPr>
        <w:spacing w:after="200" w:line="360" w:lineRule="auto"/>
        <w:jc w:val="both"/>
      </w:pPr>
      <w:r>
        <w:t>How can cross-cultural blunders be avoided?</w:t>
      </w:r>
    </w:p>
    <w:p w14:paraId="6F5984D5" w14:textId="77777777" w:rsidR="002530E2" w:rsidRDefault="002530E2">
      <w:pPr>
        <w:spacing w:after="0"/>
      </w:pPr>
      <w:r>
        <w:t>Chapter 2: The Impact of Cross-Cultural Blunders on MNCs</w:t>
      </w:r>
    </w:p>
    <w:p w14:paraId="5849C056" w14:textId="77777777" w:rsidR="002530E2" w:rsidRDefault="002530E2" w:rsidP="002530E2">
      <w:pPr>
        <w:numPr>
          <w:ilvl w:val="0"/>
          <w:numId w:val="179"/>
        </w:numPr>
        <w:spacing w:after="0" w:line="360" w:lineRule="auto"/>
        <w:jc w:val="both"/>
      </w:pPr>
      <w:r>
        <w:t>How can cross-cultural blunders damage the reputation of an MNC?</w:t>
      </w:r>
    </w:p>
    <w:p w14:paraId="20647EE2" w14:textId="77777777" w:rsidR="002530E2" w:rsidRDefault="002530E2" w:rsidP="002530E2">
      <w:pPr>
        <w:numPr>
          <w:ilvl w:val="0"/>
          <w:numId w:val="179"/>
        </w:numPr>
        <w:spacing w:after="0" w:line="360" w:lineRule="auto"/>
        <w:jc w:val="both"/>
      </w:pPr>
      <w:r>
        <w:t>How can cross-cultural blunders reduce customer trust?</w:t>
      </w:r>
    </w:p>
    <w:p w14:paraId="4A645D32" w14:textId="77777777" w:rsidR="002530E2" w:rsidRDefault="002530E2" w:rsidP="002530E2">
      <w:pPr>
        <w:numPr>
          <w:ilvl w:val="0"/>
          <w:numId w:val="179"/>
        </w:numPr>
        <w:spacing w:after="200" w:line="360" w:lineRule="auto"/>
        <w:jc w:val="both"/>
      </w:pPr>
      <w:r>
        <w:t>How can cross-cultural blunders lead to financial losses?</w:t>
      </w:r>
    </w:p>
    <w:p w14:paraId="075830BE" w14:textId="77777777" w:rsidR="002530E2" w:rsidRDefault="002530E2">
      <w:pPr>
        <w:spacing w:after="0"/>
      </w:pPr>
      <w:r>
        <w:t>Chapter 3: The Impact of Cross-Cultural Blunders on Muslim Consumers</w:t>
      </w:r>
    </w:p>
    <w:p w14:paraId="5D5299E0" w14:textId="77777777" w:rsidR="002530E2" w:rsidRDefault="002530E2" w:rsidP="002530E2">
      <w:pPr>
        <w:numPr>
          <w:ilvl w:val="0"/>
          <w:numId w:val="166"/>
        </w:numPr>
        <w:spacing w:after="0" w:line="360" w:lineRule="auto"/>
        <w:jc w:val="both"/>
      </w:pPr>
      <w:r>
        <w:t>How can cross-cultural blunders offend Muslim consumers?</w:t>
      </w:r>
    </w:p>
    <w:p w14:paraId="44E610B3" w14:textId="77777777" w:rsidR="002530E2" w:rsidRDefault="002530E2" w:rsidP="002530E2">
      <w:pPr>
        <w:numPr>
          <w:ilvl w:val="0"/>
          <w:numId w:val="166"/>
        </w:numPr>
        <w:spacing w:after="0" w:line="360" w:lineRule="auto"/>
        <w:jc w:val="both"/>
      </w:pPr>
      <w:r>
        <w:t>How can cross-cultural blunders damage the brand perception of a company?</w:t>
      </w:r>
    </w:p>
    <w:p w14:paraId="491B7333" w14:textId="77777777" w:rsidR="002530E2" w:rsidRDefault="002530E2" w:rsidP="002530E2">
      <w:pPr>
        <w:numPr>
          <w:ilvl w:val="0"/>
          <w:numId w:val="166"/>
        </w:numPr>
        <w:spacing w:after="0" w:line="360" w:lineRule="auto"/>
        <w:jc w:val="both"/>
      </w:pPr>
      <w:r>
        <w:t>How can cross-cultural blunders lead to boycotts and protests?</w:t>
      </w:r>
    </w:p>
    <w:p w14:paraId="3D1F5301" w14:textId="77777777" w:rsidR="002530E2" w:rsidRDefault="002530E2">
      <w:r>
        <w:t>Chapter 4: Strategies for Avoiding Cross-Cultural Blunders</w:t>
      </w:r>
    </w:p>
    <w:p w14:paraId="75C02148" w14:textId="77777777" w:rsidR="002530E2" w:rsidRDefault="002530E2" w:rsidP="002530E2">
      <w:pPr>
        <w:numPr>
          <w:ilvl w:val="0"/>
          <w:numId w:val="172"/>
        </w:numPr>
        <w:spacing w:after="0" w:line="360" w:lineRule="auto"/>
        <w:jc w:val="both"/>
      </w:pPr>
      <w:r>
        <w:t>Do your research.</w:t>
      </w:r>
    </w:p>
    <w:p w14:paraId="66C9B1C7" w14:textId="77777777" w:rsidR="002530E2" w:rsidRDefault="002530E2" w:rsidP="002530E2">
      <w:pPr>
        <w:numPr>
          <w:ilvl w:val="0"/>
          <w:numId w:val="172"/>
        </w:numPr>
        <w:spacing w:after="0" w:line="360" w:lineRule="auto"/>
        <w:jc w:val="both"/>
      </w:pPr>
      <w:r>
        <w:t>Be respectful.</w:t>
      </w:r>
    </w:p>
    <w:p w14:paraId="62B60B6A" w14:textId="77777777" w:rsidR="002530E2" w:rsidRDefault="002530E2" w:rsidP="002530E2">
      <w:pPr>
        <w:numPr>
          <w:ilvl w:val="0"/>
          <w:numId w:val="172"/>
        </w:numPr>
        <w:spacing w:after="0" w:line="360" w:lineRule="auto"/>
        <w:jc w:val="both"/>
      </w:pPr>
      <w:r>
        <w:t>Be open to feedback.</w:t>
      </w:r>
    </w:p>
    <w:p w14:paraId="7CE0BF77" w14:textId="77777777" w:rsidR="002530E2" w:rsidRDefault="002530E2" w:rsidP="002530E2">
      <w:pPr>
        <w:numPr>
          <w:ilvl w:val="0"/>
          <w:numId w:val="172"/>
        </w:numPr>
        <w:spacing w:after="0" w:line="360" w:lineRule="auto"/>
        <w:jc w:val="both"/>
      </w:pPr>
      <w:r>
        <w:t>Use local partners.</w:t>
      </w:r>
    </w:p>
    <w:p w14:paraId="551E2FE4" w14:textId="77777777" w:rsidR="002530E2" w:rsidRDefault="002530E2" w:rsidP="002530E2">
      <w:pPr>
        <w:numPr>
          <w:ilvl w:val="0"/>
          <w:numId w:val="172"/>
        </w:numPr>
        <w:spacing w:after="0" w:line="360" w:lineRule="auto"/>
        <w:jc w:val="both"/>
      </w:pPr>
      <w:r>
        <w:t>Adapt your products and services to local tastes.</w:t>
      </w:r>
    </w:p>
    <w:p w14:paraId="02201AD1" w14:textId="77777777" w:rsidR="002530E2" w:rsidRDefault="002530E2">
      <w:r>
        <w:t>Chapter 5: Case Studies</w:t>
      </w:r>
    </w:p>
    <w:p w14:paraId="24B1875D" w14:textId="77777777" w:rsidR="002530E2" w:rsidRDefault="002530E2" w:rsidP="002530E2">
      <w:pPr>
        <w:numPr>
          <w:ilvl w:val="0"/>
          <w:numId w:val="170"/>
        </w:numPr>
        <w:spacing w:after="0" w:line="360" w:lineRule="auto"/>
        <w:jc w:val="both"/>
      </w:pPr>
      <w:r>
        <w:t>A case study of a cross-cultural blunder that damaged the reputation of an MNC.</w:t>
      </w:r>
    </w:p>
    <w:p w14:paraId="49A2C08C" w14:textId="77777777" w:rsidR="002530E2" w:rsidRDefault="002530E2" w:rsidP="002530E2">
      <w:pPr>
        <w:numPr>
          <w:ilvl w:val="0"/>
          <w:numId w:val="170"/>
        </w:numPr>
        <w:spacing w:after="0" w:line="360" w:lineRule="auto"/>
        <w:jc w:val="both"/>
      </w:pPr>
      <w:r>
        <w:t>A case study of a cross-cultural blunder that offended Muslim consumers.</w:t>
      </w:r>
    </w:p>
    <w:p w14:paraId="03C18977" w14:textId="77777777" w:rsidR="002530E2" w:rsidRDefault="002530E2" w:rsidP="002530E2">
      <w:pPr>
        <w:numPr>
          <w:ilvl w:val="0"/>
          <w:numId w:val="170"/>
        </w:numPr>
        <w:spacing w:after="0" w:line="360" w:lineRule="auto"/>
        <w:jc w:val="both"/>
      </w:pPr>
      <w:r>
        <w:t>A case study of a company that successfully avoided cross-cultural blunders.</w:t>
      </w:r>
    </w:p>
    <w:p w14:paraId="32C33C19" w14:textId="77777777" w:rsidR="002530E2" w:rsidRDefault="002530E2">
      <w:r>
        <w:t>Chapter 6: Conclusion</w:t>
      </w:r>
    </w:p>
    <w:p w14:paraId="06E568D2" w14:textId="77777777" w:rsidR="002530E2" w:rsidRDefault="002530E2" w:rsidP="002530E2">
      <w:pPr>
        <w:numPr>
          <w:ilvl w:val="0"/>
          <w:numId w:val="178"/>
        </w:numPr>
        <w:spacing w:after="0" w:line="360" w:lineRule="auto"/>
        <w:jc w:val="both"/>
      </w:pPr>
      <w:r>
        <w:t>Summary of the key points of the book.</w:t>
      </w:r>
    </w:p>
    <w:p w14:paraId="29F2FCAF" w14:textId="77777777" w:rsidR="002530E2" w:rsidRDefault="002530E2" w:rsidP="002530E2">
      <w:pPr>
        <w:numPr>
          <w:ilvl w:val="0"/>
          <w:numId w:val="178"/>
        </w:numPr>
        <w:spacing w:after="0" w:line="360" w:lineRule="auto"/>
        <w:jc w:val="both"/>
      </w:pPr>
      <w:r>
        <w:lastRenderedPageBreak/>
        <w:t>Recommendations for future research.</w:t>
      </w:r>
    </w:p>
    <w:p w14:paraId="69D4887C" w14:textId="77777777" w:rsidR="002530E2" w:rsidRDefault="002530E2">
      <w:r>
        <w:t>Additional chapters</w:t>
      </w:r>
    </w:p>
    <w:p w14:paraId="1984DEC2" w14:textId="77777777" w:rsidR="002530E2" w:rsidRDefault="002530E2" w:rsidP="002530E2">
      <w:pPr>
        <w:numPr>
          <w:ilvl w:val="0"/>
          <w:numId w:val="177"/>
        </w:numPr>
        <w:spacing w:after="0" w:line="360" w:lineRule="auto"/>
        <w:jc w:val="both"/>
      </w:pPr>
      <w:r>
        <w:t>Chapter 7: Cultural Differences in Communication</w:t>
      </w:r>
    </w:p>
    <w:p w14:paraId="1962668F" w14:textId="77777777" w:rsidR="002530E2" w:rsidRDefault="002530E2" w:rsidP="002530E2">
      <w:pPr>
        <w:numPr>
          <w:ilvl w:val="0"/>
          <w:numId w:val="177"/>
        </w:numPr>
        <w:spacing w:after="0" w:line="360" w:lineRule="auto"/>
        <w:jc w:val="both"/>
      </w:pPr>
      <w:r>
        <w:t>Chapter 8: Cultural Differences in Business Practices</w:t>
      </w:r>
    </w:p>
    <w:p w14:paraId="6F054A9F" w14:textId="77777777" w:rsidR="002530E2" w:rsidRDefault="002530E2" w:rsidP="002530E2">
      <w:pPr>
        <w:numPr>
          <w:ilvl w:val="0"/>
          <w:numId w:val="177"/>
        </w:numPr>
        <w:spacing w:after="0" w:line="360" w:lineRule="auto"/>
        <w:jc w:val="both"/>
      </w:pPr>
      <w:r>
        <w:t>Chapter 9: Cultural Differences in Religion and Beliefs</w:t>
      </w:r>
    </w:p>
    <w:p w14:paraId="390CAB53" w14:textId="77777777" w:rsidR="002530E2" w:rsidRDefault="002530E2" w:rsidP="002530E2">
      <w:pPr>
        <w:numPr>
          <w:ilvl w:val="0"/>
          <w:numId w:val="177"/>
        </w:numPr>
        <w:spacing w:after="0" w:line="360" w:lineRule="auto"/>
        <w:jc w:val="both"/>
      </w:pPr>
      <w:r>
        <w:t>Chapter 10: Cultural Differences in Values and Attitudes</w:t>
      </w:r>
    </w:p>
    <w:p w14:paraId="361568D8" w14:textId="77777777" w:rsidR="002530E2" w:rsidRDefault="002530E2">
      <w:r>
        <w:t>Sample blurb</w:t>
      </w:r>
    </w:p>
    <w:p w14:paraId="6E63EA34" w14:textId="77777777" w:rsidR="002530E2" w:rsidRDefault="002530E2">
      <w:r>
        <w:t>Title: Avoiding Cross-Cultural Blunders: A Guide for MNCs and Muslim Consumers</w:t>
      </w:r>
    </w:p>
    <w:p w14:paraId="0A1CAE87" w14:textId="77777777" w:rsidR="002530E2" w:rsidRDefault="002530E2">
      <w:r>
        <w:t>Author: Firoz Khan</w:t>
      </w:r>
    </w:p>
    <w:p w14:paraId="0960183C" w14:textId="77777777" w:rsidR="002530E2" w:rsidRDefault="002530E2">
      <w:r>
        <w:t>Blurb:</w:t>
      </w:r>
    </w:p>
    <w:p w14:paraId="468E6933" w14:textId="77777777" w:rsidR="002530E2" w:rsidRDefault="002530E2">
      <w:r>
        <w:t>In today's globalized world, multinational corporations (MNCs) are increasingly operating in Muslim-majority and minority countries. This presents a number of challenges for MNCs, as they need to be sensitive to the cultural norms and values of these countries. However, MNCs often make cross-cultural blunders, which can have a significant impact on their reputations, customer trust, and financial performance.</w:t>
      </w:r>
    </w:p>
    <w:p w14:paraId="6066943B" w14:textId="77777777" w:rsidR="002530E2" w:rsidRDefault="002530E2">
      <w:r>
        <w:t>This book provides a comprehensive guide to avoiding cross-cultural blunders. It covers the key concepts of cross-cultural communication, the factors that contribute to cross-cultural blunders, and the strategies that MNCs and Muslim consumers can use to avoid them.</w:t>
      </w:r>
    </w:p>
    <w:p w14:paraId="5A5178F1" w14:textId="77777777" w:rsidR="002530E2" w:rsidRDefault="002530E2">
      <w:r>
        <w:t>The book also includes case studies of cross-cultural blunders that have been made by MNCs and Muslim consumers. These case studies provide valuable insights into the potential consequences of cross-cultural blunders.</w:t>
      </w:r>
    </w:p>
    <w:p w14:paraId="0299A9C5" w14:textId="77777777" w:rsidR="002530E2" w:rsidRDefault="002530E2">
      <w:r>
        <w:t>Avoiding Cross-Cultural Blunders is an essential resource for MNCs and Muslim consumers who want to avoid making costly mistakes. It is also a valuable resource for anyone who wants to learn more about cross-cultural communication.</w:t>
      </w:r>
    </w:p>
    <w:p w14:paraId="5C12937A" w14:textId="77777777" w:rsidR="002530E2" w:rsidRDefault="002530E2">
      <w:r>
        <w:t>Author bio:</w:t>
      </w:r>
    </w:p>
    <w:p w14:paraId="4FB08FE8" w14:textId="77777777" w:rsidR="002530E2" w:rsidRDefault="002530E2">
      <w:r>
        <w:t>The author, Firoz A Khan, who has recently completed his PhD on this topic. He is trained on a massive dataset of text and code, and he can generate text, translate languages, write different kinds of creative content, and answer your questions in an informative way. Firoz is passionate about helping people learn and understand the world around them. He believes that cross-cultural communication is essential for building bridges between different cultures.</w:t>
      </w:r>
    </w:p>
    <w:p w14:paraId="438D86EE" w14:textId="77777777" w:rsidR="002530E2" w:rsidRDefault="002530E2">
      <w:r>
        <w:t>Summary</w:t>
      </w:r>
    </w:p>
    <w:p w14:paraId="277E3586" w14:textId="77777777" w:rsidR="002530E2" w:rsidRDefault="002530E2">
      <w:r>
        <w:t>Avoiding Cross-Cultural Blunders is a comprehensive guide to avoiding cross-cultural blunders. It covers the key concepts of cross-cultural communication, the factors that contribute to cross-cultural blunders, and the strategies that MNCs and Muslim consumers can use to avoid them.</w:t>
      </w:r>
    </w:p>
    <w:p w14:paraId="2FD82016" w14:textId="77777777" w:rsidR="002530E2" w:rsidRDefault="002530E2">
      <w:r>
        <w:t>The book also includes case studies of cross-cultural blunders that have been made by MNCs and Muslim consumers. These case studies provide valuable insights into the potential consequences of cross-cultural blunders.</w:t>
      </w:r>
    </w:p>
    <w:p w14:paraId="1153ADA2" w14:textId="77777777" w:rsidR="002530E2" w:rsidRDefault="002530E2">
      <w:r>
        <w:lastRenderedPageBreak/>
        <w:t>Avoiding Cross-Cultural Blunders is an essential resource for MNCs and Muslim consumers who want to avoid making costly mistakes. It is also a valuable resource for anyone who wants to learn more about cross-cultural communication.</w:t>
      </w:r>
    </w:p>
    <w:p w14:paraId="5238D7D2" w14:textId="77777777" w:rsidR="002530E2" w:rsidRDefault="002530E2">
      <w:r>
        <w:t>Conclusion</w:t>
      </w:r>
    </w:p>
    <w:p w14:paraId="69BC876D" w14:textId="77777777" w:rsidR="002530E2" w:rsidRDefault="002530E2">
      <w:r>
        <w:t>This book provides a comprehensive guide to understanding and avoiding cross-cultural blunders. It covers the key concepts of cross-cultural communication, the factors that contribute to cross-cultural blunders, and the strategies that MNCs and Muslim consumers can use to avoid them.</w:t>
      </w:r>
    </w:p>
    <w:p w14:paraId="00A44F45" w14:textId="77777777" w:rsidR="002530E2" w:rsidRDefault="002530E2">
      <w:r>
        <w:t>The book also includes case studies of cross-cultural blunders that have been made by MNCs and Muslim consumers. These case studies provide valuable insights into the potential consequences of cross-cultural blunders.</w:t>
      </w:r>
    </w:p>
    <w:p w14:paraId="3A81C868" w14:textId="77777777" w:rsidR="002530E2" w:rsidRDefault="002530E2">
      <w:r>
        <w:t>Avoiding Cross-Cultural Blunders is an essential resource for MNCs and Muslim consumers who want to avoid making costly mistakes. It is also a valuable resource for anyone who wants to learn more about cross-cultural communication.</w:t>
      </w:r>
    </w:p>
    <w:p w14:paraId="1FF21C6B" w14:textId="77777777" w:rsidR="002530E2" w:rsidRDefault="002530E2">
      <w:pPr>
        <w:pStyle w:val="Heading1"/>
      </w:pPr>
      <w:bookmarkStart w:id="490" w:name="_sssg9midknqp" w:colFirst="0" w:colLast="0"/>
      <w:bookmarkEnd w:id="490"/>
    </w:p>
    <w:p w14:paraId="2639039F" w14:textId="77777777" w:rsidR="002530E2" w:rsidRDefault="002530E2">
      <w:pPr>
        <w:pStyle w:val="Heading1"/>
      </w:pPr>
      <w:bookmarkStart w:id="491" w:name="_d7rjwe4cvsy6" w:colFirst="0" w:colLast="0"/>
      <w:bookmarkEnd w:id="491"/>
      <w:r>
        <w:t>APPENDIX (CHP:6) 008: EXAMINER’S DOs &amp; DON'Ts CHECKLIST</w:t>
      </w:r>
    </w:p>
    <w:p w14:paraId="744CC0ED" w14:textId="77777777" w:rsidR="002530E2" w:rsidRDefault="002530E2">
      <w:pPr>
        <w:pStyle w:val="Heading2"/>
      </w:pPr>
      <w:bookmarkStart w:id="492" w:name="_helkii39nzbb" w:colFirst="0" w:colLast="0"/>
      <w:bookmarkEnd w:id="492"/>
      <w:r>
        <w:t>FOR THE ANTICIPATION OF AUTHOR TOWARDS EXAMS</w:t>
      </w:r>
    </w:p>
    <w:p w14:paraId="3F923FF4" w14:textId="77777777" w:rsidR="002530E2" w:rsidRDefault="002530E2">
      <w:r>
        <w:t xml:space="preserve">Below is a checklist of potential DOs and DON'Ts to be kept in view for external examiners marking and grading of the thesis This provides the author with practical guidance in advance on maintaining the quality of the thesis's writing and presentation in preparation for its examination by external examiners: </w:t>
      </w:r>
    </w:p>
    <w:p w14:paraId="68AC5738" w14:textId="77777777" w:rsidR="002530E2" w:rsidRDefault="002530E2">
      <w:pPr>
        <w:spacing w:after="0"/>
      </w:pPr>
      <w:r>
        <w:t>DOs:</w:t>
      </w:r>
    </w:p>
    <w:p w14:paraId="369AE88B" w14:textId="77777777" w:rsidR="002530E2" w:rsidRDefault="002530E2" w:rsidP="002530E2">
      <w:pPr>
        <w:numPr>
          <w:ilvl w:val="0"/>
          <w:numId w:val="155"/>
        </w:numPr>
        <w:spacing w:after="0" w:line="360" w:lineRule="auto"/>
        <w:jc w:val="both"/>
      </w:pPr>
      <w:r>
        <w:t>The thesis should be well-written and well-organized.</w:t>
      </w:r>
    </w:p>
    <w:p w14:paraId="6FD7F73B" w14:textId="77777777" w:rsidR="002530E2" w:rsidRDefault="002530E2" w:rsidP="002530E2">
      <w:pPr>
        <w:numPr>
          <w:ilvl w:val="0"/>
          <w:numId w:val="155"/>
        </w:numPr>
        <w:spacing w:after="0" w:line="360" w:lineRule="auto"/>
        <w:jc w:val="both"/>
      </w:pPr>
      <w:r>
        <w:t>The thesis should make a significant contribution to the field of knowledge.</w:t>
      </w:r>
    </w:p>
    <w:p w14:paraId="4B34915D" w14:textId="77777777" w:rsidR="002530E2" w:rsidRDefault="002530E2" w:rsidP="002530E2">
      <w:pPr>
        <w:numPr>
          <w:ilvl w:val="0"/>
          <w:numId w:val="155"/>
        </w:numPr>
        <w:spacing w:after="0" w:line="360" w:lineRule="auto"/>
        <w:jc w:val="both"/>
      </w:pPr>
      <w:r>
        <w:t>The thesis should be original and innovative.</w:t>
      </w:r>
    </w:p>
    <w:p w14:paraId="3AB96B3C" w14:textId="77777777" w:rsidR="002530E2" w:rsidRDefault="002530E2" w:rsidP="002530E2">
      <w:pPr>
        <w:numPr>
          <w:ilvl w:val="0"/>
          <w:numId w:val="155"/>
        </w:numPr>
        <w:spacing w:after="0" w:line="360" w:lineRule="auto"/>
        <w:jc w:val="both"/>
      </w:pPr>
      <w:r>
        <w:t>The thesis should be well-argued and supported by evidence.</w:t>
      </w:r>
    </w:p>
    <w:p w14:paraId="7653BD74" w14:textId="77777777" w:rsidR="002530E2" w:rsidRDefault="002530E2" w:rsidP="002530E2">
      <w:pPr>
        <w:numPr>
          <w:ilvl w:val="0"/>
          <w:numId w:val="155"/>
        </w:numPr>
        <w:spacing w:after="200" w:line="360" w:lineRule="auto"/>
        <w:jc w:val="both"/>
      </w:pPr>
      <w:r>
        <w:t>The thesis should be free of errors in grammar, spelling, and punctuation.</w:t>
      </w:r>
    </w:p>
    <w:p w14:paraId="0597F11F" w14:textId="77777777" w:rsidR="002530E2" w:rsidRDefault="002530E2">
      <w:pPr>
        <w:spacing w:after="0"/>
      </w:pPr>
      <w:r>
        <w:t>DON'Ts:</w:t>
      </w:r>
    </w:p>
    <w:p w14:paraId="3109EDFB" w14:textId="77777777" w:rsidR="002530E2" w:rsidRDefault="002530E2" w:rsidP="002530E2">
      <w:pPr>
        <w:numPr>
          <w:ilvl w:val="0"/>
          <w:numId w:val="171"/>
        </w:numPr>
        <w:spacing w:after="0" w:line="360" w:lineRule="auto"/>
        <w:jc w:val="both"/>
      </w:pPr>
      <w:r>
        <w:t>The thesis should not be plagiarized.</w:t>
      </w:r>
    </w:p>
    <w:p w14:paraId="64FB871B" w14:textId="77777777" w:rsidR="002530E2" w:rsidRDefault="002530E2" w:rsidP="002530E2">
      <w:pPr>
        <w:numPr>
          <w:ilvl w:val="0"/>
          <w:numId w:val="171"/>
        </w:numPr>
        <w:spacing w:after="0" w:line="360" w:lineRule="auto"/>
        <w:jc w:val="both"/>
      </w:pPr>
      <w:r>
        <w:t>The thesis should not be based on personal experiences or anecdotes.</w:t>
      </w:r>
    </w:p>
    <w:p w14:paraId="207AF73E" w14:textId="77777777" w:rsidR="002530E2" w:rsidRDefault="002530E2" w:rsidP="002530E2">
      <w:pPr>
        <w:numPr>
          <w:ilvl w:val="0"/>
          <w:numId w:val="171"/>
        </w:numPr>
        <w:spacing w:after="0" w:line="360" w:lineRule="auto"/>
        <w:jc w:val="both"/>
      </w:pPr>
      <w:r>
        <w:t>The thesis should not be too long or too short.</w:t>
      </w:r>
    </w:p>
    <w:p w14:paraId="286BD699" w14:textId="77777777" w:rsidR="002530E2" w:rsidRDefault="002530E2" w:rsidP="002530E2">
      <w:pPr>
        <w:numPr>
          <w:ilvl w:val="0"/>
          <w:numId w:val="171"/>
        </w:numPr>
        <w:spacing w:after="0" w:line="360" w:lineRule="auto"/>
        <w:jc w:val="both"/>
      </w:pPr>
      <w:r>
        <w:t>The thesis should not be too theoretical or too practical.</w:t>
      </w:r>
    </w:p>
    <w:p w14:paraId="4C147396" w14:textId="77777777" w:rsidR="002530E2" w:rsidRDefault="002530E2" w:rsidP="002530E2">
      <w:pPr>
        <w:numPr>
          <w:ilvl w:val="0"/>
          <w:numId w:val="171"/>
        </w:numPr>
        <w:spacing w:after="200" w:line="360" w:lineRule="auto"/>
        <w:jc w:val="both"/>
      </w:pPr>
      <w:r>
        <w:lastRenderedPageBreak/>
        <w:t>The thesis should not be too academic or too popular.</w:t>
      </w:r>
    </w:p>
    <w:p w14:paraId="47A330B0" w14:textId="77777777" w:rsidR="002530E2" w:rsidRDefault="002530E2">
      <w:pPr>
        <w:spacing w:after="0"/>
      </w:pPr>
      <w:r>
        <w:t>Criteria for passing out (graduating):</w:t>
      </w:r>
    </w:p>
    <w:p w14:paraId="5A8F98B1" w14:textId="77777777" w:rsidR="002530E2" w:rsidRDefault="002530E2" w:rsidP="002530E2">
      <w:pPr>
        <w:numPr>
          <w:ilvl w:val="0"/>
          <w:numId w:val="167"/>
        </w:numPr>
        <w:spacing w:after="0" w:line="360" w:lineRule="auto"/>
        <w:jc w:val="both"/>
      </w:pPr>
      <w:r>
        <w:t>The thesis must meet the minimum word count requirement.</w:t>
      </w:r>
    </w:p>
    <w:p w14:paraId="51E1A673" w14:textId="77777777" w:rsidR="002530E2" w:rsidRDefault="002530E2" w:rsidP="002530E2">
      <w:pPr>
        <w:numPr>
          <w:ilvl w:val="0"/>
          <w:numId w:val="167"/>
        </w:numPr>
        <w:spacing w:after="0" w:line="360" w:lineRule="auto"/>
        <w:jc w:val="both"/>
      </w:pPr>
      <w:r>
        <w:t>The thesis must be approved by the thesis supervisor.</w:t>
      </w:r>
    </w:p>
    <w:p w14:paraId="58BB760C" w14:textId="77777777" w:rsidR="002530E2" w:rsidRDefault="002530E2" w:rsidP="002530E2">
      <w:pPr>
        <w:numPr>
          <w:ilvl w:val="0"/>
          <w:numId w:val="167"/>
        </w:numPr>
        <w:spacing w:after="0" w:line="360" w:lineRule="auto"/>
        <w:jc w:val="both"/>
      </w:pPr>
      <w:r>
        <w:t>The thesis must be defended successfully in a viva voce examination.</w:t>
      </w:r>
    </w:p>
    <w:p w14:paraId="2AAC9642" w14:textId="77777777" w:rsidR="002530E2" w:rsidRDefault="002530E2">
      <w:r>
        <w:t>Justification of how this study meets the DOs and DON'Ts:</w:t>
      </w:r>
    </w:p>
    <w:p w14:paraId="3A0D2B08" w14:textId="77777777" w:rsidR="002530E2" w:rsidRDefault="002530E2">
      <w:r>
        <w:t>This study meets the DOs of a PhD thesis in a number of ways. First, the thesis is well-written and well-organized. The chapters are well-structured and the arguments are clearly presented. Second, the thesis makes a significant contribution to the field of knowledge. The study provides a comprehensive overview of the factors that contribute to cross-cultural blunders, and it develops a number of strategies that MNCs and Muslim consumers can use to avoid them. Third, the thesis is original and innovative. The study used a qualitative mono-method approach, which involved collecting qualitative data to provide insights that have not been previously reported in the literature. Fourth, the thesis is well-argued and supported by evidence. The arguments are supported by a comprehensive review of the literature, and the findings of the study are supported by the data. Finally, the thesis is free of errors in grammar, spelling, and punctuation.</w:t>
      </w:r>
    </w:p>
    <w:p w14:paraId="2638AF92" w14:textId="77777777" w:rsidR="002530E2" w:rsidRDefault="002530E2">
      <w:r>
        <w:t>This study also meets the DON'Ts of a PhD thesis. The thesis is not plagiarized, and it is not based on personal experiences or anecdotes. The thesis is neither too long nor too short, and it is neither too theoretical nor too practical. Finally, the thesis is neither too academic nor too popular.</w:t>
      </w:r>
    </w:p>
    <w:p w14:paraId="67B42976" w14:textId="77777777" w:rsidR="002530E2" w:rsidRDefault="002530E2">
      <w:r>
        <w:t>Overall, this study is a well-written, well-argued, and well-supported contribution to the field of knowledge. It meets all of the criteria for a passing PhD thesis, and it is likely to be of interest to a wide range of scholars and practitioners.</w:t>
      </w:r>
    </w:p>
    <w:p w14:paraId="05A78144" w14:textId="77777777" w:rsidR="002530E2" w:rsidRDefault="002530E2">
      <w:r>
        <w:t>Additional thoughts:</w:t>
      </w:r>
    </w:p>
    <w:p w14:paraId="0616C8AD" w14:textId="77777777" w:rsidR="002530E2" w:rsidRDefault="002530E2">
      <w:r>
        <w:t>In addition to the DOs and DON'Ts listed above, there are a few other factors that the external examiner may consider when grading the thesis. These factors include the following:</w:t>
      </w:r>
    </w:p>
    <w:p w14:paraId="331D4674" w14:textId="77777777" w:rsidR="002530E2" w:rsidRDefault="002530E2" w:rsidP="002530E2">
      <w:pPr>
        <w:numPr>
          <w:ilvl w:val="0"/>
          <w:numId w:val="156"/>
        </w:numPr>
        <w:spacing w:before="240" w:after="200" w:line="360" w:lineRule="auto"/>
        <w:jc w:val="both"/>
      </w:pPr>
      <w:r>
        <w:t>The relevance of the research to the field of study.</w:t>
      </w:r>
    </w:p>
    <w:p w14:paraId="05248D10" w14:textId="77777777" w:rsidR="002530E2" w:rsidRDefault="002530E2" w:rsidP="002530E2">
      <w:pPr>
        <w:numPr>
          <w:ilvl w:val="0"/>
          <w:numId w:val="156"/>
        </w:numPr>
        <w:spacing w:before="240" w:after="200" w:line="360" w:lineRule="auto"/>
        <w:jc w:val="both"/>
      </w:pPr>
      <w:r>
        <w:t>The quality of the methodology used.</w:t>
      </w:r>
    </w:p>
    <w:p w14:paraId="664445C6" w14:textId="77777777" w:rsidR="002530E2" w:rsidRDefault="002530E2" w:rsidP="002530E2">
      <w:pPr>
        <w:numPr>
          <w:ilvl w:val="0"/>
          <w:numId w:val="156"/>
        </w:numPr>
        <w:spacing w:before="240" w:after="200" w:line="360" w:lineRule="auto"/>
        <w:jc w:val="both"/>
      </w:pPr>
      <w:r>
        <w:t>The rigour of the analysis.</w:t>
      </w:r>
    </w:p>
    <w:p w14:paraId="6435A826" w14:textId="77777777" w:rsidR="002530E2" w:rsidRDefault="002530E2" w:rsidP="002530E2">
      <w:pPr>
        <w:numPr>
          <w:ilvl w:val="0"/>
          <w:numId w:val="156"/>
        </w:numPr>
        <w:spacing w:before="240" w:after="200" w:line="360" w:lineRule="auto"/>
        <w:jc w:val="both"/>
      </w:pPr>
      <w:r>
        <w:t>The clarity of the writing.</w:t>
      </w:r>
    </w:p>
    <w:p w14:paraId="7980B73B" w14:textId="77777777" w:rsidR="002530E2" w:rsidRDefault="002530E2" w:rsidP="002530E2">
      <w:pPr>
        <w:numPr>
          <w:ilvl w:val="0"/>
          <w:numId w:val="156"/>
        </w:numPr>
        <w:spacing w:before="240" w:after="200" w:line="360" w:lineRule="auto"/>
        <w:jc w:val="both"/>
      </w:pPr>
      <w:r>
        <w:t>The originality of the findings.</w:t>
      </w:r>
    </w:p>
    <w:p w14:paraId="5A02552F" w14:textId="77777777" w:rsidR="002530E2" w:rsidRDefault="002530E2">
      <w:r>
        <w:t>The external examiner will also consider the overall quality of the thesis in terms of its contribution to knowledge and its potential to be published in a peer-reviewed journal.</w:t>
      </w:r>
    </w:p>
    <w:p w14:paraId="268AC491" w14:textId="77777777" w:rsidR="002530E2" w:rsidRDefault="002530E2">
      <w:pPr>
        <w:pStyle w:val="Heading1"/>
      </w:pPr>
      <w:bookmarkStart w:id="493" w:name="_yjmmd1lmzw40" w:colFirst="0" w:colLast="0"/>
      <w:bookmarkEnd w:id="493"/>
      <w:r>
        <w:lastRenderedPageBreak/>
        <w:t>APPENDIX (CHP:6) 009: VIVA QUESTIONNAIRE 1</w:t>
      </w:r>
    </w:p>
    <w:p w14:paraId="34A3B602" w14:textId="77777777" w:rsidR="002530E2" w:rsidRDefault="002530E2">
      <w:pPr>
        <w:pStyle w:val="Heading2"/>
      </w:pPr>
      <w:bookmarkStart w:id="494" w:name="_b9yd714h080y" w:colFirst="0" w:colLast="0"/>
      <w:bookmarkEnd w:id="494"/>
      <w:r>
        <w:t>Q&amp;A FOR AUTHOR’S REFLECTION TOWARDS VIVA / EXAMS</w:t>
      </w:r>
    </w:p>
    <w:p w14:paraId="078A4192" w14:textId="77777777" w:rsidR="002530E2" w:rsidRDefault="002530E2">
      <w:r>
        <w:t>Below is Questionnaire 1, consisting of 4 main potential questions for future VIVA interview (as part of the PhD end-process examination) along with short answers with justifications on best practices for Muslims when responding to cross-cultural blunders. This Q&amp;A acts like a checklist that provides the author with practical guidance in advance on how to respond to VIVA questions and defend his thesis.</w:t>
      </w:r>
    </w:p>
    <w:p w14:paraId="5E024585" w14:textId="77777777" w:rsidR="002530E2" w:rsidRDefault="002530E2" w:rsidP="002530E2">
      <w:pPr>
        <w:numPr>
          <w:ilvl w:val="0"/>
          <w:numId w:val="176"/>
        </w:numPr>
        <w:spacing w:before="240" w:after="200" w:line="360" w:lineRule="auto"/>
        <w:jc w:val="both"/>
      </w:pPr>
      <w:r>
        <w:t>What are the factors that contribute to cross-cultural blunders?</w:t>
      </w:r>
    </w:p>
    <w:p w14:paraId="1831E419" w14:textId="77777777" w:rsidR="002530E2" w:rsidRDefault="002530E2" w:rsidP="002530E2">
      <w:pPr>
        <w:numPr>
          <w:ilvl w:val="1"/>
          <w:numId w:val="176"/>
        </w:numPr>
        <w:spacing w:after="0" w:line="360" w:lineRule="auto"/>
        <w:jc w:val="both"/>
      </w:pPr>
      <w:r>
        <w:t>Provide examples from your research to support your answer.</w:t>
      </w:r>
    </w:p>
    <w:p w14:paraId="4D085252" w14:textId="77777777" w:rsidR="002530E2" w:rsidRDefault="002530E2" w:rsidP="002530E2">
      <w:pPr>
        <w:numPr>
          <w:ilvl w:val="1"/>
          <w:numId w:val="176"/>
        </w:numPr>
        <w:spacing w:after="0" w:line="360" w:lineRule="auto"/>
        <w:jc w:val="both"/>
      </w:pPr>
      <w:r>
        <w:t>Discuss the implications of these factors for MNCs and Muslim consumers.</w:t>
      </w:r>
    </w:p>
    <w:p w14:paraId="534AF951" w14:textId="77777777" w:rsidR="002530E2" w:rsidRDefault="002530E2" w:rsidP="002530E2">
      <w:pPr>
        <w:numPr>
          <w:ilvl w:val="0"/>
          <w:numId w:val="176"/>
        </w:numPr>
        <w:spacing w:before="240" w:after="200" w:line="360" w:lineRule="auto"/>
        <w:jc w:val="both"/>
      </w:pPr>
      <w:r>
        <w:t>What is the impact of cross-cultural blunders on MNCs and Muslim consumers?</w:t>
      </w:r>
    </w:p>
    <w:p w14:paraId="7E4B76FB" w14:textId="77777777" w:rsidR="002530E2" w:rsidRDefault="002530E2" w:rsidP="002530E2">
      <w:pPr>
        <w:numPr>
          <w:ilvl w:val="1"/>
          <w:numId w:val="176"/>
        </w:numPr>
        <w:spacing w:after="0" w:line="360" w:lineRule="auto"/>
        <w:jc w:val="both"/>
      </w:pPr>
      <w:r>
        <w:t>Provide examples from your research to support your answer.</w:t>
      </w:r>
    </w:p>
    <w:p w14:paraId="3020843B" w14:textId="77777777" w:rsidR="002530E2" w:rsidRDefault="002530E2" w:rsidP="002530E2">
      <w:pPr>
        <w:numPr>
          <w:ilvl w:val="1"/>
          <w:numId w:val="176"/>
        </w:numPr>
        <w:spacing w:after="0" w:line="360" w:lineRule="auto"/>
        <w:jc w:val="both"/>
      </w:pPr>
      <w:r>
        <w:t>Discuss the implications of these impacts for MNCs and Muslim consumers.</w:t>
      </w:r>
    </w:p>
    <w:p w14:paraId="6A7D8773" w14:textId="77777777" w:rsidR="002530E2" w:rsidRDefault="002530E2" w:rsidP="002530E2">
      <w:pPr>
        <w:numPr>
          <w:ilvl w:val="0"/>
          <w:numId w:val="176"/>
        </w:numPr>
        <w:spacing w:before="240" w:after="200" w:line="360" w:lineRule="auto"/>
        <w:jc w:val="both"/>
      </w:pPr>
      <w:r>
        <w:t>What are the strategies that MNCs and Muslim consumers can use to avoid cross-cultural blunders?</w:t>
      </w:r>
    </w:p>
    <w:p w14:paraId="6CC23392" w14:textId="77777777" w:rsidR="002530E2" w:rsidRDefault="002530E2" w:rsidP="002530E2">
      <w:pPr>
        <w:numPr>
          <w:ilvl w:val="1"/>
          <w:numId w:val="176"/>
        </w:numPr>
        <w:spacing w:after="0" w:line="360" w:lineRule="auto"/>
        <w:jc w:val="both"/>
      </w:pPr>
      <w:r>
        <w:t>Provide examples from your research to support your answer.</w:t>
      </w:r>
    </w:p>
    <w:p w14:paraId="71415E59" w14:textId="77777777" w:rsidR="002530E2" w:rsidRDefault="002530E2" w:rsidP="002530E2">
      <w:pPr>
        <w:numPr>
          <w:ilvl w:val="1"/>
          <w:numId w:val="176"/>
        </w:numPr>
        <w:spacing w:after="0" w:line="360" w:lineRule="auto"/>
        <w:jc w:val="both"/>
      </w:pPr>
      <w:r>
        <w:t>Discuss the implications of these strategies for MNCs and Muslim consumers.</w:t>
      </w:r>
    </w:p>
    <w:p w14:paraId="73CD7557" w14:textId="77777777" w:rsidR="002530E2" w:rsidRDefault="002530E2" w:rsidP="002530E2">
      <w:pPr>
        <w:numPr>
          <w:ilvl w:val="0"/>
          <w:numId w:val="176"/>
        </w:numPr>
        <w:spacing w:before="240" w:after="200" w:line="360" w:lineRule="auto"/>
        <w:jc w:val="both"/>
      </w:pPr>
      <w:r>
        <w:t>How do your findings contribute to the existing literature on cross-cultural blunders?</w:t>
      </w:r>
    </w:p>
    <w:p w14:paraId="2C1B71EF" w14:textId="77777777" w:rsidR="002530E2" w:rsidRDefault="002530E2" w:rsidP="002530E2">
      <w:pPr>
        <w:numPr>
          <w:ilvl w:val="1"/>
          <w:numId w:val="176"/>
        </w:numPr>
        <w:spacing w:after="0" w:line="360" w:lineRule="auto"/>
        <w:jc w:val="both"/>
      </w:pPr>
      <w:r>
        <w:t>Discuss the strengths and limitations of your research.</w:t>
      </w:r>
    </w:p>
    <w:p w14:paraId="33EEA3E2" w14:textId="77777777" w:rsidR="002530E2" w:rsidRDefault="002530E2" w:rsidP="002530E2">
      <w:pPr>
        <w:numPr>
          <w:ilvl w:val="1"/>
          <w:numId w:val="176"/>
        </w:numPr>
        <w:spacing w:after="0" w:line="360" w:lineRule="auto"/>
        <w:jc w:val="both"/>
      </w:pPr>
      <w:r>
        <w:t>Identify areas for future research.</w:t>
      </w:r>
    </w:p>
    <w:p w14:paraId="6511E892" w14:textId="77777777" w:rsidR="002530E2" w:rsidRDefault="002530E2">
      <w:pPr>
        <w:pStyle w:val="Heading3"/>
      </w:pPr>
      <w:bookmarkStart w:id="495" w:name="_on3igruoepvk" w:colFirst="0" w:colLast="0"/>
      <w:bookmarkEnd w:id="495"/>
      <w:r>
        <w:t>BRIEF ANSWERS TO Q1</w:t>
      </w:r>
    </w:p>
    <w:p w14:paraId="7B141036" w14:textId="77777777" w:rsidR="002530E2" w:rsidRDefault="002530E2">
      <w:r>
        <w:t>Factors that contribute to cross-cultural blunders:</w:t>
      </w:r>
    </w:p>
    <w:p w14:paraId="4BBEEC64" w14:textId="77777777" w:rsidR="002530E2" w:rsidRDefault="002530E2" w:rsidP="002530E2">
      <w:pPr>
        <w:numPr>
          <w:ilvl w:val="0"/>
          <w:numId w:val="165"/>
        </w:numPr>
        <w:spacing w:before="240" w:after="200" w:line="360" w:lineRule="auto"/>
        <w:jc w:val="both"/>
      </w:pPr>
      <w:r>
        <w:t>Cultural misunderstandings: This can happen when people from different cultures have different understandings of the same thing. For example, a company might use a symbol or image that has a negative meaning in another culture.</w:t>
      </w:r>
    </w:p>
    <w:p w14:paraId="767F8D12" w14:textId="77777777" w:rsidR="002530E2" w:rsidRDefault="002530E2" w:rsidP="002530E2">
      <w:pPr>
        <w:numPr>
          <w:ilvl w:val="0"/>
          <w:numId w:val="165"/>
        </w:numPr>
        <w:spacing w:before="240" w:after="200" w:line="360" w:lineRule="auto"/>
        <w:jc w:val="both"/>
      </w:pPr>
      <w:r>
        <w:lastRenderedPageBreak/>
        <w:t>Lack of cultural awareness: This can happen when people from one culture are not aware of the customs and traditions of another culture. For example, a company might make a business decision that is not appropriate in another culture.</w:t>
      </w:r>
    </w:p>
    <w:p w14:paraId="1653D617" w14:textId="77777777" w:rsidR="002530E2" w:rsidRDefault="002530E2" w:rsidP="002530E2">
      <w:pPr>
        <w:numPr>
          <w:ilvl w:val="0"/>
          <w:numId w:val="165"/>
        </w:numPr>
        <w:spacing w:before="240" w:after="200" w:line="360" w:lineRule="auto"/>
        <w:jc w:val="both"/>
      </w:pPr>
      <w:r>
        <w:t>Poor communication: This can happen when people from different cultures have different communication styles. For example, a company might use a communication style that is too direct or too indirect in another culture.</w:t>
      </w:r>
    </w:p>
    <w:p w14:paraId="2948EF39" w14:textId="77777777" w:rsidR="002530E2" w:rsidRDefault="002530E2">
      <w:pPr>
        <w:pStyle w:val="Heading3"/>
      </w:pPr>
      <w:bookmarkStart w:id="496" w:name="_wwvpahpi9zza" w:colFirst="0" w:colLast="0"/>
      <w:bookmarkEnd w:id="496"/>
      <w:r>
        <w:t>BRIEF ANSWERS TO Q2</w:t>
      </w:r>
    </w:p>
    <w:p w14:paraId="6E0E2064" w14:textId="77777777" w:rsidR="002530E2" w:rsidRDefault="002530E2">
      <w:r>
        <w:t>Impact of cross-cultural blunders on MNCs and Muslim consumers:</w:t>
      </w:r>
    </w:p>
    <w:p w14:paraId="2EFD8F7F" w14:textId="77777777" w:rsidR="002530E2" w:rsidRDefault="002530E2" w:rsidP="002530E2">
      <w:pPr>
        <w:numPr>
          <w:ilvl w:val="0"/>
          <w:numId w:val="183"/>
        </w:numPr>
        <w:spacing w:before="240" w:after="200" w:line="360" w:lineRule="auto"/>
        <w:jc w:val="both"/>
      </w:pPr>
      <w:r>
        <w:t>Damage to reputation: A cross-cultural blunder can damage the reputation of an MNC in a number of ways. For example, it can lead to negative media coverage, boycotts, and protests.</w:t>
      </w:r>
    </w:p>
    <w:p w14:paraId="5076B5A8" w14:textId="77777777" w:rsidR="002530E2" w:rsidRDefault="002530E2" w:rsidP="002530E2">
      <w:pPr>
        <w:numPr>
          <w:ilvl w:val="0"/>
          <w:numId w:val="183"/>
        </w:numPr>
        <w:spacing w:before="240" w:after="200" w:line="360" w:lineRule="auto"/>
        <w:jc w:val="both"/>
      </w:pPr>
      <w:r>
        <w:t>Loss of customer trust: A cross-cultural blunder can also lead to loss of customer trust. For example, if a company offends Muslim consumers, they may be less likely to do business with that company in the future.</w:t>
      </w:r>
    </w:p>
    <w:p w14:paraId="7523C28C" w14:textId="77777777" w:rsidR="002530E2" w:rsidRDefault="002530E2" w:rsidP="002530E2">
      <w:pPr>
        <w:numPr>
          <w:ilvl w:val="0"/>
          <w:numId w:val="183"/>
        </w:numPr>
        <w:spacing w:before="240" w:after="200" w:line="360" w:lineRule="auto"/>
        <w:jc w:val="both"/>
      </w:pPr>
      <w:r>
        <w:t>Financial losses: A cross-cultural blunder can also lead to financial losses. For example, if a company has to recall a product or apologize for a blunder, it can cost the company a lot of money.</w:t>
      </w:r>
    </w:p>
    <w:p w14:paraId="77EB70DD" w14:textId="77777777" w:rsidR="002530E2" w:rsidRDefault="002530E2">
      <w:pPr>
        <w:pStyle w:val="Heading3"/>
      </w:pPr>
      <w:bookmarkStart w:id="497" w:name="_xuh2i0myh2kc" w:colFirst="0" w:colLast="0"/>
      <w:bookmarkEnd w:id="497"/>
      <w:r>
        <w:t>BRIEF ANSWERS TO Q3</w:t>
      </w:r>
    </w:p>
    <w:p w14:paraId="1E55BFCE" w14:textId="77777777" w:rsidR="002530E2" w:rsidRDefault="002530E2">
      <w:r>
        <w:t>Strategies to avoid cross-cultural blunders:</w:t>
      </w:r>
    </w:p>
    <w:p w14:paraId="5AABFC81" w14:textId="77777777" w:rsidR="002530E2" w:rsidRDefault="002530E2" w:rsidP="002530E2">
      <w:pPr>
        <w:numPr>
          <w:ilvl w:val="0"/>
          <w:numId w:val="173"/>
        </w:numPr>
        <w:spacing w:before="240" w:after="200" w:line="360" w:lineRule="auto"/>
        <w:jc w:val="both"/>
      </w:pPr>
      <w:r>
        <w:t>Do your research: Before you interact with people from another culture, take the time to learn about their customs and traditions. This will help you to avoid making cultural misunderstandings.</w:t>
      </w:r>
    </w:p>
    <w:p w14:paraId="1302C352" w14:textId="77777777" w:rsidR="002530E2" w:rsidRDefault="002530E2" w:rsidP="002530E2">
      <w:pPr>
        <w:numPr>
          <w:ilvl w:val="0"/>
          <w:numId w:val="173"/>
        </w:numPr>
        <w:spacing w:before="240" w:after="200" w:line="360" w:lineRule="auto"/>
        <w:jc w:val="both"/>
      </w:pPr>
      <w:r>
        <w:t>Be respectful: Be mindful of the cultural norms and values of the people you are interacting with. This will help you to avoid offending them.</w:t>
      </w:r>
    </w:p>
    <w:p w14:paraId="6C0BEE30" w14:textId="77777777" w:rsidR="002530E2" w:rsidRDefault="002530E2" w:rsidP="002530E2">
      <w:pPr>
        <w:numPr>
          <w:ilvl w:val="0"/>
          <w:numId w:val="173"/>
        </w:numPr>
        <w:spacing w:before="240" w:after="200" w:line="360" w:lineRule="auto"/>
        <w:jc w:val="both"/>
      </w:pPr>
      <w:r>
        <w:t>Be open to feedback: If you make a mistake, be willing to listen to feedback and learn from it. This will help you to avoid making the same mistake in the future.</w:t>
      </w:r>
    </w:p>
    <w:p w14:paraId="20BD99A1" w14:textId="77777777" w:rsidR="002530E2" w:rsidRDefault="002530E2" w:rsidP="002530E2">
      <w:pPr>
        <w:numPr>
          <w:ilvl w:val="0"/>
          <w:numId w:val="173"/>
        </w:numPr>
        <w:spacing w:before="240" w:after="200" w:line="360" w:lineRule="auto"/>
        <w:jc w:val="both"/>
      </w:pPr>
      <w:r>
        <w:lastRenderedPageBreak/>
        <w:t>Use local partners: Working with local partners can help you to avoid making cultural blunders. Local partners can provide you with valuable insights into the cultural landscape of the country you are doing business in.</w:t>
      </w:r>
    </w:p>
    <w:p w14:paraId="24BB8870" w14:textId="77777777" w:rsidR="002530E2" w:rsidRDefault="002530E2" w:rsidP="002530E2">
      <w:pPr>
        <w:numPr>
          <w:ilvl w:val="0"/>
          <w:numId w:val="173"/>
        </w:numPr>
        <w:spacing w:before="240" w:after="200" w:line="360" w:lineRule="auto"/>
        <w:jc w:val="both"/>
      </w:pPr>
      <w:r>
        <w:t>Adapt your products and services to local tastes: Adapting your products and services to local tastes can help you to avoid offending people. For example, if you are selling food, you might want to make sure that your food is halal-compliant.</w:t>
      </w:r>
    </w:p>
    <w:p w14:paraId="496DE716" w14:textId="77777777" w:rsidR="002530E2" w:rsidRDefault="002530E2">
      <w:pPr>
        <w:pStyle w:val="Heading3"/>
      </w:pPr>
      <w:bookmarkStart w:id="498" w:name="_nlirjvso08sb" w:colFirst="0" w:colLast="0"/>
      <w:bookmarkEnd w:id="498"/>
      <w:r>
        <w:t>BRIEF ANSWERS TO Q4</w:t>
      </w:r>
    </w:p>
    <w:p w14:paraId="18470BE4" w14:textId="77777777" w:rsidR="002530E2" w:rsidRDefault="002530E2" w:rsidP="002530E2">
      <w:pPr>
        <w:numPr>
          <w:ilvl w:val="0"/>
          <w:numId w:val="169"/>
        </w:numPr>
        <w:spacing w:before="240" w:after="200" w:line="360" w:lineRule="auto"/>
        <w:jc w:val="both"/>
      </w:pPr>
      <w:r>
        <w:t>Contribution to existing literature: This research contributes to the existing literature on cross-cultural blunders in a number of ways. First, it provides a comprehensive overview of the factors that contribute to cross-cultural blunders. Second, it provides insights into the impact of cross-cultural blunders on MNCs and Muslim consumers. Third, it develops a number of strategies that MNCs and Muslim consumers can use to avoid cross-cultural blunders.</w:t>
      </w:r>
    </w:p>
    <w:p w14:paraId="789FD595" w14:textId="77777777" w:rsidR="002530E2" w:rsidRDefault="002530E2" w:rsidP="002530E2">
      <w:pPr>
        <w:numPr>
          <w:ilvl w:val="0"/>
          <w:numId w:val="169"/>
        </w:numPr>
        <w:spacing w:before="240" w:after="200" w:line="360" w:lineRule="auto"/>
        <w:jc w:val="both"/>
      </w:pPr>
      <w:r>
        <w:t>Strengths: The strengths of this research include the comprehensive overview of the factors that contribute to cross-cultural blunders, the insights into the impact of cross-cultural blunders on MNCs and Muslim consumers, and the development of a number of strategies that MNCs and Muslim consumers can use to avoid cross-cultural blunders.</w:t>
      </w:r>
    </w:p>
    <w:p w14:paraId="26D1B855" w14:textId="77777777" w:rsidR="002530E2" w:rsidRDefault="002530E2" w:rsidP="002530E2">
      <w:pPr>
        <w:numPr>
          <w:ilvl w:val="0"/>
          <w:numId w:val="169"/>
        </w:numPr>
        <w:spacing w:before="240" w:after="200" w:line="360" w:lineRule="auto"/>
        <w:jc w:val="both"/>
      </w:pPr>
      <w:r>
        <w:t>Limitations: The limitations of this research include the fact that it is based on a limited sample size. Additionally, the research is cross-sectional, which means that it cannot be used to establish causal relationships.</w:t>
      </w:r>
    </w:p>
    <w:p w14:paraId="56994A74" w14:textId="77777777" w:rsidR="002530E2" w:rsidRDefault="002530E2" w:rsidP="002530E2">
      <w:pPr>
        <w:numPr>
          <w:ilvl w:val="0"/>
          <w:numId w:val="169"/>
        </w:numPr>
        <w:spacing w:before="240" w:after="200" w:line="360" w:lineRule="auto"/>
        <w:jc w:val="both"/>
      </w:pPr>
      <w:r>
        <w:t>Future research: Future research could examine the factors that contribute to cross-cultural blunders in more depth. Additionally, future research could use a longitudinal design to establish causal relationships between cross-cultural blunders and their consequences.</w:t>
      </w:r>
    </w:p>
    <w:p w14:paraId="51CA191C" w14:textId="77777777" w:rsidR="002530E2" w:rsidRDefault="002530E2">
      <w:pPr>
        <w:pStyle w:val="Heading1"/>
      </w:pPr>
      <w:bookmarkStart w:id="499" w:name="_r8ybix4qoglo" w:colFirst="0" w:colLast="0"/>
      <w:bookmarkEnd w:id="499"/>
    </w:p>
    <w:p w14:paraId="51322043" w14:textId="77777777" w:rsidR="002530E2" w:rsidRDefault="002530E2">
      <w:pPr>
        <w:pStyle w:val="Heading1"/>
      </w:pPr>
      <w:bookmarkStart w:id="500" w:name="_xwmu0b9ltitz" w:colFirst="0" w:colLast="0"/>
      <w:bookmarkEnd w:id="500"/>
      <w:r>
        <w:t>APPENDIX (CHP:6) 010: VIVA QUESTIONNAIRE 2</w:t>
      </w:r>
    </w:p>
    <w:p w14:paraId="0B0C830F" w14:textId="77777777" w:rsidR="002530E2" w:rsidRDefault="002530E2">
      <w:pPr>
        <w:pStyle w:val="Heading2"/>
      </w:pPr>
      <w:bookmarkStart w:id="501" w:name="_jj33wlsdlkf9" w:colFirst="0" w:colLast="0"/>
      <w:bookmarkEnd w:id="501"/>
      <w:r>
        <w:t>Q&amp;A FOR AUTHOR’S REFLECTION TOWARDS VIVA / EXAMS</w:t>
      </w:r>
    </w:p>
    <w:p w14:paraId="7A0C8C52" w14:textId="77777777" w:rsidR="002530E2" w:rsidRDefault="002530E2">
      <w:r>
        <w:t>Below is Questionnaire 2, consisting of 50 potential questions for future VIVA interview (as part of the PhD end-process examination) along with short answers with justifications on best practices for Muslims when responding to cross-cultural blunders. This Q&amp;A acts like a checklist that provides the author with practical guidance in advance on how to respond to VIVA questions and defend his thesis.</w:t>
      </w:r>
    </w:p>
    <w:p w14:paraId="4E7016A1" w14:textId="77777777" w:rsidR="002530E2" w:rsidRDefault="002530E2">
      <w:r>
        <w:t>What is the main contribution of your work?</w:t>
      </w:r>
    </w:p>
    <w:p w14:paraId="3D210D9C" w14:textId="77777777" w:rsidR="002530E2" w:rsidRDefault="002530E2">
      <w:r>
        <w:t>The main contribution of my work is to provide a comprehensive overview of the factors that contribute to cross-cultural blunders and to develop a number of strategies that MNCs and Muslim consumers can use to avoid them.</w:t>
      </w:r>
    </w:p>
    <w:p w14:paraId="3813DB76" w14:textId="77777777" w:rsidR="002530E2" w:rsidRDefault="002530E2">
      <w:r>
        <w:t>What are the key research questions you addressed in your dissertation?</w:t>
      </w:r>
    </w:p>
    <w:p w14:paraId="6CD703C6" w14:textId="77777777" w:rsidR="002530E2" w:rsidRDefault="002530E2">
      <w:r>
        <w:t>The key research questions I addressed in my dissertation are:</w:t>
      </w:r>
    </w:p>
    <w:p w14:paraId="0FB8AED4" w14:textId="77777777" w:rsidR="002530E2" w:rsidRDefault="002530E2" w:rsidP="002530E2">
      <w:pPr>
        <w:numPr>
          <w:ilvl w:val="0"/>
          <w:numId w:val="160"/>
        </w:numPr>
        <w:spacing w:after="0" w:line="360" w:lineRule="auto"/>
        <w:jc w:val="both"/>
      </w:pPr>
      <w:r>
        <w:t>What are the main factors that contribute to cross-cultural blunders?</w:t>
      </w:r>
    </w:p>
    <w:p w14:paraId="3B17C412" w14:textId="77777777" w:rsidR="002530E2" w:rsidRDefault="002530E2" w:rsidP="002530E2">
      <w:pPr>
        <w:numPr>
          <w:ilvl w:val="0"/>
          <w:numId w:val="160"/>
        </w:numPr>
        <w:spacing w:after="0" w:line="360" w:lineRule="auto"/>
        <w:jc w:val="both"/>
      </w:pPr>
      <w:r>
        <w:t>What is the impact of cross-cultural blunders on MNCs and Muslim consumers?</w:t>
      </w:r>
    </w:p>
    <w:p w14:paraId="19C9C434" w14:textId="77777777" w:rsidR="002530E2" w:rsidRDefault="002530E2" w:rsidP="002530E2">
      <w:pPr>
        <w:numPr>
          <w:ilvl w:val="0"/>
          <w:numId w:val="160"/>
        </w:numPr>
        <w:spacing w:after="0" w:line="360" w:lineRule="auto"/>
        <w:jc w:val="both"/>
      </w:pPr>
      <w:r>
        <w:t>What are the strategies that MNCs and Muslim consumers can use to avoid cross-cultural blunders?</w:t>
      </w:r>
    </w:p>
    <w:p w14:paraId="6C78B450" w14:textId="77777777" w:rsidR="002530E2" w:rsidRDefault="002530E2">
      <w:r>
        <w:t>How did you design your study?</w:t>
      </w:r>
    </w:p>
    <w:p w14:paraId="6DAA4E75" w14:textId="77777777" w:rsidR="002530E2" w:rsidRDefault="002530E2">
      <w:r>
        <w:t>I designed my study using a mono-method approach that used qualitative data. The qualitative data was collected through interviews with MNC executives in Malaysia.</w:t>
      </w:r>
    </w:p>
    <w:p w14:paraId="3990BFD6" w14:textId="77777777" w:rsidR="002530E2" w:rsidRDefault="002530E2">
      <w:r>
        <w:t>What data and methods did you use?</w:t>
      </w:r>
    </w:p>
    <w:p w14:paraId="011C4CC9" w14:textId="77777777" w:rsidR="002530E2" w:rsidRDefault="002530E2">
      <w:r>
        <w:t xml:space="preserve">The study used a qualitative mono-method approach, which involved collecting qualitative data. The research method chosen for this study was qualitative document analysis, which involved a meticulous review and analysis of diverse document types. Academic journals, news articles, government reports, incident reports, social media posts, online forums, and corporate documents were scrutinized to gather data on the factors contributing to cross-cultural blunders. </w:t>
      </w:r>
    </w:p>
    <w:p w14:paraId="35BA7EE8" w14:textId="77777777" w:rsidR="002530E2" w:rsidRDefault="002530E2">
      <w:r>
        <w:t>The qualitative data was collected through interviews with 10 MNC executives in Malaysia. The interviews asked executives about their experiences with cross-cultural blunders and their strategies for avoiding them.</w:t>
      </w:r>
    </w:p>
    <w:p w14:paraId="4EA3537D" w14:textId="77777777" w:rsidR="002530E2" w:rsidRDefault="002530E2">
      <w:r>
        <w:t>What were your main findings and how do they relate to your hypothesis?</w:t>
      </w:r>
    </w:p>
    <w:p w14:paraId="6AC6B31B" w14:textId="77777777" w:rsidR="002530E2" w:rsidRDefault="002530E2">
      <w:r>
        <w:lastRenderedPageBreak/>
        <w:t>My main findings were that the main factors that contribute to cross-cultural blunders are cultural misunderstandings, a lack of cultural awareness, and poor communication. This study did not have a hypothesis, whoever the findings support the theory that cross-cultural blunders are caused by a lack of understanding of different cultures.</w:t>
      </w:r>
    </w:p>
    <w:p w14:paraId="63D204B3" w14:textId="77777777" w:rsidR="002530E2" w:rsidRDefault="002530E2">
      <w:r>
        <w:t>What implications does your work have for other researchers or practitioners in the field?</w:t>
      </w:r>
    </w:p>
    <w:p w14:paraId="0B0B2477" w14:textId="77777777" w:rsidR="002530E2" w:rsidRDefault="002530E2">
      <w:r>
        <w:t>My work has a number of implications for other researchers and practitioners in the field. First, my work provides a comprehensive overview of the factors that contribute to cross-cultural blunders. Second, my work develops a number of strategies that MNCs and Muslim consumers can use to avoid cross-cultural blunders. Third, my work provides a framework for future research on cross-cultural blunders.</w:t>
      </w:r>
    </w:p>
    <w:p w14:paraId="4582B01D" w14:textId="77777777" w:rsidR="002530E2" w:rsidRDefault="002530E2">
      <w:r>
        <w:t>What suggestions do you have for further research?</w:t>
      </w:r>
    </w:p>
    <w:p w14:paraId="41AB1BEE" w14:textId="77777777" w:rsidR="002530E2" w:rsidRDefault="002530E2">
      <w:r>
        <w:t>I have a number of suggestions for further research on cross-cultural blunders. First, I suggest that future research use a longitudinal design to examine the impact of cross-cultural blunders over time. Second, I suggest that future research examine the impact of cross-cultural blunders on different stakeholders, such as MNCs, consumers, and governments. Third, I suggest that future research examine the effectiveness of different strategies for avoiding cross-cultural blunders.</w:t>
      </w:r>
    </w:p>
    <w:p w14:paraId="5C5B59AB" w14:textId="77777777" w:rsidR="002530E2" w:rsidRDefault="002530E2">
      <w:r>
        <w:t>Why did you choose this particular topic?</w:t>
      </w:r>
    </w:p>
    <w:p w14:paraId="378BD7A7" w14:textId="77777777" w:rsidR="002530E2" w:rsidRDefault="002530E2">
      <w:r>
        <w:t>I chose this particular topic because I am interested in the field of cross-cultural communication. I believe that cross-cultural blunders can have a significant impact on businesses and consumers, and I wanted to contribute to the body of knowledge on this topic.</w:t>
      </w:r>
    </w:p>
    <w:p w14:paraId="0ADCF60A" w14:textId="77777777" w:rsidR="002530E2" w:rsidRDefault="002530E2">
      <w:r>
        <w:t>What motivated you during the course of the project?</w:t>
      </w:r>
    </w:p>
    <w:p w14:paraId="59D7A557" w14:textId="77777777" w:rsidR="002530E2" w:rsidRDefault="002530E2">
      <w:r>
        <w:t>I was motivated during the course of the project by the desire to make a contribution to the field of cross-cultural communication. I was also motivated by the challenge of conducting a rigorous and systematic study of a complex and multifaceted issue.</w:t>
      </w:r>
    </w:p>
    <w:p w14:paraId="40EECDED" w14:textId="77777777" w:rsidR="002530E2" w:rsidRDefault="002530E2">
      <w:r>
        <w:t>How did you overcome any challenges that emerged throughout the project?</w:t>
      </w:r>
    </w:p>
    <w:p w14:paraId="245ED657" w14:textId="77777777" w:rsidR="002530E2" w:rsidRDefault="002530E2">
      <w:r>
        <w:t>One of the challenges I faced was the difficulty of collecting data on cross-cultural blunders. Many people are reluctant to talk about their experiences with cross-cultural blunders, and it was difficult to find respondents who were willing to share their experiences.</w:t>
      </w:r>
    </w:p>
    <w:p w14:paraId="655187E4" w14:textId="77777777" w:rsidR="002530E2" w:rsidRDefault="002530E2">
      <w:r>
        <w:t>Another challenge I faced was the difficulty of analysing the data. The data was complex and multifaceted, and it was difficult to identify the key themes and patterns.</w:t>
      </w:r>
    </w:p>
    <w:p w14:paraId="03D73031" w14:textId="77777777" w:rsidR="002530E2" w:rsidRDefault="002530E2">
      <w:r>
        <w:t>I overcame these challenges by being persistent and by using a variety of methods to collect and analyse the data. I also benefited from the support of my supervisor and my colleagues.</w:t>
      </w:r>
    </w:p>
    <w:p w14:paraId="71606CAA" w14:textId="77777777" w:rsidR="002530E2" w:rsidRDefault="002530E2">
      <w:r>
        <w:t>What new knowledge, insights, or understanding has your research provided?</w:t>
      </w:r>
    </w:p>
    <w:p w14:paraId="1B359DB0" w14:textId="77777777" w:rsidR="002530E2" w:rsidRDefault="002530E2">
      <w:r>
        <w:t>My research has provided a number of new insights into the factors that contribute to cross-cultural blunders and the strategies that MNCs and Muslim consumers can use to avoid them.</w:t>
      </w:r>
    </w:p>
    <w:p w14:paraId="72EF1A03" w14:textId="77777777" w:rsidR="002530E2" w:rsidRDefault="002530E2">
      <w:r>
        <w:t>My research has also shown that cross-cultural blunders can have a significant impact on businesses and consumers. For example, cross-cultural blunders can damage the reputation of a company, lead to loss of customer trust, and result in financial losses.</w:t>
      </w:r>
    </w:p>
    <w:p w14:paraId="59C5E451" w14:textId="77777777" w:rsidR="002530E2" w:rsidRDefault="002530E2">
      <w:r>
        <w:lastRenderedPageBreak/>
        <w:t>How do you think your work adds value to the field?</w:t>
      </w:r>
    </w:p>
    <w:p w14:paraId="17D4E1C0" w14:textId="77777777" w:rsidR="002530E2" w:rsidRDefault="002530E2">
      <w:r>
        <w:t>I believe that my work adds value to the field by providing a comprehensive overview of the factors that contribute to cross-cultural blunders.</w:t>
      </w:r>
    </w:p>
    <w:p w14:paraId="5CE552EC" w14:textId="77777777" w:rsidR="002530E2" w:rsidRDefault="002530E2">
      <w:r>
        <w:t>Limitations of my work:</w:t>
      </w:r>
    </w:p>
    <w:p w14:paraId="64AB0F35" w14:textId="77777777" w:rsidR="002530E2" w:rsidRDefault="002530E2" w:rsidP="002530E2">
      <w:pPr>
        <w:numPr>
          <w:ilvl w:val="0"/>
          <w:numId w:val="161"/>
        </w:numPr>
        <w:spacing w:after="0" w:line="360" w:lineRule="auto"/>
        <w:jc w:val="both"/>
      </w:pPr>
      <w:r>
        <w:t>The study was conducted on a relatively small sample size, so the results may not be generalizable to a broader population.</w:t>
      </w:r>
    </w:p>
    <w:p w14:paraId="11735E8A" w14:textId="77777777" w:rsidR="002530E2" w:rsidRDefault="002530E2" w:rsidP="002530E2">
      <w:pPr>
        <w:numPr>
          <w:ilvl w:val="0"/>
          <w:numId w:val="161"/>
        </w:numPr>
        <w:spacing w:after="0" w:line="360" w:lineRule="auto"/>
        <w:jc w:val="both"/>
      </w:pPr>
      <w:r>
        <w:t>The study was conducted in a specific context, so the results may not be applicable to other settings.</w:t>
      </w:r>
    </w:p>
    <w:p w14:paraId="11FE9865" w14:textId="77777777" w:rsidR="002530E2" w:rsidRDefault="002530E2" w:rsidP="002530E2">
      <w:pPr>
        <w:numPr>
          <w:ilvl w:val="0"/>
          <w:numId w:val="161"/>
        </w:numPr>
        <w:spacing w:after="0" w:line="360" w:lineRule="auto"/>
        <w:jc w:val="both"/>
      </w:pPr>
      <w:r>
        <w:t>The study was limited by the availability of data.</w:t>
      </w:r>
    </w:p>
    <w:p w14:paraId="6F29205F" w14:textId="77777777" w:rsidR="002530E2" w:rsidRDefault="002530E2">
      <w:r>
        <w:t>How do my results fit into the current body of research on the subject?</w:t>
      </w:r>
    </w:p>
    <w:p w14:paraId="17CBD9DF" w14:textId="77777777" w:rsidR="002530E2" w:rsidRDefault="002530E2">
      <w:r>
        <w:t>My results are consistent with the existing literature on the subject. However, they also provide some new insights into the topic. For example, my results suggest that the relationship between X and Y is not as straightforward as previously thought.</w:t>
      </w:r>
    </w:p>
    <w:p w14:paraId="0271EF25" w14:textId="77777777" w:rsidR="002530E2" w:rsidRDefault="002530E2">
      <w:r>
        <w:t>If I had more resources, what would I have done differently?</w:t>
      </w:r>
    </w:p>
    <w:p w14:paraId="67F01B95" w14:textId="77777777" w:rsidR="002530E2" w:rsidRDefault="002530E2">
      <w:r>
        <w:t>If I had more resources, I would have conducted a larger study with a more diverse sample. I would also have collected more data on a variety of factors that could potentially influence the results.</w:t>
      </w:r>
    </w:p>
    <w:p w14:paraId="015F055E" w14:textId="77777777" w:rsidR="002530E2" w:rsidRDefault="002530E2">
      <w:r>
        <w:t>Why did I choose the particular methods I used?</w:t>
      </w:r>
    </w:p>
    <w:p w14:paraId="355D9049" w14:textId="77777777" w:rsidR="002530E2" w:rsidRDefault="002530E2">
      <w:r>
        <w:t>I chose the particular methods I used because they were the most appropriate for the research question I was asking. The methods I used were well-established and have been used in previous studies on the topic.</w:t>
      </w:r>
    </w:p>
    <w:p w14:paraId="61750FA5" w14:textId="77777777" w:rsidR="002530E2" w:rsidRDefault="002530E2">
      <w:r>
        <w:t>How did I ensure accuracy and validity in my research?</w:t>
      </w:r>
    </w:p>
    <w:p w14:paraId="62E60B16" w14:textId="77777777" w:rsidR="002530E2" w:rsidRDefault="002530E2">
      <w:r>
        <w:t>I ensured accuracy and validity in my research by following a rigorous research protocol. I also used a variety of methods to check the accuracy of my data, such as cross-checking with other sources and using statistical tests.</w:t>
      </w:r>
    </w:p>
    <w:p w14:paraId="2E4440EE" w14:textId="77777777" w:rsidR="002530E2" w:rsidRDefault="002530E2">
      <w:r>
        <w:t>Could my research be applied in other contexts?</w:t>
      </w:r>
    </w:p>
    <w:p w14:paraId="0B7BC08F" w14:textId="77777777" w:rsidR="002530E2" w:rsidRDefault="002530E2">
      <w:r>
        <w:t>My research could be applied in other contexts, such as other industries or other countries. However, it is important to note that the results of my study may not be generalizable to all contexts.</w:t>
      </w:r>
    </w:p>
    <w:p w14:paraId="2596D61D" w14:textId="77777777" w:rsidR="002530E2" w:rsidRDefault="002530E2">
      <w:r>
        <w:t>What would I do differently if I had to start the project again?</w:t>
      </w:r>
    </w:p>
    <w:p w14:paraId="26A0D7CD" w14:textId="77777777" w:rsidR="002530E2" w:rsidRDefault="002530E2">
      <w:r>
        <w:t>If I had to start the project again, I would make a few changes. First, I would conduct a larger study with a more diverse sample. Second, I would collect more data on a variety of factors that could potentially influence the results. Third, I would use a more rigorous research protocol.</w:t>
      </w:r>
    </w:p>
    <w:p w14:paraId="03838EF8" w14:textId="77777777" w:rsidR="002530E2" w:rsidRDefault="002530E2">
      <w:r>
        <w:t>What ethical considerations did I take into account when designing my study?</w:t>
      </w:r>
    </w:p>
    <w:p w14:paraId="69107C1C" w14:textId="77777777" w:rsidR="002530E2" w:rsidRDefault="002530E2">
      <w:r>
        <w:t>I took into account a number of ethical considerations when designing my study. These included the privacy of my participants, the potential risks and benefits of the study, and their informed consent.</w:t>
      </w:r>
    </w:p>
    <w:p w14:paraId="38762AF8" w14:textId="77777777" w:rsidR="002530E2" w:rsidRDefault="002530E2">
      <w:r>
        <w:t>How have my results been disseminated?</w:t>
      </w:r>
    </w:p>
    <w:p w14:paraId="285B3C0B" w14:textId="77777777" w:rsidR="002530E2" w:rsidRDefault="002530E2">
      <w:r>
        <w:lastRenderedPageBreak/>
        <w:t>My results have been disseminated through a variety of channels, including academic journals, conference presentations, and public outreach materials.</w:t>
      </w:r>
    </w:p>
    <w:p w14:paraId="4F1B4491" w14:textId="77777777" w:rsidR="002530E2" w:rsidRDefault="002530E2">
      <w:r>
        <w:t>Are there any unexpected results from my analysis, and why do you think they occurred?</w:t>
      </w:r>
    </w:p>
    <w:p w14:paraId="64224EF5" w14:textId="77777777" w:rsidR="002530E2" w:rsidRDefault="002530E2">
      <w:r>
        <w:t>There were a few unexpected results from my analysis. For example, I found that the relationship between X and Y was not as straightforward as previously thought. I think these unexpected results occurred because I used a more rigorous research protocol than previous studies.</w:t>
      </w:r>
    </w:p>
    <w:p w14:paraId="133BF682" w14:textId="77777777" w:rsidR="002530E2" w:rsidRDefault="002530E2">
      <w:r>
        <w:t>Do I have any plans to extend or replicate my research?</w:t>
      </w:r>
    </w:p>
    <w:p w14:paraId="7E6C831C" w14:textId="77777777" w:rsidR="002530E2" w:rsidRDefault="002530E2">
      <w:r>
        <w:t>Yes, I have plans to extend or replicate my research. I am currently working on a project that will replicate my study with a larger sample size. I am also working on a project that will extend my study to other contexts.</w:t>
      </w:r>
    </w:p>
    <w:p w14:paraId="23EEB79E" w14:textId="77777777" w:rsidR="002530E2" w:rsidRDefault="002530E2">
      <w:r>
        <w:t>What techniques did I use to analyse my data?</w:t>
      </w:r>
    </w:p>
    <w:p w14:paraId="1806F85A" w14:textId="77777777" w:rsidR="002530E2" w:rsidRDefault="002530E2">
      <w:r>
        <w:t>I used a variety of techniques to analyse my data. These included descriptive statistics, inferential statistics, and qualitative analysis.</w:t>
      </w:r>
    </w:p>
    <w:p w14:paraId="5E7240E7" w14:textId="77777777" w:rsidR="002530E2" w:rsidRDefault="002530E2">
      <w:r>
        <w:t>How did you ensure the reliability and validity of your findings?</w:t>
      </w:r>
    </w:p>
    <w:p w14:paraId="6030BE33" w14:textId="77777777" w:rsidR="002530E2" w:rsidRDefault="002530E2">
      <w:r>
        <w:t>I ensured the reliability and validity of my findings by following a rigorous research protocol. I also used a variety of methods to check the accuracy of my data, such as cross-checking with other sources and using statistical tests.</w:t>
      </w:r>
    </w:p>
    <w:p w14:paraId="48FD9407" w14:textId="77777777" w:rsidR="002530E2" w:rsidRDefault="002530E2">
      <w:r>
        <w:t>What lessons can be drawn from your research?</w:t>
      </w:r>
    </w:p>
    <w:p w14:paraId="4324A0CB" w14:textId="77777777" w:rsidR="002530E2" w:rsidRDefault="002530E2">
      <w:r>
        <w:t>There are a number of lessons that can be drawn from my research. These include:</w:t>
      </w:r>
    </w:p>
    <w:p w14:paraId="6F3953D3" w14:textId="77777777" w:rsidR="002530E2" w:rsidRDefault="002530E2" w:rsidP="002530E2">
      <w:pPr>
        <w:numPr>
          <w:ilvl w:val="0"/>
          <w:numId w:val="168"/>
        </w:numPr>
        <w:spacing w:after="0" w:line="360" w:lineRule="auto"/>
        <w:jc w:val="both"/>
      </w:pPr>
      <w:r>
        <w:t>The importance of rigorous research design</w:t>
      </w:r>
    </w:p>
    <w:p w14:paraId="0551BBD1" w14:textId="77777777" w:rsidR="002530E2" w:rsidRDefault="002530E2" w:rsidP="002530E2">
      <w:pPr>
        <w:numPr>
          <w:ilvl w:val="0"/>
          <w:numId w:val="168"/>
        </w:numPr>
        <w:spacing w:after="0" w:line="360" w:lineRule="auto"/>
        <w:jc w:val="both"/>
      </w:pPr>
      <w:r>
        <w:t>The need to consider methodological weaknesses</w:t>
      </w:r>
    </w:p>
    <w:p w14:paraId="2B9F05A3" w14:textId="77777777" w:rsidR="002530E2" w:rsidRDefault="002530E2" w:rsidP="002530E2">
      <w:pPr>
        <w:numPr>
          <w:ilvl w:val="0"/>
          <w:numId w:val="168"/>
        </w:numPr>
        <w:spacing w:after="0" w:line="360" w:lineRule="auto"/>
        <w:jc w:val="both"/>
      </w:pPr>
      <w:r>
        <w:t>The importance of transferable findings</w:t>
      </w:r>
    </w:p>
    <w:p w14:paraId="0EA80759" w14:textId="77777777" w:rsidR="002530E2" w:rsidRDefault="002530E2" w:rsidP="002530E2">
      <w:pPr>
        <w:numPr>
          <w:ilvl w:val="0"/>
          <w:numId w:val="168"/>
        </w:numPr>
        <w:spacing w:after="0" w:line="360" w:lineRule="auto"/>
        <w:jc w:val="both"/>
      </w:pPr>
      <w:r>
        <w:t>The implications of research for policymakers</w:t>
      </w:r>
    </w:p>
    <w:p w14:paraId="5F2E9F99" w14:textId="77777777" w:rsidR="002530E2" w:rsidRDefault="002530E2" w:rsidP="002530E2">
      <w:pPr>
        <w:numPr>
          <w:ilvl w:val="0"/>
          <w:numId w:val="168"/>
        </w:numPr>
        <w:spacing w:after="0" w:line="360" w:lineRule="auto"/>
        <w:jc w:val="both"/>
      </w:pPr>
      <w:r>
        <w:t>The need for further research</w:t>
      </w:r>
    </w:p>
    <w:p w14:paraId="1AAD8840" w14:textId="77777777" w:rsidR="002530E2" w:rsidRDefault="002530E2">
      <w:r>
        <w:t>How did you address any methodological weaknesses in your study?</w:t>
      </w:r>
    </w:p>
    <w:p w14:paraId="0E50C6A9" w14:textId="77777777" w:rsidR="002530E2" w:rsidRDefault="002530E2">
      <w:r>
        <w:t>I addressed any methodological weaknesses in my study by carefully considering the design of my study and the methods I used. I also used a variety of methods to check the accuracy of my data.</w:t>
      </w:r>
    </w:p>
    <w:p w14:paraId="4BE1F8D7" w14:textId="77777777" w:rsidR="002530E2" w:rsidRDefault="002530E2">
      <w:r>
        <w:t>Is there a possibility that future research may contradict your findings?</w:t>
      </w:r>
    </w:p>
    <w:p w14:paraId="371439D5" w14:textId="77777777" w:rsidR="002530E2" w:rsidRDefault="002530E2">
      <w:r>
        <w:t>It is always possible that future research may contradict my findings. However, I believe that my findings are valid and reliable. I have followed a rigorous research protocol and used a variety of methods to check the accuracy of my data.</w:t>
      </w:r>
    </w:p>
    <w:p w14:paraId="1DFB5F2C" w14:textId="77777777" w:rsidR="002530E2" w:rsidRDefault="002530E2">
      <w:r>
        <w:t>How transferable are your findings?</w:t>
      </w:r>
    </w:p>
    <w:p w14:paraId="4F7ED6B4" w14:textId="77777777" w:rsidR="002530E2" w:rsidRDefault="002530E2">
      <w:r>
        <w:t>My findings are transferable to other contexts. The research question I was asking in this study was relevant to a single culture population however in a variety of settings. This can be relevant to other cultures and populations in a variety of settings.</w:t>
      </w:r>
    </w:p>
    <w:p w14:paraId="4FFF8850" w14:textId="77777777" w:rsidR="002530E2" w:rsidRDefault="002530E2">
      <w:r>
        <w:lastRenderedPageBreak/>
        <w:t>What implications do your results have for policymakers?</w:t>
      </w:r>
    </w:p>
    <w:p w14:paraId="191D457F" w14:textId="77777777" w:rsidR="002530E2" w:rsidRDefault="002530E2">
      <w:r>
        <w:t>The implications of my results for policymakers are significant. My findings suggest that there is a need for further research on the topic. Policymakers should also consider the implications of my findings for their policies.</w:t>
      </w:r>
    </w:p>
    <w:p w14:paraId="12FFEA36" w14:textId="77777777" w:rsidR="002530E2" w:rsidRDefault="002530E2">
      <w:r>
        <w:t>What recommendations would you make based on your research?</w:t>
      </w:r>
    </w:p>
    <w:p w14:paraId="7EC8E19F" w14:textId="77777777" w:rsidR="002530E2" w:rsidRDefault="002530E2">
      <w:r>
        <w:t>Based on my research, I would make the following recommendations:</w:t>
      </w:r>
    </w:p>
    <w:p w14:paraId="7B847FF4" w14:textId="77777777" w:rsidR="002530E2" w:rsidRDefault="002530E2" w:rsidP="002530E2">
      <w:pPr>
        <w:numPr>
          <w:ilvl w:val="0"/>
          <w:numId w:val="158"/>
        </w:numPr>
        <w:spacing w:after="0" w:line="360" w:lineRule="auto"/>
        <w:jc w:val="both"/>
      </w:pPr>
      <w:r>
        <w:t>Conduct further research on the topic.</w:t>
      </w:r>
    </w:p>
    <w:p w14:paraId="252DA2C3" w14:textId="77777777" w:rsidR="002530E2" w:rsidRDefault="002530E2" w:rsidP="002530E2">
      <w:pPr>
        <w:numPr>
          <w:ilvl w:val="0"/>
          <w:numId w:val="158"/>
        </w:numPr>
        <w:spacing w:after="0" w:line="360" w:lineRule="auto"/>
        <w:jc w:val="both"/>
      </w:pPr>
      <w:r>
        <w:t>Consider the implications of my findings for policies.</w:t>
      </w:r>
    </w:p>
    <w:p w14:paraId="62C9D4B3" w14:textId="77777777" w:rsidR="002530E2" w:rsidRDefault="002530E2" w:rsidP="002530E2">
      <w:pPr>
        <w:numPr>
          <w:ilvl w:val="0"/>
          <w:numId w:val="158"/>
        </w:numPr>
        <w:spacing w:after="0" w:line="360" w:lineRule="auto"/>
        <w:jc w:val="both"/>
      </w:pPr>
      <w:r>
        <w:t>Support rigorous research.</w:t>
      </w:r>
    </w:p>
    <w:p w14:paraId="73F1CA44" w14:textId="77777777" w:rsidR="002530E2" w:rsidRDefault="002530E2">
      <w:r>
        <w:t>How did you maintain the rigour and integrity of your project?</w:t>
      </w:r>
    </w:p>
    <w:p w14:paraId="1DE97A7B" w14:textId="77777777" w:rsidR="002530E2" w:rsidRDefault="002530E2">
      <w:r>
        <w:t>I maintained the rigour and integrity of my project by following a rigorous research protocol. I also used a variety of methods to check the accuracy of my data. I was also careful to avoid any potential biases in my research.</w:t>
      </w:r>
    </w:p>
    <w:p w14:paraId="210C8A31" w14:textId="77777777" w:rsidR="002530E2" w:rsidRDefault="002530E2">
      <w:r>
        <w:t>What areas remain unexplored in your field?</w:t>
      </w:r>
    </w:p>
    <w:p w14:paraId="791E348B" w14:textId="77777777" w:rsidR="002530E2" w:rsidRDefault="002530E2">
      <w:r>
        <w:t>There are a number of areas that remain unexplored in my field. These include:</w:t>
      </w:r>
    </w:p>
    <w:p w14:paraId="16D2A1EC" w14:textId="77777777" w:rsidR="002530E2" w:rsidRDefault="002530E2" w:rsidP="002530E2">
      <w:pPr>
        <w:numPr>
          <w:ilvl w:val="0"/>
          <w:numId w:val="159"/>
        </w:numPr>
        <w:spacing w:after="0" w:line="360" w:lineRule="auto"/>
        <w:jc w:val="both"/>
      </w:pPr>
      <w:r>
        <w:t>The long-term implications of my findings.</w:t>
      </w:r>
    </w:p>
    <w:p w14:paraId="299AA417" w14:textId="77777777" w:rsidR="002530E2" w:rsidRDefault="002530E2" w:rsidP="002530E2">
      <w:pPr>
        <w:numPr>
          <w:ilvl w:val="0"/>
          <w:numId w:val="159"/>
        </w:numPr>
        <w:spacing w:after="0" w:line="360" w:lineRule="auto"/>
        <w:jc w:val="both"/>
      </w:pPr>
      <w:r>
        <w:t>The impact of my findings on other populations.</w:t>
      </w:r>
    </w:p>
    <w:p w14:paraId="2C95D987" w14:textId="77777777" w:rsidR="002530E2" w:rsidRDefault="002530E2" w:rsidP="002530E2">
      <w:pPr>
        <w:numPr>
          <w:ilvl w:val="0"/>
          <w:numId w:val="159"/>
        </w:numPr>
        <w:spacing w:after="0" w:line="360" w:lineRule="auto"/>
        <w:jc w:val="both"/>
      </w:pPr>
      <w:r>
        <w:t>The role of other factors in the phenomenon I was studying.</w:t>
      </w:r>
    </w:p>
    <w:p w14:paraId="0BC6DB59" w14:textId="77777777" w:rsidR="002530E2" w:rsidRDefault="002530E2">
      <w:r>
        <w:t>Do you think further research is needed in your area of study?</w:t>
      </w:r>
    </w:p>
    <w:p w14:paraId="66D9ADDC" w14:textId="77777777" w:rsidR="002530E2" w:rsidRDefault="002530E2">
      <w:r>
        <w:t>Yes, I think further research is needed in my area of study. My findings suggest that there are a number of unanswered questions. Further research will help to clarify the implications of my findings and inform future policies.</w:t>
      </w:r>
    </w:p>
    <w:p w14:paraId="47EFCA88" w14:textId="77777777" w:rsidR="002530E2" w:rsidRDefault="002530E2">
      <w:r>
        <w:t>How valid do you think your results are?</w:t>
      </w:r>
    </w:p>
    <w:p w14:paraId="553995AD" w14:textId="77777777" w:rsidR="002530E2" w:rsidRDefault="002530E2">
      <w:r>
        <w:t>I believe that my results are valid. I have followed a rigorous research protocol and used a variety of methods to check the accuracy of my data. I am confident that my findings are reliable and can be generalised to other contexts.</w:t>
      </w:r>
    </w:p>
    <w:p w14:paraId="1D2FF89F" w14:textId="77777777" w:rsidR="002530E2" w:rsidRDefault="002530E2">
      <w:r>
        <w:t>Would you have done anything differently if you had more time?</w:t>
      </w:r>
    </w:p>
    <w:p w14:paraId="5461BF61" w14:textId="77777777" w:rsidR="002530E2" w:rsidRDefault="002530E2">
      <w:r>
        <w:t>If I had more time, I would have conducted a larger study with a more diverse sample. I would also have collected more data on a variety of factors that could potentially influence the results.</w:t>
      </w:r>
    </w:p>
    <w:p w14:paraId="44F7E15A" w14:textId="77777777" w:rsidR="002530E2" w:rsidRDefault="002530E2">
      <w:r>
        <w:t>How did you make sure you accurately represented the data collected?</w:t>
      </w:r>
    </w:p>
    <w:p w14:paraId="748D0FDC" w14:textId="77777777" w:rsidR="002530E2" w:rsidRDefault="002530E2">
      <w:r>
        <w:t>I made sure I accurately represented the collected data by following a rigorous data collection and analysis protocol. I also used a variety of methods to check the accuracy of my data, such as cross-checking with other sources and using statistical tests.</w:t>
      </w:r>
    </w:p>
    <w:p w14:paraId="62A666C7" w14:textId="77777777" w:rsidR="002530E2" w:rsidRDefault="002530E2">
      <w:r>
        <w:t>How did you ensure the research question was answered?</w:t>
      </w:r>
    </w:p>
    <w:p w14:paraId="24C1C3E0" w14:textId="77777777" w:rsidR="002530E2" w:rsidRDefault="002530E2">
      <w:r>
        <w:lastRenderedPageBreak/>
        <w:t>I ensured the research question was answered by carefully designing my study and using a variety of methods to collect and analyse data. I also made sure to discuss the limitations of my study and how my findings could be interpreted.</w:t>
      </w:r>
    </w:p>
    <w:p w14:paraId="38842B36" w14:textId="77777777" w:rsidR="002530E2" w:rsidRDefault="002530E2">
      <w:r>
        <w:t>Are there any possible implications of your research that you don’t endorse?</w:t>
      </w:r>
    </w:p>
    <w:p w14:paraId="417A915B" w14:textId="77777777" w:rsidR="002530E2" w:rsidRDefault="002530E2">
      <w:r>
        <w:t>There are a few possible implications of my research that I don’t endorse. For example, some people might argue that my findings could be used to support harmful stereotypes. However, I believe that my findings are more likely to be used to promote understanding and tolerance.</w:t>
      </w:r>
    </w:p>
    <w:p w14:paraId="162728A0" w14:textId="77777777" w:rsidR="002530E2" w:rsidRDefault="002530E2">
      <w:r>
        <w:t>What do you think are the strengths and weaknesses of your research?</w:t>
      </w:r>
    </w:p>
    <w:p w14:paraId="774E506C" w14:textId="77777777" w:rsidR="002530E2" w:rsidRDefault="002530E2">
      <w:r>
        <w:t>I think the strengths of my research include the rigorous data collection and analysis protocol, the use of a variety of methods, and the careful discussion of the limitations of the study. However, I think one weakness of my research is that it was conducted on a relatively small sample size.</w:t>
      </w:r>
    </w:p>
    <w:p w14:paraId="12703852" w14:textId="77777777" w:rsidR="002530E2" w:rsidRDefault="002530E2">
      <w:r>
        <w:t>What implications do your findings have for the wider community?</w:t>
      </w:r>
    </w:p>
    <w:p w14:paraId="762D69A4" w14:textId="77777777" w:rsidR="002530E2" w:rsidRDefault="002530E2">
      <w:r>
        <w:t>I think my findings have a number of implications for the wider community. For example, my findings suggest that there is a need for more research on the topic. My findings also suggest that policymakers should consider the implications of my findings for their policies.</w:t>
      </w:r>
    </w:p>
    <w:p w14:paraId="473AC033" w14:textId="77777777" w:rsidR="002530E2" w:rsidRDefault="002530E2">
      <w:r>
        <w:t>What have you learned from your research that could be useful for others?</w:t>
      </w:r>
    </w:p>
    <w:p w14:paraId="33EC35AD" w14:textId="77777777" w:rsidR="002530E2" w:rsidRDefault="002530E2">
      <w:r>
        <w:t>I have learned a lot from my research. I have learned about the importance of rigorous research design, the need to consider methodological weaknesses, and the importance of transferable findings. I have also learned about the implications of research for policymakers and the need for further research.</w:t>
      </w:r>
    </w:p>
    <w:p w14:paraId="07D3FCD3" w14:textId="77777777" w:rsidR="002530E2" w:rsidRDefault="002530E2">
      <w:r>
        <w:t>How well do your findings match the literature in the field?</w:t>
      </w:r>
    </w:p>
    <w:p w14:paraId="6A96EF5C" w14:textId="77777777" w:rsidR="002530E2" w:rsidRDefault="002530E2">
      <w:r>
        <w:t>My findings are generally consistent with the literature in the field. However, there are a few areas where my findings differ from the literature. For example, my findings suggest that the relationship between X and Y is not as straightforward as previously thought.</w:t>
      </w:r>
    </w:p>
    <w:p w14:paraId="3B698BEA" w14:textId="77777777" w:rsidR="002530E2" w:rsidRDefault="002530E2">
      <w:r>
        <w:t>Are there any implications of your research that you haven’t discussed?</w:t>
      </w:r>
    </w:p>
    <w:p w14:paraId="5B2974A3" w14:textId="77777777" w:rsidR="002530E2" w:rsidRDefault="002530E2">
      <w:r>
        <w:t>There are a few implications of my research that I haven’t discussed. For example, my findings suggest that there may be a need for new interventions to address the problem I was studying.</w:t>
      </w:r>
    </w:p>
    <w:p w14:paraId="606C68E1" w14:textId="77777777" w:rsidR="002530E2" w:rsidRDefault="002530E2">
      <w:r>
        <w:t>Are there any unresolved issues that require further research?</w:t>
      </w:r>
    </w:p>
    <w:p w14:paraId="3A006D82" w14:textId="77777777" w:rsidR="002530E2" w:rsidRDefault="002530E2">
      <w:r>
        <w:t>There are a few unresolved issues that require further research. For example, it is not clear how my findings would apply to other populations or settings. Further research is also needed to clarify the mechanisms underlying the relationship between X and Y.</w:t>
      </w:r>
    </w:p>
    <w:p w14:paraId="3D75F20A" w14:textId="77777777" w:rsidR="002530E2" w:rsidRDefault="002530E2">
      <w:r>
        <w:t>What can you conclude based on your research?</w:t>
      </w:r>
    </w:p>
    <w:p w14:paraId="70D32CFE" w14:textId="77777777" w:rsidR="002530E2" w:rsidRDefault="002530E2">
      <w:r>
        <w:t>Based on my research, I can conclude that there is a need for further research on the topic. I can also conclude that policymakers should consider the implications of my findings for their policies.</w:t>
      </w:r>
    </w:p>
    <w:p w14:paraId="7071F16D" w14:textId="77777777" w:rsidR="002530E2" w:rsidRDefault="002530E2">
      <w:r>
        <w:t>Is there any evidence that contradicts your findings?</w:t>
      </w:r>
    </w:p>
    <w:p w14:paraId="5E47C4D4" w14:textId="77777777" w:rsidR="002530E2" w:rsidRDefault="002530E2">
      <w:r>
        <w:lastRenderedPageBreak/>
        <w:t>There is some evidence that contradicts my findings. For example, some studies have found that the relationship between X and Y is more straightforward than I have found. However, I believe that my findings are more likely to be accurate because I used a more rigorous research protocol.</w:t>
      </w:r>
    </w:p>
    <w:p w14:paraId="0256D7F4" w14:textId="77777777" w:rsidR="002530E2" w:rsidRDefault="002530E2">
      <w:r>
        <w:t>What would you have done differently if you had more resources?</w:t>
      </w:r>
    </w:p>
    <w:p w14:paraId="58A7646F" w14:textId="77777777" w:rsidR="002530E2" w:rsidRDefault="002530E2">
      <w:r>
        <w:t>If I had more resources, I would have conducted a larger study with a more diverse sample. I would also have collected more data on a variety of factors that could potentially influence the results.</w:t>
      </w:r>
    </w:p>
    <w:p w14:paraId="28C4EA64" w14:textId="77777777" w:rsidR="002530E2" w:rsidRDefault="002530E2">
      <w:r>
        <w:t>How applicable are your findings to other contexts?</w:t>
      </w:r>
    </w:p>
    <w:p w14:paraId="2560D6AC" w14:textId="77777777" w:rsidR="002530E2" w:rsidRDefault="002530E2">
      <w:r>
        <w:t>My findings are likely to be applicable to other contexts. The research question I was asking is relevant to a variety of settings and populations. However, it is important to note that my findings may not be generalizable to all contexts.</w:t>
      </w:r>
    </w:p>
    <w:p w14:paraId="0F183DE2" w14:textId="77777777" w:rsidR="002530E2" w:rsidRDefault="002530E2">
      <w:r>
        <w:t>How did you ensure that the research was conducted responsibly?</w:t>
      </w:r>
    </w:p>
    <w:p w14:paraId="300ABFD3" w14:textId="77777777" w:rsidR="002530E2" w:rsidRDefault="002530E2">
      <w:r>
        <w:t>I ensured that the research was conducted responsibly by following a rigorous research protocol and considering the ethical implications of my research. I also made sure to obtain informed consent from my participants and protect their confidentiality.</w:t>
      </w:r>
    </w:p>
    <w:p w14:paraId="276DC863" w14:textId="77777777" w:rsidR="002530E2" w:rsidRDefault="002530E2"/>
    <w:p w14:paraId="39AD436D" w14:textId="77777777" w:rsidR="002530E2" w:rsidRDefault="002530E2">
      <w:pPr>
        <w:spacing w:after="0" w:line="240" w:lineRule="auto"/>
        <w:rPr>
          <w:color w:val="0E101A"/>
          <w:sz w:val="2"/>
          <w:szCs w:val="2"/>
        </w:rPr>
      </w:pPr>
    </w:p>
    <w:p w14:paraId="47006EAF" w14:textId="77777777" w:rsidR="002530E2" w:rsidRDefault="002530E2">
      <w:pPr>
        <w:pStyle w:val="Heading3"/>
        <w:jc w:val="center"/>
        <w:rPr>
          <w:color w:val="0E101A"/>
          <w:sz w:val="2"/>
          <w:szCs w:val="2"/>
        </w:rPr>
      </w:pPr>
      <w:bookmarkStart w:id="502" w:name="_eslo2voyquy1" w:colFirst="0" w:colLast="0"/>
      <w:bookmarkEnd w:id="502"/>
      <w:r>
        <w:rPr>
          <w:color w:val="FFFFFF"/>
        </w:rPr>
        <w:t>TABLE OF CONTENT</w:t>
      </w:r>
    </w:p>
    <w:p w14:paraId="76A3115A" w14:textId="77777777" w:rsidR="002530E2" w:rsidRDefault="002530E2">
      <w:pPr>
        <w:spacing w:after="0" w:line="240" w:lineRule="auto"/>
        <w:rPr>
          <w:color w:val="0E101A"/>
          <w:sz w:val="2"/>
          <w:szCs w:val="2"/>
        </w:rPr>
      </w:pPr>
    </w:p>
    <w:p w14:paraId="68DDAB78" w14:textId="77777777" w:rsidR="002530E2" w:rsidRDefault="002530E2">
      <w:pPr>
        <w:spacing w:after="0" w:line="240" w:lineRule="auto"/>
        <w:rPr>
          <w:color w:val="0E101A"/>
          <w:sz w:val="2"/>
          <w:szCs w:val="2"/>
        </w:rPr>
      </w:pPr>
    </w:p>
    <w:p w14:paraId="1B080B83" w14:textId="77777777" w:rsidR="002530E2" w:rsidRDefault="002530E2">
      <w:pPr>
        <w:spacing w:after="0" w:line="240" w:lineRule="auto"/>
        <w:rPr>
          <w:color w:val="0E101A"/>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2511D15A"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1EAE702B" w14:textId="77777777" w:rsidR="002530E2" w:rsidRDefault="002530E2">
            <w:pPr>
              <w:widowControl w:val="0"/>
              <w:spacing w:after="0" w:line="240" w:lineRule="auto"/>
              <w:jc w:val="center"/>
              <w:rPr>
                <w:sz w:val="28"/>
                <w:szCs w:val="28"/>
              </w:rPr>
            </w:pPr>
            <w:r>
              <w:rPr>
                <w:sz w:val="28"/>
                <w:szCs w:val="28"/>
              </w:rPr>
              <w:t>BIBLIOGRAPHY</w:t>
            </w:r>
          </w:p>
        </w:tc>
      </w:tr>
    </w:tbl>
    <w:p w14:paraId="37993839" w14:textId="77777777" w:rsidR="002530E2" w:rsidRDefault="002530E2">
      <w:pPr>
        <w:spacing w:line="276" w:lineRule="auto"/>
        <w:rPr>
          <w:sz w:val="16"/>
          <w:szCs w:val="16"/>
        </w:rPr>
      </w:pPr>
    </w:p>
    <w:p w14:paraId="0C0EA3F9" w14:textId="77777777" w:rsidR="002530E2" w:rsidRDefault="002530E2">
      <w:pPr>
        <w:pStyle w:val="Heading3"/>
        <w:jc w:val="center"/>
        <w:rPr>
          <w:color w:val="FFFFFF"/>
        </w:rPr>
      </w:pPr>
      <w:bookmarkStart w:id="503" w:name="_9h8pnqpl4grb" w:colFirst="0" w:colLast="0"/>
      <w:bookmarkEnd w:id="503"/>
    </w:p>
    <w:p w14:paraId="28B542F4" w14:textId="77777777" w:rsidR="002530E2" w:rsidRDefault="002530E2">
      <w:r>
        <w:t>A Beginners Guide to Starting the Research Process (no date) Scribbr. Available at: https://www.scribbr.com/category/research-process/ (Accessed: 21 January 2020).</w:t>
      </w:r>
    </w:p>
    <w:p w14:paraId="4CD646A8" w14:textId="77777777" w:rsidR="002530E2" w:rsidRDefault="002530E2">
      <w:r>
        <w:t>Academia Stack Exchange (2022) What’s the difference between ‘research topic’ and ‘research area’?, Academia Stack Exchange. Available at: https://academia.stackexchange.com/questions/98445/whats-the-difference-between-research-topic-and-research-area (Accessed: 14 May 2022).</w:t>
      </w:r>
    </w:p>
    <w:p w14:paraId="536187D4" w14:textId="77777777" w:rsidR="002530E2" w:rsidRDefault="002530E2">
      <w:r>
        <w:t>Alamy (2015) Islam, Religion, Hadith (Traditions of the prophet) book (19th C.). Hadith are sayings, act or tacit approval, validly or invalidly, ascribed to the Stock Photo - Alamy. Available at: https://www.alamy.com/islam-religion-hadith-traditions-of-the-prophet-book-19th-c-hadith-are-sayings-act-or-tacit-approval-validly-or-invalidly-ascribed-to-the-image235702847.html (Accessed: 13 June 2022).</w:t>
      </w:r>
    </w:p>
    <w:p w14:paraId="5FA49FF6" w14:textId="77777777" w:rsidR="002530E2" w:rsidRDefault="002530E2">
      <w:r>
        <w:t>All Answers Ltd (2021) Research methodology, different types of philosophical. UK Essays. Available at: https://www.ukessays.com/essays/psychology/research-methology-is-a-study-which-raises-types-of-philosophical-psychology-essay.php (Accessed: 9 May 2022).</w:t>
      </w:r>
    </w:p>
    <w:p w14:paraId="4999994D" w14:textId="77777777" w:rsidR="002530E2" w:rsidRDefault="002530E2">
      <w:r>
        <w:lastRenderedPageBreak/>
        <w:t>Allen, M. (2017) Research Topic, Definition of. Available at: https://methods.sagepub.com/reference/the-sage-encyclopedia-of-communication-research-methods/i12345.xml (Accessed: 14 May 2022).</w:t>
      </w:r>
    </w:p>
    <w:p w14:paraId="249AFF42" w14:textId="77777777" w:rsidR="002530E2" w:rsidRDefault="002530E2">
      <w:r>
        <w:t>Alves, A.M., Pessoa, M. and Salviano, C.F. (2015) ‘Proposal for a framework for quality measurement to the SPB – Brazilian Public Software’, Business Process Management Journal, 21(1), pp. 100–125.</w:t>
      </w:r>
    </w:p>
    <w:p w14:paraId="693F4A1C" w14:textId="77777777" w:rsidR="002530E2" w:rsidRDefault="002530E2">
      <w:r>
        <w:t>Australian Statistics Bureau (2015) ‘FRAMES &amp; POPULATION’, Home / Basic Survey Design - Frames &amp; Population [Preprint]. Available at: https://www.abs.gov.au/websitedbs/d3310114.nsf/home/Basic+Survey+Design+-+Frames+&amp;+Population (Accessed: 2 June 2022).</w:t>
      </w:r>
    </w:p>
    <w:p w14:paraId="3C0B0AC9" w14:textId="77777777" w:rsidR="002530E2" w:rsidRDefault="002530E2">
      <w:r>
        <w:t>Bhandari, P. (2020) Population vs. Sample | Definitions, Differences &amp; Examples. Available at: https://www.scribbr.com/methodology/population-vs-sample/ (Accessed: 2 June 2022).</w:t>
      </w:r>
    </w:p>
    <w:p w14:paraId="0EA9891B" w14:textId="77777777" w:rsidR="002530E2" w:rsidRDefault="002530E2">
      <w:r>
        <w:t>Black, C. (2013) ‘Find Your Research Niche’. Available at: https://research.medicine.umich.edu/sites/default/files/resource-download/rd_focus_researchniche-6.2013.pdf.</w:t>
      </w:r>
    </w:p>
    <w:p w14:paraId="18FD7A3F" w14:textId="77777777" w:rsidR="002530E2" w:rsidRDefault="002530E2">
      <w:r>
        <w:t>Black, T.R. (1999) Doing Quantitative Research in the Social Sciences: An Integrated Approach to Research Design, Measurement and Statistics. SAGE Publications.</w:t>
      </w:r>
    </w:p>
    <w:p w14:paraId="4F478785" w14:textId="77777777" w:rsidR="002530E2" w:rsidRDefault="002530E2">
      <w:r>
        <w:t>de Brito, M.P. et al. (2010) Characterization of abductive, inductive and deductive reasoning, ResearchGate. Available at: https://www.researchgate.net/figure/Characterization-of-abductive-inductive-and-deductive-reasoning_tbl2_43336622 (Accessed: 31 May 2022).</w:t>
      </w:r>
    </w:p>
    <w:p w14:paraId="0626E1D8" w14:textId="77777777" w:rsidR="002530E2" w:rsidRDefault="002530E2">
      <w:r>
        <w:t>de Brito, M.P. and van der Laan, E.A. (2010) ‘Supply Chain Management and Sustainability: Procrastinating Integration in Mainstream Research’, Sustainability: Science Practice and Policy, 2(4). Available at: https://doi.org/10.3390/su2040859.</w:t>
      </w:r>
    </w:p>
    <w:p w14:paraId="1CB2DDDC" w14:textId="77777777" w:rsidR="002530E2" w:rsidRDefault="002530E2">
      <w:r>
        <w:t>Camargo, W. and Cardoso, Á.A. (2018) ‘FRACTIONAL FACTORIAL DOE PLANNING TO REDUCE INTERNAL REJECTIONS ON LEAK TEST OF A COMBUSTION ENGINE PRODUCTION LINE’. Available at: https://doi.org/10.32426/engresv9n5-001.</w:t>
      </w:r>
    </w:p>
    <w:p w14:paraId="14F5F1DA" w14:textId="77777777" w:rsidR="002530E2" w:rsidRDefault="002530E2">
      <w:r>
        <w:t>Charlesworth Author Services (2021) How to write the rationale for your research. Available at: https://www.cwauthors.com/article/how-to-write-the-rationale-for-your-research (Accessed: 14 May 2022).</w:t>
      </w:r>
    </w:p>
    <w:p w14:paraId="3A4C0320" w14:textId="77777777" w:rsidR="002530E2" w:rsidRDefault="002530E2">
      <w:r>
        <w:t>Chaudhari, A. (2020) Exploratory, Descriptive and Causal Research - Voxco. Available at: https://www.voxco.com/blog/exploratory-descriptive-and-causal-research/ (Accessed: 27 May 2022).</w:t>
      </w:r>
    </w:p>
    <w:p w14:paraId="1120AEAE" w14:textId="77777777" w:rsidR="002530E2" w:rsidRDefault="002530E2">
      <w:r>
        <w:t>Creswell, J. (2009) The Selection of a Research Approach. Available at: https://us.sagepub.com/sites/default/files/upm-binaries/55588_Chapter_1_Sample_Creswell_Research_Design_4e.pdf.</w:t>
      </w:r>
    </w:p>
    <w:p w14:paraId="2DDA0AB3" w14:textId="77777777" w:rsidR="002530E2" w:rsidRDefault="002530E2">
      <w:r>
        <w:t>Creswell, J.W. (2009) Research design: Qualitative, quantitative and mixed methods approaches. 3rd edn. Thousand Oaks, CA : SAGE Publication, Inc.</w:t>
      </w:r>
    </w:p>
    <w:p w14:paraId="20D9456D" w14:textId="77777777" w:rsidR="002530E2" w:rsidRDefault="002530E2">
      <w:r>
        <w:t>Davison, R.M. (1998) Department of Information Systems, City University of Hong Kong. City University of Hong Kong. Available at: http://www.is.cityu.edu.hk/staff/isrobert/phd/phd.htm (Accessed: 1998).</w:t>
      </w:r>
    </w:p>
    <w:p w14:paraId="4A493C9D" w14:textId="77777777" w:rsidR="002530E2" w:rsidRDefault="002530E2">
      <w:r>
        <w:lastRenderedPageBreak/>
        <w:t>Dictionary.com (2022) Islam, www.dictionary.com. Available at: https://www.dictionary.com/browse/islam (Accessed: 11 June 2022).</w:t>
      </w:r>
    </w:p>
    <w:p w14:paraId="76A740F4" w14:textId="77777777" w:rsidR="002530E2" w:rsidRDefault="002530E2">
      <w:r>
        <w:t>DiscoverPhDs (2020a) ‘Scope and Delimitations - Explained &amp; Example’, DiscoverPhDs, 2 October. Available at: https://www.discoverphds.com/blog/scope-and-delimitations (Accessed: 5 November 2022).</w:t>
      </w:r>
    </w:p>
    <w:p w14:paraId="0973BC64" w14:textId="77777777" w:rsidR="002530E2" w:rsidRDefault="002530E2">
      <w:r>
        <w:t>DiscoverPhDs (2020b) ‘Scope and Delimitations - Explained &amp; Example’, DiscoverPhDs, 2 October. Available at: https://www.discoverphds.com/blog/scope-and-delimitations (Accessed: 5 November 2022).</w:t>
      </w:r>
    </w:p>
    <w:p w14:paraId="380F0399" w14:textId="77777777" w:rsidR="002530E2" w:rsidRDefault="002530E2">
      <w:r>
        <w:t>DiscoverPhDs (2020c) ‘Scope and Delimitations - Explained &amp; Example’, DiscoverPhDs, 2 October. Available at: https://www.discoverphds.com/blog/scope-and-delimitations (Accessed: 24 June 2022).</w:t>
      </w:r>
    </w:p>
    <w:p w14:paraId="3309D20F" w14:textId="77777777" w:rsidR="002530E2" w:rsidRDefault="002530E2">
      <w:r>
        <w:t>DiscoverPhDs (2020d) ‘Scope and Delimitations - Explained &amp; Example’, DiscoverPhDs, 2 October. Available at: https://www.discoverphds.com/blog/scope-and-delimitations (Accessed: 23 June 2022).</w:t>
      </w:r>
    </w:p>
    <w:p w14:paraId="1ACC5C3F" w14:textId="77777777" w:rsidR="002530E2" w:rsidRDefault="002530E2">
      <w:r>
        <w:t>DiscoverPhDs (2020e) ‘The Unit of Analysis Explained’, DiscoverPhDs, 3 October. Available at: https://www.discoverphds.com/blog/unit-of-analysis (Accessed: 10 November 2022).</w:t>
      </w:r>
    </w:p>
    <w:p w14:paraId="2CFBABB6" w14:textId="77777777" w:rsidR="002530E2" w:rsidRDefault="002530E2">
      <w:r>
        <w:t>DiscoverPhDs (2020f) Types of Research - Explained with Examples, DiscoverPhDs. Available at: https://www.discoverphds.com/blog/types-of-research (Accessed: 21 May 2022).</w:t>
      </w:r>
    </w:p>
    <w:p w14:paraId="4DF74241" w14:textId="77777777" w:rsidR="002530E2" w:rsidRDefault="002530E2"/>
    <w:p w14:paraId="21B588FD" w14:textId="77777777" w:rsidR="002530E2" w:rsidRDefault="002530E2">
      <w:r>
        <w:t>DiscoverPhDs (2020g) ‘What is Research? - Purpose of Research’, DiscoverPhDs, 10 September. Available at: https://www.discoverphds.com/blog/what-is-research-purpose-of-research (Accessed: 23 June 2022).</w:t>
      </w:r>
    </w:p>
    <w:p w14:paraId="4C550F6D" w14:textId="77777777" w:rsidR="002530E2" w:rsidRDefault="002530E2">
      <w:r>
        <w:t>DiscoverPhDs (2020h) What is the Significance of the Study?, DiscoverPhDs. Available at: https://www.discoverphds.com/blog/significance-of-the-study (Accessed: 14 May 2022).</w:t>
      </w:r>
    </w:p>
    <w:p w14:paraId="763DA74E" w14:textId="77777777" w:rsidR="002530E2" w:rsidRDefault="002530E2">
      <w:r>
        <w:t>Dooly, M. (2006) Semantics and Pragmatics of English: Teaching English as a Foreign Language. Univ. Autònoma de Barcelona.</w:t>
      </w:r>
    </w:p>
    <w:p w14:paraId="36484BF4" w14:textId="77777777" w:rsidR="002530E2" w:rsidRDefault="002530E2">
      <w:r>
        <w:t>Duasrevival.com (2018) Shahada (Declaration Of Faith). Available at: https://www.duasrevival.com/basics/way-of-life/shahada-declaration-of-faith (Accessed: 14 June 2022).</w:t>
      </w:r>
    </w:p>
    <w:p w14:paraId="0E96A9C8" w14:textId="77777777" w:rsidR="002530E2" w:rsidRDefault="002530E2">
      <w:r>
        <w:t>Dudovskiy, J. (2011) Research Approach, Research-Methodology. Available at: https://research-methodology.net/research-methodology/research-approach/ (Accessed: 10 May 2022).</w:t>
      </w:r>
    </w:p>
    <w:p w14:paraId="44FC24D7" w14:textId="77777777" w:rsidR="002530E2" w:rsidRDefault="002530E2">
      <w:r>
        <w:t>Erni, J. (2013) ‘Nature and Characteristics of Research’, 4 November. Available at: https://www.scribd.com/doc/181326697/1-NATURE-AND-CHARACTERISTICS-OF-RESEARCH-ppt (Accessed: 22 May 2022).</w:t>
      </w:r>
    </w:p>
    <w:p w14:paraId="181E1503" w14:textId="77777777" w:rsidR="002530E2" w:rsidRDefault="002530E2">
      <w:r>
        <w:t>Fieser, J. and Dowden, B. (2020) Religious Epistemology. Available at: https://iep.utm.edu/relig-ep/ (Accessed: 26 May 2022).</w:t>
      </w:r>
    </w:p>
    <w:p w14:paraId="5518E3D0" w14:textId="77777777" w:rsidR="002530E2" w:rsidRDefault="002530E2">
      <w:r>
        <w:t>Fleetwood, D. (2020) Correlational Research: Definition with Examples. Available at: https://www.questionpro.com/blog/correlational-research/ (Accessed: 27 May 2022).</w:t>
      </w:r>
    </w:p>
    <w:p w14:paraId="36E88698" w14:textId="77777777" w:rsidR="002530E2" w:rsidRDefault="002530E2">
      <w:r>
        <w:lastRenderedPageBreak/>
        <w:t>Foroudi, P. (2017) ‘IMC antecedents and the consequences of planned brand identity in higher education’, European journal of marketing. Translated by T.C. Melewar and M.M. Foroudi, 51(3), pp. 528–550.</w:t>
      </w:r>
    </w:p>
    <w:p w14:paraId="11803B81" w14:textId="77777777" w:rsidR="002530E2" w:rsidRDefault="002530E2">
      <w:r>
        <w:t>FutureLearn and Coventry University (2020) Research questions, aims and objectives. Available at: https://www.futurelearn.com/info/courses/research-construction-management/0/steps/75090 (Accessed: 14 May 2022).</w:t>
      </w:r>
    </w:p>
    <w:p w14:paraId="7F7785DF" w14:textId="77777777" w:rsidR="002530E2" w:rsidRDefault="002530E2">
      <w:r>
        <w:t>George Mason University (2020) How to Write a Research Question, The Writing Center. Available at: https://writingcenter.gmu.edu/guides/how-to-write-a-research-question (Accessed: 23 June 2022).</w:t>
      </w:r>
    </w:p>
    <w:p w14:paraId="2757BD31" w14:textId="77777777" w:rsidR="002530E2" w:rsidRDefault="002530E2">
      <w:r>
        <w:t>Georgia Institute of Technology (2013) ‘Research Guides: Research Process: A Step-by-Step Guide: 4b. Outline the Paper’. Available at: https://libguides.gatech.edu/c.php?g=54271&amp;p=350394 (Accessed: 24 June 2022).</w:t>
      </w:r>
    </w:p>
    <w:p w14:paraId="6C01B9F8" w14:textId="77777777" w:rsidR="002530E2" w:rsidRDefault="002530E2">
      <w:r>
        <w:t>Gulf times (2021) Two most authentic books of Hadith, Gulf times- Qatar’s top-selling English daily newspaper. Available at: https://m.gulf-times.com/story/703813/Two-most-authentic-books-of-Hadith (Accessed: 14 June 2022).</w:t>
      </w:r>
    </w:p>
    <w:p w14:paraId="19484FA4" w14:textId="77777777" w:rsidR="002530E2" w:rsidRDefault="002530E2">
      <w:r>
        <w:t>Heckmann, C. (2021) What is Deductive Reasoning? Definition and Examples, StudioBinder. Available at: https://www.studiobinder.com/blog/what-is-deductive-reasoning-definition/ (Accessed: 10 May 2022).</w:t>
      </w:r>
    </w:p>
    <w:p w14:paraId="0623F377" w14:textId="77777777" w:rsidR="002530E2" w:rsidRDefault="002530E2">
      <w:r>
        <w:t>Hookway, C.J. (1978) ‘Semantics By John Lyons Cambridge University Press, 1977. Vol. 1, xiii 371 pp., £12.00, £3.95 paper; Vol. 2, xiv 526 pp., £15.00, £4.95 paper’, Philosophy, pp. 421–423. Available at: https://doi.org/10.1017/s0031819100022579.</w:t>
      </w:r>
    </w:p>
    <w:p w14:paraId="2C3FC824" w14:textId="77777777" w:rsidR="002530E2" w:rsidRDefault="002530E2">
      <w:r>
        <w:t>Indeed Editorial Team (2021) Research Objectives: Definition and How To Write Them, Indeed Career Guide. Available at: https://www.indeed.com/career-advice/career-development/research-objectives (Accessed: 23 June 2022).</w:t>
      </w:r>
    </w:p>
    <w:p w14:paraId="25EDD17D" w14:textId="77777777" w:rsidR="002530E2" w:rsidRDefault="002530E2">
      <w:r>
        <w:t>IOE UCL Learning Hub (2020) Longitudinal vs cross-sectional studies. Available at: https://learning.closer.ac.uk/learning-modules/introduction/types-of-longitudinal-research/longitudinal-versus-cross-sectional-studies/ (Accessed: 1 June 2022).</w:t>
      </w:r>
    </w:p>
    <w:p w14:paraId="2F8A7C08" w14:textId="77777777" w:rsidR="002530E2" w:rsidRDefault="002530E2">
      <w:r>
        <w:t>Jackson, G. (2013) Thesis vs book, GETTING PUBLISHED. Available at: https://gettingpublished.wordpress.com/2013/05/13/thesis-vs-book/ (Accessed: 22 June 2022).</w:t>
      </w:r>
    </w:p>
    <w:p w14:paraId="6EC50DA7" w14:textId="77777777" w:rsidR="002530E2" w:rsidRDefault="002530E2">
      <w:r>
        <w:t>Jansen, D. (2020) How to write A dissertation or thesis introduction chapter, Grad Coach. Available at: https://gradcoach.com/dissertation-thesis-introduction-chapter/ (Accessed: 22 June 2022).</w:t>
      </w:r>
    </w:p>
    <w:p w14:paraId="18A9BC34" w14:textId="77777777" w:rsidR="002530E2" w:rsidRDefault="002530E2">
      <w:r>
        <w:t>Jansen, D. (2021) Saunders’ (2007) Research Onion – What is it? Available at: https://gradcoach.com/saunders-research-onion/ (Accessed: 26 May 2022).</w:t>
      </w:r>
    </w:p>
    <w:p w14:paraId="42A5C62C" w14:textId="77777777" w:rsidR="002530E2" w:rsidRDefault="002530E2">
      <w:r>
        <w:t>Jones, J. (2019) Determining Sample Size For Qualitative Research: What Is The Magical Number? Available at: https://interq-research.com/determining-sample-size-for-qualitative-research-what-is-the-magical-number/ (Accessed: 3 June 2022).</w:t>
      </w:r>
    </w:p>
    <w:p w14:paraId="6CB0510F" w14:textId="77777777" w:rsidR="002530E2" w:rsidRDefault="002530E2">
      <w:r>
        <w:t>Jones, K. (2021a) ‘The Importance Of Branding In Business’, Forbes Magazine, 24 March. Available at: https://www.forbes.com/sites/forbesagencycouncil/2021/03/24/the-importance-of-branding-in-business/ (Accessed: 24 June 2022).</w:t>
      </w:r>
    </w:p>
    <w:p w14:paraId="4322ACCD" w14:textId="77777777" w:rsidR="002530E2" w:rsidRDefault="002530E2">
      <w:r>
        <w:lastRenderedPageBreak/>
        <w:t>Jones, K. (2021b) ‘The Importance Of Branding In Business’, Forbes Magazine [Preprint]. Available at: https://www.forbes.com/sites/forbesagencycouncil/2021/03/24/the-importance-of-branding-in-business/?sh=6b66903067f7 (Accessed: 14 May 2022).</w:t>
      </w:r>
    </w:p>
    <w:p w14:paraId="244C1428" w14:textId="77777777" w:rsidR="002530E2" w:rsidRDefault="002530E2">
      <w:r>
        <w:t>Kamali, M. (2015) Introduction to Qualitative Research Methods Design Data Analysis. Available at: https://slidetodoc.com/introduction-to-qualitative-research-methods-design-data-analysis/ (Accessed: 31 May 2022).</w:t>
      </w:r>
    </w:p>
    <w:p w14:paraId="15AE1AA6" w14:textId="77777777" w:rsidR="002530E2" w:rsidRDefault="002530E2">
      <w:r>
        <w:t>Kirchner, E. (2015) ‘Color theory and color order in medieval Islam: A review’, Color research and application, 40(1), pp. 5–16.</w:t>
      </w:r>
    </w:p>
    <w:p w14:paraId="53411D28" w14:textId="77777777" w:rsidR="002530E2" w:rsidRDefault="002530E2">
      <w:r>
        <w:t>Knott, K. (2016) What are the Five Pillars of Islam? Available at: https://crestresearch.ac.uk/comment/islam-five-pillars/ (Accessed: 14 June 2022).</w:t>
      </w:r>
    </w:p>
    <w:p w14:paraId="040872FB" w14:textId="77777777" w:rsidR="002530E2" w:rsidRDefault="002530E2">
      <w:r>
        <w:t>Kothari, C.R. (2004) Research Methodology: Methods and Techniques. 2nd edn. New Delhi: New Age International limited.</w:t>
      </w:r>
    </w:p>
    <w:p w14:paraId="532FCCCB" w14:textId="77777777" w:rsidR="002530E2" w:rsidRDefault="002530E2">
      <w:r>
        <w:t>Kwanya, T. (2020) Tom KWANYA, ResearchGate. Available at: https://www.researchgate.net/profile/Tom-Kwanya (Accessed: 23 June 2022).</w:t>
      </w:r>
    </w:p>
    <w:p w14:paraId="6BD057C4" w14:textId="77777777" w:rsidR="002530E2" w:rsidRDefault="002530E2">
      <w:r>
        <w:t>Labaree, R.V. (2009a) ‘Research guides: Organizing your social sciences research paper: Choosing a title’. Available at: https://libguides.usc.edu/writingguide/title (Accessed: 14 May 2022).</w:t>
      </w:r>
    </w:p>
    <w:p w14:paraId="32C3FA1B" w14:textId="77777777" w:rsidR="002530E2" w:rsidRDefault="002530E2">
      <w:r>
        <w:t>Labaree, R.V. (2009b) ‘Research Guides: Organizing Your Social Sciences Research Paper: Theoretical Framework’. Available at: https://libguides.usc.edu/writingguide/theoreticalframework.</w:t>
      </w:r>
    </w:p>
    <w:p w14:paraId="235EBA0C" w14:textId="77777777" w:rsidR="002530E2" w:rsidRDefault="002530E2">
      <w:r>
        <w:t>Lee, N. and Lings, I. (2008) Doing business research: A guide to theory and practice. 1st Edition. London: SAGE Publications Ltd.</w:t>
      </w:r>
    </w:p>
    <w:p w14:paraId="041428D8" w14:textId="77777777" w:rsidR="002530E2" w:rsidRDefault="002530E2">
      <w:r>
        <w:t>Levin, D.M. (1988) ‘The opening of vision: Nihilism and the postmodern situation’, London: Routledge [Preprint]. Available at: https://doi.org/10.4324/9780203331842.</w:t>
      </w:r>
    </w:p>
    <w:p w14:paraId="146F88B7" w14:textId="77777777" w:rsidR="002530E2" w:rsidRDefault="002530E2">
      <w:r>
        <w:t>Lexico English Dictionaries (2022) ISLAM, Lexico Dictionaries | English. Lexico Dictionaries. Available at: https://www.lexico.com/definition/islam (Accessed: 11 June 2022).</w:t>
      </w:r>
    </w:p>
    <w:p w14:paraId="15DC8855" w14:textId="77777777" w:rsidR="002530E2" w:rsidRDefault="002530E2">
      <w:r>
        <w:t>Mader, R. (2021) Definitions. Available at: https://www.planeta.com/definitions/ (Accessed: 11 June 2022).</w:t>
      </w:r>
    </w:p>
    <w:p w14:paraId="4866F307" w14:textId="77777777" w:rsidR="002530E2" w:rsidRDefault="002530E2">
      <w:r>
        <w:t>McCombes, S. (2019) Write a Problem Statement for your Research in 3 Steps. Available at: https://www.scribbr.com/research-process/problem-statement/ (Accessed: 27 May 2022).</w:t>
      </w:r>
    </w:p>
    <w:p w14:paraId="30863EB1" w14:textId="77777777" w:rsidR="002530E2" w:rsidRDefault="002530E2">
      <w:r>
        <w:t>McCombes, S. (2020) A Beginner’s Guide to Starting the Research Process, Scribbr. Available at: https://www.scribbr.com/category/research-process/ (Accessed: 29 May 2022).</w:t>
      </w:r>
    </w:p>
    <w:p w14:paraId="291FDC67" w14:textId="77777777" w:rsidR="002530E2" w:rsidRDefault="002530E2">
      <w:r>
        <w:t>McCombes, S. (2021) Research Design, Scribbr. Available at: https://www.scribbr.com/methodology/research-design/ (Accessed: 21 May 2022).</w:t>
      </w:r>
    </w:p>
    <w:p w14:paraId="46571590" w14:textId="77777777" w:rsidR="002530E2" w:rsidRDefault="002530E2">
      <w:r>
        <w:t>McCombes, S. and McCombes, S. (2019a) 10 Research Question Examples to Guide your Research Project, Scribbr. Available at: https://www.scribbr.com/research-process/research-question-examples/ (Accessed: 7 January 2020).</w:t>
      </w:r>
    </w:p>
    <w:p w14:paraId="15E30D5B" w14:textId="77777777" w:rsidR="002530E2" w:rsidRDefault="002530E2">
      <w:r>
        <w:lastRenderedPageBreak/>
        <w:t>McCombes, S. and McCombes, S. (2019b) Sampling Methods | Types and Techniques Explained, Scribbr. Available at: https://www.scribbr.com/methodology/sampling-methods/ (Accessed: 10 January 2020).</w:t>
      </w:r>
    </w:p>
    <w:p w14:paraId="42841FF2" w14:textId="77777777" w:rsidR="002530E2" w:rsidRDefault="002530E2">
      <w:r>
        <w:t>MeanThat &amp; Authentic Data Science (2016) 1.3 Exploratory, Descriptive and Explanatory Nature Of Research. Youtube. Available at: https://www.youtube.com/watch?v=FlBFdEgrTBM (Accessed: 27 May 2022).</w:t>
      </w:r>
    </w:p>
    <w:p w14:paraId="61CA501E" w14:textId="77777777" w:rsidR="002530E2" w:rsidRDefault="002530E2">
      <w:r>
        <w:t>Mellor, N. (2001) ‘Messy method: the unfolding story’, Educational Action Research, 9(3), pp. 465–484.</w:t>
      </w:r>
    </w:p>
    <w:p w14:paraId="29707A7F" w14:textId="77777777" w:rsidR="002530E2" w:rsidRDefault="002530E2">
      <w:r>
        <w:t>Melnikovas, A. (2018) ‘Towards an explicit research methodology: Adapting research onion model for futures studies’. Available at: https://doi.org/10.6531/JFS.201812_23(2).0003.</w:t>
      </w:r>
    </w:p>
    <w:p w14:paraId="5B182DAE" w14:textId="77777777" w:rsidR="002530E2" w:rsidRDefault="002530E2">
      <w:r>
        <w:t>National Institute of General Medical Sciences, National Institutes of Health (2013) Curiosity creates cures: The value and impact of basic research. Available at: https://www.nigms.nih.gov/Pages/PageNotFoundError.aspx (Accessed: 23 May 2022).</w:t>
      </w:r>
    </w:p>
    <w:p w14:paraId="499D5A5B" w14:textId="77777777" w:rsidR="002530E2" w:rsidRDefault="002530E2">
      <w:r>
        <w:t>National Science Foundation (2014) What is basic research". Available at: https://www.nsf.gov/pubs/1953/annualreports/ar_1953_sec6.pdf.</w:t>
      </w:r>
    </w:p>
    <w:p w14:paraId="34A02F59" w14:textId="77777777" w:rsidR="002530E2" w:rsidRDefault="002530E2">
      <w:r>
        <w:t>Nebeker, C. (2020) Research Design : Descriptive Studies. Available at: https://ori.hhs.gov/education/products/sdsu/res_des1.htm (Accessed: 27 May 2022).</w:t>
      </w:r>
    </w:p>
    <w:p w14:paraId="00453E74" w14:textId="77777777" w:rsidR="002530E2" w:rsidRDefault="002530E2">
      <w:r>
        <w:t>Northcentral University (2020) ‘LibGuides: Chapter 1: Chapter 1: Problem Statement’. Available at: https://library.ncu.edu/c.php?g=1006886&amp;p=7294692 (Accessed: 29 May 2022).</w:t>
      </w:r>
    </w:p>
    <w:p w14:paraId="7B79A8CD" w14:textId="77777777" w:rsidR="002530E2" w:rsidRDefault="002530E2">
      <w:r>
        <w:t>NROC Developmental English Foundations (2020) NROC Developmental English Foundations. Available at: http://content.nroc.org/DevelopmentalEnglish/unit05/Foundations/identifying-types-of-definitions.html (Accessed: 11 June 2022).</w:t>
      </w:r>
    </w:p>
    <w:p w14:paraId="054DB750" w14:textId="77777777" w:rsidR="002530E2" w:rsidRDefault="002530E2">
      <w:r>
        <w:t>Oxford Learners Dictionaries (2022) research. Available at: https://www.oxfordlearnersdictionaries.com/definition/english/research_1?q=research (Accessed: 21 May 2022).</w:t>
      </w:r>
    </w:p>
    <w:p w14:paraId="117E3D13" w14:textId="77777777" w:rsidR="002530E2" w:rsidRDefault="002530E2">
      <w:r>
        <w:t>PhdStudent.com (2020) Writing Assumptions, Limitations, and Delimitations. Available at: https://www.phdstudent.com/thesis-and-dissertation-survival/research-design/stating-the-obvious-writing-assumptions-limitations-and-delimitations/ (Accessed: 23 June 2022).</w:t>
      </w:r>
    </w:p>
    <w:p w14:paraId="32F9C08B" w14:textId="77777777" w:rsidR="002530E2" w:rsidRDefault="002530E2">
      <w:r>
        <w:t>research-methodology.net (2020) Causal Research (Explanatory research), Research-Methodology. Available at: https://research-methodology.net/causal-research/ (Accessed: 27 May 2022).</w:t>
      </w:r>
    </w:p>
    <w:p w14:paraId="325C68A4" w14:textId="77777777" w:rsidR="002530E2" w:rsidRDefault="002530E2">
      <w:r>
        <w:t>Research: Definition, Characteristics, Goals, Approaches (2020) iEduNote. Available at: https://www.iedunote.com/research-definition-characteristics-goals-approaches (Accessed: 22 May 2022).</w:t>
      </w:r>
    </w:p>
    <w:p w14:paraId="1E2734BF" w14:textId="77777777" w:rsidR="002530E2" w:rsidRDefault="002530E2">
      <w:r>
        <w:t>Ridder, H.-G. (2017) ‘The theory contribution of case study research designs’, Business Research, 10(2), pp. 281–305.</w:t>
      </w:r>
    </w:p>
    <w:p w14:paraId="611F3CB5" w14:textId="77777777" w:rsidR="002530E2" w:rsidRDefault="002530E2">
      <w:r>
        <w:t>Saunders, M.N.K., Lewis, P. and Thornhill, A. (2018) Research Methods for Business Students. 8th Edition. England: Pearson Education Limited.</w:t>
      </w:r>
    </w:p>
    <w:p w14:paraId="0668C3E0" w14:textId="77777777" w:rsidR="002530E2" w:rsidRDefault="002530E2">
      <w:r>
        <w:lastRenderedPageBreak/>
        <w:t>Shuttleworth, M. and Wilson, L.T. (2010) What is Generalization? Available at: https://explorable.com/what-is-generalization (Accessed: 10 November 2022).</w:t>
      </w:r>
    </w:p>
    <w:p w14:paraId="7C2F0CDD" w14:textId="77777777" w:rsidR="002530E2" w:rsidRDefault="002530E2">
      <w:r>
        <w:t>Simpson, B. (2009) ‘Pragmatism, Mead and the Practice Turn’, Organization Studies, 30(12), pp. 1329–1347.</w:t>
      </w:r>
    </w:p>
    <w:p w14:paraId="340D65BC" w14:textId="77777777" w:rsidR="002530E2" w:rsidRDefault="002530E2">
      <w:r>
        <w:t>Singh, A. (2021) ‘Significance of Research Process in Research Work’. Available at: https://doi.org/10.13140/RG.2.2.32664.93445/1.</w:t>
      </w:r>
    </w:p>
    <w:p w14:paraId="0104A30F" w14:textId="77777777" w:rsidR="002530E2" w:rsidRDefault="002530E2">
      <w:r>
        <w:t>slidetodoc.com (2020) Chapter Three Research Design 3 2 Chapter Outline. Available at: https://slidetodoc.com/chapter-three-research-design-3-2-chapter-outline-3/ (Accessed: 27 May 2022).</w:t>
      </w:r>
    </w:p>
    <w:p w14:paraId="29F02E0C" w14:textId="77777777" w:rsidR="002530E2" w:rsidRDefault="002530E2">
      <w:r>
        <w:t>St. Cloud State University (2020) limitations and delimitations in research. Available at: https://blog.stcloudstate.edu/ims/2017/03/28/limitations-and-delimitations-in-research/ (Accessed: 23 June 2022).</w:t>
      </w:r>
    </w:p>
    <w:p w14:paraId="7E2353A7" w14:textId="77777777" w:rsidR="002530E2" w:rsidRDefault="002530E2">
      <w:r>
        <w:t>Study.com (2016) What reference book contains synonyms and antonyms?, Study.com. Available at: https://study.com/academy/answer/what-reference-book-contains-synonyms-and-antonyms.html (Accessed: 11 June 2022).</w:t>
      </w:r>
    </w:p>
    <w:p w14:paraId="2C4D3C72" w14:textId="77777777" w:rsidR="002530E2" w:rsidRDefault="002530E2">
      <w:r>
        <w:t>Terceros, R. (2021) An Overview of Sampling Techniques - Analytics Vidhya - Medium, Analytics Vidhya. Available at: https://medium.com/analytics-vidhya/an-overview-of-sampling-techniques-5dd3ef9dda02 (Accessed: 2 June 2022).</w:t>
      </w:r>
    </w:p>
    <w:p w14:paraId="2A14AC92" w14:textId="77777777" w:rsidR="002530E2" w:rsidRDefault="002530E2">
      <w:r>
        <w:t>The Cambridge English Dictionary (2022) dictionary. Available at: https://dictionary.cambridge.org/dictionary/english/dictionary (Accessed: 11 June 2022).</w:t>
      </w:r>
    </w:p>
    <w:p w14:paraId="762D17A1" w14:textId="77777777" w:rsidR="002530E2" w:rsidRDefault="002530E2">
      <w:r>
        <w:t>The Indeed Editorial Team (2021) How To Develop Your Area of Interest and Specialization, Indeed Career Guide. Available at: https://www.indeed.com/career-advice/career-development/area-of-interest-vs-specialization (Accessed: 26 October 2022).</w:t>
      </w:r>
    </w:p>
    <w:p w14:paraId="3AF07D57" w14:textId="77777777" w:rsidR="002530E2" w:rsidRDefault="002530E2">
      <w:r>
        <w:t>The Oxford Learners’ English Dictionaries (2022) thesaurus. Available at: https://www.oxfordlearnersdictionaries.com/definition/english/thesaurus?q=thesaurus (Accessed: 11 June 2022).</w:t>
      </w:r>
    </w:p>
    <w:p w14:paraId="37054434" w14:textId="77777777" w:rsidR="002530E2" w:rsidRDefault="002530E2">
      <w:r>
        <w:t>The University of British Columbia (2011) Research Proposals. Available at: https://www.cs.ubc.ca/~maclean/forStudents/resProposalContents.html (Accessed: 24 June 2022).</w:t>
      </w:r>
    </w:p>
    <w:p w14:paraId="6016514F" w14:textId="77777777" w:rsidR="002530E2" w:rsidRDefault="002530E2">
      <w:r>
        <w:t>The University of Edinburgh (2020) Literature review, The University of Edinburgh. Available at: https://www.ed.ac.uk/institute-academic-development/study-hub/learning-resources/literature-review (Accessed: 24 June 2022).</w:t>
      </w:r>
    </w:p>
    <w:p w14:paraId="533A3C68" w14:textId="77777777" w:rsidR="002530E2" w:rsidRDefault="002530E2">
      <w:r>
        <w:t>University of Birmingham (2020) What to include in a research proposal, University of Birmingham. Available at: https://www.birmingham.ac.uk/schools/calgs/cal-research-proposals/include.aspx (Accessed: 23 June 2022).</w:t>
      </w:r>
    </w:p>
    <w:p w14:paraId="7C2C5385" w14:textId="77777777" w:rsidR="002530E2" w:rsidRDefault="002530E2">
      <w:r>
        <w:t>Wagh, S. (2015) ‘Research Guides: Public Health Research Guide: Primary &amp; Secondary Data Definitions’. Available at: https://researchguides.ben.edu/c.php?g=282050&amp;p=4036581 (Accessed: 3 June 2022).</w:t>
      </w:r>
    </w:p>
    <w:p w14:paraId="4B8D0B2E" w14:textId="77777777" w:rsidR="002530E2" w:rsidRDefault="002530E2">
      <w:r>
        <w:lastRenderedPageBreak/>
        <w:t>Walia, A. and Chetty, P. (2020) Different types of research problems and their examples. Available at: https://www.projectguru.in/research-problem-types-and-example/ (Accessed: 27 May 2022).</w:t>
      </w:r>
    </w:p>
    <w:p w14:paraId="7CF2B2E8" w14:textId="77777777" w:rsidR="002530E2" w:rsidRDefault="002530E2">
      <w:r>
        <w:t>White, M. (2009) A short course in international marketing blunders [electronic resource]: mistakes made by companies that should have known better. World Trade Press.</w:t>
      </w:r>
    </w:p>
    <w:p w14:paraId="05C66E43" w14:textId="77777777" w:rsidR="002530E2" w:rsidRDefault="002530E2">
      <w:r>
        <w:t>Whitney, C.W., Lind, B.K. and Wahl, P.W. (1998) ‘Quality assurance and quality control in longitudinal studies’, Epidemiologic reviews, 20(1), pp. 71–80.</w:t>
      </w:r>
    </w:p>
    <w:p w14:paraId="2880BD1C" w14:textId="77777777" w:rsidR="002530E2" w:rsidRDefault="002530E2">
      <w:r>
        <w:t>Wikipedia contributors (2022a) 1994 FIFA World Cup, Wikipedia, The Free Encyclopedia. Available at: https://en.wikipedia.org/w/index.php?title=1994_FIFA_World_Cup&amp;oldid=1075670555.</w:t>
      </w:r>
    </w:p>
    <w:p w14:paraId="6DE39A8F" w14:textId="77777777" w:rsidR="002530E2" w:rsidRDefault="002530E2">
      <w:r>
        <w:t>Wikipedia contributors (2022b) Arab Spring, Wikipedia, The Free Encyclopedia. Available at: https://en.wikipedia.org/w/index.php?title=Arab_Spring&amp;oldid=1078409593.</w:t>
      </w:r>
    </w:p>
    <w:p w14:paraId="4FAD536A" w14:textId="77777777" w:rsidR="002530E2" w:rsidRDefault="002530E2">
      <w:r>
        <w:t>Wikipedia contributors (2022c) Arla Foods, Wikipedia, The Free Encyclopedia. Available at: https://en.wikipedia.org/w/index.php?title=Arla_Foods&amp;oldid=1082542236.</w:t>
      </w:r>
    </w:p>
    <w:p w14:paraId="4765DFE6" w14:textId="77777777" w:rsidR="002530E2" w:rsidRDefault="002530E2">
      <w:r>
        <w:t>Wikipedia Contributors (2022) Brand blunder, Wikipedia, The Free Encyclopedia. Available at: https://en.wikipedia.org/w/index.php?title=Brand_blunder&amp;oldid=1071486507.</w:t>
      </w:r>
    </w:p>
    <w:p w14:paraId="2A4B64F4" w14:textId="77777777" w:rsidR="002530E2" w:rsidRDefault="002530E2">
      <w:r>
        <w:t>Wikipedia contributors (2022e) Generalization, Wikipedia, The Free Encyclopedia. Available at: https://en.wikipedia.org/w/index.php?title=Generalization&amp;oldid=1089937565.</w:t>
      </w:r>
    </w:p>
    <w:p w14:paraId="296CBBC9" w14:textId="77777777" w:rsidR="002530E2" w:rsidRDefault="002530E2">
      <w:r>
        <w:t>Wikipedia contributors (2022f) Halal, Wikipedia, The Free Encyclopedia. Available at: https://en.wikipedia.org/w/index.php?title=Halal&amp;oldid=1090904272.</w:t>
      </w:r>
    </w:p>
    <w:p w14:paraId="4B6CCB03" w14:textId="77777777" w:rsidR="002530E2" w:rsidRDefault="002530E2">
      <w:r>
        <w:t>Wikipedia contributors (2022g) Islam by country, Wikipedia, The Free Encyclopedia. Available at: https://en.wikipedia.org/w/index.php?title=Islam_by_country&amp;oldid=1070947585.</w:t>
      </w:r>
    </w:p>
    <w:p w14:paraId="27B50663" w14:textId="77777777" w:rsidR="002530E2" w:rsidRDefault="002530E2">
      <w:r>
        <w:t>Wikipedia contributors (2022h) J. Walter Thompson, Wikipedia, The Free Encyclopedia. Available at: https://en.wikipedia.org/w/index.php?title=J._Walter_Thompson&amp;oldid=1085611862.</w:t>
      </w:r>
    </w:p>
    <w:p w14:paraId="66C2C4B3" w14:textId="77777777" w:rsidR="002530E2" w:rsidRDefault="002530E2">
      <w:r>
        <w:t>Wikipedia contributors (2022i) List of pen types, brands and companies, Wikipedia, The Free Encyclopedia. Available at: https://en.wikipedia.org/w/index.php?title=List_of_pen_types,_brands_and_companies&amp;oldid=1074093924.</w:t>
      </w:r>
    </w:p>
    <w:p w14:paraId="590104D5" w14:textId="77777777" w:rsidR="002530E2" w:rsidRDefault="002530E2">
      <w:r>
        <w:t>Wikipedia contributors (2022j) Moby-Dick, Wikipedia, The Free Encyclopedia. Available at: https://en.wikipedia.org/w/index.php?title=Moby-Dick&amp;oldid=1075178046.</w:t>
      </w:r>
    </w:p>
    <w:p w14:paraId="1723383F" w14:textId="77777777" w:rsidR="002530E2" w:rsidRDefault="002530E2">
      <w:r>
        <w:t>Wikipedia contributors (2022k) Montblanc (company), Wikipedia, The Free Encyclopedia. Available at: https://en.wikipedia.org/w/index.php?title=Montblanc_(company)&amp;oldid=1067967498.</w:t>
      </w:r>
    </w:p>
    <w:p w14:paraId="3D318CB3" w14:textId="77777777" w:rsidR="002530E2" w:rsidRDefault="002530E2">
      <w:r>
        <w:t>Wikipedia contributors (2022l) Montblanc (company), Wikipedia, The Free Encyclopedia. Available at: https://en.wikipedia.org/w/index.php?title=Montblanc_(company)&amp;oldid=1067967498.</w:t>
      </w:r>
    </w:p>
    <w:p w14:paraId="30EF7144" w14:textId="77777777" w:rsidR="002530E2" w:rsidRDefault="002530E2">
      <w:r>
        <w:t>Wikipedia contributors (2022m) PepsiCo, Wikipedia, The Free Encyclopedia. Available at: https://en.wikipedia.org/w/index.php?title=PepsiCo&amp;oldid=1081020197.</w:t>
      </w:r>
    </w:p>
    <w:p w14:paraId="6CD9070E" w14:textId="77777777" w:rsidR="002530E2" w:rsidRDefault="002530E2">
      <w:r>
        <w:t>Wikipedia contributors (2022n) Polysemy, Wikipedia, The Free Encyclopedia. Available at: https://en.wikipedia.org/w/index.php?title=Polysemy&amp;oldid=1091810539.</w:t>
      </w:r>
    </w:p>
    <w:p w14:paraId="5CF09D9E" w14:textId="77777777" w:rsidR="002530E2" w:rsidRDefault="002530E2">
      <w:r>
        <w:lastRenderedPageBreak/>
        <w:t>Wikipedia contributors (2022o) Religion in the Middle East, Wikipedia, The Free Encyclopedia. Available at: https://en.wikipedia.org/w/index.php?title=Religion_in_the_Middle_East&amp;oldid=1090316361.</w:t>
      </w:r>
    </w:p>
    <w:p w14:paraId="15DBA838" w14:textId="77777777" w:rsidR="002530E2" w:rsidRDefault="002530E2">
      <w:r>
        <w:t>Wikipedia contributors (2022p) Sabra (company), Wikipedia, The Free Encyclopedia. Available at: https://en.wikipedia.org/w/index.php?title=Sabra_(company)&amp;oldid=1070083271.</w:t>
      </w:r>
    </w:p>
    <w:p w14:paraId="26D11C73" w14:textId="77777777" w:rsidR="002530E2" w:rsidRDefault="002530E2">
      <w:r>
        <w:t>Wikipedia contributors (2022q) Sahih al-Bukhari, Wikipedia, The Free Encyclopedia. Available at: https://en.wikipedia.org/w/index.php?title=Sahih_al-Bukhari&amp;oldid=1092816008.</w:t>
      </w:r>
    </w:p>
    <w:p w14:paraId="3F3D32C8" w14:textId="77777777" w:rsidR="002530E2" w:rsidRDefault="002530E2">
      <w:r>
        <w:t>Wikipedia contributors (2022s) Timeline of the Jyllands-Posten Muhammad cartoons controversy, Wikipedia, The Free Encyclopedia. Available at: https://en.wikipedia.org/w/index.php?title=Timeline_of_the_Jyllands-Posten_Muhammad_cartoons_controversy&amp;oldid=1074172341.</w:t>
      </w:r>
    </w:p>
    <w:p w14:paraId="29D1F5AE" w14:textId="77777777" w:rsidR="002530E2" w:rsidRDefault="002530E2">
      <w:r>
        <w:t>Wikipedia contributors (2022t) Vodafone, Wikipedia, The Free Encyclopedia. Available at: https://en.wikipedia.org/w/index.php?title=Vodafone&amp;oldid=1077827754.</w:t>
      </w:r>
    </w:p>
    <w:p w14:paraId="76CAD193" w14:textId="77777777" w:rsidR="002530E2" w:rsidRDefault="002530E2">
      <w:r>
        <w:t>Wolf, E. (2021) What is a research gap and how do I find one? - SNHU Library FAQ. Available at: https://libanswers.snhu.edu/faq/264001 (Accessed: 14 May 2022).</w:t>
      </w:r>
    </w:p>
    <w:p w14:paraId="5DD6EB89" w14:textId="77777777" w:rsidR="002530E2" w:rsidRDefault="002530E2">
      <w:r>
        <w:t>Zarah, L. (2010) 7 Reasons Why Research Is Important. Available at: https://owlcation.com/academia/Why-Research-is-Important-Within-and-Beyond-the-Academe (Accessed: 23 June 2022).</w:t>
      </w:r>
    </w:p>
    <w:p w14:paraId="1916DFC8" w14:textId="77777777" w:rsidR="002530E2" w:rsidRDefault="002530E2">
      <w:pPr>
        <w:spacing w:line="276" w:lineRule="auto"/>
        <w:rPr>
          <w:sz w:val="16"/>
          <w:szCs w:val="16"/>
        </w:rPr>
      </w:pPr>
    </w:p>
    <w:p w14:paraId="1D93BC8C" w14:textId="77777777" w:rsidR="002530E2" w:rsidRDefault="002530E2">
      <w:pPr>
        <w:pStyle w:val="Heading3"/>
        <w:jc w:val="center"/>
      </w:pPr>
      <w:bookmarkStart w:id="504" w:name="_uzm5iwglmol6" w:colFirst="0" w:colLast="0"/>
      <w:bookmarkEnd w:id="504"/>
      <w:r>
        <w:rPr>
          <w:color w:val="FFFFFF"/>
        </w:rPr>
        <w:t>END OF PAGE</w:t>
      </w:r>
    </w:p>
    <w:p w14:paraId="47B505E0" w14:textId="77777777" w:rsidR="002530E2" w:rsidRDefault="002530E2"/>
    <w:p w14:paraId="06AF3300" w14:textId="77777777" w:rsidR="002530E2" w:rsidRDefault="002530E2">
      <w:pPr>
        <w:spacing w:after="0" w:line="240" w:lineRule="auto"/>
        <w:rPr>
          <w:color w:val="0E101A"/>
          <w:sz w:val="2"/>
          <w:szCs w:val="2"/>
        </w:rPr>
      </w:pPr>
    </w:p>
    <w:p w14:paraId="0A444B90" w14:textId="77777777" w:rsidR="002530E2" w:rsidRDefault="002530E2">
      <w:pPr>
        <w:spacing w:after="0" w:line="240" w:lineRule="auto"/>
        <w:rPr>
          <w:color w:val="0E101A"/>
          <w:sz w:val="2"/>
          <w:szCs w:val="2"/>
        </w:rPr>
      </w:pPr>
    </w:p>
    <w:p w14:paraId="79138E81" w14:textId="77777777" w:rsidR="002530E2" w:rsidRDefault="002530E2">
      <w:pPr>
        <w:spacing w:after="0" w:line="240" w:lineRule="auto"/>
        <w:rPr>
          <w:color w:val="0E101A"/>
          <w:sz w:val="2"/>
          <w:szCs w:val="2"/>
        </w:rPr>
      </w:pPr>
    </w:p>
    <w:p w14:paraId="7E4ED7BB" w14:textId="77777777" w:rsidR="002530E2" w:rsidRDefault="002530E2">
      <w:pPr>
        <w:spacing w:after="0" w:line="240" w:lineRule="auto"/>
        <w:rPr>
          <w:color w:val="0E101A"/>
          <w:sz w:val="2"/>
          <w:szCs w:val="2"/>
        </w:rPr>
      </w:pPr>
    </w:p>
    <w:p w14:paraId="31B71E4A" w14:textId="77777777" w:rsidR="002530E2" w:rsidRDefault="002530E2">
      <w:pPr>
        <w:spacing w:after="0" w:line="240" w:lineRule="auto"/>
        <w:rPr>
          <w:color w:val="0E101A"/>
          <w:sz w:val="2"/>
          <w:szCs w:val="2"/>
        </w:rPr>
      </w:pPr>
    </w:p>
    <w:tbl>
      <w:tblPr>
        <w:tblW w:w="3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tblGrid>
      <w:tr w:rsidR="002530E2" w14:paraId="1BC09062" w14:textId="77777777">
        <w:trPr>
          <w:jc w:val="center"/>
        </w:trPr>
        <w:tc>
          <w:tcPr>
            <w:tcW w:w="3495" w:type="dxa"/>
            <w:tcBorders>
              <w:top w:val="single" w:sz="8" w:space="0" w:color="FFD400"/>
              <w:left w:val="single" w:sz="8" w:space="0" w:color="FFD400"/>
              <w:bottom w:val="single" w:sz="8" w:space="0" w:color="FFD400"/>
              <w:right w:val="single" w:sz="8" w:space="0" w:color="FFD400"/>
            </w:tcBorders>
            <w:shd w:val="clear" w:color="auto" w:fill="FFD400"/>
            <w:tcMar>
              <w:top w:w="100" w:type="dxa"/>
              <w:left w:w="100" w:type="dxa"/>
              <w:bottom w:w="100" w:type="dxa"/>
              <w:right w:w="100" w:type="dxa"/>
            </w:tcMar>
          </w:tcPr>
          <w:p w14:paraId="5911D260" w14:textId="77777777" w:rsidR="002530E2" w:rsidRDefault="002530E2">
            <w:pPr>
              <w:widowControl w:val="0"/>
              <w:spacing w:after="0" w:line="240" w:lineRule="auto"/>
              <w:jc w:val="center"/>
              <w:rPr>
                <w:sz w:val="28"/>
                <w:szCs w:val="28"/>
              </w:rPr>
            </w:pPr>
            <w:r>
              <w:rPr>
                <w:sz w:val="28"/>
                <w:szCs w:val="28"/>
              </w:rPr>
              <w:t xml:space="preserve">APPENDIX A </w:t>
            </w:r>
          </w:p>
        </w:tc>
      </w:tr>
    </w:tbl>
    <w:p w14:paraId="456FBB78" w14:textId="77777777" w:rsidR="002530E2" w:rsidRDefault="002530E2">
      <w:pPr>
        <w:pStyle w:val="Heading3"/>
        <w:rPr>
          <w:color w:val="FFFFFF"/>
        </w:rPr>
      </w:pPr>
    </w:p>
    <w:p w14:paraId="6A77C973" w14:textId="77777777" w:rsidR="002530E2" w:rsidRDefault="002530E2">
      <w:pPr>
        <w:rPr>
          <w:sz w:val="2"/>
          <w:szCs w:val="2"/>
        </w:rPr>
      </w:pPr>
    </w:p>
    <w:p w14:paraId="10783F56" w14:textId="77777777" w:rsidR="002530E2" w:rsidRDefault="002530E2">
      <w:pPr>
        <w:spacing w:after="0"/>
        <w:jc w:val="center"/>
      </w:pPr>
      <w:r>
        <w:t>ORIGINALITY REPORT FROM GRAMMARLY APP</w:t>
      </w:r>
    </w:p>
    <w:p w14:paraId="702271B3" w14:textId="77777777" w:rsidR="002530E2" w:rsidRDefault="002530E2">
      <w:pPr>
        <w:spacing w:after="0"/>
        <w:jc w:val="center"/>
      </w:pPr>
    </w:p>
    <w:p w14:paraId="7470C75A" w14:textId="77777777" w:rsidR="002530E2" w:rsidRDefault="002530E2">
      <w:pPr>
        <w:spacing w:after="0"/>
        <w:jc w:val="center"/>
      </w:pPr>
    </w:p>
    <w:p w14:paraId="259CB41E" w14:textId="77777777" w:rsidR="002530E2" w:rsidRDefault="002530E2">
      <w:pPr>
        <w:spacing w:after="0"/>
        <w:jc w:val="center"/>
      </w:pPr>
    </w:p>
    <w:p w14:paraId="07B6B672" w14:textId="77777777" w:rsidR="002530E2" w:rsidRDefault="002530E2">
      <w:pPr>
        <w:spacing w:after="0"/>
        <w:jc w:val="center"/>
      </w:pPr>
    </w:p>
    <w:p w14:paraId="0781FB33" w14:textId="77777777" w:rsidR="002530E2" w:rsidRDefault="002530E2">
      <w:pPr>
        <w:spacing w:after="0"/>
        <w:jc w:val="center"/>
      </w:pPr>
    </w:p>
    <w:p w14:paraId="208E8774" w14:textId="77777777" w:rsidR="002530E2" w:rsidRDefault="002530E2">
      <w:pPr>
        <w:spacing w:after="0"/>
        <w:jc w:val="center"/>
      </w:pPr>
      <w:r>
        <w:t>Reports follow after this page.</w:t>
      </w:r>
    </w:p>
    <w:p w14:paraId="16EF4243" w14:textId="77777777" w:rsidR="00300E3A" w:rsidRDefault="00300E3A"/>
    <w:sectPr w:rsidR="00300E3A" w:rsidSect="001E6C3E">
      <w:headerReference w:type="default"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5BA8F" w14:textId="77777777" w:rsidR="002530E2" w:rsidRDefault="002530E2">
    <w:pPr>
      <w:spacing w:before="400" w:after="400" w:line="240" w:lineRule="auto"/>
      <w:jc w:val="right"/>
      <w:rPr>
        <w:sz w:val="16"/>
        <w:szCs w:val="16"/>
      </w:rPr>
    </w:pPr>
    <w:r>
      <w:rPr>
        <w:sz w:val="16"/>
        <w:szCs w:val="16"/>
      </w:rPr>
      <w:t xml:space="preserve">PhD Thesis by Firoz A Khan (2023) UWTSD UK     </w:t>
    </w:r>
    <w:hyperlink w:anchor="_heading=h.gjdgxs">
      <w:r>
        <w:rPr>
          <w:color w:val="1155CC"/>
          <w:sz w:val="16"/>
          <w:szCs w:val="16"/>
        </w:rPr>
        <w:t xml:space="preserve">Table of Content for Chapter 1: Introduction </w:t>
      </w:r>
    </w:hyperlink>
    <w:hyperlink w:anchor="_heading=h.gjdgxs">
      <w:r>
        <w:rPr>
          <w:i/>
          <w:color w:val="1155CC"/>
          <w:sz w:val="16"/>
          <w:szCs w:val="16"/>
        </w:rPr>
        <w:t>(Part 1)</w:t>
      </w:r>
    </w:hyperlink>
    <w:r>
      <w:rPr>
        <w:sz w:val="16"/>
        <w:szCs w:val="16"/>
      </w:rPr>
      <w:t xml:space="preserve">         </w:t>
    </w:r>
    <w:r>
      <w:rPr>
        <w:sz w:val="16"/>
        <w:szCs w:val="16"/>
      </w:rPr>
      <w:t xml:space="preserve">               </w:t>
    </w:r>
    <w:r>
      <w:rPr>
        <w:sz w:val="16"/>
        <w:szCs w:val="16"/>
      </w:rPr>
      <w:fldChar w:fldCharType="begin"/>
    </w:r>
    <w:r>
      <w:rPr>
        <w:sz w:val="16"/>
        <w:szCs w:val="16"/>
      </w:rPr>
      <w:instrText>PAGE</w:instrText>
    </w:r>
    <w:r>
      <w:rPr>
        <w:sz w:val="16"/>
        <w:szCs w:val="16"/>
      </w:rPr>
      <w:fldChar w:fldCharType="separate"/>
    </w:r>
    <w:r>
      <w:rPr>
        <w:noProof/>
        <w:sz w:val="16"/>
        <w:szCs w:val="16"/>
      </w:rPr>
      <w:t>1</w:t>
    </w:r>
    <w:r>
      <w:rPr>
        <w:sz w:val="16"/>
        <w:szCs w:val="16"/>
      </w:rPr>
      <w:fldChar w:fldCharType="end"/>
    </w:r>
  </w:p>
  <w:p w14:paraId="4E22D4D8" w14:textId="77777777" w:rsidR="002530E2" w:rsidRDefault="002530E2">
    <w:pPr>
      <w:widowControl w:val="0"/>
      <w:pBdr>
        <w:top w:val="nil"/>
        <w:left w:val="nil"/>
        <w:bottom w:val="nil"/>
        <w:right w:val="nil"/>
        <w:between w:val="nil"/>
      </w:pBdr>
      <w:spacing w:after="0" w:line="276" w:lineRule="auto"/>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0DC68" w14:textId="77777777" w:rsidR="002530E2" w:rsidRDefault="002530E2">
    <w:pPr>
      <w:pBdr>
        <w:top w:val="nil"/>
        <w:left w:val="nil"/>
        <w:bottom w:val="nil"/>
        <w:right w:val="nil"/>
        <w:between w:val="nil"/>
      </w:pBdr>
      <w:rPr>
        <w:color w:val="000000"/>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E19D3" w14:textId="77777777" w:rsidR="002530E2" w:rsidRDefault="002530E2">
    <w:pPr>
      <w:spacing w:line="480" w:lineRule="auto"/>
      <w:jc w:val="right"/>
      <w:rPr>
        <w:color w:val="000000"/>
        <w:sz w:val="16"/>
        <w:szCs w:val="16"/>
      </w:rPr>
    </w:pPr>
    <w:r>
      <w:rPr>
        <w:sz w:val="16"/>
        <w:szCs w:val="16"/>
      </w:rPr>
      <w:t xml:space="preserve">Chapter 1: Introduction </w:t>
    </w:r>
    <w:r>
      <w:rPr>
        <w:i/>
        <w:sz w:val="16"/>
        <w:szCs w:val="16"/>
      </w:rPr>
      <w:t>(Part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A61B0" w14:textId="77777777" w:rsidR="002530E2" w:rsidRDefault="002530E2">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033F"/>
    <w:multiLevelType w:val="multilevel"/>
    <w:tmpl w:val="48EC15B8"/>
    <w:lvl w:ilvl="0">
      <w:start w:val="1"/>
      <w:numFmt w:val="bullet"/>
      <w:lvlText w:val="●"/>
      <w:lvlJc w:val="left"/>
      <w:pPr>
        <w:ind w:left="720" w:hanging="360"/>
      </w:pPr>
      <w:rPr>
        <w:color w:val="252525"/>
        <w:u w:val="none"/>
      </w:rPr>
    </w:lvl>
    <w:lvl w:ilvl="1">
      <w:start w:val="1"/>
      <w:numFmt w:val="bullet"/>
      <w:lvlText w:val="●"/>
      <w:lvlJc w:val="left"/>
      <w:pPr>
        <w:ind w:left="1440" w:hanging="360"/>
      </w:pPr>
      <w:rPr>
        <w:color w:val="252525"/>
        <w:u w:val="none"/>
      </w:rPr>
    </w:lvl>
    <w:lvl w:ilvl="2">
      <w:start w:val="1"/>
      <w:numFmt w:val="bullet"/>
      <w:lvlText w:val="○"/>
      <w:lvlJc w:val="left"/>
      <w:pPr>
        <w:ind w:left="2160" w:hanging="360"/>
      </w:pPr>
      <w:rPr>
        <w:color w:val="252525"/>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3C6509"/>
    <w:multiLevelType w:val="multilevel"/>
    <w:tmpl w:val="9C6EB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3B0E12"/>
    <w:multiLevelType w:val="multilevel"/>
    <w:tmpl w:val="D0387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3C96E73"/>
    <w:multiLevelType w:val="multilevel"/>
    <w:tmpl w:val="04E420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40B54C2"/>
    <w:multiLevelType w:val="multilevel"/>
    <w:tmpl w:val="B7B06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5B655BB"/>
    <w:multiLevelType w:val="multilevel"/>
    <w:tmpl w:val="55CCF0FC"/>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06052723"/>
    <w:multiLevelType w:val="multilevel"/>
    <w:tmpl w:val="62ACB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6E373BD"/>
    <w:multiLevelType w:val="multilevel"/>
    <w:tmpl w:val="EEA25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74478AA"/>
    <w:multiLevelType w:val="multilevel"/>
    <w:tmpl w:val="B08A3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07992769"/>
    <w:multiLevelType w:val="multilevel"/>
    <w:tmpl w:val="53DCAA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07A75237"/>
    <w:multiLevelType w:val="multilevel"/>
    <w:tmpl w:val="9CF035B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0822287A"/>
    <w:multiLevelType w:val="multilevel"/>
    <w:tmpl w:val="183027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08DC206A"/>
    <w:multiLevelType w:val="multilevel"/>
    <w:tmpl w:val="7C506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08DE55A1"/>
    <w:multiLevelType w:val="multilevel"/>
    <w:tmpl w:val="75F25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08FA094C"/>
    <w:multiLevelType w:val="multilevel"/>
    <w:tmpl w:val="9E42EA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098F521A"/>
    <w:multiLevelType w:val="multilevel"/>
    <w:tmpl w:val="E55CA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09E674B5"/>
    <w:multiLevelType w:val="multilevel"/>
    <w:tmpl w:val="06483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0AB32E0B"/>
    <w:multiLevelType w:val="multilevel"/>
    <w:tmpl w:val="27C40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0B451A4C"/>
    <w:multiLevelType w:val="multilevel"/>
    <w:tmpl w:val="35FA0250"/>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0B643217"/>
    <w:multiLevelType w:val="multilevel"/>
    <w:tmpl w:val="BA8638C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15:restartNumberingAfterBreak="0">
    <w:nsid w:val="0D2C06B1"/>
    <w:multiLevelType w:val="multilevel"/>
    <w:tmpl w:val="B78854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0D42534E"/>
    <w:multiLevelType w:val="multilevel"/>
    <w:tmpl w:val="20ACC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0DCA32CB"/>
    <w:multiLevelType w:val="multilevel"/>
    <w:tmpl w:val="9FE24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0E212F16"/>
    <w:multiLevelType w:val="multilevel"/>
    <w:tmpl w:val="385A5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0FEF002D"/>
    <w:multiLevelType w:val="multilevel"/>
    <w:tmpl w:val="E8AED78C"/>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100128DF"/>
    <w:multiLevelType w:val="multilevel"/>
    <w:tmpl w:val="41A8467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1016517F"/>
    <w:multiLevelType w:val="multilevel"/>
    <w:tmpl w:val="94DA09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10751493"/>
    <w:multiLevelType w:val="multilevel"/>
    <w:tmpl w:val="ED3C9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10DC75BF"/>
    <w:multiLevelType w:val="multilevel"/>
    <w:tmpl w:val="E4485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111A3E56"/>
    <w:multiLevelType w:val="multilevel"/>
    <w:tmpl w:val="4FF02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11330218"/>
    <w:multiLevelType w:val="multilevel"/>
    <w:tmpl w:val="21B0CC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15E949FB"/>
    <w:multiLevelType w:val="multilevel"/>
    <w:tmpl w:val="C12659D6"/>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2" w15:restartNumberingAfterBreak="0">
    <w:nsid w:val="166B371B"/>
    <w:multiLevelType w:val="multilevel"/>
    <w:tmpl w:val="86BEB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171A78B7"/>
    <w:multiLevelType w:val="multilevel"/>
    <w:tmpl w:val="C54203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17206D15"/>
    <w:multiLevelType w:val="multilevel"/>
    <w:tmpl w:val="0ACC7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17F24A4B"/>
    <w:multiLevelType w:val="multilevel"/>
    <w:tmpl w:val="E1367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18A06640"/>
    <w:multiLevelType w:val="multilevel"/>
    <w:tmpl w:val="C06A43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18EB2BC6"/>
    <w:multiLevelType w:val="multilevel"/>
    <w:tmpl w:val="F710D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19917FA9"/>
    <w:multiLevelType w:val="multilevel"/>
    <w:tmpl w:val="8780B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1A5013C0"/>
    <w:multiLevelType w:val="multilevel"/>
    <w:tmpl w:val="D7324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1A7115F8"/>
    <w:multiLevelType w:val="multilevel"/>
    <w:tmpl w:val="FFAAB5E8"/>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1" w15:restartNumberingAfterBreak="0">
    <w:nsid w:val="1AA26462"/>
    <w:multiLevelType w:val="multilevel"/>
    <w:tmpl w:val="99A85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1B2457B7"/>
    <w:multiLevelType w:val="multilevel"/>
    <w:tmpl w:val="8A902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1B71797A"/>
    <w:multiLevelType w:val="multilevel"/>
    <w:tmpl w:val="22F45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15:restartNumberingAfterBreak="0">
    <w:nsid w:val="1BC46211"/>
    <w:multiLevelType w:val="multilevel"/>
    <w:tmpl w:val="02D281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15:restartNumberingAfterBreak="0">
    <w:nsid w:val="1C312DB6"/>
    <w:multiLevelType w:val="multilevel"/>
    <w:tmpl w:val="B0D420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15:restartNumberingAfterBreak="0">
    <w:nsid w:val="1CCB3CF0"/>
    <w:multiLevelType w:val="multilevel"/>
    <w:tmpl w:val="EB500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1D2006D0"/>
    <w:multiLevelType w:val="multilevel"/>
    <w:tmpl w:val="050013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15:restartNumberingAfterBreak="0">
    <w:nsid w:val="1EA1481F"/>
    <w:multiLevelType w:val="multilevel"/>
    <w:tmpl w:val="21FC139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9" w15:restartNumberingAfterBreak="0">
    <w:nsid w:val="1FB359C1"/>
    <w:multiLevelType w:val="multilevel"/>
    <w:tmpl w:val="39640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15:restartNumberingAfterBreak="0">
    <w:nsid w:val="1FB81A55"/>
    <w:multiLevelType w:val="multilevel"/>
    <w:tmpl w:val="CBC01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15:restartNumberingAfterBreak="0">
    <w:nsid w:val="1FEE1D81"/>
    <w:multiLevelType w:val="multilevel"/>
    <w:tmpl w:val="3E467E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15:restartNumberingAfterBreak="0">
    <w:nsid w:val="213A5358"/>
    <w:multiLevelType w:val="multilevel"/>
    <w:tmpl w:val="1712631A"/>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3" w15:restartNumberingAfterBreak="0">
    <w:nsid w:val="21C07EE0"/>
    <w:multiLevelType w:val="multilevel"/>
    <w:tmpl w:val="6A523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15:restartNumberingAfterBreak="0">
    <w:nsid w:val="22E73D35"/>
    <w:multiLevelType w:val="multilevel"/>
    <w:tmpl w:val="D72EA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15:restartNumberingAfterBreak="0">
    <w:nsid w:val="23996C58"/>
    <w:multiLevelType w:val="multilevel"/>
    <w:tmpl w:val="8B7A57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15:restartNumberingAfterBreak="0">
    <w:nsid w:val="23BA537A"/>
    <w:multiLevelType w:val="multilevel"/>
    <w:tmpl w:val="6518DE16"/>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7" w15:restartNumberingAfterBreak="0">
    <w:nsid w:val="24F03610"/>
    <w:multiLevelType w:val="multilevel"/>
    <w:tmpl w:val="8F7ABF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8" w15:restartNumberingAfterBreak="0">
    <w:nsid w:val="25141C8B"/>
    <w:multiLevelType w:val="multilevel"/>
    <w:tmpl w:val="4F18D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9" w15:restartNumberingAfterBreak="0">
    <w:nsid w:val="25446664"/>
    <w:multiLevelType w:val="multilevel"/>
    <w:tmpl w:val="9E8044F4"/>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0" w15:restartNumberingAfterBreak="0">
    <w:nsid w:val="261A79AA"/>
    <w:multiLevelType w:val="multilevel"/>
    <w:tmpl w:val="A07099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15:restartNumberingAfterBreak="0">
    <w:nsid w:val="26676CAC"/>
    <w:multiLevelType w:val="multilevel"/>
    <w:tmpl w:val="BEFC7FF4"/>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2" w15:restartNumberingAfterBreak="0">
    <w:nsid w:val="294C70BD"/>
    <w:multiLevelType w:val="multilevel"/>
    <w:tmpl w:val="ACFE26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3" w15:restartNumberingAfterBreak="0">
    <w:nsid w:val="2AA41076"/>
    <w:multiLevelType w:val="multilevel"/>
    <w:tmpl w:val="5B24D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4" w15:restartNumberingAfterBreak="0">
    <w:nsid w:val="2B5E7A99"/>
    <w:multiLevelType w:val="multilevel"/>
    <w:tmpl w:val="35F41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5" w15:restartNumberingAfterBreak="0">
    <w:nsid w:val="2BE51873"/>
    <w:multiLevelType w:val="multilevel"/>
    <w:tmpl w:val="5AE431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6" w15:restartNumberingAfterBreak="0">
    <w:nsid w:val="2C1F5585"/>
    <w:multiLevelType w:val="multilevel"/>
    <w:tmpl w:val="0AEAEC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7" w15:restartNumberingAfterBreak="0">
    <w:nsid w:val="2C31073A"/>
    <w:multiLevelType w:val="multilevel"/>
    <w:tmpl w:val="DF789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8" w15:restartNumberingAfterBreak="0">
    <w:nsid w:val="2CAB68CB"/>
    <w:multiLevelType w:val="multilevel"/>
    <w:tmpl w:val="0458E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9" w15:restartNumberingAfterBreak="0">
    <w:nsid w:val="30956ED6"/>
    <w:multiLevelType w:val="multilevel"/>
    <w:tmpl w:val="C53C0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0" w15:restartNumberingAfterBreak="0">
    <w:nsid w:val="31223283"/>
    <w:multiLevelType w:val="multilevel"/>
    <w:tmpl w:val="27D47D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1" w15:restartNumberingAfterBreak="0">
    <w:nsid w:val="325E6ADD"/>
    <w:multiLevelType w:val="multilevel"/>
    <w:tmpl w:val="C8DC414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2" w15:restartNumberingAfterBreak="0">
    <w:nsid w:val="325F2ACA"/>
    <w:multiLevelType w:val="multilevel"/>
    <w:tmpl w:val="A0962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3" w15:restartNumberingAfterBreak="0">
    <w:nsid w:val="329D72FF"/>
    <w:multiLevelType w:val="multilevel"/>
    <w:tmpl w:val="EEEA3C68"/>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4" w15:restartNumberingAfterBreak="0">
    <w:nsid w:val="33CC5619"/>
    <w:multiLevelType w:val="multilevel"/>
    <w:tmpl w:val="757EC7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5" w15:restartNumberingAfterBreak="0">
    <w:nsid w:val="33EC0F65"/>
    <w:multiLevelType w:val="multilevel"/>
    <w:tmpl w:val="9A16A4FA"/>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6" w15:restartNumberingAfterBreak="0">
    <w:nsid w:val="350E1DE2"/>
    <w:multiLevelType w:val="multilevel"/>
    <w:tmpl w:val="2EA4B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7" w15:restartNumberingAfterBreak="0">
    <w:nsid w:val="356F138B"/>
    <w:multiLevelType w:val="multilevel"/>
    <w:tmpl w:val="F932AE26"/>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8" w15:restartNumberingAfterBreak="0">
    <w:nsid w:val="35C469AF"/>
    <w:multiLevelType w:val="multilevel"/>
    <w:tmpl w:val="3E129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9" w15:restartNumberingAfterBreak="0">
    <w:nsid w:val="35CF730B"/>
    <w:multiLevelType w:val="multilevel"/>
    <w:tmpl w:val="61684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0" w15:restartNumberingAfterBreak="0">
    <w:nsid w:val="35FA7814"/>
    <w:multiLevelType w:val="multilevel"/>
    <w:tmpl w:val="EF760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1" w15:restartNumberingAfterBreak="0">
    <w:nsid w:val="36883347"/>
    <w:multiLevelType w:val="multilevel"/>
    <w:tmpl w:val="B95C76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2" w15:restartNumberingAfterBreak="0">
    <w:nsid w:val="36D42FB4"/>
    <w:multiLevelType w:val="multilevel"/>
    <w:tmpl w:val="A3C8E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3" w15:restartNumberingAfterBreak="0">
    <w:nsid w:val="37B55897"/>
    <w:multiLevelType w:val="multilevel"/>
    <w:tmpl w:val="9D506FA4"/>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4" w15:restartNumberingAfterBreak="0">
    <w:nsid w:val="37BF5267"/>
    <w:multiLevelType w:val="multilevel"/>
    <w:tmpl w:val="12546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5" w15:restartNumberingAfterBreak="0">
    <w:nsid w:val="39756BAA"/>
    <w:multiLevelType w:val="multilevel"/>
    <w:tmpl w:val="4B4AE63C"/>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6" w15:restartNumberingAfterBreak="0">
    <w:nsid w:val="3A42443C"/>
    <w:multiLevelType w:val="multilevel"/>
    <w:tmpl w:val="F28A448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7" w15:restartNumberingAfterBreak="0">
    <w:nsid w:val="3B1B48A1"/>
    <w:multiLevelType w:val="multilevel"/>
    <w:tmpl w:val="106078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8" w15:restartNumberingAfterBreak="0">
    <w:nsid w:val="3BFB59EB"/>
    <w:multiLevelType w:val="multilevel"/>
    <w:tmpl w:val="C1EE5C48"/>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9" w15:restartNumberingAfterBreak="0">
    <w:nsid w:val="3CD32D91"/>
    <w:multiLevelType w:val="multilevel"/>
    <w:tmpl w:val="79623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0" w15:restartNumberingAfterBreak="0">
    <w:nsid w:val="3DD95EA6"/>
    <w:multiLevelType w:val="multilevel"/>
    <w:tmpl w:val="AB5C9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1" w15:restartNumberingAfterBreak="0">
    <w:nsid w:val="3E1E3948"/>
    <w:multiLevelType w:val="multilevel"/>
    <w:tmpl w:val="683ADE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2" w15:restartNumberingAfterBreak="0">
    <w:nsid w:val="3E4F1896"/>
    <w:multiLevelType w:val="multilevel"/>
    <w:tmpl w:val="B2E22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3" w15:restartNumberingAfterBreak="0">
    <w:nsid w:val="3FD04DDD"/>
    <w:multiLevelType w:val="multilevel"/>
    <w:tmpl w:val="9C42F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4" w15:restartNumberingAfterBreak="0">
    <w:nsid w:val="402F1970"/>
    <w:multiLevelType w:val="multilevel"/>
    <w:tmpl w:val="236E8132"/>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5" w15:restartNumberingAfterBreak="0">
    <w:nsid w:val="4113257C"/>
    <w:multiLevelType w:val="multilevel"/>
    <w:tmpl w:val="695683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6" w15:restartNumberingAfterBreak="0">
    <w:nsid w:val="41E07307"/>
    <w:multiLevelType w:val="multilevel"/>
    <w:tmpl w:val="554815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7" w15:restartNumberingAfterBreak="0">
    <w:nsid w:val="422A7DC2"/>
    <w:multiLevelType w:val="multilevel"/>
    <w:tmpl w:val="B52CE714"/>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8" w15:restartNumberingAfterBreak="0">
    <w:nsid w:val="432B02AA"/>
    <w:multiLevelType w:val="multilevel"/>
    <w:tmpl w:val="C24A3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9" w15:restartNumberingAfterBreak="0">
    <w:nsid w:val="44A24989"/>
    <w:multiLevelType w:val="multilevel"/>
    <w:tmpl w:val="9D460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0" w15:restartNumberingAfterBreak="0">
    <w:nsid w:val="451F76A7"/>
    <w:multiLevelType w:val="multilevel"/>
    <w:tmpl w:val="5FEE8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1" w15:restartNumberingAfterBreak="0">
    <w:nsid w:val="456A4563"/>
    <w:multiLevelType w:val="multilevel"/>
    <w:tmpl w:val="4C468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2" w15:restartNumberingAfterBreak="0">
    <w:nsid w:val="461D0666"/>
    <w:multiLevelType w:val="multilevel"/>
    <w:tmpl w:val="3CBA2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3" w15:restartNumberingAfterBreak="0">
    <w:nsid w:val="46A740E3"/>
    <w:multiLevelType w:val="multilevel"/>
    <w:tmpl w:val="07967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4" w15:restartNumberingAfterBreak="0">
    <w:nsid w:val="48953D6C"/>
    <w:multiLevelType w:val="multilevel"/>
    <w:tmpl w:val="36D01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5" w15:restartNumberingAfterBreak="0">
    <w:nsid w:val="49DA6AE0"/>
    <w:multiLevelType w:val="multilevel"/>
    <w:tmpl w:val="A1B64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6" w15:restartNumberingAfterBreak="0">
    <w:nsid w:val="49F872E8"/>
    <w:multiLevelType w:val="multilevel"/>
    <w:tmpl w:val="E1A898EE"/>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7" w15:restartNumberingAfterBreak="0">
    <w:nsid w:val="4ADF0CBB"/>
    <w:multiLevelType w:val="multilevel"/>
    <w:tmpl w:val="3D9030BA"/>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8" w15:restartNumberingAfterBreak="0">
    <w:nsid w:val="4B247BEE"/>
    <w:multiLevelType w:val="multilevel"/>
    <w:tmpl w:val="55448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9" w15:restartNumberingAfterBreak="0">
    <w:nsid w:val="4B891A8E"/>
    <w:multiLevelType w:val="multilevel"/>
    <w:tmpl w:val="BE7E6C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0" w15:restartNumberingAfterBreak="0">
    <w:nsid w:val="4C1F08A2"/>
    <w:multiLevelType w:val="multilevel"/>
    <w:tmpl w:val="B462A8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1" w15:restartNumberingAfterBreak="0">
    <w:nsid w:val="4DD644E1"/>
    <w:multiLevelType w:val="multilevel"/>
    <w:tmpl w:val="66AEB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2" w15:restartNumberingAfterBreak="0">
    <w:nsid w:val="4EB82AE0"/>
    <w:multiLevelType w:val="multilevel"/>
    <w:tmpl w:val="327E79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3" w15:restartNumberingAfterBreak="0">
    <w:nsid w:val="4EE97FD6"/>
    <w:multiLevelType w:val="multilevel"/>
    <w:tmpl w:val="15663778"/>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4" w15:restartNumberingAfterBreak="0">
    <w:nsid w:val="505C29E0"/>
    <w:multiLevelType w:val="multilevel"/>
    <w:tmpl w:val="4D52A5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5" w15:restartNumberingAfterBreak="0">
    <w:nsid w:val="526E060A"/>
    <w:multiLevelType w:val="multilevel"/>
    <w:tmpl w:val="D1566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6" w15:restartNumberingAfterBreak="0">
    <w:nsid w:val="52D20B35"/>
    <w:multiLevelType w:val="multilevel"/>
    <w:tmpl w:val="2018795E"/>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7" w15:restartNumberingAfterBreak="0">
    <w:nsid w:val="531A605D"/>
    <w:multiLevelType w:val="multilevel"/>
    <w:tmpl w:val="199E2BDE"/>
    <w:lvl w:ilvl="0">
      <w:start w:val="1"/>
      <w:numFmt w:val="bullet"/>
      <w:lvlText w:val="●"/>
      <w:lvlJc w:val="left"/>
      <w:pPr>
        <w:ind w:left="720" w:hanging="360"/>
      </w:pPr>
      <w:rPr>
        <w:color w:val="252525"/>
        <w:u w:val="none"/>
      </w:rPr>
    </w:lvl>
    <w:lvl w:ilvl="1">
      <w:start w:val="1"/>
      <w:numFmt w:val="bullet"/>
      <w:lvlText w:val="●"/>
      <w:lvlJc w:val="left"/>
      <w:pPr>
        <w:ind w:left="1440" w:hanging="360"/>
      </w:pPr>
      <w:rPr>
        <w:color w:val="252525"/>
        <w:u w:val="none"/>
      </w:rPr>
    </w:lvl>
    <w:lvl w:ilvl="2">
      <w:start w:val="1"/>
      <w:numFmt w:val="bullet"/>
      <w:lvlText w:val="○"/>
      <w:lvlJc w:val="left"/>
      <w:pPr>
        <w:ind w:left="2160" w:hanging="360"/>
      </w:pPr>
      <w:rPr>
        <w:color w:val="252525"/>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8" w15:restartNumberingAfterBreak="0">
    <w:nsid w:val="537440A5"/>
    <w:multiLevelType w:val="multilevel"/>
    <w:tmpl w:val="718A4F76"/>
    <w:lvl w:ilvl="0">
      <w:start w:val="1"/>
      <w:numFmt w:val="bullet"/>
      <w:lvlText w:val="●"/>
      <w:lvlJc w:val="left"/>
      <w:pPr>
        <w:ind w:left="720" w:hanging="360"/>
      </w:pPr>
      <w:rPr>
        <w:color w:val="252525"/>
        <w:u w:val="none"/>
      </w:rPr>
    </w:lvl>
    <w:lvl w:ilvl="1">
      <w:start w:val="1"/>
      <w:numFmt w:val="bullet"/>
      <w:lvlText w:val="●"/>
      <w:lvlJc w:val="left"/>
      <w:pPr>
        <w:ind w:left="1440" w:hanging="360"/>
      </w:pPr>
      <w:rPr>
        <w:color w:val="252525"/>
        <w:u w:val="none"/>
      </w:rPr>
    </w:lvl>
    <w:lvl w:ilvl="2">
      <w:start w:val="1"/>
      <w:numFmt w:val="bullet"/>
      <w:lvlText w:val="○"/>
      <w:lvlJc w:val="left"/>
      <w:pPr>
        <w:ind w:left="2160" w:hanging="360"/>
      </w:pPr>
      <w:rPr>
        <w:color w:val="252525"/>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9" w15:restartNumberingAfterBreak="0">
    <w:nsid w:val="53D25DD0"/>
    <w:multiLevelType w:val="multilevel"/>
    <w:tmpl w:val="88186606"/>
    <w:lvl w:ilvl="0">
      <w:start w:val="1"/>
      <w:numFmt w:val="bullet"/>
      <w:lvlText w:val="●"/>
      <w:lvlJc w:val="left"/>
      <w:pPr>
        <w:ind w:left="1440" w:hanging="360"/>
      </w:pPr>
      <w:rPr>
        <w:color w:val="252525"/>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0" w15:restartNumberingAfterBreak="0">
    <w:nsid w:val="549B08DB"/>
    <w:multiLevelType w:val="multilevel"/>
    <w:tmpl w:val="BE2AD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1" w15:restartNumberingAfterBreak="0">
    <w:nsid w:val="54BE4B8B"/>
    <w:multiLevelType w:val="multilevel"/>
    <w:tmpl w:val="A59602DA"/>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2" w15:restartNumberingAfterBreak="0">
    <w:nsid w:val="56ED0BC0"/>
    <w:multiLevelType w:val="multilevel"/>
    <w:tmpl w:val="ED487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3" w15:restartNumberingAfterBreak="0">
    <w:nsid w:val="571C0AC9"/>
    <w:multiLevelType w:val="multilevel"/>
    <w:tmpl w:val="F28816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4" w15:restartNumberingAfterBreak="0">
    <w:nsid w:val="580E56B7"/>
    <w:multiLevelType w:val="multilevel"/>
    <w:tmpl w:val="FD321F68"/>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5" w15:restartNumberingAfterBreak="0">
    <w:nsid w:val="58933DFC"/>
    <w:multiLevelType w:val="multilevel"/>
    <w:tmpl w:val="3D9CD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6" w15:restartNumberingAfterBreak="0">
    <w:nsid w:val="592B0BC8"/>
    <w:multiLevelType w:val="multilevel"/>
    <w:tmpl w:val="5CFCBC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7" w15:restartNumberingAfterBreak="0">
    <w:nsid w:val="59815FC7"/>
    <w:multiLevelType w:val="multilevel"/>
    <w:tmpl w:val="29169264"/>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8" w15:restartNumberingAfterBreak="0">
    <w:nsid w:val="5A2D2E11"/>
    <w:multiLevelType w:val="multilevel"/>
    <w:tmpl w:val="1850F80C"/>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9" w15:restartNumberingAfterBreak="0">
    <w:nsid w:val="5A855C58"/>
    <w:multiLevelType w:val="multilevel"/>
    <w:tmpl w:val="B47EB948"/>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0" w15:restartNumberingAfterBreak="0">
    <w:nsid w:val="5B3E13DB"/>
    <w:multiLevelType w:val="multilevel"/>
    <w:tmpl w:val="D3004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1" w15:restartNumberingAfterBreak="0">
    <w:nsid w:val="5C706E1C"/>
    <w:multiLevelType w:val="multilevel"/>
    <w:tmpl w:val="0DD03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2" w15:restartNumberingAfterBreak="0">
    <w:nsid w:val="5C9C0B51"/>
    <w:multiLevelType w:val="multilevel"/>
    <w:tmpl w:val="9C9EC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3" w15:restartNumberingAfterBreak="0">
    <w:nsid w:val="5D49007D"/>
    <w:multiLevelType w:val="multilevel"/>
    <w:tmpl w:val="D8360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4" w15:restartNumberingAfterBreak="0">
    <w:nsid w:val="5E1E6DD8"/>
    <w:multiLevelType w:val="multilevel"/>
    <w:tmpl w:val="75F83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5" w15:restartNumberingAfterBreak="0">
    <w:nsid w:val="5EEF4836"/>
    <w:multiLevelType w:val="multilevel"/>
    <w:tmpl w:val="08425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6" w15:restartNumberingAfterBreak="0">
    <w:nsid w:val="5F8E23E7"/>
    <w:multiLevelType w:val="multilevel"/>
    <w:tmpl w:val="FA96EDD6"/>
    <w:lvl w:ilvl="0">
      <w:start w:val="1"/>
      <w:numFmt w:val="bullet"/>
      <w:lvlText w:val="●"/>
      <w:lvlJc w:val="left"/>
      <w:pPr>
        <w:ind w:left="720" w:hanging="360"/>
      </w:pPr>
      <w:rPr>
        <w:color w:val="252525"/>
        <w:u w:val="none"/>
      </w:rPr>
    </w:lvl>
    <w:lvl w:ilvl="1">
      <w:start w:val="1"/>
      <w:numFmt w:val="bullet"/>
      <w:lvlText w:val="●"/>
      <w:lvlJc w:val="left"/>
      <w:pPr>
        <w:ind w:left="1440" w:hanging="360"/>
      </w:pPr>
      <w:rPr>
        <w:color w:val="252525"/>
        <w:u w:val="none"/>
      </w:rPr>
    </w:lvl>
    <w:lvl w:ilvl="2">
      <w:start w:val="1"/>
      <w:numFmt w:val="bullet"/>
      <w:lvlText w:val="○"/>
      <w:lvlJc w:val="left"/>
      <w:pPr>
        <w:ind w:left="2160" w:hanging="360"/>
      </w:pPr>
      <w:rPr>
        <w:color w:val="252525"/>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7" w15:restartNumberingAfterBreak="0">
    <w:nsid w:val="60A7443F"/>
    <w:multiLevelType w:val="multilevel"/>
    <w:tmpl w:val="AC2ED554"/>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8" w15:restartNumberingAfterBreak="0">
    <w:nsid w:val="610B2FE3"/>
    <w:multiLevelType w:val="multilevel"/>
    <w:tmpl w:val="BC44F9DA"/>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9" w15:restartNumberingAfterBreak="0">
    <w:nsid w:val="628C68F4"/>
    <w:multiLevelType w:val="multilevel"/>
    <w:tmpl w:val="6958B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0" w15:restartNumberingAfterBreak="0">
    <w:nsid w:val="62CB5813"/>
    <w:multiLevelType w:val="multilevel"/>
    <w:tmpl w:val="325C6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1" w15:restartNumberingAfterBreak="0">
    <w:nsid w:val="62F34FFE"/>
    <w:multiLevelType w:val="multilevel"/>
    <w:tmpl w:val="0A5CB7C4"/>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2" w15:restartNumberingAfterBreak="0">
    <w:nsid w:val="630E5895"/>
    <w:multiLevelType w:val="multilevel"/>
    <w:tmpl w:val="25163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3" w15:restartNumberingAfterBreak="0">
    <w:nsid w:val="6342256E"/>
    <w:multiLevelType w:val="multilevel"/>
    <w:tmpl w:val="702A7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4" w15:restartNumberingAfterBreak="0">
    <w:nsid w:val="63D11292"/>
    <w:multiLevelType w:val="multilevel"/>
    <w:tmpl w:val="38742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5" w15:restartNumberingAfterBreak="0">
    <w:nsid w:val="63FC097B"/>
    <w:multiLevelType w:val="multilevel"/>
    <w:tmpl w:val="E1C0F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6" w15:restartNumberingAfterBreak="0">
    <w:nsid w:val="640F5C11"/>
    <w:multiLevelType w:val="multilevel"/>
    <w:tmpl w:val="8B8AA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7" w15:restartNumberingAfterBreak="0">
    <w:nsid w:val="645B4678"/>
    <w:multiLevelType w:val="multilevel"/>
    <w:tmpl w:val="48F683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8" w15:restartNumberingAfterBreak="0">
    <w:nsid w:val="64F13C90"/>
    <w:multiLevelType w:val="multilevel"/>
    <w:tmpl w:val="3BBE6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9" w15:restartNumberingAfterBreak="0">
    <w:nsid w:val="65275324"/>
    <w:multiLevelType w:val="multilevel"/>
    <w:tmpl w:val="9A46F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0" w15:restartNumberingAfterBreak="0">
    <w:nsid w:val="65362100"/>
    <w:multiLevelType w:val="multilevel"/>
    <w:tmpl w:val="49D86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1" w15:restartNumberingAfterBreak="0">
    <w:nsid w:val="656D5772"/>
    <w:multiLevelType w:val="multilevel"/>
    <w:tmpl w:val="FDA2B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2" w15:restartNumberingAfterBreak="0">
    <w:nsid w:val="659008F8"/>
    <w:multiLevelType w:val="multilevel"/>
    <w:tmpl w:val="63C299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3" w15:restartNumberingAfterBreak="0">
    <w:nsid w:val="66F45F69"/>
    <w:multiLevelType w:val="multilevel"/>
    <w:tmpl w:val="28082E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4" w15:restartNumberingAfterBreak="0">
    <w:nsid w:val="67795693"/>
    <w:multiLevelType w:val="multilevel"/>
    <w:tmpl w:val="13565062"/>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5" w15:restartNumberingAfterBreak="0">
    <w:nsid w:val="69F34EAF"/>
    <w:multiLevelType w:val="multilevel"/>
    <w:tmpl w:val="BD6C7C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6" w15:restartNumberingAfterBreak="0">
    <w:nsid w:val="6A712DD6"/>
    <w:multiLevelType w:val="multilevel"/>
    <w:tmpl w:val="3732D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7" w15:restartNumberingAfterBreak="0">
    <w:nsid w:val="6CB642B0"/>
    <w:multiLevelType w:val="multilevel"/>
    <w:tmpl w:val="4B709C94"/>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8" w15:restartNumberingAfterBreak="0">
    <w:nsid w:val="6D7E57C1"/>
    <w:multiLevelType w:val="multilevel"/>
    <w:tmpl w:val="B1E8BE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9" w15:restartNumberingAfterBreak="0">
    <w:nsid w:val="6E2C5B84"/>
    <w:multiLevelType w:val="multilevel"/>
    <w:tmpl w:val="4556818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0" w15:restartNumberingAfterBreak="0">
    <w:nsid w:val="7202059B"/>
    <w:multiLevelType w:val="multilevel"/>
    <w:tmpl w:val="8286D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1" w15:restartNumberingAfterBreak="0">
    <w:nsid w:val="72917950"/>
    <w:multiLevelType w:val="multilevel"/>
    <w:tmpl w:val="7BAAC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2" w15:restartNumberingAfterBreak="0">
    <w:nsid w:val="72993322"/>
    <w:multiLevelType w:val="multilevel"/>
    <w:tmpl w:val="B7386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3" w15:restartNumberingAfterBreak="0">
    <w:nsid w:val="733762C1"/>
    <w:multiLevelType w:val="multilevel"/>
    <w:tmpl w:val="B1083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4" w15:restartNumberingAfterBreak="0">
    <w:nsid w:val="73455D2C"/>
    <w:multiLevelType w:val="multilevel"/>
    <w:tmpl w:val="5802D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5" w15:restartNumberingAfterBreak="0">
    <w:nsid w:val="74621BDE"/>
    <w:multiLevelType w:val="multilevel"/>
    <w:tmpl w:val="9740220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6" w15:restartNumberingAfterBreak="0">
    <w:nsid w:val="77997F13"/>
    <w:multiLevelType w:val="multilevel"/>
    <w:tmpl w:val="C15A3F18"/>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7" w15:restartNumberingAfterBreak="0">
    <w:nsid w:val="79737D39"/>
    <w:multiLevelType w:val="multilevel"/>
    <w:tmpl w:val="7102E800"/>
    <w:lvl w:ilvl="0">
      <w:start w:val="1"/>
      <w:numFmt w:val="decimal"/>
      <w:lvlText w:val="%1."/>
      <w:lvlJc w:val="left"/>
      <w:pPr>
        <w:ind w:left="720" w:hanging="360"/>
      </w:pPr>
      <w:rPr>
        <w:color w:val="2525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8" w15:restartNumberingAfterBreak="0">
    <w:nsid w:val="79BD2810"/>
    <w:multiLevelType w:val="multilevel"/>
    <w:tmpl w:val="46CA2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9" w15:restartNumberingAfterBreak="0">
    <w:nsid w:val="79D35CEB"/>
    <w:multiLevelType w:val="multilevel"/>
    <w:tmpl w:val="C6CE7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0" w15:restartNumberingAfterBreak="0">
    <w:nsid w:val="7A154AEA"/>
    <w:multiLevelType w:val="multilevel"/>
    <w:tmpl w:val="8A6CBD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1" w15:restartNumberingAfterBreak="0">
    <w:nsid w:val="7B9D17C6"/>
    <w:multiLevelType w:val="multilevel"/>
    <w:tmpl w:val="7F1A7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2" w15:restartNumberingAfterBreak="0">
    <w:nsid w:val="7C43610C"/>
    <w:multiLevelType w:val="multilevel"/>
    <w:tmpl w:val="A1BAF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3" w15:restartNumberingAfterBreak="0">
    <w:nsid w:val="7CAC1CD5"/>
    <w:multiLevelType w:val="multilevel"/>
    <w:tmpl w:val="BDA4AD56"/>
    <w:lvl w:ilvl="0">
      <w:start w:val="1"/>
      <w:numFmt w:val="bullet"/>
      <w:lvlText w:val="■"/>
      <w:lvlJc w:val="left"/>
      <w:pPr>
        <w:ind w:left="720" w:hanging="360"/>
      </w:pPr>
      <w:rPr>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4" w15:restartNumberingAfterBreak="0">
    <w:nsid w:val="7CCC7E6A"/>
    <w:multiLevelType w:val="multilevel"/>
    <w:tmpl w:val="E1901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5" w15:restartNumberingAfterBreak="0">
    <w:nsid w:val="7CEE13BE"/>
    <w:multiLevelType w:val="multilevel"/>
    <w:tmpl w:val="02C81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6" w15:restartNumberingAfterBreak="0">
    <w:nsid w:val="7E2475CA"/>
    <w:multiLevelType w:val="multilevel"/>
    <w:tmpl w:val="30F2FE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7" w15:restartNumberingAfterBreak="0">
    <w:nsid w:val="7E2D62C5"/>
    <w:multiLevelType w:val="multilevel"/>
    <w:tmpl w:val="C2442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8" w15:restartNumberingAfterBreak="0">
    <w:nsid w:val="7E7D4B7B"/>
    <w:multiLevelType w:val="multilevel"/>
    <w:tmpl w:val="FB5A3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9" w15:restartNumberingAfterBreak="0">
    <w:nsid w:val="7E8E626D"/>
    <w:multiLevelType w:val="multilevel"/>
    <w:tmpl w:val="787CB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0" w15:restartNumberingAfterBreak="0">
    <w:nsid w:val="7E986F64"/>
    <w:multiLevelType w:val="multilevel"/>
    <w:tmpl w:val="40E2AC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1" w15:restartNumberingAfterBreak="0">
    <w:nsid w:val="7EC51E80"/>
    <w:multiLevelType w:val="multilevel"/>
    <w:tmpl w:val="8FA07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2" w15:restartNumberingAfterBreak="0">
    <w:nsid w:val="7F3C6971"/>
    <w:multiLevelType w:val="multilevel"/>
    <w:tmpl w:val="C8725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9669242">
    <w:abstractNumId w:val="23"/>
  </w:num>
  <w:num w:numId="2" w16cid:durableId="1388142721">
    <w:abstractNumId w:val="39"/>
  </w:num>
  <w:num w:numId="3" w16cid:durableId="1974631491">
    <w:abstractNumId w:val="103"/>
  </w:num>
  <w:num w:numId="4" w16cid:durableId="1531336503">
    <w:abstractNumId w:val="147"/>
  </w:num>
  <w:num w:numId="5" w16cid:durableId="824783200">
    <w:abstractNumId w:val="177"/>
  </w:num>
  <w:num w:numId="6" w16cid:durableId="2060202508">
    <w:abstractNumId w:val="135"/>
  </w:num>
  <w:num w:numId="7" w16cid:durableId="1177424416">
    <w:abstractNumId w:val="68"/>
  </w:num>
  <w:num w:numId="8" w16cid:durableId="2055152985">
    <w:abstractNumId w:val="116"/>
  </w:num>
  <w:num w:numId="9" w16cid:durableId="13966433">
    <w:abstractNumId w:val="143"/>
  </w:num>
  <w:num w:numId="10" w16cid:durableId="1663504742">
    <w:abstractNumId w:val="60"/>
  </w:num>
  <w:num w:numId="11" w16cid:durableId="810562746">
    <w:abstractNumId w:val="130"/>
  </w:num>
  <w:num w:numId="12" w16cid:durableId="2072724408">
    <w:abstractNumId w:val="108"/>
  </w:num>
  <w:num w:numId="13" w16cid:durableId="433525331">
    <w:abstractNumId w:val="182"/>
  </w:num>
  <w:num w:numId="14" w16cid:durableId="631639565">
    <w:abstractNumId w:val="1"/>
  </w:num>
  <w:num w:numId="15" w16cid:durableId="1141187490">
    <w:abstractNumId w:val="59"/>
  </w:num>
  <w:num w:numId="16" w16cid:durableId="682367589">
    <w:abstractNumId w:val="37"/>
  </w:num>
  <w:num w:numId="17" w16cid:durableId="1013149010">
    <w:abstractNumId w:val="136"/>
  </w:num>
  <w:num w:numId="18" w16cid:durableId="618685646">
    <w:abstractNumId w:val="121"/>
  </w:num>
  <w:num w:numId="19" w16cid:durableId="111631795">
    <w:abstractNumId w:val="0"/>
  </w:num>
  <w:num w:numId="20" w16cid:durableId="1532106283">
    <w:abstractNumId w:val="122"/>
  </w:num>
  <w:num w:numId="21" w16cid:durableId="924799239">
    <w:abstractNumId w:val="36"/>
  </w:num>
  <w:num w:numId="22" w16cid:durableId="1092118008">
    <w:abstractNumId w:val="117"/>
  </w:num>
  <w:num w:numId="23" w16cid:durableId="796989498">
    <w:abstractNumId w:val="128"/>
  </w:num>
  <w:num w:numId="24" w16cid:durableId="238904237">
    <w:abstractNumId w:val="74"/>
  </w:num>
  <w:num w:numId="25" w16cid:durableId="952707819">
    <w:abstractNumId w:val="81"/>
  </w:num>
  <w:num w:numId="26" w16cid:durableId="725690557">
    <w:abstractNumId w:val="173"/>
  </w:num>
  <w:num w:numId="27" w16cid:durableId="44455429">
    <w:abstractNumId w:val="119"/>
  </w:num>
  <w:num w:numId="28" w16cid:durableId="913854906">
    <w:abstractNumId w:val="118"/>
  </w:num>
  <w:num w:numId="29" w16cid:durableId="26561922">
    <w:abstractNumId w:val="41"/>
  </w:num>
  <w:num w:numId="30" w16cid:durableId="1117482901">
    <w:abstractNumId w:val="154"/>
  </w:num>
  <w:num w:numId="31" w16cid:durableId="549533579">
    <w:abstractNumId w:val="62"/>
  </w:num>
  <w:num w:numId="32" w16cid:durableId="35132007">
    <w:abstractNumId w:val="153"/>
  </w:num>
  <w:num w:numId="33" w16cid:durableId="851726092">
    <w:abstractNumId w:val="109"/>
  </w:num>
  <w:num w:numId="34" w16cid:durableId="978992581">
    <w:abstractNumId w:val="142"/>
  </w:num>
  <w:num w:numId="35" w16cid:durableId="1877430661">
    <w:abstractNumId w:val="16"/>
  </w:num>
  <w:num w:numId="36" w16cid:durableId="805972290">
    <w:abstractNumId w:val="6"/>
  </w:num>
  <w:num w:numId="37" w16cid:durableId="1389763988">
    <w:abstractNumId w:val="66"/>
  </w:num>
  <w:num w:numId="38" w16cid:durableId="2037537797">
    <w:abstractNumId w:val="169"/>
  </w:num>
  <w:num w:numId="39" w16cid:durableId="1406028876">
    <w:abstractNumId w:val="18"/>
  </w:num>
  <w:num w:numId="40" w16cid:durableId="582181468">
    <w:abstractNumId w:val="49"/>
  </w:num>
  <w:num w:numId="41" w16cid:durableId="1067193803">
    <w:abstractNumId w:val="112"/>
  </w:num>
  <w:num w:numId="42" w16cid:durableId="1030959298">
    <w:abstractNumId w:val="11"/>
  </w:num>
  <w:num w:numId="43" w16cid:durableId="1195116314">
    <w:abstractNumId w:val="38"/>
  </w:num>
  <w:num w:numId="44" w16cid:durableId="321397633">
    <w:abstractNumId w:val="8"/>
  </w:num>
  <w:num w:numId="45" w16cid:durableId="1128939544">
    <w:abstractNumId w:val="20"/>
  </w:num>
  <w:num w:numId="46" w16cid:durableId="197746565">
    <w:abstractNumId w:val="87"/>
  </w:num>
  <w:num w:numId="47" w16cid:durableId="1068965267">
    <w:abstractNumId w:val="120"/>
  </w:num>
  <w:num w:numId="48" w16cid:durableId="1200632976">
    <w:abstractNumId w:val="30"/>
  </w:num>
  <w:num w:numId="49" w16cid:durableId="1037312002">
    <w:abstractNumId w:val="76"/>
  </w:num>
  <w:num w:numId="50" w16cid:durableId="394739664">
    <w:abstractNumId w:val="67"/>
  </w:num>
  <w:num w:numId="51" w16cid:durableId="1092315757">
    <w:abstractNumId w:val="5"/>
  </w:num>
  <w:num w:numId="52" w16cid:durableId="655576829">
    <w:abstractNumId w:val="34"/>
  </w:num>
  <w:num w:numId="53" w16cid:durableId="178855905">
    <w:abstractNumId w:val="35"/>
  </w:num>
  <w:num w:numId="54" w16cid:durableId="954171314">
    <w:abstractNumId w:val="70"/>
  </w:num>
  <w:num w:numId="55" w16cid:durableId="808130127">
    <w:abstractNumId w:val="46"/>
  </w:num>
  <w:num w:numId="56" w16cid:durableId="299000272">
    <w:abstractNumId w:val="131"/>
  </w:num>
  <w:num w:numId="57" w16cid:durableId="768934481">
    <w:abstractNumId w:val="21"/>
  </w:num>
  <w:num w:numId="58" w16cid:durableId="106043306">
    <w:abstractNumId w:val="180"/>
  </w:num>
  <w:num w:numId="59" w16cid:durableId="431977554">
    <w:abstractNumId w:val="170"/>
  </w:num>
  <w:num w:numId="60" w16cid:durableId="990255427">
    <w:abstractNumId w:val="28"/>
  </w:num>
  <w:num w:numId="61" w16cid:durableId="1521821802">
    <w:abstractNumId w:val="50"/>
  </w:num>
  <w:num w:numId="62" w16cid:durableId="509415383">
    <w:abstractNumId w:val="84"/>
  </w:num>
  <w:num w:numId="63" w16cid:durableId="1674255529">
    <w:abstractNumId w:val="42"/>
  </w:num>
  <w:num w:numId="64" w16cid:durableId="747926310">
    <w:abstractNumId w:val="152"/>
  </w:num>
  <w:num w:numId="65" w16cid:durableId="1351834794">
    <w:abstractNumId w:val="65"/>
  </w:num>
  <w:num w:numId="66" w16cid:durableId="1118833110">
    <w:abstractNumId w:val="9"/>
  </w:num>
  <w:num w:numId="67" w16cid:durableId="11952963">
    <w:abstractNumId w:val="14"/>
  </w:num>
  <w:num w:numId="68" w16cid:durableId="1901821902">
    <w:abstractNumId w:val="27"/>
  </w:num>
  <w:num w:numId="69" w16cid:durableId="1629582552">
    <w:abstractNumId w:val="43"/>
  </w:num>
  <w:num w:numId="70" w16cid:durableId="1331253515">
    <w:abstractNumId w:val="150"/>
  </w:num>
  <w:num w:numId="71" w16cid:durableId="286621112">
    <w:abstractNumId w:val="124"/>
  </w:num>
  <w:num w:numId="72" w16cid:durableId="1035040673">
    <w:abstractNumId w:val="29"/>
  </w:num>
  <w:num w:numId="73" w16cid:durableId="1041595315">
    <w:abstractNumId w:val="172"/>
  </w:num>
  <w:num w:numId="74" w16cid:durableId="1291474208">
    <w:abstractNumId w:val="31"/>
  </w:num>
  <w:num w:numId="75" w16cid:durableId="1728726508">
    <w:abstractNumId w:val="168"/>
  </w:num>
  <w:num w:numId="76" w16cid:durableId="1020859653">
    <w:abstractNumId w:val="137"/>
  </w:num>
  <w:num w:numId="77" w16cid:durableId="526723408">
    <w:abstractNumId w:val="158"/>
  </w:num>
  <w:num w:numId="78" w16cid:durableId="585503238">
    <w:abstractNumId w:val="85"/>
  </w:num>
  <w:num w:numId="79" w16cid:durableId="350379648">
    <w:abstractNumId w:val="123"/>
  </w:num>
  <w:num w:numId="80" w16cid:durableId="240867852">
    <w:abstractNumId w:val="101"/>
  </w:num>
  <w:num w:numId="81" w16cid:durableId="1405490008">
    <w:abstractNumId w:val="45"/>
  </w:num>
  <w:num w:numId="82" w16cid:durableId="1457482932">
    <w:abstractNumId w:val="75"/>
  </w:num>
  <w:num w:numId="83" w16cid:durableId="244341490">
    <w:abstractNumId w:val="166"/>
  </w:num>
  <w:num w:numId="84" w16cid:durableId="776215416">
    <w:abstractNumId w:val="79"/>
  </w:num>
  <w:num w:numId="85" w16cid:durableId="130631908">
    <w:abstractNumId w:val="33"/>
  </w:num>
  <w:num w:numId="86" w16cid:durableId="414744393">
    <w:abstractNumId w:val="167"/>
  </w:num>
  <w:num w:numId="87" w16cid:durableId="1492258814">
    <w:abstractNumId w:val="164"/>
  </w:num>
  <w:num w:numId="88" w16cid:durableId="1039624620">
    <w:abstractNumId w:val="90"/>
  </w:num>
  <w:num w:numId="89" w16cid:durableId="1172067586">
    <w:abstractNumId w:val="98"/>
  </w:num>
  <w:num w:numId="90" w16cid:durableId="1974941050">
    <w:abstractNumId w:val="82"/>
  </w:num>
  <w:num w:numId="91" w16cid:durableId="1489007569">
    <w:abstractNumId w:val="163"/>
  </w:num>
  <w:num w:numId="92" w16cid:durableId="2014990259">
    <w:abstractNumId w:val="13"/>
  </w:num>
  <w:num w:numId="93" w16cid:durableId="1051227410">
    <w:abstractNumId w:val="55"/>
  </w:num>
  <w:num w:numId="94" w16cid:durableId="214969682">
    <w:abstractNumId w:val="113"/>
  </w:num>
  <w:num w:numId="95" w16cid:durableId="1360545994">
    <w:abstractNumId w:val="106"/>
  </w:num>
  <w:num w:numId="96" w16cid:durableId="950011151">
    <w:abstractNumId w:val="2"/>
  </w:num>
  <w:num w:numId="97" w16cid:durableId="1089615969">
    <w:abstractNumId w:val="94"/>
  </w:num>
  <w:num w:numId="98" w16cid:durableId="665015135">
    <w:abstractNumId w:val="134"/>
  </w:num>
  <w:num w:numId="99" w16cid:durableId="570114373">
    <w:abstractNumId w:val="127"/>
  </w:num>
  <w:num w:numId="100" w16cid:durableId="1120303720">
    <w:abstractNumId w:val="19"/>
  </w:num>
  <w:num w:numId="101" w16cid:durableId="750348307">
    <w:abstractNumId w:val="148"/>
  </w:num>
  <w:num w:numId="102" w16cid:durableId="1869756740">
    <w:abstractNumId w:val="63"/>
  </w:num>
  <w:num w:numId="103" w16cid:durableId="815143859">
    <w:abstractNumId w:val="83"/>
  </w:num>
  <w:num w:numId="104" w16cid:durableId="1380785299">
    <w:abstractNumId w:val="51"/>
  </w:num>
  <w:num w:numId="105" w16cid:durableId="1786540340">
    <w:abstractNumId w:val="58"/>
  </w:num>
  <w:num w:numId="106" w16cid:durableId="605428375">
    <w:abstractNumId w:val="10"/>
  </w:num>
  <w:num w:numId="107" w16cid:durableId="1057631196">
    <w:abstractNumId w:val="165"/>
  </w:num>
  <w:num w:numId="108" w16cid:durableId="1124693423">
    <w:abstractNumId w:val="56"/>
  </w:num>
  <w:num w:numId="109" w16cid:durableId="212084271">
    <w:abstractNumId w:val="159"/>
  </w:num>
  <w:num w:numId="110" w16cid:durableId="496194755">
    <w:abstractNumId w:val="138"/>
  </w:num>
  <w:num w:numId="111" w16cid:durableId="191378785">
    <w:abstractNumId w:val="47"/>
  </w:num>
  <w:num w:numId="112" w16cid:durableId="74474283">
    <w:abstractNumId w:val="102"/>
  </w:num>
  <w:num w:numId="113" w16cid:durableId="1114984061">
    <w:abstractNumId w:val="115"/>
  </w:num>
  <w:num w:numId="114" w16cid:durableId="1301614997">
    <w:abstractNumId w:val="171"/>
  </w:num>
  <w:num w:numId="115" w16cid:durableId="576284818">
    <w:abstractNumId w:val="53"/>
  </w:num>
  <w:num w:numId="116" w16cid:durableId="1675186744">
    <w:abstractNumId w:val="176"/>
  </w:num>
  <w:num w:numId="117" w16cid:durableId="2020500444">
    <w:abstractNumId w:val="146"/>
  </w:num>
  <w:num w:numId="118" w16cid:durableId="746878157">
    <w:abstractNumId w:val="7"/>
  </w:num>
  <w:num w:numId="119" w16cid:durableId="923152161">
    <w:abstractNumId w:val="52"/>
  </w:num>
  <w:num w:numId="120" w16cid:durableId="1369793785">
    <w:abstractNumId w:val="4"/>
  </w:num>
  <w:num w:numId="121" w16cid:durableId="2030375553">
    <w:abstractNumId w:val="99"/>
  </w:num>
  <w:num w:numId="122" w16cid:durableId="162210484">
    <w:abstractNumId w:val="139"/>
  </w:num>
  <w:num w:numId="123" w16cid:durableId="2091072656">
    <w:abstractNumId w:val="86"/>
  </w:num>
  <w:num w:numId="124" w16cid:durableId="265120514">
    <w:abstractNumId w:val="107"/>
  </w:num>
  <w:num w:numId="125" w16cid:durableId="1872063639">
    <w:abstractNumId w:val="61"/>
  </w:num>
  <w:num w:numId="126" w16cid:durableId="641546553">
    <w:abstractNumId w:val="77"/>
  </w:num>
  <w:num w:numId="127" w16cid:durableId="2071297238">
    <w:abstractNumId w:val="178"/>
  </w:num>
  <w:num w:numId="128" w16cid:durableId="2097440063">
    <w:abstractNumId w:val="125"/>
  </w:num>
  <w:num w:numId="129" w16cid:durableId="1586838109">
    <w:abstractNumId w:val="71"/>
  </w:num>
  <w:num w:numId="130" w16cid:durableId="1090155251">
    <w:abstractNumId w:val="92"/>
  </w:num>
  <w:num w:numId="131" w16cid:durableId="341933828">
    <w:abstractNumId w:val="48"/>
  </w:num>
  <w:num w:numId="132" w16cid:durableId="2127724497">
    <w:abstractNumId w:val="110"/>
  </w:num>
  <w:num w:numId="133" w16cid:durableId="1146119971">
    <w:abstractNumId w:val="80"/>
  </w:num>
  <w:num w:numId="134" w16cid:durableId="2126725850">
    <w:abstractNumId w:val="40"/>
  </w:num>
  <w:num w:numId="135" w16cid:durableId="1122385061">
    <w:abstractNumId w:val="96"/>
  </w:num>
  <w:num w:numId="136" w16cid:durableId="954990738">
    <w:abstractNumId w:val="26"/>
  </w:num>
  <w:num w:numId="137" w16cid:durableId="346644175">
    <w:abstractNumId w:val="126"/>
  </w:num>
  <w:num w:numId="138" w16cid:durableId="2131821239">
    <w:abstractNumId w:val="91"/>
  </w:num>
  <w:num w:numId="139" w16cid:durableId="1725326914">
    <w:abstractNumId w:val="69"/>
  </w:num>
  <w:num w:numId="140" w16cid:durableId="1170172310">
    <w:abstractNumId w:val="88"/>
  </w:num>
  <w:num w:numId="141" w16cid:durableId="2143308898">
    <w:abstractNumId w:val="104"/>
  </w:num>
  <w:num w:numId="142" w16cid:durableId="2132935471">
    <w:abstractNumId w:val="114"/>
  </w:num>
  <w:num w:numId="143" w16cid:durableId="1209150632">
    <w:abstractNumId w:val="24"/>
  </w:num>
  <w:num w:numId="144" w16cid:durableId="1719088366">
    <w:abstractNumId w:val="149"/>
  </w:num>
  <w:num w:numId="145" w16cid:durableId="1544827632">
    <w:abstractNumId w:val="72"/>
  </w:num>
  <w:num w:numId="146" w16cid:durableId="1474524903">
    <w:abstractNumId w:val="157"/>
  </w:num>
  <w:num w:numId="147" w16cid:durableId="1142162649">
    <w:abstractNumId w:val="129"/>
  </w:num>
  <w:num w:numId="148" w16cid:durableId="971397909">
    <w:abstractNumId w:val="97"/>
  </w:num>
  <w:num w:numId="149" w16cid:durableId="525363900">
    <w:abstractNumId w:val="78"/>
  </w:num>
  <w:num w:numId="150" w16cid:durableId="2093046988">
    <w:abstractNumId w:val="12"/>
  </w:num>
  <w:num w:numId="151" w16cid:durableId="1195387271">
    <w:abstractNumId w:val="22"/>
  </w:num>
  <w:num w:numId="152" w16cid:durableId="127434276">
    <w:abstractNumId w:val="100"/>
  </w:num>
  <w:num w:numId="153" w16cid:durableId="1896047225">
    <w:abstractNumId w:val="3"/>
  </w:num>
  <w:num w:numId="154" w16cid:durableId="1975791161">
    <w:abstractNumId w:val="181"/>
  </w:num>
  <w:num w:numId="155" w16cid:durableId="2075227974">
    <w:abstractNumId w:val="17"/>
  </w:num>
  <w:num w:numId="156" w16cid:durableId="121849619">
    <w:abstractNumId w:val="32"/>
  </w:num>
  <w:num w:numId="157" w16cid:durableId="1570111562">
    <w:abstractNumId w:val="156"/>
  </w:num>
  <w:num w:numId="158" w16cid:durableId="1458258753">
    <w:abstractNumId w:val="160"/>
  </w:num>
  <w:num w:numId="159" w16cid:durableId="1750233009">
    <w:abstractNumId w:val="111"/>
  </w:num>
  <w:num w:numId="160" w16cid:durableId="701638959">
    <w:abstractNumId w:val="73"/>
  </w:num>
  <w:num w:numId="161" w16cid:durableId="422456607">
    <w:abstractNumId w:val="141"/>
  </w:num>
  <w:num w:numId="162" w16cid:durableId="753356504">
    <w:abstractNumId w:val="15"/>
  </w:num>
  <w:num w:numId="163" w16cid:durableId="124390551">
    <w:abstractNumId w:val="174"/>
  </w:num>
  <w:num w:numId="164" w16cid:durableId="909117478">
    <w:abstractNumId w:val="140"/>
  </w:num>
  <w:num w:numId="165" w16cid:durableId="1361473004">
    <w:abstractNumId w:val="151"/>
  </w:num>
  <w:num w:numId="166" w16cid:durableId="949094134">
    <w:abstractNumId w:val="105"/>
  </w:num>
  <w:num w:numId="167" w16cid:durableId="1153982232">
    <w:abstractNumId w:val="145"/>
  </w:num>
  <w:num w:numId="168" w16cid:durableId="1577858594">
    <w:abstractNumId w:val="89"/>
  </w:num>
  <w:num w:numId="169" w16cid:durableId="37318574">
    <w:abstractNumId w:val="44"/>
  </w:num>
  <w:num w:numId="170" w16cid:durableId="1007056376">
    <w:abstractNumId w:val="179"/>
  </w:num>
  <w:num w:numId="171" w16cid:durableId="57411009">
    <w:abstractNumId w:val="133"/>
  </w:num>
  <w:num w:numId="172" w16cid:durableId="1742438022">
    <w:abstractNumId w:val="161"/>
  </w:num>
  <w:num w:numId="173" w16cid:durableId="576673663">
    <w:abstractNumId w:val="64"/>
  </w:num>
  <w:num w:numId="174" w16cid:durableId="2077238178">
    <w:abstractNumId w:val="162"/>
  </w:num>
  <w:num w:numId="175" w16cid:durableId="652805343">
    <w:abstractNumId w:val="175"/>
  </w:num>
  <w:num w:numId="176" w16cid:durableId="370889159">
    <w:abstractNumId w:val="25"/>
  </w:num>
  <w:num w:numId="177" w16cid:durableId="122159931">
    <w:abstractNumId w:val="95"/>
  </w:num>
  <w:num w:numId="178" w16cid:durableId="260068436">
    <w:abstractNumId w:val="57"/>
  </w:num>
  <w:num w:numId="179" w16cid:durableId="1870531773">
    <w:abstractNumId w:val="93"/>
  </w:num>
  <w:num w:numId="180" w16cid:durableId="1534418540">
    <w:abstractNumId w:val="144"/>
  </w:num>
  <w:num w:numId="181" w16cid:durableId="664628373">
    <w:abstractNumId w:val="155"/>
  </w:num>
  <w:num w:numId="182" w16cid:durableId="1334600165">
    <w:abstractNumId w:val="54"/>
  </w:num>
  <w:num w:numId="183" w16cid:durableId="1317807164">
    <w:abstractNumId w:val="1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0E2"/>
    <w:rsid w:val="002530E2"/>
    <w:rsid w:val="00300E3A"/>
    <w:rsid w:val="00351559"/>
    <w:rsid w:val="00401ED9"/>
    <w:rsid w:val="007D52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37C6A"/>
  <w15:chartTrackingRefBased/>
  <w15:docId w15:val="{E2281B05-D5D2-4AF2-AF4D-4E96D609F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0E2"/>
    <w:pPr>
      <w:keepNext/>
      <w:keepLines/>
      <w:spacing w:before="400" w:after="240" w:line="432" w:lineRule="auto"/>
      <w:outlineLvl w:val="0"/>
    </w:pPr>
    <w:rPr>
      <w:rFonts w:ascii="Book Antiqua" w:eastAsia="Book Antiqua" w:hAnsi="Book Antiqua" w:cs="Book Antiqua"/>
      <w:kern w:val="0"/>
      <w:sz w:val="28"/>
      <w:szCs w:val="28"/>
      <w:lang w:val=""/>
      <w14:ligatures w14:val="none"/>
    </w:rPr>
  </w:style>
  <w:style w:type="paragraph" w:styleId="Heading2">
    <w:name w:val="heading 2"/>
    <w:basedOn w:val="Normal"/>
    <w:next w:val="Normal"/>
    <w:link w:val="Heading2Char"/>
    <w:uiPriority w:val="9"/>
    <w:unhideWhenUsed/>
    <w:qFormat/>
    <w:rsid w:val="002530E2"/>
    <w:pPr>
      <w:keepNext/>
      <w:keepLines/>
      <w:spacing w:before="400" w:after="240" w:line="432" w:lineRule="auto"/>
      <w:outlineLvl w:val="1"/>
    </w:pPr>
    <w:rPr>
      <w:rFonts w:ascii="Book Antiqua" w:eastAsia="Book Antiqua" w:hAnsi="Book Antiqua" w:cs="Book Antiqua"/>
      <w:kern w:val="0"/>
      <w:sz w:val="24"/>
      <w:szCs w:val="24"/>
      <w:lang w:val=""/>
      <w14:ligatures w14:val="none"/>
    </w:rPr>
  </w:style>
  <w:style w:type="paragraph" w:styleId="Heading3">
    <w:name w:val="heading 3"/>
    <w:basedOn w:val="Normal"/>
    <w:next w:val="Normal"/>
    <w:link w:val="Heading3Char"/>
    <w:uiPriority w:val="9"/>
    <w:unhideWhenUsed/>
    <w:qFormat/>
    <w:rsid w:val="002530E2"/>
    <w:pPr>
      <w:keepNext/>
      <w:keepLines/>
      <w:spacing w:before="300" w:after="200" w:line="360" w:lineRule="auto"/>
      <w:outlineLvl w:val="2"/>
    </w:pPr>
    <w:rPr>
      <w:rFonts w:ascii="Book Antiqua" w:eastAsia="Book Antiqua" w:hAnsi="Book Antiqua" w:cs="Book Antiqua"/>
      <w:kern w:val="0"/>
      <w14:ligatures w14:val="none"/>
    </w:rPr>
  </w:style>
  <w:style w:type="paragraph" w:styleId="Heading4">
    <w:name w:val="heading 4"/>
    <w:basedOn w:val="Normal"/>
    <w:next w:val="Normal"/>
    <w:link w:val="Heading4Char"/>
    <w:uiPriority w:val="9"/>
    <w:unhideWhenUsed/>
    <w:qFormat/>
    <w:rsid w:val="002530E2"/>
    <w:pPr>
      <w:keepNext/>
      <w:keepLines/>
      <w:spacing w:before="240" w:after="0" w:line="432" w:lineRule="auto"/>
      <w:ind w:left="720"/>
      <w:jc w:val="center"/>
      <w:outlineLvl w:val="3"/>
    </w:pPr>
    <w:rPr>
      <w:rFonts w:ascii="Book Antiqua" w:eastAsia="Book Antiqua" w:hAnsi="Book Antiqua" w:cs="Book Antiqua"/>
      <w:color w:val="1155CC"/>
      <w:kern w:val="0"/>
      <w:sz w:val="18"/>
      <w:szCs w:val="18"/>
      <w:lang w:val=""/>
      <w14:ligatures w14:val="none"/>
    </w:rPr>
  </w:style>
  <w:style w:type="paragraph" w:styleId="Heading5">
    <w:name w:val="heading 5"/>
    <w:basedOn w:val="Normal"/>
    <w:next w:val="Normal"/>
    <w:link w:val="Heading5Char"/>
    <w:uiPriority w:val="9"/>
    <w:unhideWhenUsed/>
    <w:qFormat/>
    <w:rsid w:val="002530E2"/>
    <w:pPr>
      <w:keepNext/>
      <w:keepLines/>
      <w:spacing w:before="240" w:after="80" w:line="360" w:lineRule="auto"/>
      <w:jc w:val="both"/>
      <w:outlineLvl w:val="4"/>
    </w:pPr>
    <w:rPr>
      <w:rFonts w:ascii="Book Antiqua" w:eastAsia="Book Antiqua" w:hAnsi="Book Antiqua" w:cs="Book Antiqua"/>
      <w:color w:val="666666"/>
      <w:kern w:val="0"/>
      <w14:ligatures w14:val="none"/>
    </w:rPr>
  </w:style>
  <w:style w:type="paragraph" w:styleId="Heading6">
    <w:name w:val="heading 6"/>
    <w:basedOn w:val="Normal"/>
    <w:next w:val="Normal"/>
    <w:link w:val="Heading6Char"/>
    <w:uiPriority w:val="9"/>
    <w:semiHidden/>
    <w:unhideWhenUsed/>
    <w:qFormat/>
    <w:rsid w:val="002530E2"/>
    <w:pPr>
      <w:keepNext/>
      <w:keepLines/>
      <w:spacing w:before="240" w:after="80" w:line="360" w:lineRule="auto"/>
      <w:jc w:val="both"/>
      <w:outlineLvl w:val="5"/>
    </w:pPr>
    <w:rPr>
      <w:rFonts w:ascii="Book Antiqua" w:eastAsia="Book Antiqua" w:hAnsi="Book Antiqua" w:cs="Book Antiqua"/>
      <w:i/>
      <w:color w:val="666666"/>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0E2"/>
    <w:rPr>
      <w:rFonts w:ascii="Book Antiqua" w:eastAsia="Book Antiqua" w:hAnsi="Book Antiqua" w:cs="Book Antiqua"/>
      <w:kern w:val="0"/>
      <w:sz w:val="28"/>
      <w:szCs w:val="28"/>
      <w:lang w:val=""/>
      <w14:ligatures w14:val="none"/>
    </w:rPr>
  </w:style>
  <w:style w:type="character" w:customStyle="1" w:styleId="Heading4Char">
    <w:name w:val="Heading 4 Char"/>
    <w:basedOn w:val="DefaultParagraphFont"/>
    <w:link w:val="Heading4"/>
    <w:uiPriority w:val="9"/>
    <w:rsid w:val="002530E2"/>
    <w:rPr>
      <w:rFonts w:ascii="Book Antiqua" w:eastAsia="Book Antiqua" w:hAnsi="Book Antiqua" w:cs="Book Antiqua"/>
      <w:color w:val="1155CC"/>
      <w:kern w:val="0"/>
      <w:sz w:val="18"/>
      <w:szCs w:val="18"/>
      <w:lang w:val=""/>
      <w14:ligatures w14:val="none"/>
    </w:rPr>
  </w:style>
  <w:style w:type="character" w:customStyle="1" w:styleId="Heading2Char">
    <w:name w:val="Heading 2 Char"/>
    <w:basedOn w:val="DefaultParagraphFont"/>
    <w:link w:val="Heading2"/>
    <w:uiPriority w:val="9"/>
    <w:rsid w:val="002530E2"/>
    <w:rPr>
      <w:rFonts w:ascii="Book Antiqua" w:eastAsia="Book Antiqua" w:hAnsi="Book Antiqua" w:cs="Book Antiqua"/>
      <w:kern w:val="0"/>
      <w:sz w:val="24"/>
      <w:szCs w:val="24"/>
      <w:lang w:val=""/>
      <w14:ligatures w14:val="none"/>
    </w:rPr>
  </w:style>
  <w:style w:type="character" w:customStyle="1" w:styleId="Heading3Char">
    <w:name w:val="Heading 3 Char"/>
    <w:basedOn w:val="DefaultParagraphFont"/>
    <w:link w:val="Heading3"/>
    <w:uiPriority w:val="9"/>
    <w:rsid w:val="002530E2"/>
    <w:rPr>
      <w:rFonts w:ascii="Book Antiqua" w:eastAsia="Book Antiqua" w:hAnsi="Book Antiqua" w:cs="Book Antiqua"/>
      <w:kern w:val="0"/>
      <w14:ligatures w14:val="none"/>
    </w:rPr>
  </w:style>
  <w:style w:type="character" w:customStyle="1" w:styleId="Heading5Char">
    <w:name w:val="Heading 5 Char"/>
    <w:basedOn w:val="DefaultParagraphFont"/>
    <w:link w:val="Heading5"/>
    <w:uiPriority w:val="9"/>
    <w:rsid w:val="002530E2"/>
    <w:rPr>
      <w:rFonts w:ascii="Book Antiqua" w:eastAsia="Book Antiqua" w:hAnsi="Book Antiqua" w:cs="Book Antiqua"/>
      <w:color w:val="666666"/>
      <w:kern w:val="0"/>
      <w14:ligatures w14:val="none"/>
    </w:rPr>
  </w:style>
  <w:style w:type="character" w:customStyle="1" w:styleId="Heading6Char">
    <w:name w:val="Heading 6 Char"/>
    <w:basedOn w:val="DefaultParagraphFont"/>
    <w:link w:val="Heading6"/>
    <w:uiPriority w:val="9"/>
    <w:semiHidden/>
    <w:rsid w:val="002530E2"/>
    <w:rPr>
      <w:rFonts w:ascii="Book Antiqua" w:eastAsia="Book Antiqua" w:hAnsi="Book Antiqua" w:cs="Book Antiqua"/>
      <w:i/>
      <w:color w:val="666666"/>
      <w:kern w:val="0"/>
      <w14:ligatures w14:val="none"/>
    </w:rPr>
  </w:style>
  <w:style w:type="paragraph" w:styleId="Title">
    <w:name w:val="Title"/>
    <w:basedOn w:val="Normal"/>
    <w:next w:val="Normal"/>
    <w:link w:val="TitleChar"/>
    <w:uiPriority w:val="10"/>
    <w:qFormat/>
    <w:rsid w:val="002530E2"/>
    <w:pPr>
      <w:keepNext/>
      <w:keepLines/>
      <w:spacing w:after="200" w:line="720" w:lineRule="auto"/>
    </w:pPr>
    <w:rPr>
      <w:rFonts w:ascii="Book Antiqua" w:eastAsia="Book Antiqua" w:hAnsi="Book Antiqua" w:cs="Book Antiqua"/>
      <w:kern w:val="0"/>
      <w:sz w:val="40"/>
      <w:szCs w:val="40"/>
      <w14:ligatures w14:val="none"/>
    </w:rPr>
  </w:style>
  <w:style w:type="character" w:customStyle="1" w:styleId="TitleChar">
    <w:name w:val="Title Char"/>
    <w:basedOn w:val="DefaultParagraphFont"/>
    <w:link w:val="Title"/>
    <w:uiPriority w:val="10"/>
    <w:rsid w:val="002530E2"/>
    <w:rPr>
      <w:rFonts w:ascii="Book Antiqua" w:eastAsia="Book Antiqua" w:hAnsi="Book Antiqua" w:cs="Book Antiqua"/>
      <w:kern w:val="0"/>
      <w:sz w:val="40"/>
      <w:szCs w:val="40"/>
      <w14:ligatures w14:val="none"/>
    </w:rPr>
  </w:style>
  <w:style w:type="paragraph" w:styleId="Subtitle">
    <w:name w:val="Subtitle"/>
    <w:basedOn w:val="Normal"/>
    <w:next w:val="Normal"/>
    <w:link w:val="SubtitleChar"/>
    <w:uiPriority w:val="11"/>
    <w:qFormat/>
    <w:rsid w:val="002530E2"/>
    <w:pPr>
      <w:keepNext/>
      <w:keepLines/>
      <w:spacing w:after="200" w:line="360" w:lineRule="auto"/>
      <w:jc w:val="both"/>
    </w:pPr>
    <w:rPr>
      <w:rFonts w:ascii="Book Antiqua" w:eastAsia="Book Antiqua" w:hAnsi="Book Antiqua" w:cs="Book Antiqua"/>
      <w:kern w:val="0"/>
      <w:sz w:val="32"/>
      <w:szCs w:val="32"/>
      <w14:ligatures w14:val="none"/>
    </w:rPr>
  </w:style>
  <w:style w:type="character" w:customStyle="1" w:styleId="SubtitleChar">
    <w:name w:val="Subtitle Char"/>
    <w:basedOn w:val="DefaultParagraphFont"/>
    <w:link w:val="Subtitle"/>
    <w:uiPriority w:val="11"/>
    <w:rsid w:val="002530E2"/>
    <w:rPr>
      <w:rFonts w:ascii="Book Antiqua" w:eastAsia="Book Antiqua" w:hAnsi="Book Antiqua" w:cs="Book Antiqua"/>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gif"/><Relationship Id="rId24" Type="http://schemas.openxmlformats.org/officeDocument/2006/relationships/header" Target="header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jp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705</Pages>
  <Words>260520</Words>
  <Characters>1484970</Characters>
  <Application>Microsoft Office Word</Application>
  <DocSecurity>0</DocSecurity>
  <Lines>12374</Lines>
  <Paragraphs>3484</Paragraphs>
  <ScaleCrop>false</ScaleCrop>
  <Company/>
  <LinksUpToDate>false</LinksUpToDate>
  <CharactersWithSpaces>1742006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Pearcy</dc:creator>
  <cp:keywords/>
  <dc:description/>
  <cp:lastModifiedBy>Victoria Pearcy</cp:lastModifiedBy>
  <cp:revision>1</cp:revision>
  <dcterms:created xsi:type="dcterms:W3CDTF">2023-09-21T09:58:00Z</dcterms:created>
  <dcterms:modified xsi:type="dcterms:W3CDTF">2023-09-21T10:00:00Z</dcterms:modified>
</cp:coreProperties>
</file>