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4CB8E" w14:textId="77777777" w:rsidR="008D14AA" w:rsidRDefault="008D14AA"/>
    <w:p w14:paraId="642034E6" w14:textId="77777777" w:rsidR="006A0218" w:rsidRPr="006A0218" w:rsidRDefault="006A0218" w:rsidP="006A0218"/>
    <w:p w14:paraId="356EA248" w14:textId="77777777" w:rsidR="006A0218" w:rsidRPr="006A0218" w:rsidRDefault="006A0218" w:rsidP="006A0218"/>
    <w:p w14:paraId="71E5EEAA" w14:textId="77777777" w:rsidR="006A0218" w:rsidRPr="006A0218" w:rsidRDefault="006A0218" w:rsidP="006A0218"/>
    <w:p w14:paraId="7BCDEC28" w14:textId="77777777" w:rsidR="00DA17AB" w:rsidRDefault="00DA17AB" w:rsidP="00230DEC">
      <w:pPr>
        <w:jc w:val="center"/>
        <w:rPr>
          <w:rFonts w:ascii="Times New Roman" w:hAnsi="Times New Roman" w:cs="Times New Roman"/>
          <w:b/>
          <w:bCs/>
          <w:sz w:val="48"/>
          <w:szCs w:val="48"/>
        </w:rPr>
      </w:pPr>
      <w:r w:rsidRPr="00DA17AB">
        <w:rPr>
          <w:rFonts w:ascii="Times New Roman" w:hAnsi="Times New Roman" w:cs="Times New Roman"/>
          <w:b/>
          <w:bCs/>
          <w:sz w:val="48"/>
          <w:szCs w:val="48"/>
        </w:rPr>
        <w:t>BMIH5006</w:t>
      </w:r>
    </w:p>
    <w:p w14:paraId="6AC7AB7F" w14:textId="7C87AB92" w:rsidR="006A0218" w:rsidRPr="00230DEC" w:rsidRDefault="00230DEC" w:rsidP="00230DEC">
      <w:pPr>
        <w:jc w:val="center"/>
        <w:rPr>
          <w:rFonts w:ascii="Times New Roman" w:hAnsi="Times New Roman" w:cs="Times New Roman"/>
          <w:b/>
          <w:bCs/>
          <w:sz w:val="48"/>
          <w:szCs w:val="48"/>
        </w:rPr>
      </w:pPr>
      <w:r w:rsidRPr="00230DEC">
        <w:rPr>
          <w:rFonts w:ascii="Times New Roman" w:hAnsi="Times New Roman" w:cs="Times New Roman"/>
          <w:b/>
          <w:bCs/>
          <w:sz w:val="48"/>
          <w:szCs w:val="48"/>
        </w:rPr>
        <w:t>Sustainable Hospitality &amp; Tourism Management</w:t>
      </w:r>
    </w:p>
    <w:p w14:paraId="09534490" w14:textId="77777777" w:rsidR="006A0218" w:rsidRPr="006A0218" w:rsidRDefault="006A0218" w:rsidP="006A0218"/>
    <w:p w14:paraId="16EDCCD7" w14:textId="77777777" w:rsidR="006A0218" w:rsidRPr="006A0218" w:rsidRDefault="006A0218" w:rsidP="006A0218"/>
    <w:p w14:paraId="69E40E15" w14:textId="77777777" w:rsidR="006A0218" w:rsidRPr="006A0218" w:rsidRDefault="006A0218" w:rsidP="006A0218"/>
    <w:p w14:paraId="48635DC5" w14:textId="5B9CD82E" w:rsidR="006A0218" w:rsidRPr="008C332E" w:rsidRDefault="008C332E" w:rsidP="008C332E">
      <w:pPr>
        <w:jc w:val="center"/>
        <w:rPr>
          <w:rFonts w:ascii="Times New Roman" w:hAnsi="Times New Roman" w:cs="Times New Roman"/>
          <w:b/>
          <w:bCs/>
          <w:sz w:val="52"/>
          <w:szCs w:val="52"/>
        </w:rPr>
      </w:pPr>
      <w:r w:rsidRPr="008C332E">
        <w:rPr>
          <w:rFonts w:ascii="Times New Roman" w:hAnsi="Times New Roman" w:cs="Times New Roman"/>
          <w:b/>
          <w:bCs/>
          <w:sz w:val="52"/>
          <w:szCs w:val="52"/>
        </w:rPr>
        <w:t>ESSAY</w:t>
      </w:r>
    </w:p>
    <w:p w14:paraId="5698C2DA" w14:textId="77777777" w:rsidR="006A0218" w:rsidRPr="006A0218" w:rsidRDefault="006A0218" w:rsidP="006A0218"/>
    <w:p w14:paraId="40154737" w14:textId="77777777" w:rsidR="006A0218" w:rsidRPr="006A0218" w:rsidRDefault="006A0218" w:rsidP="006A0218"/>
    <w:p w14:paraId="14AF8953" w14:textId="77777777" w:rsidR="006A0218" w:rsidRPr="006A0218" w:rsidRDefault="006A0218" w:rsidP="006A0218"/>
    <w:p w14:paraId="3AA14379" w14:textId="77777777" w:rsidR="006A0218" w:rsidRPr="006A0218" w:rsidRDefault="006A0218" w:rsidP="006A0218"/>
    <w:p w14:paraId="212B0026" w14:textId="77777777" w:rsidR="006A0218" w:rsidRPr="006A0218" w:rsidRDefault="006A0218" w:rsidP="006A0218"/>
    <w:p w14:paraId="76EBBCCA" w14:textId="77777777" w:rsidR="006A0218" w:rsidRPr="006A0218" w:rsidRDefault="006A0218" w:rsidP="006A0218"/>
    <w:p w14:paraId="11134F3A" w14:textId="77777777" w:rsidR="006A0218" w:rsidRPr="006A0218" w:rsidRDefault="006A0218" w:rsidP="006A0218"/>
    <w:p w14:paraId="3BB66AF3" w14:textId="77777777" w:rsidR="006A0218" w:rsidRPr="006A0218" w:rsidRDefault="006A0218" w:rsidP="006A0218"/>
    <w:p w14:paraId="71F74E25" w14:textId="77777777" w:rsidR="006A0218" w:rsidRPr="006A0218" w:rsidRDefault="006A0218" w:rsidP="006A0218"/>
    <w:p w14:paraId="6F8353EF" w14:textId="77777777" w:rsidR="006A0218" w:rsidRPr="006A0218" w:rsidRDefault="006A0218" w:rsidP="006A0218"/>
    <w:p w14:paraId="2A0D980C" w14:textId="77777777" w:rsidR="006A0218" w:rsidRDefault="006A0218" w:rsidP="006A0218"/>
    <w:p w14:paraId="438AF01E" w14:textId="30C0B5D5" w:rsidR="006A0218" w:rsidRPr="00230DEC" w:rsidRDefault="006A0218" w:rsidP="006A0218">
      <w:pPr>
        <w:tabs>
          <w:tab w:val="left" w:pos="5010"/>
        </w:tabs>
        <w:jc w:val="center"/>
      </w:pPr>
      <w:r w:rsidRPr="00230DEC">
        <w:t>STUDENT ID: 2119794</w:t>
      </w:r>
    </w:p>
    <w:p w14:paraId="107C4CE3" w14:textId="442A95C6" w:rsidR="006A0218" w:rsidRDefault="006A0218" w:rsidP="006A0218">
      <w:pPr>
        <w:tabs>
          <w:tab w:val="left" w:pos="5010"/>
        </w:tabs>
        <w:jc w:val="center"/>
        <w:rPr>
          <w:lang w:val="nl-NL"/>
        </w:rPr>
      </w:pPr>
      <w:r w:rsidRPr="006A0218">
        <w:rPr>
          <w:lang w:val="nl-NL"/>
        </w:rPr>
        <w:t xml:space="preserve">STUDENT NAME: </w:t>
      </w:r>
      <w:proofErr w:type="spellStart"/>
      <w:r w:rsidRPr="006A0218">
        <w:rPr>
          <w:lang w:val="nl-NL"/>
        </w:rPr>
        <w:t>Mihaela</w:t>
      </w:r>
      <w:proofErr w:type="spellEnd"/>
      <w:r w:rsidRPr="006A0218">
        <w:rPr>
          <w:lang w:val="nl-NL"/>
        </w:rPr>
        <w:t xml:space="preserve"> </w:t>
      </w:r>
      <w:proofErr w:type="spellStart"/>
      <w:r w:rsidRPr="006A0218">
        <w:rPr>
          <w:lang w:val="nl-NL"/>
        </w:rPr>
        <w:t>Delia</w:t>
      </w:r>
      <w:proofErr w:type="spellEnd"/>
      <w:r w:rsidRPr="006A0218">
        <w:rPr>
          <w:lang w:val="nl-NL"/>
        </w:rPr>
        <w:t xml:space="preserve"> </w:t>
      </w:r>
      <w:proofErr w:type="spellStart"/>
      <w:r w:rsidRPr="006A0218">
        <w:rPr>
          <w:lang w:val="nl-NL"/>
        </w:rPr>
        <w:t>Ilie</w:t>
      </w:r>
      <w:proofErr w:type="spellEnd"/>
    </w:p>
    <w:p w14:paraId="7CDA41B7" w14:textId="77777777" w:rsidR="00A505F6" w:rsidRPr="00A505F6" w:rsidRDefault="00A505F6" w:rsidP="00A505F6">
      <w:pPr>
        <w:rPr>
          <w:lang w:val="nl-NL"/>
        </w:rPr>
      </w:pPr>
    </w:p>
    <w:p w14:paraId="1EA8EDCF" w14:textId="77777777" w:rsidR="00A505F6" w:rsidRDefault="00A505F6" w:rsidP="00A505F6">
      <w:pPr>
        <w:rPr>
          <w:lang w:val="nl-NL"/>
        </w:rPr>
      </w:pPr>
    </w:p>
    <w:p w14:paraId="17C21FAE" w14:textId="77777777" w:rsidR="00A505F6" w:rsidRDefault="00A505F6" w:rsidP="00A505F6">
      <w:pPr>
        <w:rPr>
          <w:lang w:val="nl-NL"/>
        </w:rPr>
      </w:pPr>
    </w:p>
    <w:p w14:paraId="5638B0B7" w14:textId="77777777" w:rsidR="00A505F6" w:rsidRDefault="00A505F6" w:rsidP="00A505F6">
      <w:pPr>
        <w:rPr>
          <w:lang w:val="nl-NL"/>
        </w:rPr>
      </w:pPr>
    </w:p>
    <w:p w14:paraId="7E9D334F" w14:textId="77777777" w:rsidR="00A505F6" w:rsidRDefault="00A505F6" w:rsidP="00A505F6">
      <w:pPr>
        <w:rPr>
          <w:lang w:val="nl-NL"/>
        </w:rPr>
      </w:pPr>
    </w:p>
    <w:p w14:paraId="159A6954"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With the current awareness on environmental degradation, pertinence of social issues, the topic of CSR has received much attention in the current world and across the hospitality industry. This essay aims to analyse critically the current position of CSR as a tool for achieving sustainability within the context of the hospitality industry, with a reference to the case of the United Kingdom. The issues to be discussed in the present paper will outline major fields in which CSR initiatives can apply the strongest leverage on sustainability practises in hospitality, including the consideration of related challenges and opportunities. </w:t>
      </w:r>
      <w:proofErr w:type="gramStart"/>
      <w:r w:rsidRPr="00A505F6">
        <w:rPr>
          <w:rFonts w:ascii="Times New Roman" w:hAnsi="Times New Roman" w:cs="Times New Roman"/>
          <w:sz w:val="24"/>
          <w:szCs w:val="24"/>
        </w:rPr>
        <w:t>In order to</w:t>
      </w:r>
      <w:proofErr w:type="gramEnd"/>
      <w:r w:rsidRPr="00A505F6">
        <w:rPr>
          <w:rFonts w:ascii="Times New Roman" w:hAnsi="Times New Roman" w:cs="Times New Roman"/>
          <w:sz w:val="24"/>
          <w:szCs w:val="24"/>
        </w:rPr>
        <w:t xml:space="preserve"> better illustrate these ideas, this paper will focus on The Savoy in London, a luxury hotel, as the area of discussion.</w:t>
      </w:r>
    </w:p>
    <w:p w14:paraId="5FC778F5"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It is hence essential to define CSR before presenting details of the Savoy’s CSR policies because CSR is a wide term whose meaning differs depending on the setting in which it is used. Corporate Social Responsibility is defined by the process by which firms operate for the benefit of business and society by providing the expected economic, social, and environmental returns (Font and McCabe, 2017). In the hospitality sector, CSR is the practise that incorporates environmental protection, energy conservation, social, and economic responsibility in the facility and with the community, staff and product sourcing. Adopting and practising CSR policies goes further than solving major world concerns; it also </w:t>
      </w:r>
      <w:proofErr w:type="gramStart"/>
      <w:r w:rsidRPr="00A505F6">
        <w:rPr>
          <w:rFonts w:ascii="Times New Roman" w:hAnsi="Times New Roman" w:cs="Times New Roman"/>
          <w:sz w:val="24"/>
          <w:szCs w:val="24"/>
        </w:rPr>
        <w:t>opens up</w:t>
      </w:r>
      <w:proofErr w:type="gramEnd"/>
      <w:r w:rsidRPr="00A505F6">
        <w:rPr>
          <w:rFonts w:ascii="Times New Roman" w:hAnsi="Times New Roman" w:cs="Times New Roman"/>
          <w:sz w:val="24"/>
          <w:szCs w:val="24"/>
        </w:rPr>
        <w:t xml:space="preserve"> opportunities to improve a hotel’s image, encourage guest loyalty, and create financial resilience for the long term.</w:t>
      </w:r>
    </w:p>
    <w:p w14:paraId="027826C0"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Theoretical concepts enshrined in the principles of CSR are most impressively illustrated by the example of ‘The Savoy’, a famous luxury hotel located in London on the bank of the River Thames. As part of the Fairmont Hotels &amp; Resorts group, The Savoy adheres to the company's global sustainability strategy, known as "Planet 21." This comprehensive approach focuses on four key pillars: It focuses on working with its people and engaging guests, innovating with partners, and working with local communities (Accor, 2020). Examining the CSR programmes at The Savoy also provides us with significant lessons that could be useful in understanding the prospects and limitations of incorporating sustainability concerns in a heritage, city-based hotel environment.</w:t>
      </w:r>
    </w:p>
    <w:p w14:paraId="56733BC3"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Environmental preservation is one of the largest areas that CSR strategies may influence sustainability in hospitality. In this regard, The Savoy has adopted various procedures that have enabled the company to minimise the impact on environment by using energy efficient systems </w:t>
      </w:r>
      <w:r w:rsidRPr="00A505F6">
        <w:rPr>
          <w:rFonts w:ascii="Times New Roman" w:hAnsi="Times New Roman" w:cs="Times New Roman"/>
          <w:sz w:val="24"/>
          <w:szCs w:val="24"/>
        </w:rPr>
        <w:lastRenderedPageBreak/>
        <w:t xml:space="preserve">in the building, water conservation and waste management procedures and policies. For example, the hotel has an internal CHP plant, where electricity is produced, and waste heat is utilised for heating the hotel and hot water. It has contributed to a reduction of carbon emission and energy utilisation to a significant degree. Further, The Savoy recycles, composts and has embraced the use of environmentally friendly packaging (Styles et al., 2015). Such measures indicate that CSR policies can positively influence the effort to minimise environmental footprint of a hotel </w:t>
      </w:r>
      <w:proofErr w:type="gramStart"/>
      <w:r w:rsidRPr="00A505F6">
        <w:rPr>
          <w:rFonts w:ascii="Times New Roman" w:hAnsi="Times New Roman" w:cs="Times New Roman"/>
          <w:sz w:val="24"/>
          <w:szCs w:val="24"/>
        </w:rPr>
        <w:t>with regard to</w:t>
      </w:r>
      <w:proofErr w:type="gramEnd"/>
      <w:r w:rsidRPr="00A505F6">
        <w:rPr>
          <w:rFonts w:ascii="Times New Roman" w:hAnsi="Times New Roman" w:cs="Times New Roman"/>
          <w:sz w:val="24"/>
          <w:szCs w:val="24"/>
        </w:rPr>
        <w:t xml:space="preserve"> sustainable use of resources.</w:t>
      </w:r>
    </w:p>
    <w:p w14:paraId="1DC88189"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But as you may well know, putting in place of such environmental conservation measures as outlined above is not without some hitch. As an historic building, The Savoy has the added complications of having to instal current advanced energy systems within a structure with a legitimate history of use and architectural style. This has brought out a major challenge that require new thinking and careful </w:t>
      </w:r>
      <w:proofErr w:type="spellStart"/>
      <w:r w:rsidRPr="00A505F6">
        <w:rPr>
          <w:rFonts w:ascii="Times New Roman" w:hAnsi="Times New Roman" w:cs="Times New Roman"/>
          <w:sz w:val="24"/>
          <w:szCs w:val="24"/>
        </w:rPr>
        <w:t>strategising</w:t>
      </w:r>
      <w:proofErr w:type="spellEnd"/>
      <w:r w:rsidRPr="00A505F6">
        <w:rPr>
          <w:rFonts w:ascii="Times New Roman" w:hAnsi="Times New Roman" w:cs="Times New Roman"/>
          <w:sz w:val="24"/>
          <w:szCs w:val="24"/>
        </w:rPr>
        <w:t xml:space="preserve"> when undertaking CSR activities in old buildings. Also, the installation of these technologies may prove expensive at the onset of implementation with lots of capital investment being required. To overcome this challenge, The Savoy has evaluated the need for these expensive investments, mindful of the fact that most of the costs are recouped from the operations cost savings and efficiency gains in the long run (Legrand, et al, 2016).</w:t>
      </w:r>
    </w:p>
    <w:p w14:paraId="301E1925"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Another component of sustainability in the hospitality industry is energy efficiency another area where The Savoy has made advances. The hotel has implemented advanced building management systems that ensure that the heating, ventilation and air conditioning systems vary with occupancy and climate. In addition, the property has also removed metallic tubular fluorescence in various sectors of the building, and instead installed LED bulbs which has greatly reduced power consumption. These efforts rekindle the UK government’s ambitious climate plan to meet its net-zero greenhouse gas emissions target by 2050 (Department for Business, Energy &amp; Industrial Strategy, 2021). In addition, it restricts energy waste, allowing The Savoy to meet regional requirements and possibly save money in the future.</w:t>
      </w:r>
    </w:p>
    <w:p w14:paraId="0DB77903"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Another area that CSR can be used to promote sustainability in the hospitality industry is through the Conservation of Water. Measures that have been put in practise in The Savoy are low flow fixtures, </w:t>
      </w:r>
      <w:proofErr w:type="gramStart"/>
      <w:r w:rsidRPr="00A505F6">
        <w:rPr>
          <w:rFonts w:ascii="Times New Roman" w:hAnsi="Times New Roman" w:cs="Times New Roman"/>
          <w:sz w:val="24"/>
          <w:szCs w:val="24"/>
        </w:rPr>
        <w:t>rain water</w:t>
      </w:r>
      <w:proofErr w:type="gramEnd"/>
      <w:r w:rsidRPr="00A505F6">
        <w:rPr>
          <w:rFonts w:ascii="Times New Roman" w:hAnsi="Times New Roman" w:cs="Times New Roman"/>
          <w:sz w:val="24"/>
          <w:szCs w:val="24"/>
        </w:rPr>
        <w:t xml:space="preserve"> harvesting, and water recycling. They not only contribute to decreased water utilisation in the hotel but also take a load off the local water supply. Nevertheless, putting such measures into practise in the context of the luxury hotel is rather difficult because guests are likely to demand high water pressure and availability. To counter </w:t>
      </w:r>
      <w:r w:rsidRPr="00A505F6">
        <w:rPr>
          <w:rFonts w:ascii="Times New Roman" w:hAnsi="Times New Roman" w:cs="Times New Roman"/>
          <w:sz w:val="24"/>
          <w:szCs w:val="24"/>
        </w:rPr>
        <w:lastRenderedPageBreak/>
        <w:t>this challenge, The Savoy has informed the guests of their sustainability initiatives and provided a motivator for involvement in water conservation programmes such as the ability to reuse towels and other linens (Gossling et al., 2015).</w:t>
      </w:r>
    </w:p>
    <w:p w14:paraId="52AA1007"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Implementing CSR solutions in the sphere of community engagement is one of the most important goals of the hospitality industry; The Savoy has shown a great concern for the communities. The hotel supports numerous projects that are oriented to the development of children and youth in the region and offering a job to people with a low income. For instance, The Savoy sources internships and job training for the unemployed and schools or non-profit organisations within the community. Besides, the hotel annually provides its workers with voluntary opportunities with different non-profit organisations, including food banks and the local clean-up. Community involvement types of CSR activities provide benefits to the local people while also encouraging a favourable environment for the hotel within its surrounding neighbourhood (</w:t>
      </w:r>
      <w:proofErr w:type="spellStart"/>
      <w:r w:rsidRPr="00A505F6">
        <w:rPr>
          <w:rFonts w:ascii="Times New Roman" w:hAnsi="Times New Roman" w:cs="Times New Roman"/>
          <w:sz w:val="24"/>
          <w:szCs w:val="24"/>
        </w:rPr>
        <w:t>Bohdanowicz</w:t>
      </w:r>
      <w:proofErr w:type="spellEnd"/>
      <w:r w:rsidRPr="00A505F6">
        <w:rPr>
          <w:rFonts w:ascii="Times New Roman" w:hAnsi="Times New Roman" w:cs="Times New Roman"/>
          <w:sz w:val="24"/>
          <w:szCs w:val="24"/>
        </w:rPr>
        <w:t xml:space="preserve"> et al., 2016).</w:t>
      </w:r>
    </w:p>
    <w:p w14:paraId="6135AF43"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Thus, legislative demands play a tremendous role on the implementation of CSR policies in the hospitality industry. As it will be observed in the case of The Savoy, the following UK regulations affects sustainability practises; For example, the similar Energy Savings Opportunity Scheme (ESOS) in the United Kingdom requires large organisations to carry out energy audits at least once a year and to discover energy-saving potentials. It has probably been instrumental in encouraging The Savoy to incorporate features of energy efficiency in its technologies and systems (Environment Agency, 2019). At the same time, the British government’s SECR regime obliges large firms to disclose their energy intensity and carbon emissions; thus, a hotel like The Savoy is motivated to adopt effective sustainability initiatives (Department for Business, Energy &amp; Industrial Strategy, 2020).</w:t>
      </w:r>
    </w:p>
    <w:p w14:paraId="63918B8F"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Another legal requirement that affected the CSR practises of The Savoy is the Modern Slavery Act 2015. This act provides that any business organisation with a turnover of over £ 50.5 million must prepare and file an annual slavery and human trafficking statement that spells out what measures the business organisation has taken to ensure that the slavery and human trafficking are not happening in its business or its supply chain. This has put pressure to the actualisation of strict ethical sourcing requirements as well as improved worker conditions for The Savoy Hotel (Home Office, 2021).</w:t>
      </w:r>
    </w:p>
    <w:p w14:paraId="61A3CE34"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CSR undertakings can have a large influence on the immediate community and the larger environment. In the case of The Savoy, measures to minimise energy use and emissions of </w:t>
      </w:r>
      <w:r w:rsidRPr="00A505F6">
        <w:rPr>
          <w:rFonts w:ascii="Times New Roman" w:hAnsi="Times New Roman" w:cs="Times New Roman"/>
          <w:sz w:val="24"/>
          <w:szCs w:val="24"/>
        </w:rPr>
        <w:lastRenderedPageBreak/>
        <w:t>greenhouse gases are relevant to the enhancement of air quality within the city of London. The hotel's water conservation measures help to alleviate pressure on the city's water supply system, while its waste reduction and recycling programs contribute to reducing the volume of waste sent to landfills. On a general level, these measures would respond to measures taken on an international level to address climate change and use resources rationally (Jones et al., 2016).</w:t>
      </w:r>
    </w:p>
    <w:p w14:paraId="642A9840"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In coming to the last of the discussed conclusion, the benefits of CSR initiatives are not limited to environmental prospects. Social responsibility can be seen with reference to The Savoy’s community policies and the emphasis on employing local people in the area since they can generate some social benefits for the community. Through employment opportunities, skills development particularly for the disadvantaged population of the host community; the hotel supports economic growth and social uplift of the community. In addition, by buying locally, the hotel’s procurement policies may contribute to the development of a more complicated and diversified supply chain that may prove more resistant to crises and shocks (Farmaki, 2019).</w:t>
      </w:r>
    </w:p>
    <w:p w14:paraId="511FB6A6"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But the process of putting an effective CSR policy in place poses certain problems. The real challenge to implement sustainable solutions, as it is evident when thinking of The Savoy hotel, is the conflict between running a luxury brand and the sustainable goals. For instance, the move to minimise on the use of plastics or the use of water will be regarded by some guests as a loss of quality services. A way that the Savoy has been able to overcome this challenge is by making sure that all his sustainability programmes add value to the guest experience without hindering it. Such strategies encompass providing sustainability amenities for guests, engaging guests in sustainable practises, and informing guests about environmental programmes in a way that will be valuable to the guest experience (Matos and Sampaio 2019).</w:t>
      </w:r>
    </w:p>
    <w:p w14:paraId="48AEF19E" w14:textId="77777777" w:rsidR="00A505F6" w:rsidRP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A second problem in the application of CSR policies, is the uniformity of their application across the organisational hierarchy. </w:t>
      </w:r>
      <w:proofErr w:type="gramStart"/>
      <w:r w:rsidRPr="00A505F6">
        <w:rPr>
          <w:rFonts w:ascii="Times New Roman" w:hAnsi="Times New Roman" w:cs="Times New Roman"/>
          <w:sz w:val="24"/>
          <w:szCs w:val="24"/>
        </w:rPr>
        <w:t>A large number of</w:t>
      </w:r>
      <w:proofErr w:type="gramEnd"/>
      <w:r w:rsidRPr="00A505F6">
        <w:rPr>
          <w:rFonts w:ascii="Times New Roman" w:hAnsi="Times New Roman" w:cs="Times New Roman"/>
          <w:sz w:val="24"/>
          <w:szCs w:val="24"/>
        </w:rPr>
        <w:t xml:space="preserve"> employees and high rates of the staff turnover that can be characteristic of the participants of the hospitality sector may complicate the consistent pursuit of sustainable practises. The Savoy has gone further and established training activities that inform the workers on the essence of sustainability and their duty to enforce CSR strategies. Consequently, performance evaluation and audit play an important role in guaranteeing that CSR policies are not only implemented and uniform in the organisation (Martínez et al., 2017).</w:t>
      </w:r>
    </w:p>
    <w:p w14:paraId="71C52C7F" w14:textId="70A86A61" w:rsidR="00D64625"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In this context, the task of CSR in the sustained development of the hospitality industry is expected to be increasingly important in the future. Learning from Savoy’s CSR approach, it </w:t>
      </w:r>
      <w:r w:rsidRPr="00A505F6">
        <w:rPr>
          <w:rFonts w:ascii="Times New Roman" w:hAnsi="Times New Roman" w:cs="Times New Roman"/>
          <w:sz w:val="24"/>
          <w:szCs w:val="24"/>
        </w:rPr>
        <w:lastRenderedPageBreak/>
        <w:t xml:space="preserve">would be </w:t>
      </w:r>
      <w:proofErr w:type="gramStart"/>
      <w:r w:rsidRPr="00A505F6">
        <w:rPr>
          <w:rFonts w:ascii="Times New Roman" w:hAnsi="Times New Roman" w:cs="Times New Roman"/>
          <w:sz w:val="24"/>
          <w:szCs w:val="24"/>
        </w:rPr>
        <w:t>fairly interesting</w:t>
      </w:r>
      <w:proofErr w:type="gramEnd"/>
      <w:r w:rsidRPr="00A505F6">
        <w:rPr>
          <w:rFonts w:ascii="Times New Roman" w:hAnsi="Times New Roman" w:cs="Times New Roman"/>
          <w:sz w:val="24"/>
          <w:szCs w:val="24"/>
        </w:rPr>
        <w:t xml:space="preserve"> to know that historic luxury hotels can quite feasibly make substantial contributions to sustainable development. However, this CSR study must not be confused with the absolute indication that companies have fully embraced and executed the CSR policies as they are </w:t>
      </w:r>
      <w:proofErr w:type="gramStart"/>
      <w:r w:rsidRPr="00A505F6">
        <w:rPr>
          <w:rFonts w:ascii="Times New Roman" w:hAnsi="Times New Roman" w:cs="Times New Roman"/>
          <w:sz w:val="24"/>
          <w:szCs w:val="24"/>
        </w:rPr>
        <w:t>a continuous</w:t>
      </w:r>
      <w:proofErr w:type="gramEnd"/>
      <w:r w:rsidRPr="00A505F6">
        <w:rPr>
          <w:rFonts w:ascii="Times New Roman" w:hAnsi="Times New Roman" w:cs="Times New Roman"/>
          <w:sz w:val="24"/>
          <w:szCs w:val="24"/>
        </w:rPr>
        <w:t>.</w:t>
      </w:r>
      <w:r w:rsidR="00D64625">
        <w:rPr>
          <w:rFonts w:ascii="Times New Roman" w:hAnsi="Times New Roman" w:cs="Times New Roman"/>
          <w:sz w:val="24"/>
          <w:szCs w:val="24"/>
        </w:rPr>
        <w:t xml:space="preserve"> </w:t>
      </w:r>
      <w:r w:rsidR="00D64625" w:rsidRPr="00D64625">
        <w:rPr>
          <w:rFonts w:ascii="Times New Roman" w:hAnsi="Times New Roman" w:cs="Times New Roman"/>
          <w:sz w:val="24"/>
          <w:szCs w:val="24"/>
        </w:rPr>
        <w:t>However, there is need to understand that CSR policies integration is not one-off affair but a continuous one and thus needs to be reviewed frequently. As new technologies appear and new trends in society appear, hotels, need to be ready to change their CSR strategies and make them more efficient (Font and Lynes, 2018).</w:t>
      </w:r>
      <w:r w:rsidR="00D64625">
        <w:rPr>
          <w:rFonts w:ascii="Times New Roman" w:hAnsi="Times New Roman" w:cs="Times New Roman"/>
          <w:sz w:val="24"/>
          <w:szCs w:val="24"/>
        </w:rPr>
        <w:t xml:space="preserve"> </w:t>
      </w:r>
    </w:p>
    <w:p w14:paraId="62B17B9E" w14:textId="638B4AE5" w:rsidR="00A505F6" w:rsidRDefault="00A505F6" w:rsidP="00A505F6">
      <w:pPr>
        <w:spacing w:line="360" w:lineRule="auto"/>
        <w:jc w:val="both"/>
        <w:rPr>
          <w:rFonts w:ascii="Times New Roman" w:hAnsi="Times New Roman" w:cs="Times New Roman"/>
          <w:sz w:val="24"/>
          <w:szCs w:val="24"/>
        </w:rPr>
      </w:pPr>
      <w:r w:rsidRPr="00A505F6">
        <w:rPr>
          <w:rFonts w:ascii="Times New Roman" w:hAnsi="Times New Roman" w:cs="Times New Roman"/>
          <w:sz w:val="24"/>
          <w:szCs w:val="24"/>
        </w:rPr>
        <w:t xml:space="preserve">Lastly, this paper has discussed and analysed the significance of CSR in enhancing sustainability in the hospitality industry with case study reference to The Savoy, London. The discussion above has shown that CSR can make great contributions to the improvement of sustainability practises in the hospitality industry regarding the following: The threats involved in the CSR policies implementation including the tensions in relation with sustainable luxury services expectations and CSR compliance have been analysed together with the benefits of CSR including the opportunities for the enhancement of brand image, the increase in efficiency and the positive effects on environmental and social responsibilities. This essay has also examined how UK legislative requirements has also impacted CSR in the hospitality industry; legislation in </w:t>
      </w:r>
      <w:proofErr w:type="gramStart"/>
      <w:r w:rsidRPr="00A505F6">
        <w:rPr>
          <w:rFonts w:ascii="Times New Roman" w:hAnsi="Times New Roman" w:cs="Times New Roman"/>
          <w:sz w:val="24"/>
          <w:szCs w:val="24"/>
        </w:rPr>
        <w:t>this cases</w:t>
      </w:r>
      <w:proofErr w:type="gramEnd"/>
      <w:r w:rsidRPr="00A505F6">
        <w:rPr>
          <w:rFonts w:ascii="Times New Roman" w:hAnsi="Times New Roman" w:cs="Times New Roman"/>
          <w:sz w:val="24"/>
          <w:szCs w:val="24"/>
        </w:rPr>
        <w:t xml:space="preserve"> is seen as a tool towards the right direction. The case of The Savoy proves that CSR policies, when properly applied, can play a major role to improve sustainability within the hospitality industry, for both the environment and the community, as well as for the business organisation’s long-term performance. Indeed, it cannot be ruled out that the further development of the industry will lead to an increased significance of CSR and sustainability practises as critical performance and competitiveness factors for hotels around the world.</w:t>
      </w:r>
    </w:p>
    <w:p w14:paraId="329E9A37" w14:textId="77777777" w:rsidR="00D64625" w:rsidRDefault="00D64625" w:rsidP="00A505F6">
      <w:pPr>
        <w:spacing w:line="360" w:lineRule="auto"/>
        <w:jc w:val="both"/>
        <w:rPr>
          <w:rFonts w:ascii="Times New Roman" w:hAnsi="Times New Roman" w:cs="Times New Roman"/>
          <w:sz w:val="24"/>
          <w:szCs w:val="24"/>
        </w:rPr>
      </w:pPr>
    </w:p>
    <w:p w14:paraId="500568A0" w14:textId="77777777" w:rsidR="00D64625" w:rsidRDefault="00D64625" w:rsidP="00A505F6">
      <w:pPr>
        <w:spacing w:line="360" w:lineRule="auto"/>
        <w:jc w:val="both"/>
        <w:rPr>
          <w:rFonts w:ascii="Times New Roman" w:hAnsi="Times New Roman" w:cs="Times New Roman"/>
          <w:sz w:val="24"/>
          <w:szCs w:val="24"/>
        </w:rPr>
      </w:pPr>
    </w:p>
    <w:p w14:paraId="5755D6A3" w14:textId="77777777" w:rsidR="00D64625" w:rsidRDefault="00D64625" w:rsidP="00A505F6">
      <w:pPr>
        <w:spacing w:line="360" w:lineRule="auto"/>
        <w:jc w:val="both"/>
        <w:rPr>
          <w:rFonts w:ascii="Times New Roman" w:hAnsi="Times New Roman" w:cs="Times New Roman"/>
          <w:sz w:val="24"/>
          <w:szCs w:val="24"/>
        </w:rPr>
      </w:pPr>
    </w:p>
    <w:p w14:paraId="1C4FF2B5" w14:textId="77777777" w:rsidR="00D64625" w:rsidRDefault="00D64625" w:rsidP="00A505F6">
      <w:pPr>
        <w:spacing w:line="360" w:lineRule="auto"/>
        <w:jc w:val="both"/>
        <w:rPr>
          <w:rFonts w:ascii="Times New Roman" w:hAnsi="Times New Roman" w:cs="Times New Roman"/>
          <w:sz w:val="24"/>
          <w:szCs w:val="24"/>
        </w:rPr>
      </w:pPr>
    </w:p>
    <w:p w14:paraId="33003311" w14:textId="77777777" w:rsidR="00D64625" w:rsidRDefault="00D64625" w:rsidP="00A505F6">
      <w:pPr>
        <w:spacing w:line="360" w:lineRule="auto"/>
        <w:jc w:val="both"/>
        <w:rPr>
          <w:rFonts w:ascii="Times New Roman" w:hAnsi="Times New Roman" w:cs="Times New Roman"/>
          <w:sz w:val="24"/>
          <w:szCs w:val="24"/>
        </w:rPr>
      </w:pPr>
    </w:p>
    <w:p w14:paraId="77C9366A" w14:textId="77777777" w:rsidR="00D64625" w:rsidRDefault="00D64625" w:rsidP="00A505F6">
      <w:pPr>
        <w:spacing w:line="360" w:lineRule="auto"/>
        <w:jc w:val="both"/>
        <w:rPr>
          <w:rFonts w:ascii="Times New Roman" w:hAnsi="Times New Roman" w:cs="Times New Roman"/>
          <w:sz w:val="24"/>
          <w:szCs w:val="24"/>
        </w:rPr>
      </w:pPr>
    </w:p>
    <w:p w14:paraId="39515CED" w14:textId="77777777" w:rsidR="00D64625" w:rsidRPr="00D64625" w:rsidRDefault="00D64625" w:rsidP="00D64625">
      <w:pPr>
        <w:pStyle w:val="Heading1"/>
      </w:pPr>
      <w:r w:rsidRPr="00D64625">
        <w:lastRenderedPageBreak/>
        <w:t>References:</w:t>
      </w:r>
    </w:p>
    <w:p w14:paraId="2AB74ED8" w14:textId="25D80E38"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Accor (2020). </w:t>
      </w:r>
      <w:r w:rsidRPr="00DA17AB">
        <w:rPr>
          <w:rFonts w:ascii="Times New Roman" w:hAnsi="Times New Roman" w:cs="Times New Roman"/>
          <w:i/>
          <w:iCs/>
          <w:sz w:val="24"/>
          <w:szCs w:val="24"/>
        </w:rPr>
        <w:t>Planet 21 – Acting Here</w:t>
      </w:r>
      <w:r w:rsidRPr="00DA17AB">
        <w:rPr>
          <w:rFonts w:ascii="Times New Roman" w:hAnsi="Times New Roman" w:cs="Times New Roman"/>
          <w:sz w:val="24"/>
          <w:szCs w:val="24"/>
        </w:rPr>
        <w:t xml:space="preserve">. [online] Available at: </w:t>
      </w:r>
      <w:hyperlink r:id="rId7" w:tgtFrame="_new" w:history="1">
        <w:r w:rsidRPr="00DA17AB">
          <w:rPr>
            <w:rStyle w:val="Hyperlink"/>
            <w:rFonts w:ascii="Times New Roman" w:hAnsi="Times New Roman" w:cs="Times New Roman"/>
            <w:sz w:val="24"/>
            <w:szCs w:val="24"/>
          </w:rPr>
          <w:t>https://group.accor.com/en/commitment</w:t>
        </w:r>
      </w:hyperlink>
      <w:r w:rsidRPr="00DA17AB">
        <w:rPr>
          <w:rFonts w:ascii="Times New Roman" w:hAnsi="Times New Roman" w:cs="Times New Roman"/>
          <w:sz w:val="24"/>
          <w:szCs w:val="24"/>
        </w:rPr>
        <w:t xml:space="preserve"> [Accessed 20 October 2024].</w:t>
      </w:r>
    </w:p>
    <w:p w14:paraId="5558852A" w14:textId="45AC8E08" w:rsidR="00DA17AB" w:rsidRPr="00DA17AB" w:rsidRDefault="00DA17AB" w:rsidP="00DA17AB">
      <w:pPr>
        <w:spacing w:line="360" w:lineRule="auto"/>
        <w:jc w:val="both"/>
        <w:rPr>
          <w:rFonts w:ascii="Times New Roman" w:hAnsi="Times New Roman" w:cs="Times New Roman"/>
          <w:sz w:val="24"/>
          <w:szCs w:val="24"/>
        </w:rPr>
      </w:pPr>
      <w:proofErr w:type="spellStart"/>
      <w:r w:rsidRPr="00DA17AB">
        <w:rPr>
          <w:rFonts w:ascii="Times New Roman" w:hAnsi="Times New Roman" w:cs="Times New Roman"/>
          <w:sz w:val="24"/>
          <w:szCs w:val="24"/>
        </w:rPr>
        <w:t>Bohdanowicz</w:t>
      </w:r>
      <w:proofErr w:type="spellEnd"/>
      <w:r w:rsidRPr="00DA17AB">
        <w:rPr>
          <w:rFonts w:ascii="Times New Roman" w:hAnsi="Times New Roman" w:cs="Times New Roman"/>
          <w:sz w:val="24"/>
          <w:szCs w:val="24"/>
        </w:rPr>
        <w:t xml:space="preserve">, P., Zientara, P. and Novotna, E. (2016). Sustainability in hospitality through social responsibility: An exploratory study on incentive policies. In: </w:t>
      </w:r>
      <w:proofErr w:type="spellStart"/>
      <w:r w:rsidRPr="00DA17AB">
        <w:rPr>
          <w:rFonts w:ascii="Times New Roman" w:hAnsi="Times New Roman" w:cs="Times New Roman"/>
          <w:sz w:val="24"/>
          <w:szCs w:val="24"/>
        </w:rPr>
        <w:t>Gardetti</w:t>
      </w:r>
      <w:proofErr w:type="spellEnd"/>
      <w:r w:rsidRPr="00DA17AB">
        <w:rPr>
          <w:rFonts w:ascii="Times New Roman" w:hAnsi="Times New Roman" w:cs="Times New Roman"/>
          <w:sz w:val="24"/>
          <w:szCs w:val="24"/>
        </w:rPr>
        <w:t xml:space="preserve">, M.A. and Torres, A.L. eds. </w:t>
      </w:r>
      <w:r w:rsidRPr="00DA17AB">
        <w:rPr>
          <w:rFonts w:ascii="Times New Roman" w:hAnsi="Times New Roman" w:cs="Times New Roman"/>
          <w:i/>
          <w:iCs/>
          <w:sz w:val="24"/>
          <w:szCs w:val="24"/>
        </w:rPr>
        <w:t>Sustainability in hospitality: How innovative hotels are transforming the industry</w:t>
      </w:r>
      <w:r w:rsidRPr="00DA17AB">
        <w:rPr>
          <w:rFonts w:ascii="Times New Roman" w:hAnsi="Times New Roman" w:cs="Times New Roman"/>
          <w:sz w:val="24"/>
          <w:szCs w:val="24"/>
        </w:rPr>
        <w:t xml:space="preserve">. London: Routledge, pp.179-196. Available at: </w:t>
      </w:r>
      <w:hyperlink r:id="rId8" w:tgtFrame="_new" w:history="1">
        <w:r w:rsidRPr="00DA17AB">
          <w:rPr>
            <w:rStyle w:val="Hyperlink"/>
            <w:rFonts w:ascii="Times New Roman" w:hAnsi="Times New Roman" w:cs="Times New Roman"/>
            <w:sz w:val="24"/>
            <w:szCs w:val="24"/>
          </w:rPr>
          <w:t>https://vdoc.pub/documents/luxury-fashion-retail-management-2qbrlr7acarg</w:t>
        </w:r>
      </w:hyperlink>
      <w:r w:rsidRPr="00DA17AB">
        <w:rPr>
          <w:rFonts w:ascii="Times New Roman" w:hAnsi="Times New Roman" w:cs="Times New Roman"/>
          <w:sz w:val="24"/>
          <w:szCs w:val="24"/>
        </w:rPr>
        <w:t xml:space="preserve"> [Accessed 20 October 2024].</w:t>
      </w:r>
    </w:p>
    <w:p w14:paraId="3FF98E26" w14:textId="23249BF9"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Department for Business, Energy &amp; Industrial Strategy (2020). </w:t>
      </w:r>
      <w:r w:rsidRPr="00DA17AB">
        <w:rPr>
          <w:rFonts w:ascii="Times New Roman" w:hAnsi="Times New Roman" w:cs="Times New Roman"/>
          <w:i/>
          <w:iCs/>
          <w:sz w:val="24"/>
          <w:szCs w:val="24"/>
        </w:rPr>
        <w:t>Streamlined Energy and Carbon Reporting (SECR)</w:t>
      </w:r>
      <w:r w:rsidRPr="00DA17AB">
        <w:rPr>
          <w:rFonts w:ascii="Times New Roman" w:hAnsi="Times New Roman" w:cs="Times New Roman"/>
          <w:sz w:val="24"/>
          <w:szCs w:val="24"/>
        </w:rPr>
        <w:t xml:space="preserve">. [online] Available at: </w:t>
      </w:r>
      <w:hyperlink r:id="rId9" w:tgtFrame="_new" w:history="1">
        <w:r w:rsidRPr="00DA17AB">
          <w:rPr>
            <w:rStyle w:val="Hyperlink"/>
            <w:rFonts w:ascii="Times New Roman" w:hAnsi="Times New Roman" w:cs="Times New Roman"/>
            <w:sz w:val="24"/>
            <w:szCs w:val="24"/>
          </w:rPr>
          <w:t>https://www.gov.uk/government/news/new-digital-tool-enables-easier-energy-and-carbon-reporting</w:t>
        </w:r>
      </w:hyperlink>
      <w:r w:rsidRPr="00DA17AB">
        <w:rPr>
          <w:rFonts w:ascii="Times New Roman" w:hAnsi="Times New Roman" w:cs="Times New Roman"/>
          <w:sz w:val="24"/>
          <w:szCs w:val="24"/>
        </w:rPr>
        <w:t xml:space="preserve"> [Accessed 20 October 2024].</w:t>
      </w:r>
    </w:p>
    <w:p w14:paraId="63CF253D" w14:textId="418A348C"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Department for Business, Energy &amp; Industrial Strategy (2021). </w:t>
      </w:r>
      <w:r w:rsidRPr="00DA17AB">
        <w:rPr>
          <w:rFonts w:ascii="Times New Roman" w:hAnsi="Times New Roman" w:cs="Times New Roman"/>
          <w:i/>
          <w:iCs/>
          <w:sz w:val="24"/>
          <w:szCs w:val="24"/>
        </w:rPr>
        <w:t>UK becomes first major economy to pass net zero emissions law</w:t>
      </w:r>
      <w:r w:rsidRPr="00DA17AB">
        <w:rPr>
          <w:rFonts w:ascii="Times New Roman" w:hAnsi="Times New Roman" w:cs="Times New Roman"/>
          <w:sz w:val="24"/>
          <w:szCs w:val="24"/>
        </w:rPr>
        <w:t xml:space="preserve">. [online] Available at: </w:t>
      </w:r>
      <w:hyperlink r:id="rId10" w:tgtFrame="_new" w:history="1">
        <w:r w:rsidRPr="00DA17AB">
          <w:rPr>
            <w:rStyle w:val="Hyperlink"/>
            <w:rFonts w:ascii="Times New Roman" w:hAnsi="Times New Roman" w:cs="Times New Roman"/>
            <w:sz w:val="24"/>
            <w:szCs w:val="24"/>
          </w:rPr>
          <w:t>https://www.gov.uk/government/publications/environmental-reporting-guidelines-including-mandatory-greenhouse-gas-emissions-reporting-guidance</w:t>
        </w:r>
      </w:hyperlink>
      <w:r w:rsidRPr="00DA17AB">
        <w:rPr>
          <w:rFonts w:ascii="Times New Roman" w:hAnsi="Times New Roman" w:cs="Times New Roman"/>
          <w:sz w:val="24"/>
          <w:szCs w:val="24"/>
        </w:rPr>
        <w:t xml:space="preserve"> [Accessed 20 October 2024].</w:t>
      </w:r>
    </w:p>
    <w:p w14:paraId="1CD48268" w14:textId="2E130F1A"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Environment Agency (2019). </w:t>
      </w:r>
      <w:r w:rsidRPr="00DA17AB">
        <w:rPr>
          <w:rFonts w:ascii="Times New Roman" w:hAnsi="Times New Roman" w:cs="Times New Roman"/>
          <w:i/>
          <w:iCs/>
          <w:sz w:val="24"/>
          <w:szCs w:val="24"/>
        </w:rPr>
        <w:t>Complying with the Energy Savings Opportunity Scheme</w:t>
      </w:r>
      <w:r w:rsidRPr="00DA17AB">
        <w:rPr>
          <w:rFonts w:ascii="Times New Roman" w:hAnsi="Times New Roman" w:cs="Times New Roman"/>
          <w:sz w:val="24"/>
          <w:szCs w:val="24"/>
        </w:rPr>
        <w:t xml:space="preserve">. [online] Available at: </w:t>
      </w:r>
      <w:hyperlink r:id="rId11" w:tgtFrame="_new" w:history="1">
        <w:r w:rsidRPr="00DA17AB">
          <w:rPr>
            <w:rStyle w:val="Hyperlink"/>
            <w:rFonts w:ascii="Times New Roman" w:hAnsi="Times New Roman" w:cs="Times New Roman"/>
            <w:sz w:val="24"/>
            <w:szCs w:val="24"/>
          </w:rPr>
          <w:t>https://www.gov.uk/guidance/energy-savings-opportunity-scheme-esos</w:t>
        </w:r>
      </w:hyperlink>
      <w:r w:rsidRPr="00DA17AB">
        <w:rPr>
          <w:rFonts w:ascii="Times New Roman" w:hAnsi="Times New Roman" w:cs="Times New Roman"/>
          <w:sz w:val="24"/>
          <w:szCs w:val="24"/>
        </w:rPr>
        <w:t xml:space="preserve"> [Accessed 20 October 2024].</w:t>
      </w:r>
    </w:p>
    <w:p w14:paraId="1F9BA32E" w14:textId="53143BD0"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Farmaki, A. (2019). Corporate social responsibility in hotels: a stakeholder approach. </w:t>
      </w:r>
      <w:r w:rsidRPr="00DA17AB">
        <w:rPr>
          <w:rFonts w:ascii="Times New Roman" w:hAnsi="Times New Roman" w:cs="Times New Roman"/>
          <w:i/>
          <w:iCs/>
          <w:sz w:val="24"/>
          <w:szCs w:val="24"/>
        </w:rPr>
        <w:t>International Journal of Contemporary Hospitality Management</w:t>
      </w:r>
      <w:r w:rsidRPr="00DA17AB">
        <w:rPr>
          <w:rFonts w:ascii="Times New Roman" w:hAnsi="Times New Roman" w:cs="Times New Roman"/>
          <w:sz w:val="24"/>
          <w:szCs w:val="24"/>
        </w:rPr>
        <w:t xml:space="preserve">, 31(6), pp.2297-2320. Available at: </w:t>
      </w:r>
      <w:hyperlink r:id="rId12" w:tgtFrame="_new" w:history="1">
        <w:r w:rsidRPr="00DA17AB">
          <w:rPr>
            <w:rStyle w:val="Hyperlink"/>
            <w:rFonts w:ascii="Times New Roman" w:hAnsi="Times New Roman" w:cs="Times New Roman"/>
            <w:sz w:val="24"/>
            <w:szCs w:val="24"/>
          </w:rPr>
          <w:t>https://www.emerald.com/insight/content/doi/10.1108/IJCHM-03-2018-0199/full/html</w:t>
        </w:r>
      </w:hyperlink>
      <w:r w:rsidRPr="00DA17AB">
        <w:rPr>
          <w:rFonts w:ascii="Times New Roman" w:hAnsi="Times New Roman" w:cs="Times New Roman"/>
          <w:sz w:val="24"/>
          <w:szCs w:val="24"/>
        </w:rPr>
        <w:t xml:space="preserve"> [Accessed 20 October 2024].</w:t>
      </w:r>
    </w:p>
    <w:p w14:paraId="30CFD58F" w14:textId="3FDBF4BC"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Font, X. and Lynes, J. (2018). Corporate social responsibility in tourism and hospitality. </w:t>
      </w:r>
      <w:r w:rsidRPr="00DA17AB">
        <w:rPr>
          <w:rFonts w:ascii="Times New Roman" w:hAnsi="Times New Roman" w:cs="Times New Roman"/>
          <w:i/>
          <w:iCs/>
          <w:sz w:val="24"/>
          <w:szCs w:val="24"/>
        </w:rPr>
        <w:t>Journal of Sustainable Tourism</w:t>
      </w:r>
      <w:r w:rsidRPr="00DA17AB">
        <w:rPr>
          <w:rFonts w:ascii="Times New Roman" w:hAnsi="Times New Roman" w:cs="Times New Roman"/>
          <w:sz w:val="24"/>
          <w:szCs w:val="24"/>
        </w:rPr>
        <w:t xml:space="preserve">, 26(7), pp.1027-1042. Available at: </w:t>
      </w:r>
      <w:hyperlink r:id="rId13" w:tgtFrame="_new" w:history="1">
        <w:r w:rsidRPr="00DA17AB">
          <w:rPr>
            <w:rStyle w:val="Hyperlink"/>
            <w:rFonts w:ascii="Times New Roman" w:hAnsi="Times New Roman" w:cs="Times New Roman"/>
            <w:sz w:val="24"/>
            <w:szCs w:val="24"/>
          </w:rPr>
          <w:t>https://www.tandfonline.com/doi/full/10.1080/09669582.2018.1488856</w:t>
        </w:r>
      </w:hyperlink>
      <w:r w:rsidRPr="00DA17AB">
        <w:rPr>
          <w:rFonts w:ascii="Times New Roman" w:hAnsi="Times New Roman" w:cs="Times New Roman"/>
          <w:sz w:val="24"/>
          <w:szCs w:val="24"/>
        </w:rPr>
        <w:t xml:space="preserve"> [Accessed 20 October 2024].</w:t>
      </w:r>
    </w:p>
    <w:p w14:paraId="30408B1E" w14:textId="5828697D"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Font, X. and McCabe, S. (2017). Sustainability and marketing in tourism: its contexts, paradoxes, approaches, challenges and potential. </w:t>
      </w:r>
      <w:r w:rsidRPr="00DA17AB">
        <w:rPr>
          <w:rFonts w:ascii="Times New Roman" w:hAnsi="Times New Roman" w:cs="Times New Roman"/>
          <w:i/>
          <w:iCs/>
          <w:sz w:val="24"/>
          <w:szCs w:val="24"/>
        </w:rPr>
        <w:t>Journal of Sustainable Tourism</w:t>
      </w:r>
      <w:r w:rsidRPr="00DA17AB">
        <w:rPr>
          <w:rFonts w:ascii="Times New Roman" w:hAnsi="Times New Roman" w:cs="Times New Roman"/>
          <w:sz w:val="24"/>
          <w:szCs w:val="24"/>
        </w:rPr>
        <w:t xml:space="preserve">, 25(7), pp.869-883. Available at: </w:t>
      </w:r>
      <w:hyperlink r:id="rId14" w:tgtFrame="_new" w:history="1">
        <w:r w:rsidRPr="00DA17AB">
          <w:rPr>
            <w:rStyle w:val="Hyperlink"/>
            <w:rFonts w:ascii="Times New Roman" w:hAnsi="Times New Roman" w:cs="Times New Roman"/>
            <w:sz w:val="24"/>
            <w:szCs w:val="24"/>
          </w:rPr>
          <w:t>https://www.tandfonline.com/doi/full/10.1080/09669582.2017.1301721</w:t>
        </w:r>
      </w:hyperlink>
      <w:r w:rsidRPr="00DA17AB">
        <w:rPr>
          <w:rFonts w:ascii="Times New Roman" w:hAnsi="Times New Roman" w:cs="Times New Roman"/>
          <w:sz w:val="24"/>
          <w:szCs w:val="24"/>
        </w:rPr>
        <w:t xml:space="preserve"> [Accessed 20 October 2024].</w:t>
      </w:r>
    </w:p>
    <w:p w14:paraId="3725D245" w14:textId="1B78D4F0"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lastRenderedPageBreak/>
        <w:t xml:space="preserve">Gossling, S., Hall, C.M. and Scott, D. (2015). </w:t>
      </w:r>
      <w:r w:rsidRPr="00DA17AB">
        <w:rPr>
          <w:rFonts w:ascii="Times New Roman" w:hAnsi="Times New Roman" w:cs="Times New Roman"/>
          <w:i/>
          <w:iCs/>
          <w:sz w:val="24"/>
          <w:szCs w:val="24"/>
        </w:rPr>
        <w:t>Tourism and water</w:t>
      </w:r>
      <w:r w:rsidRPr="00DA17AB">
        <w:rPr>
          <w:rFonts w:ascii="Times New Roman" w:hAnsi="Times New Roman" w:cs="Times New Roman"/>
          <w:sz w:val="24"/>
          <w:szCs w:val="24"/>
        </w:rPr>
        <w:t xml:space="preserve">. Bristol: Channel View Publications. Available at: </w:t>
      </w:r>
      <w:hyperlink r:id="rId15" w:tgtFrame="_new" w:history="1">
        <w:r w:rsidRPr="00DA17AB">
          <w:rPr>
            <w:rStyle w:val="Hyperlink"/>
            <w:rFonts w:ascii="Times New Roman" w:hAnsi="Times New Roman" w:cs="Times New Roman"/>
            <w:sz w:val="24"/>
            <w:szCs w:val="24"/>
          </w:rPr>
          <w:t>https://www.tandfonline.com/doi/full/10.1080/14724049.2015.1070511</w:t>
        </w:r>
      </w:hyperlink>
      <w:r w:rsidRPr="00DA17AB">
        <w:rPr>
          <w:rFonts w:ascii="Times New Roman" w:hAnsi="Times New Roman" w:cs="Times New Roman"/>
          <w:sz w:val="24"/>
          <w:szCs w:val="24"/>
        </w:rPr>
        <w:t xml:space="preserve"> [Accessed 20 October 2024].</w:t>
      </w:r>
    </w:p>
    <w:p w14:paraId="410068C6" w14:textId="7CAD0B63"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Home Office (2021). </w:t>
      </w:r>
      <w:r w:rsidRPr="00DA17AB">
        <w:rPr>
          <w:rFonts w:ascii="Times New Roman" w:hAnsi="Times New Roman" w:cs="Times New Roman"/>
          <w:i/>
          <w:iCs/>
          <w:sz w:val="24"/>
          <w:szCs w:val="24"/>
        </w:rPr>
        <w:t>Transparency in supply chains: a practical guide</w:t>
      </w:r>
      <w:r w:rsidRPr="00DA17AB">
        <w:rPr>
          <w:rFonts w:ascii="Times New Roman" w:hAnsi="Times New Roman" w:cs="Times New Roman"/>
          <w:sz w:val="24"/>
          <w:szCs w:val="24"/>
        </w:rPr>
        <w:t xml:space="preserve">. [online] Available at: </w:t>
      </w:r>
      <w:hyperlink r:id="rId16" w:tgtFrame="_new" w:history="1">
        <w:r w:rsidRPr="00DA17AB">
          <w:rPr>
            <w:rStyle w:val="Hyperlink"/>
            <w:rFonts w:ascii="Times New Roman" w:hAnsi="Times New Roman" w:cs="Times New Roman"/>
            <w:sz w:val="24"/>
            <w:szCs w:val="24"/>
          </w:rPr>
          <w:t>https://www.gov.uk/government/publications/transparency-in-supply-chains-a-practical-guide</w:t>
        </w:r>
      </w:hyperlink>
      <w:r w:rsidRPr="00DA17AB">
        <w:rPr>
          <w:rFonts w:ascii="Times New Roman" w:hAnsi="Times New Roman" w:cs="Times New Roman"/>
          <w:sz w:val="24"/>
          <w:szCs w:val="24"/>
        </w:rPr>
        <w:t xml:space="preserve"> [Accessed 20 October 2024].</w:t>
      </w:r>
    </w:p>
    <w:p w14:paraId="47C04740" w14:textId="3155D5EF"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Jones, P., Hillier, D. and Comfort, D. (2016). Sustainability in the hospitality industry: Some personal reflections on corporate challenges and research agendas. </w:t>
      </w:r>
      <w:r w:rsidRPr="00DA17AB">
        <w:rPr>
          <w:rFonts w:ascii="Times New Roman" w:hAnsi="Times New Roman" w:cs="Times New Roman"/>
          <w:i/>
          <w:iCs/>
          <w:sz w:val="24"/>
          <w:szCs w:val="24"/>
        </w:rPr>
        <w:t>International Journal of Contemporary Hospitality Management</w:t>
      </w:r>
      <w:r w:rsidRPr="00DA17AB">
        <w:rPr>
          <w:rFonts w:ascii="Times New Roman" w:hAnsi="Times New Roman" w:cs="Times New Roman"/>
          <w:sz w:val="24"/>
          <w:szCs w:val="24"/>
        </w:rPr>
        <w:t xml:space="preserve">, 28(1), pp.36-67. Available at: </w:t>
      </w:r>
      <w:hyperlink r:id="rId17" w:tgtFrame="_new" w:history="1">
        <w:r w:rsidRPr="00DA17AB">
          <w:rPr>
            <w:rStyle w:val="Hyperlink"/>
            <w:rFonts w:ascii="Times New Roman" w:hAnsi="Times New Roman" w:cs="Times New Roman"/>
            <w:sz w:val="24"/>
            <w:szCs w:val="24"/>
          </w:rPr>
          <w:t>https://www.emerald.com/insight/content/doi/10.1108/IJCHM-11-2014-0572/full/html</w:t>
        </w:r>
      </w:hyperlink>
      <w:r w:rsidRPr="00DA17AB">
        <w:rPr>
          <w:rFonts w:ascii="Times New Roman" w:hAnsi="Times New Roman" w:cs="Times New Roman"/>
          <w:sz w:val="24"/>
          <w:szCs w:val="24"/>
        </w:rPr>
        <w:t xml:space="preserve"> [Accessed 20 October 2024].</w:t>
      </w:r>
    </w:p>
    <w:p w14:paraId="367A3B7E" w14:textId="1D54D748"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Legrand, W., Sloan, P. and Chen, J.S. (2016). </w:t>
      </w:r>
      <w:r w:rsidRPr="00DA17AB">
        <w:rPr>
          <w:rFonts w:ascii="Times New Roman" w:hAnsi="Times New Roman" w:cs="Times New Roman"/>
          <w:i/>
          <w:iCs/>
          <w:sz w:val="24"/>
          <w:szCs w:val="24"/>
        </w:rPr>
        <w:t>Sustainability in the hospitality industry: Principles of sustainable operations</w:t>
      </w:r>
      <w:r w:rsidRPr="00DA17AB">
        <w:rPr>
          <w:rFonts w:ascii="Times New Roman" w:hAnsi="Times New Roman" w:cs="Times New Roman"/>
          <w:sz w:val="24"/>
          <w:szCs w:val="24"/>
        </w:rPr>
        <w:t>. London: Routledge.</w:t>
      </w:r>
    </w:p>
    <w:p w14:paraId="0A491111" w14:textId="1DCFC451"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Martínez, P., Pérez, A. and Rodríguez del Bosque, I. (2017). Exploring the role of CSR in the organizational identity of hospitality companies: A case from the Spanish tourism industry. </w:t>
      </w:r>
      <w:r w:rsidRPr="00DA17AB">
        <w:rPr>
          <w:rFonts w:ascii="Times New Roman" w:hAnsi="Times New Roman" w:cs="Times New Roman"/>
          <w:i/>
          <w:iCs/>
          <w:sz w:val="24"/>
          <w:szCs w:val="24"/>
        </w:rPr>
        <w:t>Journal of Business Ethics</w:t>
      </w:r>
      <w:r w:rsidRPr="00DA17AB">
        <w:rPr>
          <w:rFonts w:ascii="Times New Roman" w:hAnsi="Times New Roman" w:cs="Times New Roman"/>
          <w:sz w:val="24"/>
          <w:szCs w:val="24"/>
        </w:rPr>
        <w:t xml:space="preserve">, 144(3), pp.401-414. Available at: </w:t>
      </w:r>
      <w:hyperlink r:id="rId18" w:tgtFrame="_new" w:history="1">
        <w:r w:rsidRPr="00DA17AB">
          <w:rPr>
            <w:rStyle w:val="Hyperlink"/>
            <w:rFonts w:ascii="Times New Roman" w:hAnsi="Times New Roman" w:cs="Times New Roman"/>
            <w:sz w:val="24"/>
            <w:szCs w:val="24"/>
          </w:rPr>
          <w:t>https://link.springer.com/article/10.1007/s10551-013-1857-1</w:t>
        </w:r>
      </w:hyperlink>
      <w:r w:rsidRPr="00DA17AB">
        <w:rPr>
          <w:rFonts w:ascii="Times New Roman" w:hAnsi="Times New Roman" w:cs="Times New Roman"/>
          <w:sz w:val="24"/>
          <w:szCs w:val="24"/>
        </w:rPr>
        <w:t xml:space="preserve"> [Accessed 20 October 2024].</w:t>
      </w:r>
    </w:p>
    <w:p w14:paraId="302066CF" w14:textId="76191779" w:rsidR="00DA17AB"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rPr>
        <w:t xml:space="preserve">Matos, S. and Sampaio, P. (2019). Sustainability in the hospitality industry: A systematic literature review. In: Machado, C. and Davim, J.P. eds. </w:t>
      </w:r>
      <w:r w:rsidRPr="00DA17AB">
        <w:rPr>
          <w:rFonts w:ascii="Times New Roman" w:hAnsi="Times New Roman" w:cs="Times New Roman"/>
          <w:i/>
          <w:iCs/>
          <w:sz w:val="24"/>
          <w:szCs w:val="24"/>
        </w:rPr>
        <w:t>Management Science: Foundations and Innovations</w:t>
      </w:r>
      <w:r w:rsidRPr="00DA17AB">
        <w:rPr>
          <w:rFonts w:ascii="Times New Roman" w:hAnsi="Times New Roman" w:cs="Times New Roman"/>
          <w:sz w:val="24"/>
          <w:szCs w:val="24"/>
        </w:rPr>
        <w:t>. Cham: Springer, pp.123-152.</w:t>
      </w:r>
    </w:p>
    <w:p w14:paraId="1FC13240" w14:textId="3CC588F3" w:rsidR="00D64625" w:rsidRPr="00DA17AB" w:rsidRDefault="00DA17AB" w:rsidP="00DA17AB">
      <w:pPr>
        <w:spacing w:line="360" w:lineRule="auto"/>
        <w:jc w:val="both"/>
        <w:rPr>
          <w:rFonts w:ascii="Times New Roman" w:hAnsi="Times New Roman" w:cs="Times New Roman"/>
          <w:sz w:val="24"/>
          <w:szCs w:val="24"/>
        </w:rPr>
      </w:pPr>
      <w:r w:rsidRPr="00DA17AB">
        <w:rPr>
          <w:rFonts w:ascii="Times New Roman" w:hAnsi="Times New Roman" w:cs="Times New Roman"/>
          <w:sz w:val="24"/>
          <w:szCs w:val="24"/>
          <w:lang w:val="de-DE"/>
        </w:rPr>
        <w:t xml:space="preserve">Styles, D., Schönberger, H. and Galvez Martos, J.L. (2015). </w:t>
      </w:r>
      <w:r w:rsidRPr="00DA17AB">
        <w:rPr>
          <w:rFonts w:ascii="Times New Roman" w:hAnsi="Times New Roman" w:cs="Times New Roman"/>
          <w:i/>
          <w:iCs/>
          <w:sz w:val="24"/>
          <w:szCs w:val="24"/>
        </w:rPr>
        <w:t>Best environmental management practice in the tourism sector</w:t>
      </w:r>
      <w:r w:rsidRPr="00DA17AB">
        <w:rPr>
          <w:rFonts w:ascii="Times New Roman" w:hAnsi="Times New Roman" w:cs="Times New Roman"/>
          <w:sz w:val="24"/>
          <w:szCs w:val="24"/>
        </w:rPr>
        <w:t>. Luxembourg: Publications Office of the European Union.</w:t>
      </w:r>
    </w:p>
    <w:sectPr w:rsidR="00D64625" w:rsidRPr="00DA17A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DBC76" w14:textId="77777777" w:rsidR="008C332E" w:rsidRDefault="008C332E" w:rsidP="008C332E">
      <w:pPr>
        <w:spacing w:after="0" w:line="240" w:lineRule="auto"/>
      </w:pPr>
      <w:r>
        <w:separator/>
      </w:r>
    </w:p>
  </w:endnote>
  <w:endnote w:type="continuationSeparator" w:id="0">
    <w:p w14:paraId="201DE2AE" w14:textId="77777777" w:rsidR="008C332E" w:rsidRDefault="008C332E" w:rsidP="008C3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441824"/>
      <w:docPartObj>
        <w:docPartGallery w:val="Page Numbers (Bottom of Page)"/>
        <w:docPartUnique/>
      </w:docPartObj>
    </w:sdtPr>
    <w:sdtEndPr>
      <w:rPr>
        <w:noProof/>
      </w:rPr>
    </w:sdtEndPr>
    <w:sdtContent>
      <w:p w14:paraId="7A3810CF" w14:textId="4D61BA17" w:rsidR="008C332E" w:rsidRDefault="008C33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E4BA9D" w14:textId="77777777" w:rsidR="008C332E" w:rsidRDefault="008C3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8C0B9" w14:textId="77777777" w:rsidR="008C332E" w:rsidRDefault="008C332E" w:rsidP="008C332E">
      <w:pPr>
        <w:spacing w:after="0" w:line="240" w:lineRule="auto"/>
      </w:pPr>
      <w:r>
        <w:separator/>
      </w:r>
    </w:p>
  </w:footnote>
  <w:footnote w:type="continuationSeparator" w:id="0">
    <w:p w14:paraId="0DD4ADD3" w14:textId="77777777" w:rsidR="008C332E" w:rsidRDefault="008C332E" w:rsidP="008C33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D1E77"/>
    <w:multiLevelType w:val="hybridMultilevel"/>
    <w:tmpl w:val="65B65D44"/>
    <w:lvl w:ilvl="0" w:tplc="A2588868">
      <w:numFmt w:val="bullet"/>
      <w:lvlText w:val=""/>
      <w:lvlJc w:val="left"/>
      <w:pPr>
        <w:ind w:left="1176" w:hanging="816"/>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7932AE"/>
    <w:multiLevelType w:val="hybridMultilevel"/>
    <w:tmpl w:val="D0BA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594710">
    <w:abstractNumId w:val="1"/>
  </w:num>
  <w:num w:numId="2" w16cid:durableId="1819220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218"/>
    <w:rsid w:val="00230DEC"/>
    <w:rsid w:val="00273A19"/>
    <w:rsid w:val="003309AC"/>
    <w:rsid w:val="003E4C21"/>
    <w:rsid w:val="003E7C27"/>
    <w:rsid w:val="005F4CF7"/>
    <w:rsid w:val="006406CA"/>
    <w:rsid w:val="006A0218"/>
    <w:rsid w:val="00737BFA"/>
    <w:rsid w:val="008C332E"/>
    <w:rsid w:val="008D14AA"/>
    <w:rsid w:val="008D22D1"/>
    <w:rsid w:val="008F2CE7"/>
    <w:rsid w:val="00A13F4A"/>
    <w:rsid w:val="00A505F6"/>
    <w:rsid w:val="00AD18BC"/>
    <w:rsid w:val="00B633C6"/>
    <w:rsid w:val="00C436B7"/>
    <w:rsid w:val="00D2762F"/>
    <w:rsid w:val="00D64625"/>
    <w:rsid w:val="00DA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5FAE47"/>
  <w15:chartTrackingRefBased/>
  <w15:docId w15:val="{5E30313C-44EA-45B4-A87F-A13D1286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3F4A"/>
    <w:pPr>
      <w:keepNext/>
      <w:keepLines/>
      <w:spacing w:before="240" w:after="0" w:line="360" w:lineRule="auto"/>
      <w:jc w:val="both"/>
      <w:outlineLvl w:val="0"/>
    </w:pPr>
    <w:rPr>
      <w:rFonts w:ascii="Times New Roman" w:eastAsiaTheme="majorEastAsia" w:hAnsi="Times New Roman" w:cstheme="majorHAnsi"/>
      <w:b/>
      <w:bCs/>
      <w:kern w:val="0"/>
      <w:sz w:val="28"/>
      <w:szCs w:val="32"/>
      <w14:ligatures w14:val="none"/>
    </w:rPr>
  </w:style>
  <w:style w:type="paragraph" w:styleId="Heading2">
    <w:name w:val="heading 2"/>
    <w:basedOn w:val="Normal"/>
    <w:next w:val="Normal"/>
    <w:link w:val="Heading2Char"/>
    <w:autoRedefine/>
    <w:uiPriority w:val="9"/>
    <w:unhideWhenUsed/>
    <w:qFormat/>
    <w:rsid w:val="008D22D1"/>
    <w:pPr>
      <w:keepNext/>
      <w:keepLines/>
      <w:spacing w:before="160" w:after="80"/>
      <w:outlineLvl w:val="1"/>
    </w:pPr>
    <w:rPr>
      <w:rFonts w:ascii="Times New Roman" w:eastAsiaTheme="majorEastAsia" w:hAnsi="Times New Roman" w:cstheme="majorBidi"/>
      <w:b/>
      <w:noProof/>
      <w:color w:val="000000" w:themeColor="text1"/>
      <w:sz w:val="24"/>
      <w:szCs w:val="32"/>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273A19"/>
    <w:pPr>
      <w:keepNext/>
      <w:keepLines/>
      <w:spacing w:before="80" w:after="40" w:line="254" w:lineRule="auto"/>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6A02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0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F4A"/>
    <w:rPr>
      <w:rFonts w:ascii="Times New Roman" w:eastAsiaTheme="majorEastAsia" w:hAnsi="Times New Roman" w:cstheme="majorHAnsi"/>
      <w:b/>
      <w:bCs/>
      <w:kern w:val="0"/>
      <w:sz w:val="28"/>
      <w:szCs w:val="32"/>
      <w14:ligatures w14:val="none"/>
    </w:rPr>
  </w:style>
  <w:style w:type="character" w:customStyle="1" w:styleId="Heading2Char">
    <w:name w:val="Heading 2 Char"/>
    <w:basedOn w:val="DefaultParagraphFont"/>
    <w:link w:val="Heading2"/>
    <w:uiPriority w:val="9"/>
    <w:rsid w:val="008D22D1"/>
    <w:rPr>
      <w:rFonts w:ascii="Times New Roman" w:eastAsiaTheme="majorEastAsia" w:hAnsi="Times New Roman" w:cstheme="majorBidi"/>
      <w:b/>
      <w:noProof/>
      <w:color w:val="000000" w:themeColor="text1"/>
      <w:sz w:val="24"/>
      <w:szCs w:val="32"/>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73A19"/>
    <w:rPr>
      <w:rFonts w:ascii="Times New Roman" w:eastAsiaTheme="majorEastAsia" w:hAnsi="Times New Roman" w:cstheme="majorBidi"/>
      <w:b/>
      <w:iCs/>
      <w:color w:val="000000" w:themeColor="text1"/>
      <w:sz w:val="24"/>
    </w:rPr>
  </w:style>
  <w:style w:type="character" w:customStyle="1" w:styleId="Heading5Char">
    <w:name w:val="Heading 5 Char"/>
    <w:basedOn w:val="DefaultParagraphFont"/>
    <w:link w:val="Heading5"/>
    <w:uiPriority w:val="9"/>
    <w:semiHidden/>
    <w:rsid w:val="006A02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0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218"/>
    <w:rPr>
      <w:rFonts w:eastAsiaTheme="majorEastAsia" w:cstheme="majorBidi"/>
      <w:color w:val="272727" w:themeColor="text1" w:themeTint="D8"/>
    </w:rPr>
  </w:style>
  <w:style w:type="paragraph" w:styleId="Title">
    <w:name w:val="Title"/>
    <w:basedOn w:val="Normal"/>
    <w:next w:val="Normal"/>
    <w:link w:val="TitleChar"/>
    <w:uiPriority w:val="10"/>
    <w:qFormat/>
    <w:rsid w:val="006A0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218"/>
    <w:pPr>
      <w:spacing w:before="160"/>
      <w:jc w:val="center"/>
    </w:pPr>
    <w:rPr>
      <w:i/>
      <w:iCs/>
      <w:color w:val="404040" w:themeColor="text1" w:themeTint="BF"/>
    </w:rPr>
  </w:style>
  <w:style w:type="character" w:customStyle="1" w:styleId="QuoteChar">
    <w:name w:val="Quote Char"/>
    <w:basedOn w:val="DefaultParagraphFont"/>
    <w:link w:val="Quote"/>
    <w:uiPriority w:val="29"/>
    <w:rsid w:val="006A0218"/>
    <w:rPr>
      <w:i/>
      <w:iCs/>
      <w:color w:val="404040" w:themeColor="text1" w:themeTint="BF"/>
    </w:rPr>
  </w:style>
  <w:style w:type="paragraph" w:styleId="ListParagraph">
    <w:name w:val="List Paragraph"/>
    <w:basedOn w:val="Normal"/>
    <w:uiPriority w:val="34"/>
    <w:qFormat/>
    <w:rsid w:val="006A0218"/>
    <w:pPr>
      <w:ind w:left="720"/>
      <w:contextualSpacing/>
    </w:pPr>
  </w:style>
  <w:style w:type="character" w:styleId="IntenseEmphasis">
    <w:name w:val="Intense Emphasis"/>
    <w:basedOn w:val="DefaultParagraphFont"/>
    <w:uiPriority w:val="21"/>
    <w:qFormat/>
    <w:rsid w:val="006A0218"/>
    <w:rPr>
      <w:i/>
      <w:iCs/>
      <w:color w:val="2F5496" w:themeColor="accent1" w:themeShade="BF"/>
    </w:rPr>
  </w:style>
  <w:style w:type="paragraph" w:styleId="IntenseQuote">
    <w:name w:val="Intense Quote"/>
    <w:basedOn w:val="Normal"/>
    <w:next w:val="Normal"/>
    <w:link w:val="IntenseQuoteChar"/>
    <w:uiPriority w:val="30"/>
    <w:qFormat/>
    <w:rsid w:val="006A02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0218"/>
    <w:rPr>
      <w:i/>
      <w:iCs/>
      <w:color w:val="2F5496" w:themeColor="accent1" w:themeShade="BF"/>
    </w:rPr>
  </w:style>
  <w:style w:type="character" w:styleId="IntenseReference">
    <w:name w:val="Intense Reference"/>
    <w:basedOn w:val="DefaultParagraphFont"/>
    <w:uiPriority w:val="32"/>
    <w:qFormat/>
    <w:rsid w:val="006A0218"/>
    <w:rPr>
      <w:b/>
      <w:bCs/>
      <w:smallCaps/>
      <w:color w:val="2F5496" w:themeColor="accent1" w:themeShade="BF"/>
      <w:spacing w:val="5"/>
    </w:rPr>
  </w:style>
  <w:style w:type="character" w:styleId="Hyperlink">
    <w:name w:val="Hyperlink"/>
    <w:basedOn w:val="DefaultParagraphFont"/>
    <w:uiPriority w:val="99"/>
    <w:unhideWhenUsed/>
    <w:rsid w:val="00D64625"/>
    <w:rPr>
      <w:color w:val="0563C1" w:themeColor="hyperlink"/>
      <w:u w:val="single"/>
    </w:rPr>
  </w:style>
  <w:style w:type="character" w:styleId="UnresolvedMention">
    <w:name w:val="Unresolved Mention"/>
    <w:basedOn w:val="DefaultParagraphFont"/>
    <w:uiPriority w:val="99"/>
    <w:semiHidden/>
    <w:unhideWhenUsed/>
    <w:rsid w:val="00D64625"/>
    <w:rPr>
      <w:color w:val="605E5C"/>
      <w:shd w:val="clear" w:color="auto" w:fill="E1DFDD"/>
    </w:rPr>
  </w:style>
  <w:style w:type="character" w:styleId="FollowedHyperlink">
    <w:name w:val="FollowedHyperlink"/>
    <w:basedOn w:val="DefaultParagraphFont"/>
    <w:uiPriority w:val="99"/>
    <w:semiHidden/>
    <w:unhideWhenUsed/>
    <w:rsid w:val="00D64625"/>
    <w:rPr>
      <w:color w:val="954F72" w:themeColor="followedHyperlink"/>
      <w:u w:val="single"/>
    </w:rPr>
  </w:style>
  <w:style w:type="paragraph" w:styleId="Header">
    <w:name w:val="header"/>
    <w:basedOn w:val="Normal"/>
    <w:link w:val="HeaderChar"/>
    <w:uiPriority w:val="99"/>
    <w:unhideWhenUsed/>
    <w:rsid w:val="008C3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32E"/>
  </w:style>
  <w:style w:type="paragraph" w:styleId="Footer">
    <w:name w:val="footer"/>
    <w:basedOn w:val="Normal"/>
    <w:link w:val="FooterChar"/>
    <w:uiPriority w:val="99"/>
    <w:unhideWhenUsed/>
    <w:rsid w:val="008C3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008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doc.pub/documents/luxury-fashion-retail-management-2qbrlr7acarg" TargetMode="External"/><Relationship Id="rId13" Type="http://schemas.openxmlformats.org/officeDocument/2006/relationships/hyperlink" Target="https://www.tandfonline.com/doi/full/10.1080/09669582.2018.1488856" TargetMode="External"/><Relationship Id="rId18" Type="http://schemas.openxmlformats.org/officeDocument/2006/relationships/hyperlink" Target="https://link.springer.com/article/10.1007/s10551-013-1857-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roup.accor.com/en/commitment" TargetMode="External"/><Relationship Id="rId12" Type="http://schemas.openxmlformats.org/officeDocument/2006/relationships/hyperlink" Target="https://www.emerald.com/insight/content/doi/10.1108/IJCHM-03-2018-0199/full/html" TargetMode="External"/><Relationship Id="rId17" Type="http://schemas.openxmlformats.org/officeDocument/2006/relationships/hyperlink" Target="https://www.emerald.com/insight/content/doi/10.1108/IJCHM-11-2014-0572/full/html" TargetMode="External"/><Relationship Id="rId2" Type="http://schemas.openxmlformats.org/officeDocument/2006/relationships/styles" Target="styles.xml"/><Relationship Id="rId16" Type="http://schemas.openxmlformats.org/officeDocument/2006/relationships/hyperlink" Target="https://www.gov.uk/government/publications/transparency-in-supply-chains-a-practical-guid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energy-savings-opportunity-scheme-esos" TargetMode="External"/><Relationship Id="rId5" Type="http://schemas.openxmlformats.org/officeDocument/2006/relationships/footnotes" Target="footnotes.xml"/><Relationship Id="rId15" Type="http://schemas.openxmlformats.org/officeDocument/2006/relationships/hyperlink" Target="https://www.tandfonline.com/doi/full/10.1080/14724049.2015.1070511" TargetMode="External"/><Relationship Id="rId10" Type="http://schemas.openxmlformats.org/officeDocument/2006/relationships/hyperlink" Target="https://www.gov.uk/government/publications/environmental-reporting-guidelines-including-mandatory-greenhouse-gas-emissions-reporting-guidanc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news/new-digital-tool-enables-easier-energy-and-carbon-reporting" TargetMode="External"/><Relationship Id="rId14" Type="http://schemas.openxmlformats.org/officeDocument/2006/relationships/hyperlink" Target="https://www.tandfonline.com/doi/full/10.1080/09669582.2017.13017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2436</Words>
  <Characters>15949</Characters>
  <Application>Microsoft Office Word</Application>
  <DocSecurity>0</DocSecurity>
  <Lines>257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2024-10-21T12:28:00Z</dcterms:created>
  <dcterms:modified xsi:type="dcterms:W3CDTF">2024-10-21T15:05:00Z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c3e4e791-4552-475f-b9fb-e255bb3b37b4</vt:lpwstr>
  </property>
</Properties>
</file>