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AED2BE" w14:textId="77777777" w:rsidR="00A32D62" w:rsidRPr="00132FA9" w:rsidRDefault="00A32D62" w:rsidP="00A32D62">
      <w:pPr>
        <w:jc w:val="center"/>
        <w:rPr>
          <w:rFonts w:asciiTheme="majorBidi" w:hAnsiTheme="majorBidi" w:cstheme="majorBidi"/>
          <w:b/>
          <w:bCs/>
          <w:sz w:val="24"/>
          <w:szCs w:val="24"/>
          <w:lang w:val="en-US"/>
        </w:rPr>
      </w:pPr>
      <w:r w:rsidRPr="00132FA9">
        <w:rPr>
          <w:rFonts w:asciiTheme="majorBidi" w:hAnsiTheme="majorBidi" w:cstheme="majorBidi"/>
          <w:b/>
          <w:bCs/>
          <w:sz w:val="24"/>
          <w:szCs w:val="24"/>
          <w:lang w:val="en-US"/>
        </w:rPr>
        <w:t>The Christian-Muslim Polemic Literature at the Beginning of the Twentieth Century in Lebanon, Its Themes and Effect</w:t>
      </w:r>
    </w:p>
    <w:p w14:paraId="7ED7BF8D" w14:textId="77777777" w:rsidR="00A32D62" w:rsidRPr="00132FA9" w:rsidRDefault="00A32D62" w:rsidP="00A32D62">
      <w:pPr>
        <w:rPr>
          <w:rFonts w:asciiTheme="majorBidi" w:hAnsiTheme="majorBidi" w:cstheme="majorBidi"/>
          <w:b/>
          <w:bCs/>
          <w:sz w:val="24"/>
          <w:szCs w:val="24"/>
          <w:lang w:val="en-US" w:bidi="ar-EG"/>
        </w:rPr>
      </w:pPr>
      <w:r w:rsidRPr="00132FA9">
        <w:rPr>
          <w:rFonts w:asciiTheme="majorBidi" w:hAnsiTheme="majorBidi" w:cstheme="majorBidi"/>
          <w:b/>
          <w:bCs/>
          <w:sz w:val="24"/>
          <w:szCs w:val="24"/>
          <w:lang w:val="en-US" w:bidi="ar-EG"/>
        </w:rPr>
        <w:t>Introduction</w:t>
      </w:r>
    </w:p>
    <w:p w14:paraId="35DC8014" w14:textId="77777777" w:rsidR="00A32D62" w:rsidRPr="00132FA9" w:rsidRDefault="00A32D62" w:rsidP="00A32D62">
      <w:pPr>
        <w:jc w:val="both"/>
        <w:rPr>
          <w:rFonts w:asciiTheme="majorBidi" w:hAnsiTheme="majorBidi" w:cstheme="majorBidi"/>
          <w:sz w:val="24"/>
          <w:szCs w:val="24"/>
          <w:lang w:val="en-US"/>
        </w:rPr>
      </w:pPr>
      <w:r w:rsidRPr="00132FA9">
        <w:rPr>
          <w:rFonts w:asciiTheme="majorBidi" w:hAnsiTheme="majorBidi" w:cstheme="majorBidi"/>
          <w:sz w:val="24"/>
          <w:szCs w:val="24"/>
          <w:lang w:val="en-US"/>
        </w:rPr>
        <w:t xml:space="preserve">This article discusses the role of two Lebanon authors; Muhammad Taher al-Tanneer (d. </w:t>
      </w:r>
      <w:r w:rsidRPr="00132FA9">
        <w:rPr>
          <w:rFonts w:asciiTheme="majorBidi" w:hAnsiTheme="majorBidi" w:cstheme="majorBidi"/>
          <w:sz w:val="24"/>
          <w:szCs w:val="24"/>
        </w:rPr>
        <w:t>1933)</w:t>
      </w:r>
      <w:r w:rsidRPr="00132FA9">
        <w:rPr>
          <w:rFonts w:asciiTheme="majorBidi" w:hAnsiTheme="majorBidi" w:cstheme="majorBidi"/>
          <w:sz w:val="24"/>
          <w:szCs w:val="24"/>
          <w:lang w:val="en-US"/>
        </w:rPr>
        <w:t xml:space="preserve"> and his father, Abd Al-Wahhab Saleem al-Tannir (</w:t>
      </w:r>
      <w:r w:rsidRPr="00132FA9">
        <w:rPr>
          <w:rFonts w:asciiTheme="majorBidi" w:hAnsiTheme="majorBidi" w:cstheme="majorBidi"/>
          <w:sz w:val="24"/>
          <w:szCs w:val="24"/>
          <w:lang w:bidi="ar-EG"/>
        </w:rPr>
        <w:t>d. 1918) in the Christian Muslim relations at their time</w:t>
      </w:r>
      <w:r w:rsidRPr="00132FA9">
        <w:rPr>
          <w:rFonts w:asciiTheme="majorBidi" w:hAnsiTheme="majorBidi" w:cstheme="majorBidi"/>
          <w:sz w:val="24"/>
          <w:szCs w:val="24"/>
          <w:lang w:val="en-US"/>
        </w:rPr>
        <w:t>. In this essay I will discuss the encounter between the Islamic scholarship and the Western writings were al-Tanneers participated greatly at this time. They both introduced some themes to the Islamic scholarship and the debates between Muslims and Christians which had significant impact on the Christian-Muslim relations then. These writings are still affecting the contemporary Christian Muslim relations, not only based on the theological debates, but also the legal discussions as well, the shown below.</w:t>
      </w:r>
    </w:p>
    <w:p w14:paraId="672A62D8" w14:textId="77777777" w:rsidR="00A32D62" w:rsidRPr="00132FA9" w:rsidRDefault="00A32D62" w:rsidP="00A32D62">
      <w:pPr>
        <w:jc w:val="both"/>
        <w:rPr>
          <w:rFonts w:asciiTheme="majorBidi" w:hAnsiTheme="majorBidi" w:cstheme="majorBidi"/>
          <w:sz w:val="24"/>
          <w:szCs w:val="24"/>
          <w:lang w:val="en-US"/>
        </w:rPr>
      </w:pPr>
    </w:p>
    <w:p w14:paraId="601EE1AB" w14:textId="77777777" w:rsidR="00A32D62" w:rsidRPr="00132FA9" w:rsidRDefault="00A32D62" w:rsidP="00A32D62">
      <w:pPr>
        <w:jc w:val="both"/>
        <w:rPr>
          <w:rFonts w:asciiTheme="majorBidi" w:hAnsiTheme="majorBidi" w:cstheme="majorBidi"/>
          <w:sz w:val="24"/>
          <w:szCs w:val="24"/>
          <w:lang w:val="en-US"/>
        </w:rPr>
      </w:pPr>
      <w:r w:rsidRPr="00132FA9">
        <w:rPr>
          <w:rFonts w:asciiTheme="majorBidi" w:hAnsiTheme="majorBidi" w:cstheme="majorBidi"/>
          <w:sz w:val="24"/>
          <w:szCs w:val="24"/>
          <w:lang w:val="en-US"/>
        </w:rPr>
        <w:t>The authors’ encounter with the western writings  went through translation and authorship. The purpose of these works was to counter attack to the missionary writings and works. In addition, they were to immune Muslims</w:t>
      </w:r>
      <w:r w:rsidRPr="00132FA9">
        <w:rPr>
          <w:rFonts w:asciiTheme="majorBidi" w:hAnsiTheme="majorBidi" w:cstheme="majorBidi"/>
          <w:sz w:val="24"/>
          <w:szCs w:val="24"/>
          <w:rtl/>
          <w:lang w:val="en-US"/>
        </w:rPr>
        <w:t xml:space="preserve"> </w:t>
      </w:r>
      <w:r w:rsidRPr="00132FA9">
        <w:rPr>
          <w:rFonts w:asciiTheme="majorBidi" w:hAnsiTheme="majorBidi" w:cstheme="majorBidi"/>
          <w:sz w:val="24"/>
          <w:szCs w:val="24"/>
          <w:lang w:val="en-US"/>
        </w:rPr>
        <w:t xml:space="preserve">students who study in what he calls “missionary schools”. </w:t>
      </w:r>
    </w:p>
    <w:p w14:paraId="1BC437DD" w14:textId="77777777" w:rsidR="00A32D62" w:rsidRPr="00132FA9" w:rsidRDefault="00A32D62" w:rsidP="00A32D62">
      <w:pPr>
        <w:jc w:val="both"/>
        <w:rPr>
          <w:rFonts w:asciiTheme="majorBidi" w:hAnsiTheme="majorBidi" w:cstheme="majorBidi"/>
          <w:b/>
          <w:bCs/>
          <w:sz w:val="24"/>
          <w:szCs w:val="24"/>
          <w:lang w:val="en-US"/>
        </w:rPr>
      </w:pPr>
    </w:p>
    <w:p w14:paraId="519FCB7D" w14:textId="77777777" w:rsidR="00A32D62" w:rsidRPr="00132FA9" w:rsidRDefault="00A32D62" w:rsidP="00A32D62">
      <w:pPr>
        <w:jc w:val="both"/>
        <w:rPr>
          <w:rFonts w:asciiTheme="majorBidi" w:hAnsiTheme="majorBidi" w:cstheme="majorBidi"/>
          <w:b/>
          <w:bCs/>
          <w:sz w:val="24"/>
          <w:szCs w:val="24"/>
          <w:lang w:val="en-US"/>
        </w:rPr>
      </w:pPr>
      <w:r w:rsidRPr="00132FA9">
        <w:rPr>
          <w:rFonts w:asciiTheme="majorBidi" w:hAnsiTheme="majorBidi" w:cstheme="majorBidi"/>
          <w:b/>
          <w:bCs/>
          <w:sz w:val="24"/>
          <w:szCs w:val="24"/>
          <w:lang w:val="en-US"/>
        </w:rPr>
        <w:t xml:space="preserve">Their Biography and Network </w:t>
      </w:r>
    </w:p>
    <w:p w14:paraId="7A4E48B5" w14:textId="77777777" w:rsidR="00A32D62" w:rsidRPr="00132FA9" w:rsidRDefault="00A32D62" w:rsidP="00A32D62">
      <w:pPr>
        <w:autoSpaceDE w:val="0"/>
        <w:autoSpaceDN w:val="0"/>
        <w:adjustRightInd w:val="0"/>
        <w:spacing w:after="0" w:line="240" w:lineRule="auto"/>
        <w:jc w:val="both"/>
        <w:rPr>
          <w:rFonts w:asciiTheme="majorBidi" w:eastAsia="Arial Unicode MS" w:hAnsiTheme="majorBidi" w:cstheme="majorBidi"/>
          <w:sz w:val="24"/>
          <w:szCs w:val="24"/>
        </w:rPr>
      </w:pPr>
      <w:r w:rsidRPr="00132FA9">
        <w:rPr>
          <w:rFonts w:asciiTheme="majorBidi" w:eastAsia="Arial Unicode MS" w:hAnsiTheme="majorBidi" w:cstheme="majorBidi"/>
          <w:sz w:val="24"/>
          <w:szCs w:val="24"/>
        </w:rPr>
        <w:t xml:space="preserve">The biographical information about the two authors is very limited. </w:t>
      </w:r>
    </w:p>
    <w:p w14:paraId="284840D7" w14:textId="77777777" w:rsidR="00A32D62" w:rsidRPr="00132FA9" w:rsidRDefault="00A32D62" w:rsidP="00A32D62">
      <w:pPr>
        <w:autoSpaceDE w:val="0"/>
        <w:autoSpaceDN w:val="0"/>
        <w:adjustRightInd w:val="0"/>
        <w:spacing w:after="0" w:line="240" w:lineRule="auto"/>
        <w:jc w:val="both"/>
        <w:rPr>
          <w:rFonts w:asciiTheme="majorBidi" w:eastAsia="Arial Unicode MS" w:hAnsiTheme="majorBidi" w:cstheme="majorBidi"/>
          <w:sz w:val="24"/>
          <w:szCs w:val="24"/>
        </w:rPr>
      </w:pPr>
    </w:p>
    <w:p w14:paraId="76EC3FF5" w14:textId="77777777" w:rsidR="00A32D62" w:rsidRPr="00132FA9" w:rsidRDefault="00A32D62" w:rsidP="00A32D62">
      <w:pPr>
        <w:autoSpaceDE w:val="0"/>
        <w:autoSpaceDN w:val="0"/>
        <w:adjustRightInd w:val="0"/>
        <w:spacing w:after="0" w:line="240" w:lineRule="auto"/>
        <w:jc w:val="both"/>
        <w:rPr>
          <w:rFonts w:asciiTheme="majorBidi" w:eastAsia="Arial Unicode MS" w:hAnsiTheme="majorBidi" w:cstheme="majorBidi"/>
          <w:sz w:val="24"/>
          <w:szCs w:val="24"/>
        </w:rPr>
      </w:pPr>
      <w:r w:rsidRPr="00132FA9">
        <w:rPr>
          <w:rFonts w:asciiTheme="majorBidi" w:eastAsia="Arial Unicode MS" w:hAnsiTheme="majorBidi" w:cstheme="majorBidi"/>
          <w:sz w:val="24"/>
          <w:szCs w:val="24"/>
        </w:rPr>
        <w:t>However the father, Abdul Wahhaab Saleem, did not travel abroad nor joined western countries, he was interested in reading and translating some western works. Muhammad Taaher al-Tanneer, the son,  received his secondary education at the American University in Beirut, then he travelled to Switzerland where he received university education for one year. He then returned back to Beirut, where he established a primary school and a Magazine. However the tension between him and some Christian circles, Muhammad Taaher kept a network with foreign people who were living in Lebanon at this time. This is evident in his efforts to support Mostafa Farrookh who was his student in the primary school. The latter was an artist whose talent impressed al-Tanneer that he hired him to work in al-Musawwir, a magazine established by Muhammad Taaher later on. Farrookh told that some people used to tell him that his work as an artist was religiously unlawful, but al-Tanneer and other teachers in his school told him the contrary. Some writers would consider these views as a Western influence to al-Tanneer’s culture. Later on, al-Tanneer recommended Farrookh to work with a German photographer called Jol Lind, who owned a studio in Al-Zaytūnah. These communications reflect al-Tannīr’s network in Lebanon, and his position towards some sorts of arts which were considered prohibited by some religious figures at this time. This position towards the arts was considered a Western influence on al-Tanneer’s character and views.</w:t>
      </w:r>
    </w:p>
    <w:p w14:paraId="605EA19F" w14:textId="77777777" w:rsidR="00A32D62" w:rsidRPr="00132FA9" w:rsidRDefault="00A32D62" w:rsidP="00A32D62">
      <w:pPr>
        <w:autoSpaceDE w:val="0"/>
        <w:autoSpaceDN w:val="0"/>
        <w:adjustRightInd w:val="0"/>
        <w:spacing w:after="0" w:line="240" w:lineRule="auto"/>
        <w:jc w:val="both"/>
        <w:rPr>
          <w:rFonts w:asciiTheme="majorBidi" w:eastAsia="Arial Unicode MS" w:hAnsiTheme="majorBidi" w:cstheme="majorBidi"/>
          <w:sz w:val="24"/>
          <w:szCs w:val="24"/>
        </w:rPr>
      </w:pPr>
    </w:p>
    <w:p w14:paraId="296B4846" w14:textId="77777777" w:rsidR="00A32D62" w:rsidRPr="00132FA9" w:rsidRDefault="00A32D62" w:rsidP="00A32D62">
      <w:pPr>
        <w:autoSpaceDE w:val="0"/>
        <w:autoSpaceDN w:val="0"/>
        <w:adjustRightInd w:val="0"/>
        <w:spacing w:after="0" w:line="240" w:lineRule="auto"/>
        <w:jc w:val="both"/>
        <w:rPr>
          <w:rFonts w:asciiTheme="majorBidi" w:eastAsia="Arial Unicode MS" w:hAnsiTheme="majorBidi" w:cstheme="majorBidi"/>
          <w:sz w:val="24"/>
          <w:szCs w:val="24"/>
        </w:rPr>
      </w:pPr>
      <w:r w:rsidRPr="00132FA9">
        <w:rPr>
          <w:rFonts w:asciiTheme="majorBidi" w:eastAsia="Arial Unicode MS" w:hAnsiTheme="majorBidi" w:cstheme="majorBidi"/>
          <w:sz w:val="24"/>
          <w:szCs w:val="24"/>
        </w:rPr>
        <w:t>Later on, al-Tanneer recommended Farrookh to study in the American University in Beirut, and its president Howard Plus admitted him to the University, but his family refused to let their son study in what they call “missionary schools”. Muhammad al-Tanneer himself used this stigma in his response al-Radd al-Mateen to Louis Cheikho, as will be shown below.</w:t>
      </w:r>
    </w:p>
    <w:p w14:paraId="13C07468" w14:textId="77777777" w:rsidR="00A32D62" w:rsidRPr="00132FA9" w:rsidRDefault="00A32D62" w:rsidP="00A32D62">
      <w:pPr>
        <w:rPr>
          <w:rFonts w:asciiTheme="majorBidi" w:hAnsiTheme="majorBidi" w:cstheme="majorBidi"/>
          <w:sz w:val="24"/>
          <w:szCs w:val="24"/>
          <w:lang w:val="en-US"/>
        </w:rPr>
      </w:pPr>
    </w:p>
    <w:p w14:paraId="593E7E7D" w14:textId="77777777" w:rsidR="00A32D62" w:rsidRPr="00132FA9" w:rsidRDefault="00A32D62" w:rsidP="00A32D62">
      <w:pPr>
        <w:jc w:val="both"/>
        <w:rPr>
          <w:rFonts w:asciiTheme="majorBidi" w:hAnsiTheme="majorBidi" w:cstheme="majorBidi"/>
          <w:sz w:val="24"/>
          <w:szCs w:val="24"/>
          <w:lang w:val="en-US"/>
        </w:rPr>
      </w:pPr>
      <w:r w:rsidRPr="00132FA9">
        <w:rPr>
          <w:rFonts w:asciiTheme="majorBidi" w:hAnsiTheme="majorBidi" w:cstheme="majorBidi"/>
          <w:sz w:val="24"/>
          <w:szCs w:val="24"/>
          <w:lang w:val="en-US"/>
        </w:rPr>
        <w:t>The writings of the two authors were among the main sources upon which Rasheed Reda relied to know about the Western culture and scholarship. They were publishing their articles al-</w:t>
      </w:r>
      <w:r w:rsidRPr="00132FA9">
        <w:rPr>
          <w:rFonts w:asciiTheme="majorBidi" w:hAnsiTheme="majorBidi" w:cstheme="majorBidi"/>
          <w:sz w:val="24"/>
          <w:szCs w:val="24"/>
          <w:lang w:val="en-US"/>
        </w:rPr>
        <w:lastRenderedPageBreak/>
        <w:t xml:space="preserve">Mannaar Magazine, directed by Rasheed Reda, which was one of the leading magazines at that time. </w:t>
      </w:r>
    </w:p>
    <w:p w14:paraId="4D8770E7" w14:textId="77777777" w:rsidR="00A32D62" w:rsidRPr="00132FA9" w:rsidRDefault="00A32D62" w:rsidP="00A32D62">
      <w:pPr>
        <w:rPr>
          <w:rFonts w:asciiTheme="majorBidi" w:hAnsiTheme="majorBidi" w:cstheme="majorBidi"/>
          <w:sz w:val="24"/>
          <w:szCs w:val="24"/>
          <w:lang w:val="en-US"/>
        </w:rPr>
      </w:pPr>
    </w:p>
    <w:p w14:paraId="6003328C" w14:textId="77777777" w:rsidR="00A32D62" w:rsidRPr="00132FA9" w:rsidRDefault="00A32D62" w:rsidP="00A32D62">
      <w:pPr>
        <w:jc w:val="both"/>
        <w:rPr>
          <w:rFonts w:asciiTheme="majorBidi" w:hAnsiTheme="majorBidi" w:cstheme="majorBidi"/>
          <w:b/>
          <w:bCs/>
          <w:sz w:val="24"/>
          <w:szCs w:val="24"/>
          <w:lang w:val="en-US"/>
        </w:rPr>
      </w:pPr>
      <w:r w:rsidRPr="00132FA9">
        <w:rPr>
          <w:rFonts w:asciiTheme="majorBidi" w:hAnsiTheme="majorBidi" w:cstheme="majorBidi"/>
          <w:b/>
          <w:bCs/>
          <w:sz w:val="24"/>
          <w:szCs w:val="24"/>
          <w:lang w:val="en-US"/>
        </w:rPr>
        <w:t>The Morality of the Bible</w:t>
      </w:r>
    </w:p>
    <w:p w14:paraId="75B6FC86" w14:textId="77777777" w:rsidR="00A32D62" w:rsidRPr="00132FA9" w:rsidRDefault="00A32D62" w:rsidP="00A32D62">
      <w:pPr>
        <w:jc w:val="both"/>
        <w:rPr>
          <w:rFonts w:asciiTheme="majorBidi" w:hAnsiTheme="majorBidi" w:cstheme="majorBidi"/>
          <w:sz w:val="24"/>
          <w:szCs w:val="24"/>
          <w:rtl/>
          <w:lang w:val="en-US" w:bidi="ar-EG"/>
        </w:rPr>
      </w:pPr>
      <w:r w:rsidRPr="00132FA9">
        <w:rPr>
          <w:rFonts w:asciiTheme="majorBidi" w:hAnsiTheme="majorBidi" w:cstheme="majorBidi"/>
          <w:sz w:val="24"/>
          <w:szCs w:val="24"/>
          <w:lang w:val="en-US"/>
        </w:rPr>
        <w:t>Abdul Wahhab Saleem al-Tanneer translated an article of Watt entitled The Morality of the Bible. He  presented this translation in Arabic under the title: Adraadu Taleem al-Tawraah wa al-Injeel (The Harms of Teaching Torah and the Gospels). Rasheed Reda recommended this books for the Muslim students who were studying in the foreign schools in Lebanon at this time. Reda also stressed the all of al-Tanneer’s woks for those students to be immune from the missionary activities practiced in these schools.</w:t>
      </w:r>
    </w:p>
    <w:p w14:paraId="08028E74" w14:textId="77777777" w:rsidR="00A32D62" w:rsidRPr="00132FA9" w:rsidRDefault="00A32D62" w:rsidP="00A32D62">
      <w:pPr>
        <w:rPr>
          <w:rFonts w:asciiTheme="majorBidi" w:hAnsiTheme="majorBidi" w:cstheme="majorBidi"/>
          <w:b/>
          <w:bCs/>
          <w:sz w:val="24"/>
          <w:szCs w:val="24"/>
          <w:lang w:val="en-US"/>
        </w:rPr>
      </w:pPr>
      <w:r w:rsidRPr="00132FA9">
        <w:rPr>
          <w:rFonts w:asciiTheme="majorBidi" w:hAnsiTheme="majorBidi" w:cstheme="majorBidi"/>
          <w:b/>
          <w:bCs/>
          <w:sz w:val="24"/>
          <w:szCs w:val="24"/>
          <w:lang w:val="en-US"/>
        </w:rPr>
        <w:t>Astronomy</w:t>
      </w:r>
    </w:p>
    <w:p w14:paraId="651FAFA9" w14:textId="77777777" w:rsidR="00A32D62" w:rsidRPr="00132FA9" w:rsidRDefault="00A32D62" w:rsidP="00A32D62">
      <w:pPr>
        <w:rPr>
          <w:rFonts w:asciiTheme="majorBidi" w:hAnsiTheme="majorBidi" w:cstheme="majorBidi"/>
          <w:b/>
          <w:bCs/>
          <w:sz w:val="24"/>
          <w:szCs w:val="24"/>
          <w:lang w:val="en-US"/>
        </w:rPr>
      </w:pPr>
      <w:r w:rsidRPr="00132FA9">
        <w:rPr>
          <w:rFonts w:asciiTheme="majorBidi" w:hAnsiTheme="majorBidi" w:cstheme="majorBidi"/>
          <w:sz w:val="24"/>
          <w:szCs w:val="24"/>
          <w:lang w:val="en-US" w:bidi="ar-EG"/>
        </w:rPr>
        <w:t>Abdul Wahhab al-Tanneer second encounter with t</w:t>
      </w:r>
      <w:r w:rsidRPr="00132FA9">
        <w:rPr>
          <w:rFonts w:asciiTheme="majorBidi" w:hAnsiTheme="majorBidi" w:cstheme="majorBidi"/>
          <w:sz w:val="24"/>
          <w:szCs w:val="24"/>
          <w:lang w:bidi="ar-EG"/>
        </w:rPr>
        <w:t>he Western scholarship is his co-othering book with his son about astronomy. Their source was Edward Holden the famous American astronomer whose books were part of the school curricula in North America and Europe.</w:t>
      </w:r>
      <w:r w:rsidRPr="00132FA9">
        <w:rPr>
          <w:rStyle w:val="FootnoteReference"/>
          <w:rFonts w:asciiTheme="majorBidi" w:hAnsiTheme="majorBidi" w:cstheme="majorBidi"/>
          <w:sz w:val="24"/>
          <w:szCs w:val="24"/>
          <w:lang w:bidi="ar-EG"/>
        </w:rPr>
        <w:footnoteReference w:id="1"/>
      </w:r>
      <w:r w:rsidRPr="00132FA9">
        <w:rPr>
          <w:rFonts w:asciiTheme="majorBidi" w:hAnsiTheme="majorBidi" w:cstheme="majorBidi"/>
          <w:b/>
          <w:bCs/>
          <w:sz w:val="24"/>
          <w:szCs w:val="24"/>
          <w:lang w:val="en-US"/>
        </w:rPr>
        <w:t xml:space="preserve"> </w:t>
      </w:r>
    </w:p>
    <w:p w14:paraId="0BA2D717" w14:textId="77777777" w:rsidR="00A32D62" w:rsidRPr="00132FA9" w:rsidRDefault="00A32D62" w:rsidP="00A32D62">
      <w:pPr>
        <w:rPr>
          <w:rFonts w:asciiTheme="majorBidi" w:hAnsiTheme="majorBidi" w:cstheme="majorBidi"/>
          <w:b/>
          <w:bCs/>
          <w:sz w:val="24"/>
          <w:szCs w:val="24"/>
          <w:lang w:val="en-US"/>
        </w:rPr>
      </w:pPr>
      <w:r w:rsidRPr="00132FA9">
        <w:rPr>
          <w:rFonts w:asciiTheme="majorBidi" w:hAnsiTheme="majorBidi" w:cstheme="majorBidi"/>
          <w:b/>
          <w:bCs/>
          <w:sz w:val="24"/>
          <w:szCs w:val="24"/>
          <w:lang w:val="en-US"/>
        </w:rPr>
        <w:t xml:space="preserve">The Pagan Origin of Christianity </w:t>
      </w:r>
    </w:p>
    <w:p w14:paraId="01224807" w14:textId="77777777" w:rsidR="00A32D62" w:rsidRPr="00132FA9" w:rsidRDefault="00A32D62" w:rsidP="00A32D62">
      <w:pPr>
        <w:rPr>
          <w:rFonts w:asciiTheme="majorBidi" w:hAnsiTheme="majorBidi" w:cstheme="majorBidi"/>
          <w:sz w:val="24"/>
          <w:szCs w:val="24"/>
          <w:lang w:val="en-US"/>
        </w:rPr>
      </w:pPr>
    </w:p>
    <w:p w14:paraId="1B31F0A3" w14:textId="77777777" w:rsidR="00A32D62" w:rsidRPr="00132FA9" w:rsidRDefault="00A32D62" w:rsidP="00A32D62">
      <w:pPr>
        <w:jc w:val="both"/>
        <w:rPr>
          <w:rFonts w:asciiTheme="majorBidi" w:hAnsiTheme="majorBidi" w:cstheme="majorBidi"/>
          <w:sz w:val="24"/>
          <w:szCs w:val="24"/>
          <w:lang w:val="en-US"/>
        </w:rPr>
      </w:pPr>
      <w:r w:rsidRPr="00132FA9">
        <w:rPr>
          <w:rFonts w:asciiTheme="majorBidi" w:hAnsiTheme="majorBidi" w:cstheme="majorBidi"/>
          <w:sz w:val="24"/>
          <w:szCs w:val="24"/>
          <w:lang w:val="en-US"/>
        </w:rPr>
        <w:t xml:space="preserve">The pagan idea, according to Rita Gross is attached to the monothestoc religions. I would argue that however Christians refuted al-Tanneer’s book, they did see the Pagan idea contradicts the Trinity too.  </w:t>
      </w:r>
    </w:p>
    <w:p w14:paraId="65E96A9D" w14:textId="77777777" w:rsidR="00A32D62" w:rsidRPr="00132FA9" w:rsidRDefault="00A32D62" w:rsidP="00A32D62">
      <w:pPr>
        <w:jc w:val="both"/>
        <w:rPr>
          <w:rFonts w:asciiTheme="majorBidi" w:hAnsiTheme="majorBidi" w:cstheme="majorBidi"/>
          <w:sz w:val="24"/>
          <w:szCs w:val="24"/>
          <w:lang w:val="en-US"/>
        </w:rPr>
      </w:pPr>
    </w:p>
    <w:p w14:paraId="46AC06BA" w14:textId="77777777" w:rsidR="00A32D62" w:rsidRPr="00132FA9" w:rsidRDefault="00A32D62" w:rsidP="00A32D62">
      <w:pPr>
        <w:jc w:val="both"/>
        <w:rPr>
          <w:rFonts w:asciiTheme="majorBidi" w:hAnsiTheme="majorBidi" w:cstheme="majorBidi"/>
          <w:sz w:val="24"/>
          <w:szCs w:val="24"/>
          <w:lang w:val="en-US" w:bidi="ar-EG"/>
        </w:rPr>
      </w:pPr>
      <w:r w:rsidRPr="00132FA9">
        <w:rPr>
          <w:rFonts w:asciiTheme="majorBidi" w:hAnsiTheme="majorBidi" w:cstheme="majorBidi"/>
          <w:sz w:val="24"/>
          <w:szCs w:val="24"/>
          <w:lang w:val="en-US" w:bidi="ar-EG"/>
        </w:rPr>
        <w:t xml:space="preserve">Muhammad al-Tanneer list of unpublished works includes some books that are related to Christian Muslim relations. One book about the etiquettes of Islam compared to the morals of the Torah and the Gospels. However this book in not published, but it could be an extended version of his father’s translation of Watts article about the morals of the Bible. He authored two other books about the morals and the status of Jesus in Islam and Christianity. He published a summary for one chapter of one of his books about Jesus in al-Manar. The article is signed with the two al-Tanneers which may denote being co-authored book too. </w:t>
      </w:r>
    </w:p>
    <w:p w14:paraId="508AEF20" w14:textId="77777777" w:rsidR="00A32D62" w:rsidRPr="00132FA9" w:rsidRDefault="00A32D62" w:rsidP="00A32D62">
      <w:pPr>
        <w:rPr>
          <w:rFonts w:asciiTheme="majorBidi" w:hAnsiTheme="majorBidi" w:cstheme="majorBidi"/>
          <w:sz w:val="24"/>
          <w:szCs w:val="24"/>
          <w:lang w:val="en-US" w:bidi="ar-EG"/>
        </w:rPr>
      </w:pPr>
    </w:p>
    <w:p w14:paraId="7D048B7E" w14:textId="77777777" w:rsidR="00A32D62" w:rsidRPr="00132FA9" w:rsidRDefault="00A32D62" w:rsidP="00A32D62">
      <w:pPr>
        <w:rPr>
          <w:rFonts w:asciiTheme="majorBidi" w:hAnsiTheme="majorBidi" w:cstheme="majorBidi"/>
          <w:sz w:val="24"/>
          <w:szCs w:val="24"/>
          <w:lang w:val="en-US" w:bidi="ar-EG"/>
        </w:rPr>
      </w:pPr>
    </w:p>
    <w:p w14:paraId="32685E0E" w14:textId="77777777" w:rsidR="00A32D62" w:rsidRPr="00132FA9" w:rsidRDefault="00A32D62" w:rsidP="00A32D62">
      <w:pPr>
        <w:rPr>
          <w:rFonts w:asciiTheme="majorBidi" w:hAnsiTheme="majorBidi" w:cstheme="majorBidi"/>
          <w:b/>
          <w:bCs/>
          <w:sz w:val="24"/>
          <w:szCs w:val="24"/>
          <w:lang w:val="en-US" w:bidi="ar-EG"/>
        </w:rPr>
      </w:pPr>
      <w:r w:rsidRPr="00132FA9">
        <w:rPr>
          <w:rFonts w:asciiTheme="majorBidi" w:hAnsiTheme="majorBidi" w:cstheme="majorBidi"/>
          <w:b/>
          <w:bCs/>
          <w:sz w:val="24"/>
          <w:szCs w:val="24"/>
          <w:lang w:val="en-US" w:bidi="ar-EG"/>
        </w:rPr>
        <w:t xml:space="preserve">Al-ᶜAqaed al-Wathaniyyah </w:t>
      </w:r>
    </w:p>
    <w:p w14:paraId="68ED0D89" w14:textId="77777777" w:rsidR="00A32D62" w:rsidRPr="00132FA9" w:rsidRDefault="00A32D62" w:rsidP="00A32D62">
      <w:pPr>
        <w:jc w:val="both"/>
        <w:rPr>
          <w:rFonts w:asciiTheme="majorBidi" w:hAnsiTheme="majorBidi" w:cstheme="majorBidi"/>
          <w:sz w:val="24"/>
          <w:szCs w:val="24"/>
          <w:rtl/>
        </w:rPr>
      </w:pPr>
      <w:r w:rsidRPr="00132FA9">
        <w:rPr>
          <w:rFonts w:asciiTheme="majorBidi" w:hAnsiTheme="majorBidi" w:cstheme="majorBidi"/>
          <w:sz w:val="24"/>
          <w:szCs w:val="24"/>
        </w:rPr>
        <w:t>Muḥammad Ṭāhir al-Tannīr also introduced Western critical studies on the Bible throughout his book: Pagan Doctrines in the Christian Religion. Tannīr’s work was one of Riḍā’s favourite books, which he regularly quoted in his discussions, fatwās, and Tafsīr. The book enjoyed wide popularity in Muslim circles in Egypt and elsewhere.</w:t>
      </w:r>
      <w:r w:rsidRPr="00132FA9">
        <w:rPr>
          <w:rFonts w:asciiTheme="majorBidi" w:hAnsiTheme="majorBidi" w:cstheme="majorBidi"/>
          <w:sz w:val="24"/>
          <w:szCs w:val="24"/>
          <w:rtl/>
        </w:rPr>
        <w:t xml:space="preserve"> </w:t>
      </w:r>
      <w:r w:rsidRPr="00132FA9">
        <w:rPr>
          <w:rFonts w:asciiTheme="majorBidi" w:hAnsiTheme="majorBidi" w:cstheme="majorBidi"/>
          <w:sz w:val="24"/>
          <w:szCs w:val="24"/>
        </w:rPr>
        <w:t>Following his father’s steps, Tannīr brought forth his treatise as a reply to some of the contemporary Christian apologetic and polemic literature on Islam.</w:t>
      </w:r>
      <w:r w:rsidRPr="00132FA9">
        <w:rPr>
          <w:rFonts w:asciiTheme="majorBidi" w:hAnsiTheme="majorBidi" w:cstheme="majorBidi"/>
          <w:sz w:val="24"/>
          <w:szCs w:val="24"/>
          <w:rtl/>
        </w:rPr>
        <w:t xml:space="preserve"> </w:t>
      </w:r>
      <w:r w:rsidRPr="00132FA9">
        <w:rPr>
          <w:rFonts w:asciiTheme="majorBidi" w:hAnsiTheme="majorBidi" w:cstheme="majorBidi"/>
          <w:sz w:val="24"/>
          <w:szCs w:val="24"/>
        </w:rPr>
        <w:t xml:space="preserve"> </w:t>
      </w:r>
    </w:p>
    <w:p w14:paraId="692D216D" w14:textId="77777777" w:rsidR="00A32D62" w:rsidRPr="00132FA9" w:rsidRDefault="00A32D62" w:rsidP="00A32D62">
      <w:pPr>
        <w:jc w:val="both"/>
        <w:rPr>
          <w:rFonts w:asciiTheme="majorBidi" w:hAnsiTheme="majorBidi" w:cstheme="majorBidi"/>
          <w:sz w:val="24"/>
          <w:szCs w:val="24"/>
          <w:rtl/>
        </w:rPr>
      </w:pPr>
    </w:p>
    <w:p w14:paraId="03683894" w14:textId="77777777" w:rsidR="00A32D62" w:rsidRPr="00132FA9" w:rsidRDefault="00A32D62" w:rsidP="00A32D62">
      <w:pPr>
        <w:jc w:val="both"/>
        <w:rPr>
          <w:rFonts w:asciiTheme="majorBidi" w:hAnsiTheme="majorBidi" w:cstheme="majorBidi"/>
          <w:sz w:val="24"/>
          <w:szCs w:val="24"/>
        </w:rPr>
      </w:pPr>
      <w:r w:rsidRPr="00132FA9">
        <w:rPr>
          <w:rFonts w:asciiTheme="majorBidi" w:hAnsiTheme="majorBidi" w:cstheme="majorBidi"/>
          <w:sz w:val="24"/>
          <w:szCs w:val="24"/>
          <w:lang w:val="en-US"/>
        </w:rPr>
        <w:t xml:space="preserve">At </w:t>
      </w:r>
      <w:r w:rsidRPr="00132FA9">
        <w:rPr>
          <w:rFonts w:asciiTheme="majorBidi" w:hAnsiTheme="majorBidi" w:cstheme="majorBidi"/>
          <w:sz w:val="24"/>
          <w:szCs w:val="24"/>
        </w:rPr>
        <w:t>the beginning of the book, Muhammad Taaher sarcastically dedicated his book ‘to the Crusaders of the Twentieth Century, the Missionaries. The treatise continued to be one of the significant Muslim polemical works in the present time. It was reprinted in Tehran in 1391 (circa 1972). Muḥammad ʿAbdullāh al-Sharqāwī, a professor of philosophy at the Faculty of Dār al-ʿUlūm in Cairo, published a revised edition of Tannīr’s work in 1988.</w:t>
      </w:r>
    </w:p>
    <w:p w14:paraId="504F4168" w14:textId="77777777" w:rsidR="00A32D62" w:rsidRPr="00132FA9" w:rsidRDefault="00A32D62" w:rsidP="00A32D62">
      <w:pPr>
        <w:jc w:val="both"/>
        <w:rPr>
          <w:rFonts w:asciiTheme="majorBidi" w:hAnsiTheme="majorBidi" w:cstheme="majorBidi"/>
          <w:sz w:val="24"/>
          <w:szCs w:val="24"/>
        </w:rPr>
      </w:pPr>
    </w:p>
    <w:p w14:paraId="0B8D231A" w14:textId="77777777" w:rsidR="00A32D62" w:rsidRPr="00132FA9" w:rsidRDefault="00A32D62" w:rsidP="00A32D62">
      <w:pPr>
        <w:jc w:val="both"/>
        <w:rPr>
          <w:rFonts w:asciiTheme="majorBidi" w:hAnsiTheme="majorBidi" w:cstheme="majorBidi"/>
          <w:sz w:val="24"/>
          <w:szCs w:val="24"/>
        </w:rPr>
      </w:pPr>
      <w:r w:rsidRPr="00132FA9">
        <w:rPr>
          <w:rFonts w:asciiTheme="majorBidi" w:hAnsiTheme="majorBidi" w:cstheme="majorBidi"/>
          <w:sz w:val="24"/>
          <w:szCs w:val="24"/>
        </w:rPr>
        <w:t xml:space="preserve"> Tannīr brought forward the theory of ‘Pagan Christs,’ and quoted from several Western sources in an attempt to prove the ‘absurdity’ of the Christian faith. In the preface, Tannīr stated that the motive behind writing the book was not ‘hostility’ or ‘fanaticism’ against people who confess other religions. First of all, he composed this small book as counter objections to missionary books which were according to Tannīr, full of ‘slander and attacks against Islam and Muslims.’ The second reason was to call the Christians back to the truth of Islam.</w:t>
      </w:r>
    </w:p>
    <w:p w14:paraId="40885AA3" w14:textId="77777777" w:rsidR="00A32D62" w:rsidRPr="00132FA9" w:rsidRDefault="00A32D62" w:rsidP="00A32D62">
      <w:pPr>
        <w:jc w:val="both"/>
        <w:rPr>
          <w:rFonts w:asciiTheme="majorBidi" w:hAnsiTheme="majorBidi" w:cstheme="majorBidi"/>
          <w:sz w:val="24"/>
          <w:szCs w:val="24"/>
        </w:rPr>
      </w:pPr>
    </w:p>
    <w:p w14:paraId="4A09EFEA" w14:textId="77777777" w:rsidR="00A32D62" w:rsidRPr="00132FA9" w:rsidRDefault="00A32D62" w:rsidP="00A32D62">
      <w:pPr>
        <w:jc w:val="both"/>
        <w:rPr>
          <w:rFonts w:asciiTheme="majorBidi" w:hAnsiTheme="majorBidi" w:cstheme="majorBidi"/>
          <w:sz w:val="24"/>
          <w:szCs w:val="24"/>
        </w:rPr>
      </w:pPr>
      <w:r w:rsidRPr="00132FA9">
        <w:rPr>
          <w:rFonts w:asciiTheme="majorBidi" w:hAnsiTheme="majorBidi" w:cstheme="majorBidi"/>
          <w:sz w:val="24"/>
          <w:szCs w:val="24"/>
        </w:rPr>
        <w:t xml:space="preserve"> Tannīr emphasised that there were similarities between the story of Jesus and the stories of other ancient religions. These similarities allegedly prove that the Biblical story of Jesus was nothing more than a composite or rehash of ancient myths. His attention focused on seeking nearly identical parallels between the story of Jesus and other mythical figures, such as the Krishna story as told in the Hindu Vedas, dated to at least as far back as 1400 B.C., and the Horus myth, which was also said to be identical to the Biblical tale about Jesus. He developed these ideas from a long list of historical and Biblical Western studies, such as Huxley’s </w:t>
      </w:r>
      <w:r w:rsidRPr="00132FA9">
        <w:rPr>
          <w:rFonts w:asciiTheme="majorBidi" w:hAnsiTheme="majorBidi" w:cstheme="majorBidi"/>
          <w:i/>
          <w:iCs/>
          <w:sz w:val="24"/>
          <w:szCs w:val="24"/>
        </w:rPr>
        <w:t>Evidence as to Man’s Place in Nature</w:t>
      </w:r>
      <w:r w:rsidRPr="00132FA9">
        <w:rPr>
          <w:rFonts w:asciiTheme="majorBidi" w:hAnsiTheme="majorBidi" w:cstheme="majorBidi"/>
          <w:sz w:val="24"/>
          <w:szCs w:val="24"/>
        </w:rPr>
        <w:t xml:space="preserve">, Jameson’s </w:t>
      </w:r>
      <w:r w:rsidRPr="00132FA9">
        <w:rPr>
          <w:rFonts w:asciiTheme="majorBidi" w:hAnsiTheme="majorBidi" w:cstheme="majorBidi"/>
          <w:i/>
          <w:iCs/>
          <w:sz w:val="24"/>
          <w:szCs w:val="24"/>
        </w:rPr>
        <w:t>The History of Our Lord</w:t>
      </w:r>
      <w:r w:rsidRPr="00132FA9">
        <w:rPr>
          <w:rFonts w:asciiTheme="majorBidi" w:hAnsiTheme="majorBidi" w:cstheme="majorBidi"/>
          <w:sz w:val="24"/>
          <w:szCs w:val="24"/>
        </w:rPr>
        <w:t xml:space="preserve">, Bunsen’s </w:t>
      </w:r>
      <w:r w:rsidRPr="00132FA9">
        <w:rPr>
          <w:rFonts w:asciiTheme="majorBidi" w:hAnsiTheme="majorBidi" w:cstheme="majorBidi"/>
          <w:i/>
          <w:iCs/>
          <w:sz w:val="24"/>
          <w:szCs w:val="24"/>
        </w:rPr>
        <w:t>The Angel Messiah</w:t>
      </w:r>
      <w:r w:rsidRPr="00132FA9">
        <w:rPr>
          <w:rFonts w:asciiTheme="majorBidi" w:hAnsiTheme="majorBidi" w:cstheme="majorBidi"/>
          <w:sz w:val="24"/>
          <w:szCs w:val="24"/>
        </w:rPr>
        <w:t xml:space="preserve">, Fiske’s </w:t>
      </w:r>
      <w:r w:rsidRPr="00132FA9">
        <w:rPr>
          <w:rFonts w:asciiTheme="majorBidi" w:hAnsiTheme="majorBidi" w:cstheme="majorBidi"/>
          <w:i/>
          <w:iCs/>
          <w:sz w:val="24"/>
          <w:szCs w:val="24"/>
        </w:rPr>
        <w:t>Myth and Myth Makers</w:t>
      </w:r>
      <w:r w:rsidRPr="00132FA9">
        <w:rPr>
          <w:rFonts w:asciiTheme="majorBidi" w:hAnsiTheme="majorBidi" w:cstheme="majorBidi"/>
          <w:sz w:val="24"/>
          <w:szCs w:val="24"/>
        </w:rPr>
        <w:t xml:space="preserve">, and Ferguson’s </w:t>
      </w:r>
      <w:r w:rsidRPr="00132FA9">
        <w:rPr>
          <w:rFonts w:asciiTheme="majorBidi" w:hAnsiTheme="majorBidi" w:cstheme="majorBidi"/>
          <w:i/>
          <w:iCs/>
          <w:sz w:val="24"/>
          <w:szCs w:val="24"/>
        </w:rPr>
        <w:t>Tree and Serpent</w:t>
      </w:r>
      <w:r w:rsidRPr="00132FA9">
        <w:rPr>
          <w:rFonts w:asciiTheme="majorBidi" w:hAnsiTheme="majorBidi" w:cstheme="majorBidi"/>
          <w:sz w:val="24"/>
          <w:szCs w:val="24"/>
        </w:rPr>
        <w:t xml:space="preserve"> </w:t>
      </w:r>
      <w:r w:rsidRPr="00132FA9">
        <w:rPr>
          <w:rFonts w:asciiTheme="majorBidi" w:hAnsiTheme="majorBidi" w:cstheme="majorBidi"/>
          <w:i/>
          <w:iCs/>
          <w:sz w:val="24"/>
          <w:szCs w:val="24"/>
        </w:rPr>
        <w:t>Worship.</w:t>
      </w:r>
    </w:p>
    <w:p w14:paraId="7A45AF88" w14:textId="77777777" w:rsidR="00A32D62" w:rsidRPr="00132FA9" w:rsidRDefault="00A32D62" w:rsidP="00A32D62">
      <w:pPr>
        <w:jc w:val="both"/>
        <w:rPr>
          <w:rFonts w:asciiTheme="majorBidi" w:hAnsiTheme="majorBidi" w:cstheme="majorBidi"/>
          <w:sz w:val="24"/>
          <w:szCs w:val="24"/>
        </w:rPr>
      </w:pPr>
    </w:p>
    <w:p w14:paraId="5E6BF834" w14:textId="77777777" w:rsidR="00A32D62" w:rsidRPr="00132FA9" w:rsidRDefault="00A32D62" w:rsidP="00A32D62">
      <w:pPr>
        <w:jc w:val="both"/>
        <w:rPr>
          <w:rFonts w:asciiTheme="majorBidi" w:hAnsiTheme="majorBidi" w:cstheme="majorBidi"/>
          <w:sz w:val="24"/>
          <w:szCs w:val="24"/>
        </w:rPr>
      </w:pPr>
      <w:r w:rsidRPr="00132FA9">
        <w:rPr>
          <w:rFonts w:asciiTheme="majorBidi" w:hAnsiTheme="majorBidi" w:cstheme="majorBidi"/>
          <w:sz w:val="24"/>
          <w:szCs w:val="24"/>
        </w:rPr>
        <w:t xml:space="preserve"> The method of drawing an analogy between Jesus and pagan deities or heroes of Antiquity was first introduced by Western authors in the nineteenth century. The American atheist Kersey Graves (1813-1883), for instance, found that stories of a crucified savior had circulated in the first civilisations. The story was very old and had been accepted in all of these cultures throughout the Far East, the Middle East, and the Mediterranean countries. Gerald Massey (b. May, 1828), the English Egyptologist, also found over 100 similarities between Jesus and Krishna. Robertson followed the same method of comparing Jesus to Krishna.</w:t>
      </w:r>
    </w:p>
    <w:p w14:paraId="6F1DD035" w14:textId="77777777" w:rsidR="00A32D62" w:rsidRPr="00132FA9" w:rsidRDefault="00A32D62" w:rsidP="00A32D62">
      <w:pPr>
        <w:jc w:val="both"/>
        <w:rPr>
          <w:rFonts w:asciiTheme="majorBidi" w:hAnsiTheme="majorBidi" w:cstheme="majorBidi"/>
          <w:sz w:val="24"/>
          <w:szCs w:val="24"/>
        </w:rPr>
      </w:pPr>
    </w:p>
    <w:p w14:paraId="65C981FB" w14:textId="77777777" w:rsidR="00A32D62" w:rsidRPr="00132FA9" w:rsidRDefault="00A32D62" w:rsidP="00A32D62">
      <w:pPr>
        <w:jc w:val="both"/>
        <w:rPr>
          <w:rFonts w:asciiTheme="majorBidi" w:hAnsiTheme="majorBidi" w:cstheme="majorBidi"/>
          <w:sz w:val="24"/>
          <w:szCs w:val="24"/>
        </w:rPr>
      </w:pPr>
      <w:r w:rsidRPr="00132FA9">
        <w:rPr>
          <w:rFonts w:asciiTheme="majorBidi" w:hAnsiTheme="majorBidi" w:cstheme="majorBidi"/>
          <w:sz w:val="24"/>
          <w:szCs w:val="24"/>
        </w:rPr>
        <w:t xml:space="preserve"> From beginning to end, Tannīr followed the comparative method of drawing an analogy between Christian doctrines and elements and traces in other different ancient beliefs. The main object of the book was to argue that there was wholesale influence of pagan mysteries and other foreign doctrines and practices on Christianity. The doctrine of Trinity, for example, which was taught by Christians, was borrowed from heathenism. He attempted to find parallels of such doctrines in other ancient religions in Egypt, India and elsewhere. The same held true for the cross, the incarnation, the virgin birth of Jesus, the appearance of the star in the East, and other events in the life of Jesus. Christianity, according to him, largely borrowed from the records of older nations. He insisted that the idea of a suffering God atoning through his death for the sins of men, descending into the abodes of darkness and rising again to bring life and </w:t>
      </w:r>
      <w:r w:rsidRPr="00132FA9">
        <w:rPr>
          <w:rFonts w:asciiTheme="majorBidi" w:hAnsiTheme="majorBidi" w:cstheme="majorBidi"/>
          <w:sz w:val="24"/>
          <w:szCs w:val="24"/>
        </w:rPr>
        <w:lastRenderedPageBreak/>
        <w:t>immortality to light, was found in the oldest records of the beliefs of the human race, such as those concerning Buddha and Krishna.</w:t>
      </w:r>
    </w:p>
    <w:p w14:paraId="7E8C566B" w14:textId="77777777" w:rsidR="00A32D62" w:rsidRPr="00132FA9" w:rsidRDefault="00A32D62" w:rsidP="00A32D62">
      <w:pPr>
        <w:jc w:val="both"/>
        <w:rPr>
          <w:rFonts w:asciiTheme="majorBidi" w:hAnsiTheme="majorBidi" w:cstheme="majorBidi"/>
          <w:sz w:val="24"/>
          <w:szCs w:val="24"/>
        </w:rPr>
      </w:pPr>
    </w:p>
    <w:p w14:paraId="68DC37B6" w14:textId="77777777" w:rsidR="00A32D62" w:rsidRPr="00132FA9" w:rsidRDefault="00A32D62" w:rsidP="00A32D62">
      <w:pPr>
        <w:jc w:val="both"/>
        <w:rPr>
          <w:rFonts w:asciiTheme="majorBidi" w:hAnsiTheme="majorBidi" w:cstheme="majorBidi"/>
          <w:sz w:val="24"/>
          <w:szCs w:val="24"/>
        </w:rPr>
      </w:pPr>
      <w:r w:rsidRPr="00132FA9">
        <w:rPr>
          <w:rFonts w:asciiTheme="majorBidi" w:hAnsiTheme="majorBidi" w:cstheme="majorBidi"/>
          <w:sz w:val="24"/>
          <w:szCs w:val="24"/>
        </w:rPr>
        <w:t xml:space="preserve"> The question of the virgin birth was of special interest in the treatise. Tannīr sought an analogy between the myths of the birth of Krishna and how the divine Vishnu himself descended into the womb of Devaki and was born as her son Krishna. In this, the deity was not only the effective agent in the conception, but also the offspring.186 He also placed special emphasis on the relation which the idea of the virgin birth in the Gospels supposedly had with ancient Egyptian religious conceptions. However, he found that the Egyptian story of the virgin birth was much more complex and cruder than the Biblical one. In the story of the birth of Horus and in the idea of the divinity of the pharaohs a great resemblance was thought to be found. The concluding section of al-Tannīr’s treatise was again devoted to analogies; first between Krishna and Christ, and then between Buddha and Christ. He set out—in parallel columns the coincidences as related in pagan books and in the Gospels.</w:t>
      </w:r>
    </w:p>
    <w:p w14:paraId="6352303C" w14:textId="77777777" w:rsidR="00A32D62" w:rsidRPr="00132FA9" w:rsidRDefault="00A32D62" w:rsidP="00A32D62">
      <w:pPr>
        <w:rPr>
          <w:rFonts w:asciiTheme="majorBidi" w:hAnsiTheme="majorBidi" w:cstheme="majorBidi"/>
          <w:b/>
          <w:bCs/>
          <w:sz w:val="24"/>
          <w:szCs w:val="24"/>
          <w:lang w:val="en-US" w:bidi="ar-EG"/>
        </w:rPr>
      </w:pPr>
      <w:r w:rsidRPr="00132FA9">
        <w:rPr>
          <w:rFonts w:asciiTheme="majorBidi" w:hAnsiTheme="majorBidi" w:cstheme="majorBidi"/>
          <w:b/>
          <w:bCs/>
          <w:sz w:val="24"/>
          <w:szCs w:val="24"/>
          <w:lang w:val="en-US" w:bidi="ar-EG"/>
        </w:rPr>
        <w:br w:type="page"/>
      </w:r>
    </w:p>
    <w:p w14:paraId="631155F2" w14:textId="77777777" w:rsidR="00A32D62" w:rsidRPr="00132FA9" w:rsidRDefault="00A32D62" w:rsidP="00A32D62">
      <w:pPr>
        <w:jc w:val="both"/>
        <w:rPr>
          <w:rFonts w:asciiTheme="majorBidi" w:hAnsiTheme="majorBidi" w:cstheme="majorBidi"/>
          <w:b/>
          <w:bCs/>
          <w:sz w:val="24"/>
          <w:szCs w:val="24"/>
          <w:lang w:val="en-US" w:bidi="ar-EG"/>
        </w:rPr>
      </w:pPr>
      <w:r w:rsidRPr="00132FA9">
        <w:rPr>
          <w:rFonts w:asciiTheme="majorBidi" w:hAnsiTheme="majorBidi" w:cstheme="majorBidi"/>
          <w:b/>
          <w:bCs/>
          <w:sz w:val="24"/>
          <w:szCs w:val="24"/>
          <w:lang w:val="en-US" w:bidi="ar-EG"/>
        </w:rPr>
        <w:lastRenderedPageBreak/>
        <w:t>The impact of al-Tanneer’s book.</w:t>
      </w:r>
    </w:p>
    <w:p w14:paraId="2B1B1130" w14:textId="77777777" w:rsidR="00A32D62" w:rsidRPr="00132FA9" w:rsidRDefault="00A32D62" w:rsidP="00A32D62">
      <w:pPr>
        <w:jc w:val="both"/>
        <w:rPr>
          <w:rFonts w:asciiTheme="majorBidi" w:hAnsiTheme="majorBidi" w:cstheme="majorBidi"/>
          <w:sz w:val="24"/>
          <w:szCs w:val="24"/>
          <w:lang w:val="en-US" w:bidi="ar-EG"/>
        </w:rPr>
      </w:pPr>
      <w:r w:rsidRPr="00132FA9">
        <w:rPr>
          <w:rFonts w:asciiTheme="majorBidi" w:hAnsiTheme="majorBidi" w:cstheme="majorBidi"/>
          <w:sz w:val="24"/>
          <w:szCs w:val="24"/>
          <w:lang w:val="en-US" w:bidi="ar-EG"/>
        </w:rPr>
        <w:t xml:space="preserve">In this Muslim scholarship, this book was widely celebrated. The editor of this book indicated that this is the first book arguing for Pagan origins of Christianity. Saaleh Mukhles denoted in one of al-Manaar articles that this book is the most effective work in the debate among Muslims and Christians.   Another witer at al-Manaar called Saaeh Naaseh preferered this book to the most prominent Muslim writings in this context, such as the famous classical book of Ibn al-Qayyim entitled: al-Jawaab al-saheeh, and another contemporary book written by Rahmatu Allah al-Hindee entitled: Izhaar al-Haq. For Naaseh, al-Tanneer’s book was short and easy to read, unlike the above mentioned works which are long scholarly works. </w:t>
      </w:r>
    </w:p>
    <w:p w14:paraId="486F23F9" w14:textId="77777777" w:rsidR="00A32D62" w:rsidRPr="00132FA9" w:rsidRDefault="00A32D62" w:rsidP="00A32D62">
      <w:pPr>
        <w:jc w:val="both"/>
        <w:rPr>
          <w:rFonts w:asciiTheme="majorBidi" w:hAnsiTheme="majorBidi" w:cstheme="majorBidi"/>
          <w:sz w:val="24"/>
          <w:szCs w:val="24"/>
          <w:lang w:val="en-US" w:bidi="ar-EG"/>
        </w:rPr>
      </w:pPr>
    </w:p>
    <w:p w14:paraId="6AC3D083" w14:textId="77777777" w:rsidR="00A32D62" w:rsidRPr="00132FA9" w:rsidRDefault="00A32D62" w:rsidP="00A32D62">
      <w:pPr>
        <w:jc w:val="both"/>
        <w:rPr>
          <w:rFonts w:asciiTheme="majorBidi" w:hAnsiTheme="majorBidi" w:cstheme="majorBidi"/>
          <w:sz w:val="24"/>
          <w:szCs w:val="24"/>
          <w:lang w:val="en-US" w:bidi="ar-EG"/>
        </w:rPr>
      </w:pPr>
      <w:r w:rsidRPr="00132FA9">
        <w:rPr>
          <w:rFonts w:asciiTheme="majorBidi" w:hAnsiTheme="majorBidi" w:cstheme="majorBidi"/>
          <w:sz w:val="24"/>
          <w:szCs w:val="24"/>
          <w:lang w:val="en-US" w:bidi="ar-EG"/>
        </w:rPr>
        <w:t xml:space="preserve">The book’s popularity spread to Egypt, where Rasheed Reda referd to this book regularly in his commentary on the Quran, his legal verdicts and discussions. </w:t>
      </w:r>
    </w:p>
    <w:p w14:paraId="75230F3F" w14:textId="77777777" w:rsidR="00A32D62" w:rsidRPr="00132FA9" w:rsidRDefault="00A32D62" w:rsidP="00A32D62">
      <w:pPr>
        <w:jc w:val="both"/>
        <w:rPr>
          <w:rFonts w:asciiTheme="majorBidi" w:hAnsiTheme="majorBidi" w:cstheme="majorBidi"/>
          <w:sz w:val="24"/>
          <w:szCs w:val="24"/>
          <w:lang w:val="en-US" w:bidi="ar-EG"/>
        </w:rPr>
      </w:pPr>
    </w:p>
    <w:p w14:paraId="5D0CE609" w14:textId="77777777" w:rsidR="00A32D62" w:rsidRPr="00132FA9" w:rsidRDefault="00A32D62" w:rsidP="00A32D62">
      <w:pPr>
        <w:jc w:val="both"/>
        <w:rPr>
          <w:rFonts w:asciiTheme="majorBidi" w:hAnsiTheme="majorBidi" w:cstheme="majorBidi"/>
          <w:sz w:val="24"/>
          <w:szCs w:val="24"/>
          <w:lang w:val="en-US" w:bidi="ar-EG"/>
        </w:rPr>
      </w:pPr>
      <w:r w:rsidRPr="00132FA9">
        <w:rPr>
          <w:rFonts w:asciiTheme="majorBidi" w:hAnsiTheme="majorBidi" w:cstheme="majorBidi"/>
          <w:sz w:val="24"/>
          <w:szCs w:val="24"/>
          <w:lang w:val="en-US" w:bidi="ar-EG"/>
        </w:rPr>
        <w:t xml:space="preserve">Al-Tanneer was one among three writers who formulated Rasheed Reda’s sources for the Western culture. </w:t>
      </w:r>
    </w:p>
    <w:p w14:paraId="52E1D4BD" w14:textId="77777777" w:rsidR="00A32D62" w:rsidRPr="00132FA9" w:rsidRDefault="00A32D62" w:rsidP="00A32D62">
      <w:pPr>
        <w:jc w:val="both"/>
        <w:rPr>
          <w:rFonts w:asciiTheme="majorBidi" w:hAnsiTheme="majorBidi" w:cstheme="majorBidi"/>
          <w:sz w:val="24"/>
          <w:szCs w:val="24"/>
          <w:lang w:val="en-US" w:bidi="ar-EG"/>
        </w:rPr>
      </w:pPr>
    </w:p>
    <w:p w14:paraId="3CAB3EF6" w14:textId="77777777" w:rsidR="00A32D62" w:rsidRPr="00132FA9" w:rsidRDefault="00A32D62" w:rsidP="00A32D62">
      <w:pPr>
        <w:jc w:val="both"/>
        <w:rPr>
          <w:rFonts w:asciiTheme="majorBidi" w:hAnsiTheme="majorBidi" w:cstheme="majorBidi"/>
          <w:sz w:val="24"/>
          <w:szCs w:val="24"/>
          <w:lang w:val="en-US" w:bidi="ar-EG"/>
        </w:rPr>
      </w:pPr>
      <w:r w:rsidRPr="00132FA9">
        <w:rPr>
          <w:rFonts w:asciiTheme="majorBidi" w:hAnsiTheme="majorBidi" w:cstheme="majorBidi"/>
          <w:sz w:val="24"/>
          <w:szCs w:val="24"/>
          <w:lang w:val="en-US" w:bidi="ar-EG"/>
        </w:rPr>
        <w:t>On the other hand, the book had a negative impact on the Christian Muslim relations. Many Christians complained against this book until it was banned in Lebanon.  Louis Cheikho dedicated two articles in his magazine al-Machreq to refute al-Tanneer’s claims. Then he republished these articles under the title Tafneed al-Tazweer fi al-Radd ala al-Tanneer (Responding to the lies through refuting the claims of al-Tanneer).</w:t>
      </w:r>
    </w:p>
    <w:p w14:paraId="109B3737" w14:textId="77777777" w:rsidR="00A32D62" w:rsidRPr="00132FA9" w:rsidRDefault="00A32D62" w:rsidP="00A32D62">
      <w:pPr>
        <w:jc w:val="both"/>
        <w:rPr>
          <w:rFonts w:asciiTheme="majorBidi" w:hAnsiTheme="majorBidi" w:cstheme="majorBidi"/>
          <w:sz w:val="24"/>
          <w:szCs w:val="24"/>
          <w:lang w:val="en-US" w:bidi="ar-EG"/>
        </w:rPr>
      </w:pPr>
    </w:p>
    <w:p w14:paraId="2DA1F646" w14:textId="77777777" w:rsidR="00A32D62" w:rsidRPr="00132FA9" w:rsidRDefault="00A32D62" w:rsidP="00A32D62">
      <w:pPr>
        <w:jc w:val="both"/>
        <w:rPr>
          <w:rFonts w:asciiTheme="majorBidi" w:hAnsiTheme="majorBidi" w:cstheme="majorBidi"/>
          <w:sz w:val="24"/>
          <w:szCs w:val="24"/>
          <w:lang w:val="en-US" w:bidi="ar-EG"/>
        </w:rPr>
      </w:pPr>
    </w:p>
    <w:p w14:paraId="3971A53C" w14:textId="77777777" w:rsidR="00A32D62" w:rsidRPr="00132FA9" w:rsidRDefault="00A32D62" w:rsidP="00A32D62">
      <w:pPr>
        <w:jc w:val="both"/>
        <w:rPr>
          <w:rFonts w:asciiTheme="majorBidi" w:hAnsiTheme="majorBidi" w:cstheme="majorBidi"/>
          <w:sz w:val="24"/>
          <w:szCs w:val="24"/>
          <w:lang w:val="en-US" w:bidi="ar-EG"/>
        </w:rPr>
      </w:pPr>
      <w:r w:rsidRPr="00132FA9">
        <w:rPr>
          <w:rFonts w:asciiTheme="majorBidi" w:hAnsiTheme="majorBidi" w:cstheme="majorBidi"/>
          <w:sz w:val="24"/>
          <w:szCs w:val="24"/>
          <w:lang w:val="en-US" w:bidi="ar-EG"/>
        </w:rPr>
        <w:t xml:space="preserve">The book received international interest by Smauel Zwemer who reviewd the book in his Moslem World Journal. Also, in the same journal William St. Clair Tisdall wrote an independent study about al-Tanneer’s book. </w:t>
      </w:r>
    </w:p>
    <w:p w14:paraId="57DCC56A" w14:textId="77777777" w:rsidR="00A32D62" w:rsidRPr="00132FA9" w:rsidRDefault="00A32D62" w:rsidP="00A32D62">
      <w:pPr>
        <w:jc w:val="both"/>
        <w:rPr>
          <w:rFonts w:asciiTheme="majorBidi" w:hAnsiTheme="majorBidi" w:cstheme="majorBidi"/>
          <w:sz w:val="24"/>
          <w:szCs w:val="24"/>
          <w:lang w:val="en-US" w:bidi="ar-EG"/>
        </w:rPr>
      </w:pPr>
    </w:p>
    <w:p w14:paraId="4B8E4C73" w14:textId="77777777" w:rsidR="00A32D62" w:rsidRPr="00132FA9" w:rsidRDefault="00A32D62" w:rsidP="00A32D62">
      <w:pPr>
        <w:jc w:val="both"/>
        <w:rPr>
          <w:rFonts w:asciiTheme="majorBidi" w:hAnsiTheme="majorBidi" w:cstheme="majorBidi"/>
          <w:sz w:val="24"/>
          <w:szCs w:val="24"/>
          <w:lang w:val="en-US" w:bidi="ar-EG"/>
        </w:rPr>
      </w:pPr>
      <w:r w:rsidRPr="00132FA9">
        <w:rPr>
          <w:rFonts w:asciiTheme="majorBidi" w:hAnsiTheme="majorBidi" w:cstheme="majorBidi"/>
          <w:sz w:val="24"/>
          <w:szCs w:val="24"/>
          <w:lang w:val="en-US" w:bidi="ar-EG"/>
        </w:rPr>
        <w:t>In the contemporary times this book continue to have an impact within the Islamic scholarship and on the Christian Muslim relations.</w:t>
      </w:r>
    </w:p>
    <w:p w14:paraId="2D17A28F" w14:textId="77777777" w:rsidR="00A32D62" w:rsidRPr="00132FA9" w:rsidRDefault="00A32D62" w:rsidP="00A32D62">
      <w:pPr>
        <w:jc w:val="both"/>
        <w:rPr>
          <w:rFonts w:asciiTheme="majorBidi" w:hAnsiTheme="majorBidi" w:cstheme="majorBidi"/>
          <w:sz w:val="24"/>
          <w:szCs w:val="24"/>
          <w:lang w:val="en-US" w:bidi="ar-EG"/>
        </w:rPr>
      </w:pPr>
    </w:p>
    <w:p w14:paraId="7EC40610" w14:textId="77777777" w:rsidR="00A32D62" w:rsidRPr="00132FA9" w:rsidRDefault="00A32D62" w:rsidP="00A32D62">
      <w:pPr>
        <w:jc w:val="both"/>
        <w:rPr>
          <w:rFonts w:asciiTheme="majorBidi" w:hAnsiTheme="majorBidi" w:cstheme="majorBidi"/>
          <w:sz w:val="24"/>
          <w:szCs w:val="24"/>
          <w:lang w:val="en-US" w:bidi="ar-EG"/>
        </w:rPr>
      </w:pPr>
      <w:r w:rsidRPr="00132FA9">
        <w:rPr>
          <w:rFonts w:asciiTheme="majorBidi" w:hAnsiTheme="majorBidi" w:cstheme="majorBidi"/>
          <w:sz w:val="24"/>
          <w:szCs w:val="24"/>
          <w:lang w:val="en-US" w:bidi="ar-EG"/>
        </w:rPr>
        <w:t xml:space="preserve">In the Islamic scholarship the book is still used as the main source for drawing similarity between Christianity and the pagan doctrines. Many edititions of this book are online available for free, and many online websites recommend it regularly. The comments on the online threads on this book reflects widespread celebration of this book among the different Islamic different groups and sects.   </w:t>
      </w:r>
    </w:p>
    <w:p w14:paraId="412983E8" w14:textId="77777777" w:rsidR="00A32D62" w:rsidRPr="00132FA9" w:rsidRDefault="00A32D62" w:rsidP="00A32D62">
      <w:pPr>
        <w:jc w:val="both"/>
        <w:rPr>
          <w:rFonts w:asciiTheme="majorBidi" w:hAnsiTheme="majorBidi" w:cstheme="majorBidi"/>
          <w:sz w:val="24"/>
          <w:szCs w:val="24"/>
          <w:lang w:val="en-US" w:bidi="ar-EG"/>
        </w:rPr>
      </w:pPr>
    </w:p>
    <w:p w14:paraId="70B62AED" w14:textId="77777777" w:rsidR="00A32D62" w:rsidRPr="00132FA9" w:rsidRDefault="00A32D62" w:rsidP="00A32D62">
      <w:pPr>
        <w:jc w:val="both"/>
        <w:rPr>
          <w:rFonts w:asciiTheme="majorBidi" w:hAnsiTheme="majorBidi" w:cstheme="majorBidi"/>
          <w:sz w:val="24"/>
          <w:szCs w:val="24"/>
          <w:lang w:val="en-US" w:bidi="ar-EG"/>
        </w:rPr>
      </w:pPr>
      <w:r w:rsidRPr="00132FA9">
        <w:rPr>
          <w:rFonts w:asciiTheme="majorBidi" w:hAnsiTheme="majorBidi" w:cstheme="majorBidi"/>
          <w:sz w:val="24"/>
          <w:szCs w:val="24"/>
          <w:lang w:val="en-US" w:bidi="ar-EG"/>
        </w:rPr>
        <w:t xml:space="preserve">The impact of the pagan origin of some practices is not confined to the theological debates only, but it is extended to the legal fatwas which significantly govern the Christian Muslim </w:t>
      </w:r>
      <w:r w:rsidRPr="00132FA9">
        <w:rPr>
          <w:rFonts w:asciiTheme="majorBidi" w:hAnsiTheme="majorBidi" w:cstheme="majorBidi"/>
          <w:sz w:val="24"/>
          <w:szCs w:val="24"/>
          <w:lang w:val="en-US" w:bidi="ar-EG"/>
        </w:rPr>
        <w:lastRenderedPageBreak/>
        <w:t xml:space="preserve">relations and the Muslim integration in the Western societies. For example, there are many fatwas that prohibit participating in the Hollyween because it is of pagan origin. The same is said about Easter, Christmas and Valentine. These fatwas are going viral online each season, especially after the increasing space of the social media and the online website that are overtaking the space of the TV channels. Nowadays, the phenomenon of ASK moftis is increasing. Some of the muftis on this site (and application) are described as post Salafists. However their tendency to trancede the salafi fatwas used as part of ideology for the salafi movement, their position on the so called pagan festivals is still the same. </w:t>
      </w:r>
    </w:p>
    <w:p w14:paraId="1799C986" w14:textId="77777777" w:rsidR="00A32D62" w:rsidRPr="00132FA9" w:rsidRDefault="00A32D62" w:rsidP="00A32D62">
      <w:pPr>
        <w:jc w:val="both"/>
        <w:rPr>
          <w:rFonts w:asciiTheme="majorBidi" w:hAnsiTheme="majorBidi" w:cstheme="majorBidi"/>
          <w:sz w:val="24"/>
          <w:szCs w:val="24"/>
          <w:lang w:val="en-US" w:bidi="ar-EG"/>
        </w:rPr>
      </w:pPr>
    </w:p>
    <w:p w14:paraId="01D4E43D" w14:textId="77777777" w:rsidR="00A32D62" w:rsidRPr="00132FA9" w:rsidRDefault="00A32D62" w:rsidP="00A32D62">
      <w:pPr>
        <w:jc w:val="both"/>
        <w:rPr>
          <w:rFonts w:asciiTheme="majorBidi" w:hAnsiTheme="majorBidi" w:cstheme="majorBidi"/>
          <w:sz w:val="24"/>
          <w:szCs w:val="24"/>
          <w:lang w:val="en-US" w:bidi="ar-EG"/>
        </w:rPr>
      </w:pPr>
    </w:p>
    <w:p w14:paraId="5F44A15E" w14:textId="77777777" w:rsidR="00A32D62" w:rsidRPr="00132FA9" w:rsidRDefault="00A32D62" w:rsidP="00A32D62">
      <w:pPr>
        <w:jc w:val="both"/>
        <w:rPr>
          <w:rFonts w:asciiTheme="majorBidi" w:hAnsiTheme="majorBidi" w:cstheme="majorBidi"/>
          <w:sz w:val="24"/>
          <w:szCs w:val="24"/>
          <w:lang w:val="en-US" w:bidi="ar-EG"/>
        </w:rPr>
      </w:pPr>
      <w:r w:rsidRPr="00132FA9">
        <w:rPr>
          <w:rFonts w:asciiTheme="majorBidi" w:hAnsiTheme="majorBidi" w:cstheme="majorBidi"/>
          <w:sz w:val="24"/>
          <w:szCs w:val="24"/>
          <w:lang w:val="en-US" w:bidi="ar-EG"/>
        </w:rPr>
        <w:t xml:space="preserve">The notion of drawing the pagan origin moved to the Jewish Muslim relations. Hasan al-Baash published a book in 1990 under the title: the Pagan Doctorins in Judaism. </w:t>
      </w:r>
    </w:p>
    <w:p w14:paraId="66EF8F9B" w14:textId="77777777" w:rsidR="00A32D62" w:rsidRPr="00132FA9" w:rsidRDefault="00A32D62" w:rsidP="00A32D62">
      <w:pPr>
        <w:jc w:val="both"/>
        <w:rPr>
          <w:rFonts w:asciiTheme="majorBidi" w:hAnsiTheme="majorBidi" w:cstheme="majorBidi"/>
          <w:sz w:val="24"/>
          <w:szCs w:val="24"/>
          <w:lang w:val="en-US" w:bidi="ar-EG"/>
        </w:rPr>
      </w:pPr>
    </w:p>
    <w:p w14:paraId="0F6512D7" w14:textId="77777777" w:rsidR="00A32D62" w:rsidRPr="00132FA9" w:rsidRDefault="00A32D62" w:rsidP="00A32D62">
      <w:pPr>
        <w:jc w:val="both"/>
        <w:rPr>
          <w:rFonts w:asciiTheme="majorBidi" w:hAnsiTheme="majorBidi" w:cstheme="majorBidi"/>
          <w:sz w:val="24"/>
          <w:szCs w:val="24"/>
          <w:lang w:val="en-US" w:bidi="ar-EG"/>
        </w:rPr>
      </w:pPr>
      <w:r w:rsidRPr="00132FA9">
        <w:rPr>
          <w:rFonts w:asciiTheme="majorBidi" w:hAnsiTheme="majorBidi" w:cstheme="majorBidi"/>
          <w:sz w:val="24"/>
          <w:szCs w:val="24"/>
          <w:lang w:val="en-US" w:bidi="ar-EG"/>
        </w:rPr>
        <w:t>Also, in the Islamic intra dialogue some sufi groups claim that the pagan trinity has moved from Christianity to Wahhabism.   According to the magazine of al-Tareeqah al-Azmiyyah the three subdivisions of Tawheed, the Islamic monotheism, is a muslim trinity.</w:t>
      </w:r>
    </w:p>
    <w:p w14:paraId="33907A4E" w14:textId="77777777" w:rsidR="00A32D62" w:rsidRPr="00132FA9" w:rsidRDefault="00A32D62" w:rsidP="00A32D62">
      <w:pPr>
        <w:jc w:val="both"/>
        <w:rPr>
          <w:rFonts w:asciiTheme="majorBidi" w:hAnsiTheme="majorBidi" w:cstheme="majorBidi"/>
          <w:sz w:val="24"/>
          <w:szCs w:val="24"/>
          <w:lang w:val="en-US" w:bidi="ar-EG"/>
        </w:rPr>
      </w:pPr>
    </w:p>
    <w:p w14:paraId="48B0BEA7" w14:textId="77777777" w:rsidR="00A32D62" w:rsidRPr="00132FA9" w:rsidRDefault="00A32D62" w:rsidP="00A32D62">
      <w:pPr>
        <w:jc w:val="both"/>
        <w:rPr>
          <w:rFonts w:asciiTheme="majorBidi" w:hAnsiTheme="majorBidi" w:cstheme="majorBidi"/>
          <w:sz w:val="24"/>
          <w:szCs w:val="24"/>
          <w:lang w:val="en-US" w:bidi="ar-EG"/>
        </w:rPr>
      </w:pPr>
    </w:p>
    <w:p w14:paraId="3F8EEEF9" w14:textId="77777777" w:rsidR="00A32D62" w:rsidRPr="00132FA9" w:rsidRDefault="00A32D62" w:rsidP="00A32D62">
      <w:pPr>
        <w:jc w:val="both"/>
        <w:rPr>
          <w:rFonts w:asciiTheme="majorBidi" w:hAnsiTheme="majorBidi" w:cstheme="majorBidi"/>
          <w:sz w:val="24"/>
          <w:szCs w:val="24"/>
          <w:lang w:val="en-US" w:bidi="ar-EG"/>
        </w:rPr>
      </w:pPr>
      <w:r w:rsidRPr="00132FA9">
        <w:rPr>
          <w:rFonts w:asciiTheme="majorBidi" w:hAnsiTheme="majorBidi" w:cstheme="majorBidi"/>
          <w:sz w:val="24"/>
          <w:szCs w:val="24"/>
          <w:lang w:val="en-US" w:bidi="ar-EG"/>
        </w:rPr>
        <w:t xml:space="preserve">Al-Tannīr’s treatise continued to be one of the significant Muslim polemical works in the present time. </w:t>
      </w:r>
    </w:p>
    <w:p w14:paraId="6972AC48" w14:textId="77777777" w:rsidR="00A32D62" w:rsidRPr="00132FA9" w:rsidRDefault="00A32D62" w:rsidP="00A32D62">
      <w:pPr>
        <w:jc w:val="both"/>
        <w:rPr>
          <w:rFonts w:asciiTheme="majorBidi" w:hAnsiTheme="majorBidi" w:cstheme="majorBidi"/>
          <w:sz w:val="24"/>
          <w:szCs w:val="24"/>
          <w:lang w:val="en-US" w:bidi="ar-EG"/>
        </w:rPr>
      </w:pPr>
    </w:p>
    <w:p w14:paraId="6F484096" w14:textId="77777777" w:rsidR="00A32D62" w:rsidRPr="00132FA9" w:rsidRDefault="00A32D62" w:rsidP="00A32D62">
      <w:pPr>
        <w:jc w:val="both"/>
        <w:rPr>
          <w:rFonts w:asciiTheme="majorBidi" w:hAnsiTheme="majorBidi" w:cstheme="majorBidi"/>
          <w:sz w:val="24"/>
          <w:szCs w:val="24"/>
          <w:lang w:val="en-US" w:bidi="ar-EG"/>
        </w:rPr>
      </w:pPr>
      <w:r w:rsidRPr="00132FA9">
        <w:rPr>
          <w:rFonts w:asciiTheme="majorBidi" w:hAnsiTheme="majorBidi" w:cstheme="majorBidi"/>
          <w:sz w:val="24"/>
          <w:szCs w:val="24"/>
          <w:lang w:val="en-US" w:bidi="ar-EG"/>
        </w:rPr>
        <w:t xml:space="preserve">In 2005 a new edition of Muhammad Taaher’s book was published in Egypt. This publication participated greatly in the debates between Christians and Muslims in Egypt that was manifested in the different media. A Chritian programs presented by Brother Rashid broadcasted three episodes to refute this book’s arguments.  Their counter Muslim rivals in al-Mukhallis website responded to Rashid’s attack on Muhammad Taaher’s book. </w:t>
      </w:r>
    </w:p>
    <w:p w14:paraId="41E2B30D" w14:textId="77777777" w:rsidR="00A32D62" w:rsidRPr="00132FA9" w:rsidRDefault="00A32D62" w:rsidP="00A32D62">
      <w:pPr>
        <w:jc w:val="both"/>
        <w:rPr>
          <w:rFonts w:asciiTheme="majorBidi" w:hAnsiTheme="majorBidi" w:cstheme="majorBidi"/>
          <w:sz w:val="24"/>
          <w:szCs w:val="24"/>
          <w:lang w:val="en-US" w:bidi="ar-EG"/>
        </w:rPr>
      </w:pPr>
      <w:r w:rsidRPr="00132FA9">
        <w:rPr>
          <w:rFonts w:asciiTheme="majorBidi" w:hAnsiTheme="majorBidi" w:cstheme="majorBidi"/>
          <w:sz w:val="24"/>
          <w:szCs w:val="24"/>
          <w:rtl/>
          <w:lang w:val="en-US" w:bidi="ar-EG"/>
        </w:rPr>
        <w:t>............</w:t>
      </w:r>
    </w:p>
    <w:p w14:paraId="30FBDD9A" w14:textId="77777777" w:rsidR="00A32D62" w:rsidRPr="00132FA9" w:rsidRDefault="00A32D62" w:rsidP="00A32D62">
      <w:pPr>
        <w:jc w:val="both"/>
        <w:rPr>
          <w:rFonts w:asciiTheme="majorBidi" w:hAnsiTheme="majorBidi" w:cstheme="majorBidi"/>
          <w:sz w:val="24"/>
          <w:szCs w:val="24"/>
          <w:lang w:val="en-US" w:bidi="ar-EG"/>
        </w:rPr>
      </w:pPr>
    </w:p>
    <w:p w14:paraId="49713BA8" w14:textId="77777777" w:rsidR="00A32D62" w:rsidRPr="00132FA9" w:rsidRDefault="00A32D62" w:rsidP="00A32D62">
      <w:pPr>
        <w:jc w:val="both"/>
        <w:rPr>
          <w:rFonts w:asciiTheme="majorBidi" w:hAnsiTheme="majorBidi" w:cstheme="majorBidi"/>
          <w:sz w:val="24"/>
          <w:szCs w:val="24"/>
          <w:lang w:bidi="ar-EG"/>
        </w:rPr>
      </w:pPr>
      <w:r w:rsidRPr="00132FA9">
        <w:rPr>
          <w:rFonts w:asciiTheme="majorBidi" w:hAnsiTheme="majorBidi" w:cstheme="majorBidi"/>
          <w:sz w:val="24"/>
          <w:szCs w:val="24"/>
          <w:lang w:val="en-US" w:bidi="ar-EG"/>
        </w:rPr>
        <w:t xml:space="preserve">Many contemporary writers adopted Muhammad Taaher’s idea about the pagan origin. Munqidh al-Saqqaar depends on his work heavily in his books and online posts. Three of his books use al-Tanner’s book as a main source: </w:t>
      </w:r>
      <w:r w:rsidRPr="00132FA9">
        <w:rPr>
          <w:rFonts w:asciiTheme="majorBidi" w:hAnsiTheme="majorBidi" w:cstheme="majorBidi"/>
          <w:i/>
          <w:iCs/>
          <w:sz w:val="24"/>
          <w:szCs w:val="24"/>
          <w:lang w:bidi="ar-EG"/>
        </w:rPr>
        <w:t>Hal Iftadānā al-Masīh</w:t>
      </w:r>
      <w:r w:rsidRPr="00132FA9">
        <w:rPr>
          <w:rFonts w:asciiTheme="majorBidi" w:hAnsiTheme="majorBidi" w:cstheme="majorBidi"/>
          <w:i/>
          <w:iCs/>
          <w:sz w:val="24"/>
          <w:szCs w:val="24"/>
          <w:lang w:val="vi-VN" w:bidi="ar-EG"/>
        </w:rPr>
        <w:t>̣ ᶜAla al-Ṣalī</w:t>
      </w:r>
      <w:r w:rsidRPr="00132FA9">
        <w:rPr>
          <w:rFonts w:asciiTheme="majorBidi" w:hAnsiTheme="majorBidi" w:cstheme="majorBidi"/>
          <w:i/>
          <w:iCs/>
          <w:sz w:val="24"/>
          <w:szCs w:val="24"/>
          <w:lang w:bidi="ar-EG"/>
        </w:rPr>
        <w:t>b?</w:t>
      </w:r>
      <w:r w:rsidRPr="00132FA9">
        <w:rPr>
          <w:rFonts w:asciiTheme="majorBidi" w:hAnsiTheme="majorBidi" w:cstheme="majorBidi"/>
          <w:sz w:val="24"/>
          <w:szCs w:val="24"/>
          <w:rtl/>
          <w:lang w:val="en-US" w:bidi="ar-EG"/>
        </w:rPr>
        <w:t xml:space="preserve"> </w:t>
      </w:r>
      <w:r w:rsidRPr="00132FA9">
        <w:rPr>
          <w:rFonts w:asciiTheme="majorBidi" w:hAnsiTheme="majorBidi" w:cstheme="majorBidi"/>
          <w:sz w:val="24"/>
          <w:szCs w:val="24"/>
          <w:lang w:bidi="ar-EG"/>
        </w:rPr>
        <w:t xml:space="preserve">(Did Jesus saved us on the cross?); </w:t>
      </w:r>
      <w:r w:rsidRPr="00132FA9">
        <w:rPr>
          <w:rFonts w:asciiTheme="majorBidi" w:hAnsiTheme="majorBidi" w:cstheme="majorBidi"/>
          <w:i/>
          <w:iCs/>
          <w:sz w:val="24"/>
          <w:szCs w:val="24"/>
          <w:lang w:bidi="ar-EG"/>
        </w:rPr>
        <w:t>Allah Jall Jalāluh Wāḥid Amm Thalāthah?</w:t>
      </w:r>
      <w:r w:rsidRPr="00132FA9">
        <w:rPr>
          <w:rFonts w:asciiTheme="majorBidi" w:hAnsiTheme="majorBidi" w:cstheme="majorBidi"/>
          <w:sz w:val="24"/>
          <w:szCs w:val="24"/>
          <w:lang w:bidi="ar-EG"/>
        </w:rPr>
        <w:t xml:space="preserve"> (Allah, glory be to him is one or three?) and </w:t>
      </w:r>
      <w:r w:rsidRPr="00132FA9">
        <w:rPr>
          <w:rFonts w:asciiTheme="majorBidi" w:hAnsiTheme="majorBidi" w:cstheme="majorBidi"/>
          <w:i/>
          <w:iCs/>
          <w:sz w:val="24"/>
          <w:szCs w:val="24"/>
          <w:lang w:bidi="ar-EG"/>
        </w:rPr>
        <w:t>Hal al-ᶜAhd al-Jadīd Kalām Allah?</w:t>
      </w:r>
      <w:r w:rsidRPr="00132FA9">
        <w:rPr>
          <w:rFonts w:asciiTheme="majorBidi" w:hAnsiTheme="majorBidi" w:cstheme="majorBidi"/>
          <w:sz w:val="24"/>
          <w:szCs w:val="24"/>
          <w:lang w:bidi="ar-EG"/>
        </w:rPr>
        <w:t xml:space="preserve"> Is the New Testament is the Word of God? </w:t>
      </w:r>
    </w:p>
    <w:p w14:paraId="180A664A" w14:textId="77777777" w:rsidR="00A32D62" w:rsidRPr="00132FA9" w:rsidRDefault="00A32D62" w:rsidP="00A32D62">
      <w:pPr>
        <w:jc w:val="both"/>
        <w:rPr>
          <w:rFonts w:asciiTheme="majorBidi" w:hAnsiTheme="majorBidi" w:cstheme="majorBidi"/>
          <w:sz w:val="24"/>
          <w:szCs w:val="24"/>
          <w:lang w:val="en-US" w:bidi="ar-EG"/>
        </w:rPr>
      </w:pPr>
      <w:r w:rsidRPr="00132FA9">
        <w:rPr>
          <w:rFonts w:asciiTheme="majorBidi" w:hAnsiTheme="majorBidi" w:cstheme="majorBidi"/>
          <w:sz w:val="24"/>
          <w:szCs w:val="24"/>
          <w:lang w:val="en-US" w:bidi="ar-EG"/>
        </w:rPr>
        <w:t>He also uses its content in his post on ASKfm.com .</w:t>
      </w:r>
    </w:p>
    <w:p w14:paraId="6202D895" w14:textId="77777777" w:rsidR="00A32D62" w:rsidRPr="00132FA9" w:rsidRDefault="00A32D62" w:rsidP="00A32D62">
      <w:pPr>
        <w:jc w:val="both"/>
        <w:rPr>
          <w:rFonts w:asciiTheme="majorBidi" w:hAnsiTheme="majorBidi" w:cstheme="majorBidi"/>
          <w:sz w:val="24"/>
          <w:szCs w:val="24"/>
          <w:lang w:val="en-US" w:bidi="ar-EG"/>
        </w:rPr>
      </w:pPr>
      <w:r w:rsidRPr="00132FA9">
        <w:rPr>
          <w:rFonts w:asciiTheme="majorBidi" w:hAnsiTheme="majorBidi" w:cstheme="majorBidi"/>
          <w:sz w:val="24"/>
          <w:szCs w:val="24"/>
          <w:lang w:val="en-US" w:bidi="ar-EG"/>
        </w:rPr>
        <w:t>………………</w:t>
      </w:r>
    </w:p>
    <w:p w14:paraId="223BB2B5" w14:textId="77777777" w:rsidR="00A32D62" w:rsidRPr="00132FA9" w:rsidRDefault="00A32D62" w:rsidP="00A32D62">
      <w:pPr>
        <w:jc w:val="both"/>
        <w:rPr>
          <w:rFonts w:asciiTheme="majorBidi" w:hAnsiTheme="majorBidi" w:cstheme="majorBidi"/>
          <w:sz w:val="24"/>
          <w:szCs w:val="24"/>
          <w:lang w:val="en-US" w:bidi="ar-EG"/>
        </w:rPr>
      </w:pPr>
    </w:p>
    <w:p w14:paraId="674396C7" w14:textId="77777777" w:rsidR="00A32D62" w:rsidRPr="00132FA9" w:rsidRDefault="00A32D62" w:rsidP="00A32D62">
      <w:pPr>
        <w:rPr>
          <w:rFonts w:asciiTheme="majorBidi" w:hAnsiTheme="majorBidi" w:cstheme="majorBidi"/>
          <w:b/>
          <w:bCs/>
          <w:sz w:val="24"/>
          <w:szCs w:val="24"/>
          <w:lang w:val="en-US"/>
        </w:rPr>
      </w:pPr>
      <w:r w:rsidRPr="00132FA9">
        <w:rPr>
          <w:rFonts w:asciiTheme="majorBidi" w:hAnsiTheme="majorBidi" w:cstheme="majorBidi"/>
          <w:b/>
          <w:bCs/>
          <w:sz w:val="24"/>
          <w:szCs w:val="24"/>
          <w:lang w:val="en-US"/>
        </w:rPr>
        <w:lastRenderedPageBreak/>
        <w:t xml:space="preserve">The Journal Debates </w:t>
      </w:r>
    </w:p>
    <w:p w14:paraId="26FC4602" w14:textId="77777777" w:rsidR="00A32D62" w:rsidRPr="00132FA9" w:rsidRDefault="00A32D62" w:rsidP="00A32D62">
      <w:pPr>
        <w:rPr>
          <w:rFonts w:asciiTheme="majorBidi" w:hAnsiTheme="majorBidi" w:cstheme="majorBidi"/>
          <w:sz w:val="24"/>
          <w:szCs w:val="24"/>
          <w:lang w:val="en-US"/>
        </w:rPr>
      </w:pPr>
    </w:p>
    <w:p w14:paraId="37167BEA" w14:textId="77777777" w:rsidR="00A32D62" w:rsidRPr="00132FA9" w:rsidRDefault="00A32D62" w:rsidP="00A32D62">
      <w:pPr>
        <w:rPr>
          <w:rFonts w:asciiTheme="majorBidi" w:eastAsia="Arial Unicode MS" w:hAnsiTheme="majorBidi" w:cstheme="majorBidi"/>
          <w:sz w:val="24"/>
          <w:szCs w:val="24"/>
        </w:rPr>
      </w:pPr>
      <w:r w:rsidRPr="00132FA9">
        <w:rPr>
          <w:rFonts w:asciiTheme="majorBidi" w:hAnsiTheme="majorBidi" w:cstheme="majorBidi"/>
          <w:sz w:val="24"/>
          <w:szCs w:val="24"/>
          <w:lang w:val="en-US"/>
        </w:rPr>
        <w:t xml:space="preserve">The most prominent resposes to Muhammad Taaher al-Tanneer’s book was </w:t>
      </w:r>
      <w:r w:rsidRPr="00132FA9">
        <w:rPr>
          <w:rFonts w:asciiTheme="majorBidi" w:eastAsia="Arial Unicode MS" w:hAnsiTheme="majorBidi" w:cstheme="majorBidi"/>
          <w:sz w:val="24"/>
          <w:szCs w:val="24"/>
        </w:rPr>
        <w:t xml:space="preserve">Louis Cheikho’s two articles published in al-Machriq Magazine. Later on, Muhammad Taaher replied to Louis Cheikho in two articles published by al-Manar. This journal debate should be considered in the context of the Christian Muslim relations in the East between the Catholics and Rasheed Reda who was a Syrian who moved to live in Cairo. Reda and his al-Manaar writer were in regular polimemic writings with the Catholic writes at al-Manaar. </w:t>
      </w:r>
    </w:p>
    <w:p w14:paraId="749C9AE5" w14:textId="77777777" w:rsidR="00A32D62" w:rsidRPr="00132FA9" w:rsidRDefault="00A32D62" w:rsidP="00A32D62">
      <w:pPr>
        <w:rPr>
          <w:rFonts w:asciiTheme="majorBidi" w:hAnsiTheme="majorBidi" w:cstheme="majorBidi"/>
          <w:sz w:val="24"/>
          <w:szCs w:val="24"/>
          <w:lang w:val="en-US"/>
        </w:rPr>
      </w:pPr>
    </w:p>
    <w:p w14:paraId="36EF29B2" w14:textId="77777777" w:rsidR="00A32D62" w:rsidRPr="00132FA9" w:rsidRDefault="00A32D62" w:rsidP="00A32D62">
      <w:pPr>
        <w:rPr>
          <w:rFonts w:asciiTheme="majorBidi" w:hAnsiTheme="majorBidi" w:cstheme="majorBidi"/>
          <w:sz w:val="24"/>
          <w:szCs w:val="24"/>
          <w:lang w:val="en-US"/>
        </w:rPr>
      </w:pPr>
      <w:r w:rsidRPr="00132FA9">
        <w:rPr>
          <w:rFonts w:asciiTheme="majorBidi" w:hAnsiTheme="majorBidi" w:cstheme="majorBidi"/>
          <w:sz w:val="24"/>
          <w:szCs w:val="24"/>
          <w:lang w:val="en-US"/>
        </w:rPr>
        <w:t>……………………………</w:t>
      </w:r>
    </w:p>
    <w:p w14:paraId="101F57BA" w14:textId="77777777" w:rsidR="00A32D62" w:rsidRPr="00132FA9" w:rsidRDefault="00A32D62" w:rsidP="00A32D62">
      <w:pPr>
        <w:rPr>
          <w:rFonts w:asciiTheme="majorBidi" w:hAnsiTheme="majorBidi" w:cstheme="majorBidi"/>
          <w:sz w:val="24"/>
          <w:szCs w:val="24"/>
          <w:lang w:val="en-US"/>
        </w:rPr>
      </w:pPr>
    </w:p>
    <w:p w14:paraId="1D7527AE" w14:textId="77777777" w:rsidR="00A32D62" w:rsidRPr="00132FA9" w:rsidRDefault="00A32D62" w:rsidP="00A32D62">
      <w:pPr>
        <w:autoSpaceDE w:val="0"/>
        <w:autoSpaceDN w:val="0"/>
        <w:adjustRightInd w:val="0"/>
        <w:spacing w:after="0" w:line="240" w:lineRule="auto"/>
        <w:jc w:val="both"/>
        <w:rPr>
          <w:rFonts w:asciiTheme="majorBidi" w:hAnsiTheme="majorBidi" w:cstheme="majorBidi"/>
          <w:sz w:val="24"/>
          <w:szCs w:val="24"/>
        </w:rPr>
      </w:pPr>
      <w:r w:rsidRPr="00132FA9">
        <w:rPr>
          <w:rFonts w:asciiTheme="majorBidi" w:hAnsiTheme="majorBidi" w:cstheme="majorBidi"/>
          <w:sz w:val="24"/>
          <w:szCs w:val="24"/>
        </w:rPr>
        <w:t xml:space="preserve">Riḍā’s polemics with the Catholic Arabic magazine </w:t>
      </w:r>
      <w:r w:rsidRPr="00132FA9">
        <w:rPr>
          <w:rFonts w:asciiTheme="majorBidi" w:hAnsiTheme="majorBidi" w:cstheme="majorBidi"/>
          <w:i/>
          <w:iCs/>
          <w:sz w:val="24"/>
          <w:szCs w:val="24"/>
        </w:rPr>
        <w:t>al-Machreq</w:t>
      </w:r>
      <w:r w:rsidRPr="00132FA9">
        <w:rPr>
          <w:rFonts w:asciiTheme="majorBidi" w:hAnsiTheme="majorBidi" w:cstheme="majorBidi"/>
          <w:sz w:val="24"/>
          <w:szCs w:val="24"/>
        </w:rPr>
        <w:t xml:space="preserve">. As the mouthpiece of the Syro-Lebanese Jesuits in Beirut since its first publication in 1898, this magazine attempted to convey for the Catholic Arab communities the value and significance of Western science and technology as well as the cultural heritage of the Near East. Riḍā was involved in controversies with </w:t>
      </w:r>
      <w:r w:rsidRPr="00132FA9">
        <w:rPr>
          <w:rFonts w:asciiTheme="majorBidi" w:hAnsiTheme="majorBidi" w:cstheme="majorBidi"/>
          <w:i/>
          <w:iCs/>
          <w:sz w:val="24"/>
          <w:szCs w:val="24"/>
        </w:rPr>
        <w:t xml:space="preserve">al-Machreq </w:t>
      </w:r>
      <w:r w:rsidRPr="00132FA9">
        <w:rPr>
          <w:rFonts w:asciiTheme="majorBidi" w:hAnsiTheme="majorBidi" w:cstheme="majorBidi"/>
          <w:sz w:val="24"/>
          <w:szCs w:val="24"/>
        </w:rPr>
        <w:t xml:space="preserve">around a variety of issues, especially on what he often wrote in his journal on Christianity. According to Riḍā’s archival documents, he used to exchange the published issues of </w:t>
      </w:r>
      <w:r w:rsidRPr="00132FA9">
        <w:rPr>
          <w:rFonts w:asciiTheme="majorBidi" w:hAnsiTheme="majorBidi" w:cstheme="majorBidi"/>
          <w:i/>
          <w:iCs/>
          <w:sz w:val="24"/>
          <w:szCs w:val="24"/>
        </w:rPr>
        <w:t>al-Manār</w:t>
      </w:r>
      <w:r w:rsidRPr="00132FA9">
        <w:rPr>
          <w:rFonts w:asciiTheme="majorBidi" w:hAnsiTheme="majorBidi" w:cstheme="majorBidi"/>
          <w:sz w:val="24"/>
          <w:szCs w:val="24"/>
        </w:rPr>
        <w:t xml:space="preserve"> with those of </w:t>
      </w:r>
      <w:r w:rsidRPr="00132FA9">
        <w:rPr>
          <w:rFonts w:asciiTheme="majorBidi" w:hAnsiTheme="majorBidi" w:cstheme="majorBidi"/>
          <w:i/>
          <w:iCs/>
          <w:sz w:val="24"/>
          <w:szCs w:val="24"/>
        </w:rPr>
        <w:t>al-Machreq</w:t>
      </w:r>
      <w:r w:rsidRPr="00132FA9">
        <w:rPr>
          <w:rFonts w:asciiTheme="majorBidi" w:hAnsiTheme="majorBidi" w:cstheme="majorBidi"/>
          <w:sz w:val="24"/>
          <w:szCs w:val="24"/>
        </w:rPr>
        <w:t>. The Oriental Library of the Jesuit Saint- Joseph College was subscribing to his journal, and many of its issues were kept there. Despite their heated polemics, the library secretary praised Riḍā’s journal as having been the ‘mouthpiece of the Islamic Salafī renaissance’</w:t>
      </w:r>
      <w:r>
        <w:rPr>
          <w:rFonts w:asciiTheme="majorBidi" w:hAnsiTheme="majorBidi" w:cstheme="majorBidi"/>
          <w:sz w:val="24"/>
          <w:szCs w:val="24"/>
        </w:rPr>
        <w:t>.</w:t>
      </w:r>
    </w:p>
    <w:p w14:paraId="327FFF06" w14:textId="77777777" w:rsidR="00A32D62" w:rsidRPr="00132FA9" w:rsidRDefault="00A32D62" w:rsidP="00A32D62">
      <w:pPr>
        <w:rPr>
          <w:rFonts w:asciiTheme="majorBidi" w:hAnsiTheme="majorBidi" w:cstheme="majorBidi"/>
          <w:sz w:val="24"/>
          <w:szCs w:val="24"/>
        </w:rPr>
      </w:pPr>
      <w:r w:rsidRPr="00132FA9">
        <w:rPr>
          <w:rFonts w:asciiTheme="majorBidi" w:hAnsiTheme="majorBidi" w:cstheme="majorBidi"/>
          <w:sz w:val="24"/>
          <w:szCs w:val="24"/>
        </w:rPr>
        <w:t>………………………..</w:t>
      </w:r>
    </w:p>
    <w:p w14:paraId="73676796" w14:textId="77777777" w:rsidR="00A32D62" w:rsidRPr="00132FA9" w:rsidRDefault="00A32D62" w:rsidP="00A32D62">
      <w:pPr>
        <w:jc w:val="both"/>
        <w:rPr>
          <w:rFonts w:asciiTheme="majorBidi" w:hAnsiTheme="majorBidi" w:cstheme="majorBidi"/>
          <w:sz w:val="24"/>
          <w:szCs w:val="24"/>
        </w:rPr>
      </w:pPr>
    </w:p>
    <w:p w14:paraId="60FDE099" w14:textId="77777777" w:rsidR="00A32D62" w:rsidRPr="00132FA9" w:rsidRDefault="00A32D62" w:rsidP="00A32D62">
      <w:pPr>
        <w:autoSpaceDE w:val="0"/>
        <w:autoSpaceDN w:val="0"/>
        <w:adjustRightInd w:val="0"/>
        <w:spacing w:after="0" w:line="240" w:lineRule="auto"/>
        <w:jc w:val="both"/>
        <w:rPr>
          <w:rFonts w:asciiTheme="majorBidi" w:hAnsiTheme="majorBidi" w:cstheme="majorBidi"/>
          <w:sz w:val="24"/>
          <w:szCs w:val="24"/>
        </w:rPr>
      </w:pPr>
      <w:r w:rsidRPr="00132FA9">
        <w:rPr>
          <w:rFonts w:asciiTheme="majorBidi" w:hAnsiTheme="majorBidi" w:cstheme="majorBidi"/>
          <w:sz w:val="24"/>
          <w:szCs w:val="24"/>
        </w:rPr>
        <w:t xml:space="preserve">As soon as Muhammad Taaher al-Tanneer published his anti Christian book, Father Louis Cheikho (1859-1927), the editor of </w:t>
      </w:r>
      <w:r w:rsidRPr="00132FA9">
        <w:rPr>
          <w:rFonts w:asciiTheme="majorBidi" w:hAnsiTheme="majorBidi" w:cstheme="majorBidi"/>
          <w:i/>
          <w:iCs/>
          <w:sz w:val="24"/>
          <w:szCs w:val="24"/>
        </w:rPr>
        <w:t>al-Machreq</w:t>
      </w:r>
      <w:r w:rsidRPr="00132FA9">
        <w:rPr>
          <w:rFonts w:asciiTheme="majorBidi" w:hAnsiTheme="majorBidi" w:cstheme="majorBidi"/>
          <w:sz w:val="24"/>
          <w:szCs w:val="24"/>
        </w:rPr>
        <w:t>, fervently attacked the author</w:t>
      </w:r>
      <w:r w:rsidRPr="00132FA9">
        <w:rPr>
          <w:rFonts w:asciiTheme="majorBidi" w:hAnsiTheme="majorBidi" w:cstheme="majorBidi"/>
          <w:i/>
          <w:iCs/>
          <w:sz w:val="24"/>
          <w:szCs w:val="24"/>
        </w:rPr>
        <w:t>.</w:t>
      </w:r>
      <w:r w:rsidRPr="00132FA9">
        <w:rPr>
          <w:rFonts w:asciiTheme="majorBidi" w:hAnsiTheme="majorBidi" w:cstheme="majorBidi"/>
          <w:sz w:val="24"/>
          <w:szCs w:val="24"/>
        </w:rPr>
        <w:t xml:space="preserve"> Tannīr’s treatise, for him, was nothing but ‘a childish’ attempt to emulate earlier European works of ‘unbelievers, Protestants, and heretics’ in their critique of Christianity</w:t>
      </w:r>
      <w:r>
        <w:rPr>
          <w:rFonts w:asciiTheme="majorBidi" w:hAnsiTheme="majorBidi" w:cstheme="majorBidi"/>
          <w:sz w:val="24"/>
          <w:szCs w:val="24"/>
        </w:rPr>
        <w:t>.</w:t>
      </w:r>
      <w:r w:rsidRPr="00132FA9">
        <w:rPr>
          <w:rFonts w:asciiTheme="majorBidi" w:hAnsiTheme="majorBidi" w:cstheme="majorBidi"/>
          <w:sz w:val="24"/>
          <w:szCs w:val="24"/>
        </w:rPr>
        <w:t xml:space="preserve"> In the same year, </w:t>
      </w:r>
      <w:r w:rsidRPr="00132FA9">
        <w:rPr>
          <w:rFonts w:asciiTheme="majorBidi" w:hAnsiTheme="majorBidi" w:cstheme="majorBidi"/>
          <w:i/>
          <w:iCs/>
          <w:sz w:val="24"/>
          <w:szCs w:val="24"/>
        </w:rPr>
        <w:t>al-Machreq</w:t>
      </w:r>
      <w:r w:rsidRPr="00132FA9">
        <w:rPr>
          <w:rFonts w:asciiTheme="majorBidi" w:hAnsiTheme="majorBidi" w:cstheme="majorBidi"/>
          <w:sz w:val="24"/>
          <w:szCs w:val="24"/>
        </w:rPr>
        <w:t xml:space="preserve"> accused Reda’s journal of having ‘exceeded the proper bounds by attacking the Catholic belief.’ When </w:t>
      </w:r>
      <w:r w:rsidRPr="00132FA9">
        <w:rPr>
          <w:rFonts w:asciiTheme="majorBidi" w:hAnsiTheme="majorBidi" w:cstheme="majorBidi"/>
          <w:i/>
          <w:iCs/>
          <w:sz w:val="24"/>
          <w:szCs w:val="24"/>
        </w:rPr>
        <w:t xml:space="preserve">al-Manār </w:t>
      </w:r>
      <w:r w:rsidRPr="00132FA9">
        <w:rPr>
          <w:rFonts w:asciiTheme="majorBidi" w:hAnsiTheme="majorBidi" w:cstheme="majorBidi"/>
          <w:sz w:val="24"/>
          <w:szCs w:val="24"/>
        </w:rPr>
        <w:t xml:space="preserve">quoted an article from the Russian Muslim paper </w:t>
      </w:r>
      <w:r w:rsidRPr="00132FA9">
        <w:rPr>
          <w:rFonts w:asciiTheme="majorBidi" w:hAnsiTheme="majorBidi" w:cstheme="majorBidi"/>
          <w:i/>
          <w:iCs/>
          <w:sz w:val="24"/>
          <w:szCs w:val="24"/>
        </w:rPr>
        <w:t xml:space="preserve">Shūrā </w:t>
      </w:r>
      <w:r w:rsidRPr="00132FA9">
        <w:rPr>
          <w:rFonts w:asciiTheme="majorBidi" w:hAnsiTheme="majorBidi" w:cstheme="majorBidi"/>
          <w:sz w:val="24"/>
          <w:szCs w:val="24"/>
        </w:rPr>
        <w:t xml:space="preserve">(Council, founded in 1908) in which Luther had been eulogised for his reformation, the editorial of </w:t>
      </w:r>
      <w:r w:rsidRPr="00132FA9">
        <w:rPr>
          <w:rFonts w:asciiTheme="majorBidi" w:hAnsiTheme="majorBidi" w:cstheme="majorBidi"/>
          <w:i/>
          <w:iCs/>
          <w:sz w:val="24"/>
          <w:szCs w:val="24"/>
        </w:rPr>
        <w:t xml:space="preserve">al-Machreq </w:t>
      </w:r>
      <w:r w:rsidRPr="00132FA9">
        <w:rPr>
          <w:rFonts w:asciiTheme="majorBidi" w:hAnsiTheme="majorBidi" w:cstheme="majorBidi"/>
          <w:sz w:val="24"/>
          <w:szCs w:val="24"/>
        </w:rPr>
        <w:t xml:space="preserve">immediately blamed Rasheed Reda for praising him on the basis of his conflict with Catholicism. ‘Had the </w:t>
      </w:r>
      <w:r w:rsidRPr="00132FA9">
        <w:rPr>
          <w:rFonts w:asciiTheme="majorBidi" w:hAnsiTheme="majorBidi" w:cstheme="majorBidi"/>
          <w:i/>
          <w:iCs/>
          <w:sz w:val="24"/>
          <w:szCs w:val="24"/>
        </w:rPr>
        <w:t xml:space="preserve">Shūrā </w:t>
      </w:r>
      <w:r w:rsidRPr="00132FA9">
        <w:rPr>
          <w:rFonts w:asciiTheme="majorBidi" w:hAnsiTheme="majorBidi" w:cstheme="majorBidi"/>
          <w:sz w:val="24"/>
          <w:szCs w:val="24"/>
        </w:rPr>
        <w:t xml:space="preserve">and </w:t>
      </w:r>
      <w:r w:rsidRPr="00132FA9">
        <w:rPr>
          <w:rFonts w:asciiTheme="majorBidi" w:hAnsiTheme="majorBidi" w:cstheme="majorBidi"/>
          <w:i/>
          <w:iCs/>
          <w:sz w:val="24"/>
          <w:szCs w:val="24"/>
        </w:rPr>
        <w:t xml:space="preserve">al-Manār </w:t>
      </w:r>
      <w:r w:rsidRPr="00132FA9">
        <w:rPr>
          <w:rFonts w:asciiTheme="majorBidi" w:hAnsiTheme="majorBidi" w:cstheme="majorBidi"/>
          <w:sz w:val="24"/>
          <w:szCs w:val="24"/>
        </w:rPr>
        <w:t xml:space="preserve">known who Luther and his works precisely were,’ </w:t>
      </w:r>
      <w:r w:rsidRPr="00132FA9">
        <w:rPr>
          <w:rFonts w:asciiTheme="majorBidi" w:hAnsiTheme="majorBidi" w:cstheme="majorBidi"/>
          <w:i/>
          <w:iCs/>
          <w:sz w:val="24"/>
          <w:szCs w:val="24"/>
        </w:rPr>
        <w:t xml:space="preserve">al-Machreq </w:t>
      </w:r>
      <w:r w:rsidRPr="00132FA9">
        <w:rPr>
          <w:rFonts w:asciiTheme="majorBidi" w:hAnsiTheme="majorBidi" w:cstheme="majorBidi"/>
          <w:sz w:val="24"/>
          <w:szCs w:val="24"/>
        </w:rPr>
        <w:t>wrote, ‘they would have entirely discarded him and would have never contaminated their pages by mentioning his name.</w:t>
      </w:r>
    </w:p>
    <w:p w14:paraId="069E3835" w14:textId="77777777" w:rsidR="00A32D62" w:rsidRPr="00132FA9" w:rsidRDefault="00A32D62" w:rsidP="00A32D62">
      <w:pPr>
        <w:autoSpaceDE w:val="0"/>
        <w:autoSpaceDN w:val="0"/>
        <w:adjustRightInd w:val="0"/>
        <w:spacing w:after="0" w:line="240" w:lineRule="auto"/>
        <w:rPr>
          <w:rFonts w:asciiTheme="majorBidi" w:hAnsiTheme="majorBidi" w:cstheme="majorBidi"/>
          <w:sz w:val="24"/>
          <w:szCs w:val="24"/>
        </w:rPr>
      </w:pPr>
    </w:p>
    <w:p w14:paraId="7EDF0EEF" w14:textId="77777777" w:rsidR="00A32D62" w:rsidRPr="00132FA9" w:rsidRDefault="00A32D62" w:rsidP="00A32D62">
      <w:pPr>
        <w:autoSpaceDE w:val="0"/>
        <w:autoSpaceDN w:val="0"/>
        <w:adjustRightInd w:val="0"/>
        <w:spacing w:after="0" w:line="240" w:lineRule="auto"/>
        <w:rPr>
          <w:rFonts w:asciiTheme="majorBidi" w:hAnsiTheme="majorBidi" w:cstheme="majorBidi"/>
          <w:sz w:val="24"/>
          <w:szCs w:val="24"/>
        </w:rPr>
      </w:pPr>
    </w:p>
    <w:p w14:paraId="4E4CE42E" w14:textId="77777777" w:rsidR="00A32D62" w:rsidRPr="00132FA9" w:rsidRDefault="00A32D62" w:rsidP="00A32D62">
      <w:pPr>
        <w:autoSpaceDE w:val="0"/>
        <w:autoSpaceDN w:val="0"/>
        <w:adjustRightInd w:val="0"/>
        <w:spacing w:after="0" w:line="240" w:lineRule="auto"/>
        <w:rPr>
          <w:rFonts w:asciiTheme="majorBidi" w:hAnsiTheme="majorBidi" w:cstheme="majorBidi"/>
          <w:sz w:val="24"/>
          <w:szCs w:val="24"/>
        </w:rPr>
      </w:pPr>
      <w:r w:rsidRPr="00132FA9">
        <w:rPr>
          <w:rFonts w:asciiTheme="majorBidi" w:hAnsiTheme="majorBidi" w:cstheme="majorBidi"/>
          <w:sz w:val="24"/>
          <w:szCs w:val="24"/>
        </w:rPr>
        <w:t>………………………………</w:t>
      </w:r>
    </w:p>
    <w:p w14:paraId="76DA8E33" w14:textId="77777777" w:rsidR="00A32D62" w:rsidRPr="00132FA9" w:rsidRDefault="00A32D62" w:rsidP="00A32D62">
      <w:pPr>
        <w:autoSpaceDE w:val="0"/>
        <w:autoSpaceDN w:val="0"/>
        <w:adjustRightInd w:val="0"/>
        <w:spacing w:after="0" w:line="240" w:lineRule="auto"/>
        <w:rPr>
          <w:rFonts w:asciiTheme="majorBidi" w:hAnsiTheme="majorBidi" w:cstheme="majorBidi"/>
          <w:sz w:val="24"/>
          <w:szCs w:val="24"/>
        </w:rPr>
      </w:pPr>
    </w:p>
    <w:p w14:paraId="398E4465" w14:textId="77777777" w:rsidR="00A32D62" w:rsidRPr="00132FA9" w:rsidRDefault="00A32D62" w:rsidP="00A32D62">
      <w:pPr>
        <w:autoSpaceDE w:val="0"/>
        <w:autoSpaceDN w:val="0"/>
        <w:adjustRightInd w:val="0"/>
        <w:spacing w:after="0" w:line="240" w:lineRule="auto"/>
        <w:jc w:val="both"/>
        <w:rPr>
          <w:rFonts w:asciiTheme="majorBidi" w:hAnsiTheme="majorBidi" w:cstheme="majorBidi"/>
          <w:sz w:val="24"/>
          <w:szCs w:val="24"/>
          <w:lang w:val="en-US" w:bidi="ar-EG"/>
        </w:rPr>
      </w:pPr>
      <w:r w:rsidRPr="00132FA9">
        <w:rPr>
          <w:rFonts w:asciiTheme="majorBidi" w:hAnsiTheme="majorBidi" w:cstheme="majorBidi"/>
          <w:sz w:val="24"/>
          <w:szCs w:val="24"/>
        </w:rPr>
        <w:t xml:space="preserve">Al-Tanneer criticsm of Trininity was consistent with al-Manaar’s editing policy of attacking </w:t>
      </w:r>
      <w:r w:rsidRPr="00132FA9">
        <w:rPr>
          <w:rFonts w:asciiTheme="majorBidi" w:hAnsiTheme="majorBidi" w:cstheme="majorBidi"/>
          <w:sz w:val="24"/>
          <w:szCs w:val="24"/>
          <w:lang w:val="en-US"/>
        </w:rPr>
        <w:t>the Catholic church</w:t>
      </w:r>
      <w:r w:rsidRPr="00132FA9">
        <w:rPr>
          <w:rFonts w:asciiTheme="majorBidi" w:hAnsiTheme="majorBidi" w:cstheme="majorBidi"/>
          <w:sz w:val="24"/>
          <w:szCs w:val="24"/>
        </w:rPr>
        <w:t xml:space="preserve">. </w:t>
      </w:r>
      <w:r w:rsidRPr="00132FA9">
        <w:rPr>
          <w:rFonts w:asciiTheme="majorBidi" w:hAnsiTheme="majorBidi" w:cstheme="majorBidi"/>
          <w:sz w:val="24"/>
          <w:szCs w:val="24"/>
          <w:lang w:val="en-US"/>
        </w:rPr>
        <w:t xml:space="preserve">Reda published some articles criticizing Trinity. </w:t>
      </w:r>
      <w:r w:rsidRPr="00132FA9">
        <w:rPr>
          <w:rFonts w:asciiTheme="majorBidi" w:hAnsiTheme="majorBidi" w:cstheme="majorBidi"/>
          <w:sz w:val="24"/>
          <w:szCs w:val="24"/>
          <w:lang w:val="en-US" w:bidi="ar-EG"/>
        </w:rPr>
        <w:t xml:space="preserve"> </w:t>
      </w:r>
      <w:r w:rsidRPr="00132FA9">
        <w:rPr>
          <w:rFonts w:asciiTheme="majorBidi" w:hAnsiTheme="majorBidi" w:cstheme="majorBidi"/>
          <w:sz w:val="24"/>
          <w:szCs w:val="24"/>
        </w:rPr>
        <w:t xml:space="preserve">In response to </w:t>
      </w:r>
      <w:r w:rsidRPr="00132FA9">
        <w:rPr>
          <w:rFonts w:asciiTheme="majorBidi" w:hAnsiTheme="majorBidi" w:cstheme="majorBidi"/>
          <w:i/>
          <w:iCs/>
          <w:sz w:val="24"/>
          <w:szCs w:val="24"/>
        </w:rPr>
        <w:t>al-Manār</w:t>
      </w:r>
      <w:r w:rsidRPr="00132FA9">
        <w:rPr>
          <w:rFonts w:asciiTheme="majorBidi" w:hAnsiTheme="majorBidi" w:cstheme="majorBidi"/>
          <w:sz w:val="24"/>
          <w:szCs w:val="24"/>
        </w:rPr>
        <w:t>’s postulation of the doctrine of Trinity,</w:t>
      </w:r>
      <w:r w:rsidRPr="00132FA9">
        <w:rPr>
          <w:rFonts w:asciiTheme="majorBidi" w:hAnsiTheme="majorBidi" w:cstheme="majorBidi"/>
          <w:sz w:val="24"/>
          <w:szCs w:val="24"/>
          <w:lang w:val="en-US" w:bidi="ar-EG"/>
        </w:rPr>
        <w:t xml:space="preserve"> </w:t>
      </w:r>
      <w:r w:rsidRPr="00132FA9">
        <w:rPr>
          <w:rFonts w:asciiTheme="majorBidi" w:hAnsiTheme="majorBidi" w:cstheme="majorBidi"/>
          <w:sz w:val="24"/>
          <w:szCs w:val="24"/>
        </w:rPr>
        <w:t>Cheikho counterattacked Reda for using the Gospel of Barnabas as a</w:t>
      </w:r>
      <w:r w:rsidRPr="00132FA9">
        <w:rPr>
          <w:rFonts w:asciiTheme="majorBidi" w:hAnsiTheme="majorBidi" w:cstheme="majorBidi"/>
          <w:sz w:val="24"/>
          <w:szCs w:val="24"/>
          <w:lang w:val="en-US" w:bidi="ar-EG"/>
        </w:rPr>
        <w:t xml:space="preserve"> </w:t>
      </w:r>
      <w:r w:rsidRPr="00132FA9">
        <w:rPr>
          <w:rFonts w:asciiTheme="majorBidi" w:hAnsiTheme="majorBidi" w:cstheme="majorBidi"/>
          <w:sz w:val="24"/>
          <w:szCs w:val="24"/>
        </w:rPr>
        <w:t xml:space="preserve">weapon against it. </w:t>
      </w:r>
      <w:r w:rsidRPr="00132FA9">
        <w:rPr>
          <w:rFonts w:asciiTheme="majorBidi" w:hAnsiTheme="majorBidi" w:cstheme="majorBidi"/>
          <w:i/>
          <w:iCs/>
          <w:sz w:val="24"/>
          <w:szCs w:val="24"/>
        </w:rPr>
        <w:t xml:space="preserve">Al-Machreq </w:t>
      </w:r>
      <w:r w:rsidRPr="00132FA9">
        <w:rPr>
          <w:rFonts w:asciiTheme="majorBidi" w:hAnsiTheme="majorBidi" w:cstheme="majorBidi"/>
          <w:sz w:val="24"/>
          <w:szCs w:val="24"/>
        </w:rPr>
        <w:t>challenged Reda  that he brought forward</w:t>
      </w:r>
    </w:p>
    <w:p w14:paraId="21E2B8ED" w14:textId="77777777" w:rsidR="00A32D62" w:rsidRPr="00132FA9" w:rsidRDefault="00A32D62" w:rsidP="00A32D62">
      <w:pPr>
        <w:autoSpaceDE w:val="0"/>
        <w:autoSpaceDN w:val="0"/>
        <w:adjustRightInd w:val="0"/>
        <w:spacing w:after="0" w:line="240" w:lineRule="auto"/>
        <w:jc w:val="both"/>
        <w:rPr>
          <w:rFonts w:asciiTheme="majorBidi" w:hAnsiTheme="majorBidi" w:cstheme="majorBidi"/>
          <w:sz w:val="24"/>
          <w:szCs w:val="24"/>
        </w:rPr>
      </w:pPr>
      <w:r w:rsidRPr="00132FA9">
        <w:rPr>
          <w:rFonts w:asciiTheme="majorBidi" w:hAnsiTheme="majorBidi" w:cstheme="majorBidi"/>
          <w:sz w:val="24"/>
          <w:szCs w:val="24"/>
        </w:rPr>
        <w:lastRenderedPageBreak/>
        <w:t xml:space="preserve">an Arabic translation of a ‘forged’ Gospel, when he lacked solid proofs against Christianity. Reda, according to him, failed to recognise the sense of the Trinity’s divine mystery. Cheikho’s article was specifically formulated in reaction to Riḍā’s views that: ‘Muslim theologians agree that there is nothing in the Islamic faith which is logically impossible, meaning that the Muslim is not required to believe in anything that is logically impossible Other religions than Islam require people to believe in what is rationally impossible, </w:t>
      </w:r>
      <w:r w:rsidRPr="00132FA9">
        <w:rPr>
          <w:rFonts w:asciiTheme="majorBidi" w:hAnsiTheme="majorBidi" w:cstheme="majorBidi"/>
          <w:i/>
          <w:iCs/>
          <w:sz w:val="24"/>
          <w:szCs w:val="24"/>
        </w:rPr>
        <w:t>i.e.</w:t>
      </w:r>
      <w:r w:rsidRPr="00132FA9">
        <w:rPr>
          <w:rFonts w:asciiTheme="majorBidi" w:hAnsiTheme="majorBidi" w:cstheme="majorBidi"/>
          <w:sz w:val="24"/>
          <w:szCs w:val="24"/>
        </w:rPr>
        <w:t>, the reconciliation between two antitheses or opposites, such as the real Unity and the real Trinity. In other terms, that God is truly one, and truly more than one at the same time.’ Cheikho rebuked Reda for his allegation that the Catholic doctrine insists on combining contradictions. ‘It is not logical,’ Cheikho contended, ‘that such a paradoxical faith would be adopted by more than one third of the inhabitants of the globe among whom are the most civilised nations—such as the Greeks, the Romans and the Arabs.’</w:t>
      </w:r>
    </w:p>
    <w:p w14:paraId="11DD1499" w14:textId="77777777" w:rsidR="00A32D62" w:rsidRPr="00132FA9" w:rsidRDefault="00A32D62" w:rsidP="00A32D62">
      <w:pPr>
        <w:autoSpaceDE w:val="0"/>
        <w:autoSpaceDN w:val="0"/>
        <w:adjustRightInd w:val="0"/>
        <w:spacing w:after="0" w:line="240" w:lineRule="auto"/>
        <w:jc w:val="both"/>
        <w:rPr>
          <w:rFonts w:asciiTheme="majorBidi" w:hAnsiTheme="majorBidi" w:cstheme="majorBidi"/>
          <w:sz w:val="24"/>
          <w:szCs w:val="24"/>
        </w:rPr>
      </w:pPr>
    </w:p>
    <w:p w14:paraId="696BE368" w14:textId="77777777" w:rsidR="00A32D62" w:rsidRPr="00132FA9" w:rsidRDefault="00A32D62" w:rsidP="00A32D62">
      <w:pPr>
        <w:autoSpaceDE w:val="0"/>
        <w:autoSpaceDN w:val="0"/>
        <w:adjustRightInd w:val="0"/>
        <w:spacing w:after="0" w:line="240" w:lineRule="auto"/>
        <w:jc w:val="both"/>
        <w:rPr>
          <w:rFonts w:asciiTheme="majorBidi" w:hAnsiTheme="majorBidi" w:cstheme="majorBidi"/>
          <w:sz w:val="24"/>
          <w:szCs w:val="24"/>
        </w:rPr>
      </w:pPr>
    </w:p>
    <w:p w14:paraId="6B0004F7" w14:textId="77777777" w:rsidR="00A32D62" w:rsidRPr="00132FA9" w:rsidRDefault="00A32D62" w:rsidP="00A32D62">
      <w:pPr>
        <w:autoSpaceDE w:val="0"/>
        <w:autoSpaceDN w:val="0"/>
        <w:adjustRightInd w:val="0"/>
        <w:spacing w:after="0" w:line="240" w:lineRule="auto"/>
        <w:jc w:val="both"/>
        <w:rPr>
          <w:rFonts w:asciiTheme="majorBidi" w:hAnsiTheme="majorBidi" w:cstheme="majorBidi"/>
          <w:sz w:val="24"/>
          <w:szCs w:val="24"/>
        </w:rPr>
      </w:pPr>
    </w:p>
    <w:p w14:paraId="7ACB5F0E" w14:textId="77777777" w:rsidR="00A32D62" w:rsidRPr="00132FA9" w:rsidRDefault="00A32D62" w:rsidP="00A32D62">
      <w:pPr>
        <w:autoSpaceDE w:val="0"/>
        <w:autoSpaceDN w:val="0"/>
        <w:adjustRightInd w:val="0"/>
        <w:spacing w:after="0" w:line="240" w:lineRule="auto"/>
        <w:jc w:val="both"/>
        <w:rPr>
          <w:rFonts w:asciiTheme="majorBidi" w:hAnsiTheme="majorBidi" w:cstheme="majorBidi"/>
          <w:sz w:val="24"/>
          <w:szCs w:val="24"/>
        </w:rPr>
      </w:pPr>
      <w:r w:rsidRPr="00132FA9">
        <w:rPr>
          <w:rFonts w:asciiTheme="majorBidi" w:hAnsiTheme="majorBidi" w:cstheme="majorBidi"/>
          <w:sz w:val="24"/>
          <w:szCs w:val="24"/>
        </w:rPr>
        <w:t>Contrary to al-Tanneer and Reda’s claims about Trinity, Cheikho stresses that Trinitarian concepts had been taken from the divine revelation, and Biblical prophets implicitly referred to them in the Old Testament. He pointed to many examples, such as God’s use of the plural form with reference to Himself, and to the plural form for ‘Lord’ used frequently in the Old Testament. In his conclusion, Cheikho reminded Reda that Catholic believers do not entirely grasp the mystery of the Trinity. But it is enough for them to know that God revealed it to them. He further upheld that there are many secrets that cannot be interpreted by human intellect, and that it is impossible for human beings to grasp God’s true nature; otherwise</w:t>
      </w:r>
      <w:r>
        <w:rPr>
          <w:rFonts w:asciiTheme="majorBidi" w:hAnsiTheme="majorBidi" w:cstheme="majorBidi"/>
          <w:sz w:val="24"/>
          <w:szCs w:val="24"/>
        </w:rPr>
        <w:t xml:space="preserve"> </w:t>
      </w:r>
      <w:r w:rsidRPr="00132FA9">
        <w:rPr>
          <w:rFonts w:asciiTheme="majorBidi" w:hAnsiTheme="majorBidi" w:cstheme="majorBidi"/>
          <w:sz w:val="24"/>
          <w:szCs w:val="24"/>
        </w:rPr>
        <w:t>they would share with God his divine essence.</w:t>
      </w:r>
    </w:p>
    <w:p w14:paraId="670A8881" w14:textId="77777777" w:rsidR="00A32D62" w:rsidRPr="00132FA9" w:rsidRDefault="00A32D62" w:rsidP="00A32D62">
      <w:pPr>
        <w:autoSpaceDE w:val="0"/>
        <w:autoSpaceDN w:val="0"/>
        <w:adjustRightInd w:val="0"/>
        <w:spacing w:after="0" w:line="240" w:lineRule="auto"/>
        <w:rPr>
          <w:rFonts w:asciiTheme="majorBidi" w:hAnsiTheme="majorBidi" w:cstheme="majorBidi"/>
          <w:i/>
          <w:iCs/>
          <w:sz w:val="24"/>
          <w:szCs w:val="24"/>
        </w:rPr>
      </w:pPr>
    </w:p>
    <w:p w14:paraId="1A23B6C6" w14:textId="77777777" w:rsidR="00A32D62" w:rsidRPr="00132FA9" w:rsidRDefault="00A32D62" w:rsidP="00A32D62">
      <w:pPr>
        <w:jc w:val="both"/>
        <w:rPr>
          <w:rFonts w:asciiTheme="majorBidi" w:hAnsiTheme="majorBidi" w:cstheme="majorBidi"/>
          <w:sz w:val="24"/>
          <w:szCs w:val="24"/>
          <w:lang w:bidi="ar-EG"/>
        </w:rPr>
      </w:pPr>
    </w:p>
    <w:p w14:paraId="672791B5" w14:textId="77777777" w:rsidR="00A32D62" w:rsidRPr="00132FA9" w:rsidRDefault="00A32D62" w:rsidP="00A32D62">
      <w:pPr>
        <w:jc w:val="both"/>
        <w:rPr>
          <w:rFonts w:asciiTheme="majorBidi" w:hAnsiTheme="majorBidi" w:cstheme="majorBidi"/>
          <w:sz w:val="24"/>
          <w:szCs w:val="24"/>
          <w:lang w:val="en-US" w:bidi="ar-EG"/>
        </w:rPr>
      </w:pPr>
    </w:p>
    <w:p w14:paraId="740DCD67" w14:textId="77777777" w:rsidR="00A32D62" w:rsidRPr="00132FA9" w:rsidRDefault="00A32D62" w:rsidP="00A32D62">
      <w:pPr>
        <w:jc w:val="both"/>
        <w:rPr>
          <w:rFonts w:asciiTheme="majorBidi" w:hAnsiTheme="majorBidi" w:cstheme="majorBidi"/>
          <w:sz w:val="24"/>
          <w:szCs w:val="24"/>
          <w:lang w:bidi="ar-EG"/>
        </w:rPr>
      </w:pPr>
    </w:p>
    <w:p w14:paraId="0B379E59" w14:textId="77777777" w:rsidR="00BE1356" w:rsidRDefault="00AE420F">
      <w:bookmarkStart w:id="0" w:name="_GoBack"/>
      <w:bookmarkEnd w:id="0"/>
    </w:p>
    <w:sectPr w:rsidR="00BE13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384FBF" w14:textId="77777777" w:rsidR="00AE420F" w:rsidRDefault="00AE420F" w:rsidP="00A32D62">
      <w:pPr>
        <w:spacing w:after="0" w:line="240" w:lineRule="auto"/>
      </w:pPr>
      <w:r>
        <w:separator/>
      </w:r>
    </w:p>
  </w:endnote>
  <w:endnote w:type="continuationSeparator" w:id="0">
    <w:p w14:paraId="3897CD6E" w14:textId="77777777" w:rsidR="00AE420F" w:rsidRDefault="00AE420F" w:rsidP="00A32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613699" w14:textId="77777777" w:rsidR="00AE420F" w:rsidRDefault="00AE420F" w:rsidP="00A32D62">
      <w:pPr>
        <w:spacing w:after="0" w:line="240" w:lineRule="auto"/>
      </w:pPr>
      <w:r>
        <w:separator/>
      </w:r>
    </w:p>
  </w:footnote>
  <w:footnote w:type="continuationSeparator" w:id="0">
    <w:p w14:paraId="3056DA42" w14:textId="77777777" w:rsidR="00AE420F" w:rsidRDefault="00AE420F" w:rsidP="00A32D62">
      <w:pPr>
        <w:spacing w:after="0" w:line="240" w:lineRule="auto"/>
      </w:pPr>
      <w:r>
        <w:continuationSeparator/>
      </w:r>
    </w:p>
  </w:footnote>
  <w:footnote w:id="1">
    <w:p w14:paraId="508DE3E6" w14:textId="77777777" w:rsidR="00A32D62" w:rsidRDefault="00A32D62" w:rsidP="00A32D62">
      <w:pPr>
        <w:pStyle w:val="FootnoteText"/>
      </w:pPr>
      <w:r>
        <w:rPr>
          <w:rStyle w:val="FootnoteReference"/>
        </w:rPr>
        <w:footnoteRef/>
      </w:r>
      <w:r>
        <w:t xml:space="preserve"> </w:t>
      </w:r>
      <w:r w:rsidRPr="007D3CA9">
        <w:t xml:space="preserve">ᶜAlī, </w:t>
      </w:r>
      <w:r w:rsidRPr="007D3CA9">
        <w:rPr>
          <w:i/>
          <w:iCs/>
        </w:rPr>
        <w:t>Makhṭūṭāt wa Maṭbūᶜāṭ</w:t>
      </w:r>
      <w:r w:rsidRPr="007D3CA9">
        <w:t>, al- Muqtabas: 72, p. 71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35E"/>
    <w:rsid w:val="00200411"/>
    <w:rsid w:val="005F7BED"/>
    <w:rsid w:val="007F4BB0"/>
    <w:rsid w:val="00A32D62"/>
    <w:rsid w:val="00AE420F"/>
    <w:rsid w:val="00C1135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5D9BB3-0440-44C9-BF9F-EEE56F36E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2D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32D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32D62"/>
    <w:rPr>
      <w:sz w:val="20"/>
      <w:szCs w:val="20"/>
    </w:rPr>
  </w:style>
  <w:style w:type="character" w:styleId="FootnoteReference">
    <w:name w:val="footnote reference"/>
    <w:basedOn w:val="DefaultParagraphFont"/>
    <w:uiPriority w:val="99"/>
    <w:semiHidden/>
    <w:unhideWhenUsed/>
    <w:rsid w:val="00A32D6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2880</Words>
  <Characters>16422</Characters>
  <Application>Microsoft Office Word</Application>
  <DocSecurity>0</DocSecurity>
  <Lines>136</Lines>
  <Paragraphs>38</Paragraphs>
  <ScaleCrop>false</ScaleCrop>
  <Company/>
  <LinksUpToDate>false</LinksUpToDate>
  <CharactersWithSpaces>19264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dc:creator>
  <cp:keywords/>
  <dc:description/>
  <cp:lastModifiedBy>AH</cp:lastModifiedBy>
  <cp:revision>2</cp:revision>
  <dcterms:created xsi:type="dcterms:W3CDTF">2019-01-25T00:49:00Z</dcterms:created>
  <dcterms:modified xsi:type="dcterms:W3CDTF">2019-01-25T00:49:00Z</dcterms:modified>
</cp:coreProperties>
</file>