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3574C"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b/>
          <w:bCs/>
          <w:kern w:val="0"/>
          <w:lang w:eastAsia="en-GB"/>
          <w14:ligatures w14:val="none"/>
        </w:rPr>
        <w:t xml:space="preserve">Compare and Contrast the Depiction of Warfare and Its Consequences in the Four Branches of the </w:t>
      </w:r>
      <w:proofErr w:type="spellStart"/>
      <w:r w:rsidRPr="00EF4AA4">
        <w:rPr>
          <w:rFonts w:ascii="Calibri" w:eastAsia="Times New Roman" w:hAnsi="Calibri" w:cs="Calibri"/>
          <w:b/>
          <w:bCs/>
          <w:kern w:val="0"/>
          <w:lang w:eastAsia="en-GB"/>
          <w14:ligatures w14:val="none"/>
        </w:rPr>
        <w:t>Mabinogi</w:t>
      </w:r>
      <w:proofErr w:type="spellEnd"/>
      <w:r w:rsidRPr="00EF4AA4">
        <w:rPr>
          <w:rFonts w:ascii="Calibri" w:eastAsia="Times New Roman" w:hAnsi="Calibri" w:cs="Calibri"/>
          <w:b/>
          <w:bCs/>
          <w:kern w:val="0"/>
          <w:lang w:eastAsia="en-GB"/>
          <w14:ligatures w14:val="none"/>
        </w:rPr>
        <w:t xml:space="preserve"> and </w:t>
      </w:r>
      <w:proofErr w:type="spellStart"/>
      <w:r w:rsidRPr="00EF4AA4">
        <w:rPr>
          <w:rFonts w:ascii="Calibri" w:eastAsia="Times New Roman" w:hAnsi="Calibri" w:cs="Calibri"/>
          <w:b/>
          <w:bCs/>
          <w:kern w:val="0"/>
          <w:lang w:eastAsia="en-GB"/>
          <w14:ligatures w14:val="none"/>
        </w:rPr>
        <w:t>Táin</w:t>
      </w:r>
      <w:proofErr w:type="spellEnd"/>
      <w:r w:rsidRPr="00EF4AA4">
        <w:rPr>
          <w:rFonts w:ascii="Calibri" w:eastAsia="Times New Roman" w:hAnsi="Calibri" w:cs="Calibri"/>
          <w:b/>
          <w:bCs/>
          <w:kern w:val="0"/>
          <w:lang w:eastAsia="en-GB"/>
          <w14:ligatures w14:val="none"/>
        </w:rPr>
        <w:t xml:space="preserve"> </w:t>
      </w:r>
      <w:proofErr w:type="spellStart"/>
      <w:r w:rsidRPr="00EF4AA4">
        <w:rPr>
          <w:rFonts w:ascii="Calibri" w:eastAsia="Times New Roman" w:hAnsi="Calibri" w:cs="Calibri"/>
          <w:b/>
          <w:bCs/>
          <w:kern w:val="0"/>
          <w:lang w:eastAsia="en-GB"/>
          <w14:ligatures w14:val="none"/>
        </w:rPr>
        <w:t>Bó</w:t>
      </w:r>
      <w:proofErr w:type="spellEnd"/>
      <w:r w:rsidRPr="00EF4AA4">
        <w:rPr>
          <w:rFonts w:ascii="Calibri" w:eastAsia="Times New Roman" w:hAnsi="Calibri" w:cs="Calibri"/>
          <w:b/>
          <w:bCs/>
          <w:kern w:val="0"/>
          <w:lang w:eastAsia="en-GB"/>
          <w14:ligatures w14:val="none"/>
        </w:rPr>
        <w:t xml:space="preserve"> </w:t>
      </w:r>
      <w:proofErr w:type="spellStart"/>
      <w:r w:rsidRPr="00EF4AA4">
        <w:rPr>
          <w:rFonts w:ascii="Calibri" w:eastAsia="Times New Roman" w:hAnsi="Calibri" w:cs="Calibri"/>
          <w:b/>
          <w:bCs/>
          <w:kern w:val="0"/>
          <w:lang w:eastAsia="en-GB"/>
          <w14:ligatures w14:val="none"/>
        </w:rPr>
        <w:t>Cúailnge</w:t>
      </w:r>
      <w:proofErr w:type="spellEnd"/>
    </w:p>
    <w:p w14:paraId="7519C8CF"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Warfare has been a central theme in mythology and literature throughout human history, serving as both a reflection of societal values and a means of exploring fundamental questions about power, conflict, and human nature. The </w:t>
      </w:r>
      <w:r w:rsidRPr="00EF4AA4">
        <w:rPr>
          <w:rFonts w:ascii="Calibri" w:eastAsia="Times New Roman" w:hAnsi="Calibri" w:cs="Calibri"/>
          <w:i/>
          <w:iCs/>
          <w:kern w:val="0"/>
          <w:lang w:eastAsia="en-GB"/>
          <w14:ligatures w14:val="none"/>
        </w:rPr>
        <w:t xml:space="preserve">Four Branches of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a cornerstone of Welsh mythology, and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the preeminent epic of early Irish literature, both depict war as a complex, often devastating force. While both texts explore similar themes of </w:t>
      </w:r>
      <w:proofErr w:type="spellStart"/>
      <w:r w:rsidRPr="00EF4AA4">
        <w:rPr>
          <w:rFonts w:ascii="Calibri" w:eastAsia="Times New Roman" w:hAnsi="Calibri" w:cs="Calibri"/>
          <w:kern w:val="0"/>
          <w:lang w:eastAsia="en-GB"/>
          <w14:ligatures w14:val="none"/>
        </w:rPr>
        <w:t>honor</w:t>
      </w:r>
      <w:proofErr w:type="spellEnd"/>
      <w:r w:rsidRPr="00EF4AA4">
        <w:rPr>
          <w:rFonts w:ascii="Calibri" w:eastAsia="Times New Roman" w:hAnsi="Calibri" w:cs="Calibri"/>
          <w:kern w:val="0"/>
          <w:lang w:eastAsia="en-GB"/>
          <w14:ligatures w14:val="none"/>
        </w:rPr>
        <w:t>, ambition, supernatural intervention, and tragic consequences, they do so in distinct ways that reveal differences in Welsh and Irish mythological traditions.</w:t>
      </w:r>
    </w:p>
    <w:p w14:paraId="7939A502" w14:textId="57F08764"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This essay will </w:t>
      </w:r>
      <w:proofErr w:type="gramStart"/>
      <w:r w:rsidRPr="00EF4AA4">
        <w:rPr>
          <w:rFonts w:ascii="Calibri" w:eastAsia="Times New Roman" w:hAnsi="Calibri" w:cs="Calibri"/>
          <w:kern w:val="0"/>
          <w:lang w:eastAsia="en-GB"/>
          <w14:ligatures w14:val="none"/>
        </w:rPr>
        <w:t>compare and contrast</w:t>
      </w:r>
      <w:proofErr w:type="gramEnd"/>
      <w:r w:rsidRPr="00EF4AA4">
        <w:rPr>
          <w:rFonts w:ascii="Calibri" w:eastAsia="Times New Roman" w:hAnsi="Calibri" w:cs="Calibri"/>
          <w:kern w:val="0"/>
          <w:lang w:eastAsia="en-GB"/>
          <w14:ligatures w14:val="none"/>
        </w:rPr>
        <w:t xml:space="preserve"> the depiction of warfare and its consequences in these two works, engaging with primary texts and relevant secondary literature. By </w:t>
      </w:r>
      <w:r w:rsidRPr="00EF4AA4">
        <w:rPr>
          <w:rFonts w:ascii="Calibri" w:eastAsia="Times New Roman" w:hAnsi="Calibri" w:cs="Calibri"/>
          <w:kern w:val="0"/>
          <w:lang w:eastAsia="en-GB"/>
          <w14:ligatures w14:val="none"/>
        </w:rPr>
        <w:t>analysing</w:t>
      </w:r>
      <w:r w:rsidRPr="00EF4AA4">
        <w:rPr>
          <w:rFonts w:ascii="Calibri" w:eastAsia="Times New Roman" w:hAnsi="Calibri" w:cs="Calibri"/>
          <w:kern w:val="0"/>
          <w:lang w:eastAsia="en-GB"/>
          <w14:ligatures w14:val="none"/>
        </w:rPr>
        <w:t xml:space="preserve"> their portrayal of battle, their narrative structures, their treatment of warriors and rulers, and the moral and ethical dimensions of conflict, this study will highlight how each text presents a nuanced perspective on the role of warfare in early Celtic society.</w:t>
      </w:r>
    </w:p>
    <w:p w14:paraId="3D3049F0" w14:textId="7D25A5AA"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In both the </w:t>
      </w:r>
      <w:r w:rsidRPr="00EF4AA4">
        <w:rPr>
          <w:rFonts w:ascii="Calibri" w:eastAsia="Times New Roman" w:hAnsi="Calibri" w:cs="Calibri"/>
          <w:i/>
          <w:iCs/>
          <w:kern w:val="0"/>
          <w:lang w:eastAsia="en-GB"/>
          <w14:ligatures w14:val="none"/>
        </w:rPr>
        <w:t xml:space="preserve">Four Branches of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and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war is often the result of personal grievances and individual ambition, rather than merely external threats or geopolitical struggles. This suggests a worldview in which personal </w:t>
      </w:r>
      <w:r w:rsidRPr="00EF4AA4">
        <w:rPr>
          <w:rFonts w:ascii="Calibri" w:eastAsia="Times New Roman" w:hAnsi="Calibri" w:cs="Calibri"/>
          <w:kern w:val="0"/>
          <w:lang w:eastAsia="en-GB"/>
          <w14:ligatures w14:val="none"/>
        </w:rPr>
        <w:t>honour</w:t>
      </w:r>
      <w:r w:rsidRPr="00EF4AA4">
        <w:rPr>
          <w:rFonts w:ascii="Calibri" w:eastAsia="Times New Roman" w:hAnsi="Calibri" w:cs="Calibri"/>
          <w:kern w:val="0"/>
          <w:lang w:eastAsia="en-GB"/>
          <w14:ligatures w14:val="none"/>
        </w:rPr>
        <w:t>, status, and retribution are deeply intertwined with large-scale conflicts.</w:t>
      </w:r>
    </w:p>
    <w:p w14:paraId="009149AB" w14:textId="3797F86A"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In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war frequently arises due to perceived insults or breaches of hospitality. In the </w:t>
      </w:r>
      <w:r w:rsidRPr="00EF4AA4">
        <w:rPr>
          <w:rFonts w:ascii="Calibri" w:eastAsia="Times New Roman" w:hAnsi="Calibri" w:cs="Calibri"/>
          <w:i/>
          <w:iCs/>
          <w:kern w:val="0"/>
          <w:lang w:eastAsia="en-GB"/>
          <w14:ligatures w14:val="none"/>
        </w:rPr>
        <w:t>Second Branch</w:t>
      </w:r>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Branwen</w:t>
      </w:r>
      <w:proofErr w:type="spellEnd"/>
      <w:r w:rsidRPr="00EF4AA4">
        <w:rPr>
          <w:rFonts w:ascii="Calibri" w:eastAsia="Times New Roman" w:hAnsi="Calibri" w:cs="Calibri"/>
          <w:i/>
          <w:iCs/>
          <w:kern w:val="0"/>
          <w:lang w:eastAsia="en-GB"/>
          <w14:ligatures w14:val="none"/>
        </w:rPr>
        <w:t xml:space="preserve"> Daughter of </w:t>
      </w:r>
      <w:proofErr w:type="spellStart"/>
      <w:r w:rsidRPr="00EF4AA4">
        <w:rPr>
          <w:rFonts w:ascii="Calibri" w:eastAsia="Times New Roman" w:hAnsi="Calibri" w:cs="Calibri"/>
          <w:i/>
          <w:iCs/>
          <w:kern w:val="0"/>
          <w:lang w:eastAsia="en-GB"/>
          <w14:ligatures w14:val="none"/>
        </w:rPr>
        <w:t>Llŷr</w:t>
      </w:r>
      <w:proofErr w:type="spellEnd"/>
      <w:r w:rsidRPr="00EF4AA4">
        <w:rPr>
          <w:rFonts w:ascii="Calibri" w:eastAsia="Times New Roman" w:hAnsi="Calibri" w:cs="Calibri"/>
          <w:kern w:val="0"/>
          <w:lang w:eastAsia="en-GB"/>
          <w14:ligatures w14:val="none"/>
        </w:rPr>
        <w:t xml:space="preserve">, war breaks out between Britain and Ireland as a direct result of the mistreatment of </w:t>
      </w:r>
      <w:proofErr w:type="spellStart"/>
      <w:r w:rsidRPr="00EF4AA4">
        <w:rPr>
          <w:rFonts w:ascii="Calibri" w:eastAsia="Times New Roman" w:hAnsi="Calibri" w:cs="Calibri"/>
          <w:kern w:val="0"/>
          <w:lang w:eastAsia="en-GB"/>
          <w14:ligatures w14:val="none"/>
        </w:rPr>
        <w:t>Branwen</w:t>
      </w:r>
      <w:proofErr w:type="spellEnd"/>
      <w:r w:rsidRPr="00EF4AA4">
        <w:rPr>
          <w:rFonts w:ascii="Calibri" w:eastAsia="Times New Roman" w:hAnsi="Calibri" w:cs="Calibri"/>
          <w:kern w:val="0"/>
          <w:lang w:eastAsia="en-GB"/>
          <w14:ligatures w14:val="none"/>
        </w:rPr>
        <w:t xml:space="preserve">, the sister of Bran the Blessed, by her Irish husband </w:t>
      </w:r>
      <w:proofErr w:type="spellStart"/>
      <w:r w:rsidRPr="00EF4AA4">
        <w:rPr>
          <w:rFonts w:ascii="Calibri" w:eastAsia="Times New Roman" w:hAnsi="Calibri" w:cs="Calibri"/>
          <w:kern w:val="0"/>
          <w:lang w:eastAsia="en-GB"/>
          <w14:ligatures w14:val="none"/>
        </w:rPr>
        <w:t>Matholwch</w:t>
      </w:r>
      <w:proofErr w:type="spellEnd"/>
      <w:r w:rsidRPr="00EF4AA4">
        <w:rPr>
          <w:rFonts w:ascii="Calibri" w:eastAsia="Times New Roman" w:hAnsi="Calibri" w:cs="Calibri"/>
          <w:kern w:val="0"/>
          <w:lang w:eastAsia="en-GB"/>
          <w14:ligatures w14:val="none"/>
        </w:rPr>
        <w:t xml:space="preserve">. The immediate cause is the mutilation of </w:t>
      </w:r>
      <w:proofErr w:type="spellStart"/>
      <w:r w:rsidRPr="00EF4AA4">
        <w:rPr>
          <w:rFonts w:ascii="Calibri" w:eastAsia="Times New Roman" w:hAnsi="Calibri" w:cs="Calibri"/>
          <w:kern w:val="0"/>
          <w:lang w:eastAsia="en-GB"/>
          <w14:ligatures w14:val="none"/>
        </w:rPr>
        <w:t>Matholwch’s</w:t>
      </w:r>
      <w:proofErr w:type="spellEnd"/>
      <w:r w:rsidRPr="00EF4AA4">
        <w:rPr>
          <w:rFonts w:ascii="Calibri" w:eastAsia="Times New Roman" w:hAnsi="Calibri" w:cs="Calibri"/>
          <w:kern w:val="0"/>
          <w:lang w:eastAsia="en-GB"/>
          <w14:ligatures w14:val="none"/>
        </w:rPr>
        <w:t xml:space="preserve"> horses by </w:t>
      </w:r>
      <w:proofErr w:type="spellStart"/>
      <w:r w:rsidRPr="00EF4AA4">
        <w:rPr>
          <w:rFonts w:ascii="Calibri" w:eastAsia="Times New Roman" w:hAnsi="Calibri" w:cs="Calibri"/>
          <w:kern w:val="0"/>
          <w:lang w:eastAsia="en-GB"/>
          <w14:ligatures w14:val="none"/>
        </w:rPr>
        <w:t>Efnysien</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Branwen’s</w:t>
      </w:r>
      <w:proofErr w:type="spellEnd"/>
      <w:r w:rsidRPr="00EF4AA4">
        <w:rPr>
          <w:rFonts w:ascii="Calibri" w:eastAsia="Times New Roman" w:hAnsi="Calibri" w:cs="Calibri"/>
          <w:kern w:val="0"/>
          <w:lang w:eastAsia="en-GB"/>
          <w14:ligatures w14:val="none"/>
        </w:rPr>
        <w:t xml:space="preserve"> half-brother, during her wedding feast, an act of calculated insult that escalates into years of suffering and eventual war.</w:t>
      </w:r>
      <w:r w:rsidRPr="00EF4AA4">
        <w:rPr>
          <w:rStyle w:val="FootnoteReference"/>
          <w:rFonts w:ascii="Calibri" w:eastAsia="Times New Roman" w:hAnsi="Calibri" w:cs="Calibri"/>
          <w:kern w:val="0"/>
          <w:lang w:eastAsia="en-GB"/>
          <w14:ligatures w14:val="none"/>
        </w:rPr>
        <w:footnoteReference w:id="1"/>
      </w:r>
      <w:r w:rsidRPr="00EF4AA4">
        <w:rPr>
          <w:rFonts w:ascii="Calibri" w:eastAsia="Times New Roman" w:hAnsi="Calibri" w:cs="Calibri"/>
          <w:kern w:val="0"/>
          <w:lang w:eastAsia="en-GB"/>
          <w14:ligatures w14:val="none"/>
        </w:rPr>
        <w:t xml:space="preserve"> This narrative highlights the fragility of peace when personal pride and familial </w:t>
      </w:r>
      <w:r w:rsidRPr="00EF4AA4">
        <w:rPr>
          <w:rFonts w:ascii="Calibri" w:eastAsia="Times New Roman" w:hAnsi="Calibri" w:cs="Calibri"/>
          <w:kern w:val="0"/>
          <w:lang w:eastAsia="en-GB"/>
          <w14:ligatures w14:val="none"/>
        </w:rPr>
        <w:t>honour</w:t>
      </w:r>
      <w:r w:rsidRPr="00EF4AA4">
        <w:rPr>
          <w:rFonts w:ascii="Calibri" w:eastAsia="Times New Roman" w:hAnsi="Calibri" w:cs="Calibri"/>
          <w:kern w:val="0"/>
          <w:lang w:eastAsia="en-GB"/>
          <w14:ligatures w14:val="none"/>
        </w:rPr>
        <w:t xml:space="preserve"> are at stake.</w:t>
      </w:r>
    </w:p>
    <w:p w14:paraId="60C3D18D" w14:textId="400480FA"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Similarly, in the </w:t>
      </w:r>
      <w:r w:rsidRPr="00EF4AA4">
        <w:rPr>
          <w:rFonts w:ascii="Calibri" w:eastAsia="Times New Roman" w:hAnsi="Calibri" w:cs="Calibri"/>
          <w:i/>
          <w:iCs/>
          <w:kern w:val="0"/>
          <w:lang w:eastAsia="en-GB"/>
          <w14:ligatures w14:val="none"/>
        </w:rPr>
        <w:t>Fourth Branch</w:t>
      </w:r>
      <w:r w:rsidRPr="00EF4AA4">
        <w:rPr>
          <w:rFonts w:ascii="Calibri" w:eastAsia="Times New Roman" w:hAnsi="Calibri" w:cs="Calibri"/>
          <w:kern w:val="0"/>
          <w:lang w:eastAsia="en-GB"/>
          <w14:ligatures w14:val="none"/>
        </w:rPr>
        <w:t xml:space="preserve">, </w:t>
      </w:r>
      <w:r w:rsidRPr="00EF4AA4">
        <w:rPr>
          <w:rFonts w:ascii="Calibri" w:eastAsia="Times New Roman" w:hAnsi="Calibri" w:cs="Calibri"/>
          <w:i/>
          <w:iCs/>
          <w:kern w:val="0"/>
          <w:lang w:eastAsia="en-GB"/>
          <w14:ligatures w14:val="none"/>
        </w:rPr>
        <w:t xml:space="preserve">Math Son of </w:t>
      </w:r>
      <w:proofErr w:type="spellStart"/>
      <w:r w:rsidRPr="00EF4AA4">
        <w:rPr>
          <w:rFonts w:ascii="Calibri" w:eastAsia="Times New Roman" w:hAnsi="Calibri" w:cs="Calibri"/>
          <w:i/>
          <w:iCs/>
          <w:kern w:val="0"/>
          <w:lang w:eastAsia="en-GB"/>
          <w14:ligatures w14:val="none"/>
        </w:rPr>
        <w:t>Mathonwy</w:t>
      </w:r>
      <w:proofErr w:type="spellEnd"/>
      <w:r w:rsidRPr="00EF4AA4">
        <w:rPr>
          <w:rFonts w:ascii="Calibri" w:eastAsia="Times New Roman" w:hAnsi="Calibri" w:cs="Calibri"/>
          <w:kern w:val="0"/>
          <w:lang w:eastAsia="en-GB"/>
          <w14:ligatures w14:val="none"/>
        </w:rPr>
        <w:t>, conflict arises when Gwydion, a trickster and magician, manipulates events to acquire a prized herd of pigs from the ruler of Dyfed. His deception leads to war between Gwynedd and Dyfed, demonstrating how individual ambition and greed can spark large-scale violence.</w:t>
      </w:r>
      <w:r w:rsidRPr="00EF4AA4">
        <w:rPr>
          <w:rStyle w:val="FootnoteReference"/>
          <w:rFonts w:ascii="Calibri" w:eastAsia="Times New Roman" w:hAnsi="Calibri" w:cs="Calibri"/>
          <w:kern w:val="0"/>
          <w:lang w:eastAsia="en-GB"/>
          <w14:ligatures w14:val="none"/>
        </w:rPr>
        <w:footnoteReference w:id="2"/>
      </w:r>
    </w:p>
    <w:p w14:paraId="534B0369" w14:textId="7F98E918"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By contrast,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centers</w:t>
      </w:r>
      <w:proofErr w:type="spellEnd"/>
      <w:r w:rsidRPr="00EF4AA4">
        <w:rPr>
          <w:rFonts w:ascii="Calibri" w:eastAsia="Times New Roman" w:hAnsi="Calibri" w:cs="Calibri"/>
          <w:kern w:val="0"/>
          <w:lang w:eastAsia="en-GB"/>
          <w14:ligatures w14:val="none"/>
        </w:rPr>
        <w:t xml:space="preserve"> its conflict around an economic and symbolic rivalry. Queen Medb of Connacht, desiring to equal her husband </w:t>
      </w:r>
      <w:proofErr w:type="spellStart"/>
      <w:r w:rsidRPr="00EF4AA4">
        <w:rPr>
          <w:rFonts w:ascii="Calibri" w:eastAsia="Times New Roman" w:hAnsi="Calibri" w:cs="Calibri"/>
          <w:kern w:val="0"/>
          <w:lang w:eastAsia="en-GB"/>
          <w14:ligatures w14:val="none"/>
        </w:rPr>
        <w:t>Ailill</w:t>
      </w:r>
      <w:proofErr w:type="spellEnd"/>
      <w:r w:rsidRPr="00EF4AA4">
        <w:rPr>
          <w:rFonts w:ascii="Calibri" w:eastAsia="Times New Roman" w:hAnsi="Calibri" w:cs="Calibri"/>
          <w:kern w:val="0"/>
          <w:lang w:eastAsia="en-GB"/>
          <w14:ligatures w14:val="none"/>
        </w:rPr>
        <w:t xml:space="preserve"> in wealth, seeks to capture the Brown Bull of Cooley, owned by an Ulster chieftain.</w:t>
      </w:r>
      <w:r w:rsidRPr="00EF4AA4">
        <w:rPr>
          <w:rStyle w:val="FootnoteReference"/>
          <w:rFonts w:ascii="Calibri" w:eastAsia="Times New Roman" w:hAnsi="Calibri" w:cs="Calibri"/>
          <w:kern w:val="0"/>
          <w:lang w:eastAsia="en-GB"/>
          <w14:ligatures w14:val="none"/>
        </w:rPr>
        <w:footnoteReference w:id="3"/>
      </w:r>
      <w:r w:rsidRPr="00EF4AA4">
        <w:rPr>
          <w:rFonts w:ascii="Calibri" w:eastAsia="Times New Roman" w:hAnsi="Calibri" w:cs="Calibri"/>
          <w:kern w:val="0"/>
          <w:lang w:eastAsia="en-GB"/>
          <w14:ligatures w14:val="none"/>
        </w:rPr>
        <w:t xml:space="preserve"> This seemingly trivial economic contest escalates into a full-scale war, drawing in multiple factions and resulting in massive loss of life. While the initial cause may appear materialistic, Medb’s ambition is rooted in concepts of power and legitimacy—possessing the bull signifies dominance. The conflict is thus framed as a battle for </w:t>
      </w:r>
      <w:r w:rsidRPr="00EF4AA4">
        <w:rPr>
          <w:rFonts w:ascii="Calibri" w:eastAsia="Times New Roman" w:hAnsi="Calibri" w:cs="Calibri"/>
          <w:kern w:val="0"/>
          <w:lang w:eastAsia="en-GB"/>
          <w14:ligatures w14:val="none"/>
        </w:rPr>
        <w:t>honour</w:t>
      </w:r>
      <w:r w:rsidRPr="00EF4AA4">
        <w:rPr>
          <w:rFonts w:ascii="Calibri" w:eastAsia="Times New Roman" w:hAnsi="Calibri" w:cs="Calibri"/>
          <w:kern w:val="0"/>
          <w:lang w:eastAsia="en-GB"/>
          <w14:ligatures w14:val="none"/>
        </w:rPr>
        <w:t xml:space="preserve"> and prestige rather than mere material gain.</w:t>
      </w:r>
    </w:p>
    <w:p w14:paraId="58C55100"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lastRenderedPageBreak/>
        <w:t xml:space="preserve">The portrayal of warfare itself differs significantly between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and 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xml:space="preserve">. 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xml:space="preserve"> provides extensive, graphic battle descriptions, glorifying individual martial prowess, particularly that of its hero,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xml:space="preserve">. </w:t>
      </w:r>
    </w:p>
    <w:p w14:paraId="390557BE" w14:textId="079C6943"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The epic contains vivid, almost cinematic scenes of combat, such as when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xml:space="preserve"> enters his terrifying </w:t>
      </w:r>
      <w:proofErr w:type="spellStart"/>
      <w:r w:rsidRPr="00EF4AA4">
        <w:rPr>
          <w:rFonts w:ascii="Calibri" w:eastAsia="Times New Roman" w:hAnsi="Calibri" w:cs="Calibri"/>
          <w:i/>
          <w:iCs/>
          <w:kern w:val="0"/>
          <w:lang w:eastAsia="en-GB"/>
          <w14:ligatures w14:val="none"/>
        </w:rPr>
        <w:t>r</w:t>
      </w:r>
      <w:r w:rsidRPr="00EF4AA4">
        <w:rPr>
          <w:rFonts w:ascii="Calibri" w:eastAsia="Times New Roman" w:hAnsi="Calibri" w:cs="Calibri"/>
          <w:i/>
          <w:iCs/>
          <w:kern w:val="0"/>
          <w:lang w:eastAsia="en-GB"/>
          <w14:ligatures w14:val="none"/>
        </w:rPr>
        <w:t>ia</w:t>
      </w:r>
      <w:r w:rsidRPr="00EF4AA4">
        <w:rPr>
          <w:rFonts w:ascii="Calibri" w:eastAsia="Times New Roman" w:hAnsi="Calibri" w:cs="Calibri"/>
          <w:i/>
          <w:iCs/>
          <w:kern w:val="0"/>
          <w:lang w:eastAsia="en-GB"/>
          <w14:ligatures w14:val="none"/>
        </w:rPr>
        <w:t>st</w:t>
      </w:r>
      <w:r w:rsidRPr="00EF4AA4">
        <w:rPr>
          <w:rFonts w:ascii="Calibri" w:eastAsia="Times New Roman" w:hAnsi="Calibri" w:cs="Calibri"/>
          <w:i/>
          <w:iCs/>
          <w:kern w:val="0"/>
          <w:lang w:eastAsia="en-GB"/>
          <w14:ligatures w14:val="none"/>
        </w:rPr>
        <w:t>a</w:t>
      </w:r>
      <w:r w:rsidRPr="00EF4AA4">
        <w:rPr>
          <w:rFonts w:ascii="Calibri" w:eastAsia="Times New Roman" w:hAnsi="Calibri" w:cs="Calibri"/>
          <w:i/>
          <w:iCs/>
          <w:kern w:val="0"/>
          <w:lang w:eastAsia="en-GB"/>
          <w14:ligatures w14:val="none"/>
        </w:rPr>
        <w:t>d</w:t>
      </w:r>
      <w:proofErr w:type="spellEnd"/>
      <w:r w:rsidRPr="00EF4AA4">
        <w:rPr>
          <w:rFonts w:ascii="Calibri" w:eastAsia="Times New Roman" w:hAnsi="Calibri" w:cs="Calibri"/>
          <w:kern w:val="0"/>
          <w:lang w:eastAsia="en-GB"/>
          <w14:ligatures w14:val="none"/>
        </w:rPr>
        <w:t xml:space="preserve"> (warp-spasm), during which his body contorts grotesquely, granting him supernatural strength but making him monstrous in appearance.</w:t>
      </w:r>
      <w:r w:rsidRPr="00EF4AA4">
        <w:rPr>
          <w:rStyle w:val="FootnoteReference"/>
          <w:rFonts w:ascii="Calibri" w:eastAsia="Times New Roman" w:hAnsi="Calibri" w:cs="Calibri"/>
          <w:kern w:val="0"/>
          <w:lang w:eastAsia="en-GB"/>
          <w14:ligatures w14:val="none"/>
        </w:rPr>
        <w:footnoteReference w:id="4"/>
      </w:r>
      <w:r w:rsidRPr="00EF4AA4">
        <w:rPr>
          <w:rFonts w:ascii="Calibri" w:eastAsia="Times New Roman" w:hAnsi="Calibri" w:cs="Calibri"/>
          <w:kern w:val="0"/>
          <w:lang w:eastAsia="en-GB"/>
          <w14:ligatures w14:val="none"/>
        </w:rPr>
        <w:t xml:space="preserve"> Elizabeth Moore’s discussion of this transformation highlights the differences between restrained and unrestrained violence, and the way this </w:t>
      </w:r>
      <w:proofErr w:type="gramStart"/>
      <w:r w:rsidRPr="00EF4AA4">
        <w:rPr>
          <w:rFonts w:ascii="Calibri" w:eastAsia="Times New Roman" w:hAnsi="Calibri" w:cs="Calibri"/>
          <w:kern w:val="0"/>
          <w:lang w:eastAsia="en-GB"/>
          <w14:ligatures w14:val="none"/>
        </w:rPr>
        <w:t>is a reflection of</w:t>
      </w:r>
      <w:proofErr w:type="gramEnd"/>
      <w:r w:rsidRPr="00EF4AA4">
        <w:rPr>
          <w:rFonts w:ascii="Calibri" w:eastAsia="Times New Roman" w:hAnsi="Calibri" w:cs="Calibri"/>
          <w:kern w:val="0"/>
          <w:lang w:eastAsia="en-GB"/>
          <w14:ligatures w14:val="none"/>
        </w:rPr>
        <w:t xml:space="preserve"> types of warfare of the period.</w:t>
      </w:r>
      <w:r w:rsidRPr="00EF4AA4">
        <w:rPr>
          <w:rStyle w:val="FootnoteReference"/>
          <w:rFonts w:ascii="Calibri" w:eastAsia="Times New Roman" w:hAnsi="Calibri" w:cs="Calibri"/>
          <w:kern w:val="0"/>
          <w:lang w:eastAsia="en-GB"/>
          <w14:ligatures w14:val="none"/>
        </w:rPr>
        <w:footnoteReference w:id="5"/>
      </w:r>
      <w:r w:rsidRPr="00EF4AA4">
        <w:rPr>
          <w:rFonts w:ascii="Calibri" w:eastAsia="Times New Roman" w:hAnsi="Calibri" w:cs="Calibri"/>
          <w:kern w:val="0"/>
          <w:lang w:eastAsia="en-GB"/>
          <w14:ligatures w14:val="none"/>
        </w:rPr>
        <w:t xml:space="preserve"> </w:t>
      </w:r>
    </w:p>
    <w:p w14:paraId="1D03E745" w14:textId="4C5ABDDD"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In contrast,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often depicts battle more abstractly, focusing less on individual duels and more on the strategic and supernatural elements of warfare. In </w:t>
      </w:r>
      <w:proofErr w:type="spellStart"/>
      <w:r w:rsidRPr="00EF4AA4">
        <w:rPr>
          <w:rFonts w:ascii="Calibri" w:eastAsia="Times New Roman" w:hAnsi="Calibri" w:cs="Calibri"/>
          <w:i/>
          <w:iCs/>
          <w:kern w:val="0"/>
          <w:lang w:eastAsia="en-GB"/>
          <w14:ligatures w14:val="none"/>
        </w:rPr>
        <w:t>Branwen</w:t>
      </w:r>
      <w:proofErr w:type="spellEnd"/>
      <w:r w:rsidRPr="00EF4AA4">
        <w:rPr>
          <w:rFonts w:ascii="Calibri" w:eastAsia="Times New Roman" w:hAnsi="Calibri" w:cs="Calibri"/>
          <w:i/>
          <w:iCs/>
          <w:kern w:val="0"/>
          <w:lang w:eastAsia="en-GB"/>
          <w14:ligatures w14:val="none"/>
        </w:rPr>
        <w:t xml:space="preserve"> Daughter of </w:t>
      </w:r>
      <w:proofErr w:type="spellStart"/>
      <w:r w:rsidRPr="00EF4AA4">
        <w:rPr>
          <w:rFonts w:ascii="Calibri" w:eastAsia="Times New Roman" w:hAnsi="Calibri" w:cs="Calibri"/>
          <w:i/>
          <w:iCs/>
          <w:kern w:val="0"/>
          <w:lang w:eastAsia="en-GB"/>
          <w14:ligatures w14:val="none"/>
        </w:rPr>
        <w:t>Llŷr</w:t>
      </w:r>
      <w:proofErr w:type="spellEnd"/>
      <w:r w:rsidRPr="00EF4AA4">
        <w:rPr>
          <w:rFonts w:ascii="Calibri" w:eastAsia="Times New Roman" w:hAnsi="Calibri" w:cs="Calibri"/>
          <w:kern w:val="0"/>
          <w:lang w:eastAsia="en-GB"/>
          <w14:ligatures w14:val="none"/>
        </w:rPr>
        <w:t>, the magic Cauldron of Rebirth allows dead warriors to be resurrected, emphasizing the mythic and symbolic dimensions of war rather than its physicality.</w:t>
      </w:r>
      <w:r w:rsidRPr="00EF4AA4">
        <w:rPr>
          <w:rStyle w:val="FootnoteReference"/>
          <w:rFonts w:ascii="Calibri" w:eastAsia="Times New Roman" w:hAnsi="Calibri" w:cs="Calibri"/>
          <w:kern w:val="0"/>
          <w:lang w:eastAsia="en-GB"/>
          <w14:ligatures w14:val="none"/>
        </w:rPr>
        <w:footnoteReference w:id="6"/>
      </w:r>
      <w:r w:rsidRPr="00EF4AA4">
        <w:rPr>
          <w:rFonts w:ascii="Calibri" w:eastAsia="Times New Roman" w:hAnsi="Calibri" w:cs="Calibri"/>
          <w:kern w:val="0"/>
          <w:lang w:eastAsia="en-GB"/>
          <w14:ligatures w14:val="none"/>
        </w:rPr>
        <w:t xml:space="preserve"> The destruction of the cauldron signifies not only the end of the battle but also the futility of endless cycles of revenge and conflict. The focus here is on the devastating consequences of war rather than glorification of the warrior.</w:t>
      </w:r>
    </w:p>
    <w:p w14:paraId="5DD19555"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Furthermore, 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xml:space="preserve"> strongly emphasizes the heroism of its central warrior,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who defends Ulster single-handedly against Medb’s forces.</w:t>
      </w:r>
      <w:r w:rsidRPr="00EF4AA4">
        <w:rPr>
          <w:rFonts w:ascii="Calibri" w:eastAsia="Times New Roman" w:hAnsi="Calibri" w:cs="Calibri"/>
          <w:kern w:val="0"/>
          <w:lang w:eastAsia="en-GB"/>
          <w14:ligatures w14:val="none"/>
        </w:rPr>
        <w:t xml:space="preserve"> </w:t>
      </w:r>
    </w:p>
    <w:p w14:paraId="7C5692A6" w14:textId="790206F3" w:rsidR="00EF4AA4" w:rsidRPr="00EF4AA4" w:rsidRDefault="00EF4AA4" w:rsidP="00EF4AA4">
      <w:pPr>
        <w:spacing w:before="100" w:beforeAutospacing="1" w:after="100" w:afterAutospacing="1"/>
        <w:ind w:left="720"/>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You'll not meet a tougher opponent - no spear-point sharper, quicker or more piercing; no fighter fiercer, no raven more ravenous, no one of his age a third as brave, no lion more ferocious; no bulwark in battle, no mighty sledgehammer, no shield of soldiers, no nemesis of armies, as able as him. There's no one of his generation to match him for build, for gear, for fearsome looks or sweetness of expression; none to match his splendid form and voice, his stern strength, his striking-power and battle-bravery, his doom-dealing fire and fury and his violence in victory, his skill in stalking and slaughtering game, his swiftness, sureness and unconquerable rage, not to mention the feat of nine men on every spear-point - no, there's none to match Cu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w:t>
      </w:r>
      <w:r w:rsidRPr="00EF4AA4">
        <w:rPr>
          <w:rStyle w:val="FootnoteReference"/>
          <w:rFonts w:ascii="Calibri" w:eastAsia="Times New Roman" w:hAnsi="Calibri" w:cs="Calibri"/>
          <w:kern w:val="0"/>
          <w:lang w:eastAsia="en-GB"/>
          <w14:ligatures w14:val="none"/>
        </w:rPr>
        <w:footnoteReference w:id="7"/>
      </w:r>
    </w:p>
    <w:p w14:paraId="39CC1457" w14:textId="0116C85F"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277A05">
        <w:rPr>
          <w:rFonts w:ascii="Calibri" w:eastAsia="Times New Roman" w:hAnsi="Calibri" w:cs="Calibri"/>
          <w:kern w:val="0"/>
          <w:lang w:eastAsia="en-GB"/>
          <w14:ligatures w14:val="none"/>
        </w:rPr>
        <w:t xml:space="preserve">The </w:t>
      </w:r>
      <w:proofErr w:type="spellStart"/>
      <w:r w:rsidRPr="00277A05">
        <w:rPr>
          <w:rFonts w:ascii="Calibri" w:eastAsia="Times New Roman" w:hAnsi="Calibri" w:cs="Calibri"/>
          <w:kern w:val="0"/>
          <w:lang w:eastAsia="en-GB"/>
          <w14:ligatures w14:val="none"/>
        </w:rPr>
        <w:t>Táin’s</w:t>
      </w:r>
      <w:proofErr w:type="spellEnd"/>
      <w:r w:rsidRPr="00277A05">
        <w:rPr>
          <w:rFonts w:ascii="Calibri" w:eastAsia="Times New Roman" w:hAnsi="Calibri" w:cs="Calibri"/>
          <w:kern w:val="0"/>
          <w:lang w:eastAsia="en-GB"/>
          <w14:ligatures w14:val="none"/>
        </w:rPr>
        <w:t xml:space="preserve"> </w:t>
      </w:r>
      <w:r w:rsidRPr="00EF4AA4">
        <w:rPr>
          <w:rFonts w:ascii="Calibri" w:eastAsia="Times New Roman" w:hAnsi="Calibri" w:cs="Calibri"/>
          <w:kern w:val="0"/>
          <w:lang w:eastAsia="en-GB"/>
          <w14:ligatures w14:val="none"/>
        </w:rPr>
        <w:t xml:space="preserve">hero is described by Fergus in such terms to reinforce and </w:t>
      </w:r>
      <w:r w:rsidRPr="00277A05">
        <w:rPr>
          <w:rFonts w:ascii="Calibri" w:eastAsia="Times New Roman" w:hAnsi="Calibri" w:cs="Calibri"/>
          <w:kern w:val="0"/>
          <w:lang w:eastAsia="en-GB"/>
          <w14:ligatures w14:val="none"/>
        </w:rPr>
        <w:t xml:space="preserve">emphasize the </w:t>
      </w:r>
      <w:r w:rsidRPr="00EF4AA4">
        <w:rPr>
          <w:rFonts w:ascii="Calibri" w:eastAsia="Times New Roman" w:hAnsi="Calibri" w:cs="Calibri"/>
          <w:kern w:val="0"/>
          <w:lang w:eastAsia="en-GB"/>
          <w14:ligatures w14:val="none"/>
        </w:rPr>
        <w:t>valour</w:t>
      </w:r>
      <w:r w:rsidRPr="00277A05">
        <w:rPr>
          <w:rFonts w:ascii="Calibri" w:eastAsia="Times New Roman" w:hAnsi="Calibri" w:cs="Calibri"/>
          <w:kern w:val="0"/>
          <w:lang w:eastAsia="en-GB"/>
          <w14:ligatures w14:val="none"/>
        </w:rPr>
        <w:t xml:space="preserve"> and mythic endurance of the warrior</w:t>
      </w:r>
      <w:r w:rsidRPr="00EF4AA4">
        <w:rPr>
          <w:rFonts w:ascii="Calibri" w:eastAsia="Times New Roman" w:hAnsi="Calibri" w:cs="Calibri"/>
          <w:kern w:val="0"/>
          <w:lang w:eastAsia="en-GB"/>
          <w14:ligatures w14:val="none"/>
        </w:rPr>
        <w:t>,</w:t>
      </w:r>
      <w:r w:rsidRPr="00EF4AA4">
        <w:rPr>
          <w:rFonts w:ascii="Calibri" w:eastAsia="Times New Roman" w:hAnsi="Calibri" w:cs="Calibri"/>
          <w:kern w:val="0"/>
          <w:lang w:eastAsia="en-GB"/>
          <w14:ligatures w14:val="none"/>
        </w:rPr>
        <w:t xml:space="preserve"> elevat</w:t>
      </w:r>
      <w:r w:rsidRPr="00EF4AA4">
        <w:rPr>
          <w:rFonts w:ascii="Calibri" w:eastAsia="Times New Roman" w:hAnsi="Calibri" w:cs="Calibri"/>
          <w:kern w:val="0"/>
          <w:lang w:eastAsia="en-GB"/>
          <w14:ligatures w14:val="none"/>
        </w:rPr>
        <w:t>ing</w:t>
      </w:r>
      <w:r w:rsidRPr="00EF4AA4">
        <w:rPr>
          <w:rFonts w:ascii="Calibri" w:eastAsia="Times New Roman" w:hAnsi="Calibri" w:cs="Calibri"/>
          <w:kern w:val="0"/>
          <w:lang w:eastAsia="en-GB"/>
          <w14:ligatures w14:val="none"/>
        </w:rPr>
        <w:t xml:space="preserve"> him to near-divine status, reflecting the Irish mythological tradition's fascination with the heroic individual. Meanwhile,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presents more complex and flawed characters. Bran the Blessed is powerful and noble but unable to prevent catastrophe; Gwydion is cunning but morally ambiguous. This difference suggests that while Irish epic tradition often idealizes the warrior figure, Welsh mythology is more concerned with the broader implications of power and leadership.</w:t>
      </w:r>
    </w:p>
    <w:p w14:paraId="6F506A48"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lastRenderedPageBreak/>
        <w:t>Despite differences in their depiction of combat, both texts ultimately portray war as destructive and tragic.</w:t>
      </w:r>
    </w:p>
    <w:p w14:paraId="783E4DFC" w14:textId="467C74ED" w:rsidR="00EF4AA4" w:rsidRPr="00EF4AA4" w:rsidRDefault="00EF4AA4" w:rsidP="00EF4AA4">
      <w:pPr>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In</w:t>
      </w:r>
      <w:r w:rsidRPr="00277A05">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Branwen</w:t>
      </w:r>
      <w:proofErr w:type="spellEnd"/>
      <w:r w:rsidRPr="00EF4AA4">
        <w:rPr>
          <w:rFonts w:ascii="Calibri" w:eastAsia="Times New Roman" w:hAnsi="Calibri" w:cs="Calibri"/>
          <w:i/>
          <w:iCs/>
          <w:kern w:val="0"/>
          <w:lang w:eastAsia="en-GB"/>
          <w14:ligatures w14:val="none"/>
        </w:rPr>
        <w:t xml:space="preserve"> Daughter of </w:t>
      </w:r>
      <w:proofErr w:type="spellStart"/>
      <w:r w:rsidRPr="00EF4AA4">
        <w:rPr>
          <w:rFonts w:ascii="Calibri" w:eastAsia="Times New Roman" w:hAnsi="Calibri" w:cs="Calibri"/>
          <w:i/>
          <w:iCs/>
          <w:kern w:val="0"/>
          <w:lang w:eastAsia="en-GB"/>
          <w14:ligatures w14:val="none"/>
        </w:rPr>
        <w:t>Llŷr</w:t>
      </w:r>
      <w:proofErr w:type="spellEnd"/>
      <w:r w:rsidRPr="00EF4AA4">
        <w:rPr>
          <w:rFonts w:ascii="Calibri" w:eastAsia="Times New Roman" w:hAnsi="Calibri" w:cs="Calibri"/>
          <w:kern w:val="0"/>
          <w:lang w:eastAsia="en-GB"/>
          <w14:ligatures w14:val="none"/>
        </w:rPr>
        <w:t xml:space="preserve"> </w:t>
      </w:r>
      <w:r w:rsidRPr="00277A05">
        <w:rPr>
          <w:rFonts w:ascii="Calibri" w:eastAsia="Times New Roman" w:hAnsi="Calibri" w:cs="Calibri"/>
          <w:kern w:val="0"/>
          <w:lang w:eastAsia="en-GB"/>
          <w14:ligatures w14:val="none"/>
        </w:rPr>
        <w:t xml:space="preserve">the catastrophic war between the Irish and the Welsh—sparked by familial strife—results in extensive destruction and loss of life. The text’s narrative describes the gradual disintegration of social order as the conflict intensifies, emphasizing that the consequences of warfare are as much about the collapse of communal bonds as they are about individual heroism. In one passage, </w:t>
      </w:r>
      <w:r w:rsidRPr="00EF4AA4">
        <w:rPr>
          <w:rFonts w:ascii="Calibri" w:eastAsia="Times New Roman" w:hAnsi="Calibri" w:cs="Calibri"/>
          <w:kern w:val="0"/>
          <w:lang w:eastAsia="en-GB"/>
          <w14:ligatures w14:val="none"/>
        </w:rPr>
        <w:t xml:space="preserve">as the son of </w:t>
      </w:r>
      <w:proofErr w:type="spellStart"/>
      <w:r w:rsidRPr="00EF4AA4">
        <w:rPr>
          <w:rFonts w:ascii="Calibri" w:eastAsia="Times New Roman" w:hAnsi="Calibri" w:cs="Calibri"/>
          <w:kern w:val="0"/>
          <w:lang w:eastAsia="en-GB"/>
          <w14:ligatures w14:val="none"/>
        </w:rPr>
        <w:t>Branwen</w:t>
      </w:r>
      <w:proofErr w:type="spellEnd"/>
      <w:r w:rsidRPr="00EF4AA4">
        <w:rPr>
          <w:rFonts w:ascii="Calibri" w:eastAsia="Times New Roman" w:hAnsi="Calibri" w:cs="Calibri"/>
          <w:kern w:val="0"/>
          <w:lang w:eastAsia="en-GB"/>
          <w14:ligatures w14:val="none"/>
        </w:rPr>
        <w:t xml:space="preserve"> goes to meet </w:t>
      </w:r>
      <w:proofErr w:type="spellStart"/>
      <w:r w:rsidRPr="00EF4AA4">
        <w:rPr>
          <w:rFonts w:ascii="Calibri" w:eastAsia="Times New Roman" w:hAnsi="Calibri" w:cs="Calibri"/>
          <w:kern w:val="0"/>
          <w:lang w:eastAsia="en-GB"/>
          <w14:ligatures w14:val="none"/>
        </w:rPr>
        <w:t>Efnisien</w:t>
      </w:r>
      <w:proofErr w:type="spellEnd"/>
      <w:r w:rsidRPr="00EF4AA4">
        <w:rPr>
          <w:rFonts w:ascii="Calibri" w:eastAsia="Times New Roman" w:hAnsi="Calibri" w:cs="Calibri"/>
          <w:kern w:val="0"/>
          <w:lang w:eastAsia="en-GB"/>
          <w14:ligatures w14:val="none"/>
        </w:rPr>
        <w:t xml:space="preserve">, his uncle he muses: </w:t>
      </w:r>
    </w:p>
    <w:p w14:paraId="0942B09E" w14:textId="77777777" w:rsidR="00EF4AA4" w:rsidRPr="00EF4AA4" w:rsidRDefault="00EF4AA4" w:rsidP="00EF4AA4">
      <w:pPr>
        <w:rPr>
          <w:rFonts w:ascii="Calibri" w:eastAsia="Times New Roman" w:hAnsi="Calibri" w:cs="Calibri"/>
          <w:kern w:val="0"/>
          <w:lang w:eastAsia="en-GB"/>
          <w14:ligatures w14:val="none"/>
        </w:rPr>
      </w:pPr>
    </w:p>
    <w:p w14:paraId="5E7E43D6" w14:textId="77777777" w:rsidR="00EF4AA4" w:rsidRPr="00EF4AA4" w:rsidRDefault="00EF4AA4" w:rsidP="00EF4AA4">
      <w:pPr>
        <w:ind w:left="720"/>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'To God I make my confession,' he said in his mind 'it is an unspeakable crime against the kindred, what I'm about to do this [very] hour.'</w:t>
      </w:r>
      <w:r w:rsidRPr="00EF4AA4">
        <w:rPr>
          <w:rStyle w:val="FootnoteReference"/>
          <w:rFonts w:ascii="Calibri" w:eastAsia="Times New Roman" w:hAnsi="Calibri" w:cs="Calibri"/>
          <w:kern w:val="0"/>
          <w:lang w:eastAsia="en-GB"/>
          <w14:ligatures w14:val="none"/>
        </w:rPr>
        <w:footnoteReference w:id="8"/>
      </w:r>
    </w:p>
    <w:p w14:paraId="2CFD498D" w14:textId="77777777" w:rsidR="00EF4AA4" w:rsidRPr="00EF4AA4" w:rsidRDefault="00EF4AA4" w:rsidP="00EF4AA4">
      <w:pPr>
        <w:rPr>
          <w:rFonts w:ascii="Calibri" w:eastAsia="Times New Roman" w:hAnsi="Calibri" w:cs="Calibri"/>
          <w:kern w:val="0"/>
          <w:lang w:eastAsia="en-GB"/>
          <w14:ligatures w14:val="none"/>
        </w:rPr>
      </w:pPr>
    </w:p>
    <w:p w14:paraId="2A418047" w14:textId="2DE2F05F" w:rsidR="00EF4AA4" w:rsidRPr="00EF4AA4" w:rsidRDefault="00EF4AA4" w:rsidP="00EF4AA4">
      <w:pPr>
        <w:rPr>
          <w:rFonts w:ascii="Calibri" w:eastAsia="Times New Roman" w:hAnsi="Calibri" w:cs="Calibri"/>
          <w:kern w:val="0"/>
          <w:lang w:eastAsia="en-GB"/>
          <w14:ligatures w14:val="none"/>
        </w:rPr>
      </w:pPr>
      <w:r w:rsidRPr="00277A05">
        <w:rPr>
          <w:rFonts w:ascii="Calibri" w:eastAsia="Times New Roman" w:hAnsi="Calibri" w:cs="Calibri"/>
          <w:kern w:val="0"/>
          <w:lang w:eastAsia="en-GB"/>
          <w14:ligatures w14:val="none"/>
        </w:rPr>
        <w:t xml:space="preserve">This passage illustrates </w:t>
      </w:r>
      <w:r w:rsidRPr="00EF4AA4">
        <w:rPr>
          <w:rFonts w:ascii="Calibri" w:eastAsia="Times New Roman" w:hAnsi="Calibri" w:cs="Calibri"/>
          <w:kern w:val="0"/>
          <w:lang w:eastAsia="en-GB"/>
          <w14:ligatures w14:val="none"/>
        </w:rPr>
        <w:t>how warfare can cause a complete breakdown to accepted norms</w:t>
      </w:r>
      <w:r w:rsidRPr="00277A05">
        <w:rPr>
          <w:rFonts w:ascii="Calibri" w:eastAsia="Times New Roman" w:hAnsi="Calibri" w:cs="Calibri"/>
          <w:kern w:val="0"/>
          <w:lang w:eastAsia="en-GB"/>
          <w14:ligatures w14:val="none"/>
        </w:rPr>
        <w:t xml:space="preserve">—a recurring motif in the </w:t>
      </w:r>
      <w:proofErr w:type="spellStart"/>
      <w:r w:rsidRPr="00277A05">
        <w:rPr>
          <w:rFonts w:ascii="Calibri" w:eastAsia="Times New Roman" w:hAnsi="Calibri" w:cs="Calibri"/>
          <w:kern w:val="0"/>
          <w:lang w:eastAsia="en-GB"/>
          <w14:ligatures w14:val="none"/>
        </w:rPr>
        <w:t>Mabinogi</w:t>
      </w:r>
      <w:proofErr w:type="spellEnd"/>
      <w:r w:rsidRPr="00277A05">
        <w:rPr>
          <w:rFonts w:ascii="Calibri" w:eastAsia="Times New Roman" w:hAnsi="Calibri" w:cs="Calibri"/>
          <w:kern w:val="0"/>
          <w:lang w:eastAsia="en-GB"/>
          <w14:ligatures w14:val="none"/>
        </w:rPr>
        <w:t>.</w:t>
      </w:r>
    </w:p>
    <w:p w14:paraId="4000F713" w14:textId="75E5F235"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 </w:t>
      </w:r>
      <w:r w:rsidRPr="00EF4AA4">
        <w:rPr>
          <w:rFonts w:ascii="Calibri" w:eastAsia="Times New Roman" w:hAnsi="Calibri" w:cs="Calibri"/>
          <w:kern w:val="0"/>
          <w:lang w:eastAsia="en-GB"/>
          <w14:ligatures w14:val="none"/>
        </w:rPr>
        <w:t>In this tale, nearly</w:t>
      </w:r>
      <w:r w:rsidRPr="00EF4AA4">
        <w:rPr>
          <w:rFonts w:ascii="Calibri" w:eastAsia="Times New Roman" w:hAnsi="Calibri" w:cs="Calibri"/>
          <w:kern w:val="0"/>
          <w:lang w:eastAsia="en-GB"/>
          <w14:ligatures w14:val="none"/>
        </w:rPr>
        <w:t xml:space="preserve"> all major characters perish, and both Britain and Ireland are left devastated. </w:t>
      </w:r>
      <w:proofErr w:type="spellStart"/>
      <w:r w:rsidRPr="00EF4AA4">
        <w:rPr>
          <w:rFonts w:ascii="Calibri" w:eastAsia="Times New Roman" w:hAnsi="Calibri" w:cs="Calibri"/>
          <w:kern w:val="0"/>
          <w:lang w:eastAsia="en-GB"/>
          <w14:ligatures w14:val="none"/>
        </w:rPr>
        <w:t>Branwen</w:t>
      </w:r>
      <w:proofErr w:type="spellEnd"/>
      <w:r w:rsidRPr="00EF4AA4">
        <w:rPr>
          <w:rFonts w:ascii="Calibri" w:eastAsia="Times New Roman" w:hAnsi="Calibri" w:cs="Calibri"/>
          <w:kern w:val="0"/>
          <w:lang w:eastAsia="en-GB"/>
          <w14:ligatures w14:val="none"/>
        </w:rPr>
        <w:t xml:space="preserve">, realizing the immense cost of the war, dies of grief, lamenting, </w:t>
      </w:r>
      <w:r w:rsidRPr="00EF4AA4">
        <w:rPr>
          <w:rFonts w:ascii="Calibri" w:eastAsia="Times New Roman" w:hAnsi="Calibri" w:cs="Calibri"/>
          <w:i/>
          <w:iCs/>
          <w:kern w:val="0"/>
          <w:lang w:eastAsia="en-GB"/>
          <w14:ligatures w14:val="none"/>
        </w:rPr>
        <w:t xml:space="preserve">“Alas, </w:t>
      </w:r>
      <w:r w:rsidRPr="00EF4AA4">
        <w:rPr>
          <w:rFonts w:ascii="Calibri" w:eastAsia="Times New Roman" w:hAnsi="Calibri" w:cs="Calibri"/>
          <w:i/>
          <w:iCs/>
          <w:kern w:val="0"/>
          <w:lang w:eastAsia="en-GB"/>
          <w14:ligatures w14:val="none"/>
        </w:rPr>
        <w:t xml:space="preserve">Son of God, </w:t>
      </w:r>
      <w:r w:rsidRPr="00EF4AA4">
        <w:rPr>
          <w:rFonts w:ascii="Calibri" w:eastAsia="Times New Roman" w:hAnsi="Calibri" w:cs="Calibri"/>
          <w:i/>
          <w:iCs/>
          <w:kern w:val="0"/>
          <w:lang w:eastAsia="en-GB"/>
          <w14:ligatures w14:val="none"/>
        </w:rPr>
        <w:t xml:space="preserve">woe that I was ever born; </w:t>
      </w:r>
      <w:r w:rsidRPr="00EF4AA4">
        <w:rPr>
          <w:rFonts w:ascii="Calibri" w:eastAsia="Times New Roman" w:hAnsi="Calibri" w:cs="Calibri"/>
          <w:i/>
          <w:iCs/>
          <w:kern w:val="0"/>
          <w:lang w:eastAsia="en-GB"/>
          <w14:ligatures w14:val="none"/>
        </w:rPr>
        <w:t xml:space="preserve">for </w:t>
      </w:r>
      <w:r w:rsidRPr="00EF4AA4">
        <w:rPr>
          <w:rFonts w:ascii="Calibri" w:eastAsia="Times New Roman" w:hAnsi="Calibri" w:cs="Calibri"/>
          <w:i/>
          <w:iCs/>
          <w:kern w:val="0"/>
          <w:lang w:eastAsia="en-GB"/>
          <w14:ligatures w14:val="none"/>
        </w:rPr>
        <w:t xml:space="preserve">two islands have been destroyed </w:t>
      </w:r>
      <w:r w:rsidRPr="00EF4AA4">
        <w:rPr>
          <w:rFonts w:ascii="Calibri" w:eastAsia="Times New Roman" w:hAnsi="Calibri" w:cs="Calibri"/>
          <w:i/>
          <w:iCs/>
          <w:kern w:val="0"/>
          <w:lang w:eastAsia="en-GB"/>
          <w14:ligatures w14:val="none"/>
        </w:rPr>
        <w:t>on my account.”</w:t>
      </w:r>
      <w:r w:rsidRPr="00EF4AA4">
        <w:rPr>
          <w:rStyle w:val="FootnoteReference"/>
          <w:rFonts w:ascii="Calibri" w:eastAsia="Times New Roman" w:hAnsi="Calibri" w:cs="Calibri"/>
          <w:i/>
          <w:iCs/>
          <w:kern w:val="0"/>
          <w:lang w:eastAsia="en-GB"/>
          <w14:ligatures w14:val="none"/>
        </w:rPr>
        <w:footnoteReference w:id="9"/>
      </w:r>
      <w:r w:rsidRPr="00EF4AA4">
        <w:rPr>
          <w:rFonts w:ascii="Calibri" w:eastAsia="Times New Roman" w:hAnsi="Calibri" w:cs="Calibri"/>
          <w:kern w:val="0"/>
          <w:lang w:eastAsia="en-GB"/>
          <w14:ligatures w14:val="none"/>
        </w:rPr>
        <w:t xml:space="preserve"> This moment encapsulates the </w:t>
      </w:r>
      <w:proofErr w:type="spellStart"/>
      <w:r w:rsidRPr="00EF4AA4">
        <w:rPr>
          <w:rFonts w:ascii="Calibri" w:eastAsia="Times New Roman" w:hAnsi="Calibri" w:cs="Calibri"/>
          <w:i/>
          <w:iCs/>
          <w:kern w:val="0"/>
          <w:lang w:eastAsia="en-GB"/>
          <w14:ligatures w14:val="none"/>
        </w:rPr>
        <w:t>Mabinogi’s</w:t>
      </w:r>
      <w:proofErr w:type="spellEnd"/>
      <w:r w:rsidRPr="00EF4AA4">
        <w:rPr>
          <w:rFonts w:ascii="Calibri" w:eastAsia="Times New Roman" w:hAnsi="Calibri" w:cs="Calibri"/>
          <w:kern w:val="0"/>
          <w:lang w:eastAsia="en-GB"/>
          <w14:ligatures w14:val="none"/>
        </w:rPr>
        <w:t xml:space="preserve"> overarching theme of the high cost of pride and vengeance.</w:t>
      </w:r>
    </w:p>
    <w:p w14:paraId="001362A8" w14:textId="554CFAE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Similarly,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ends on a note of futility. While Medb succeeds in capturing the Brown Bull of Cooley, it ultimately fights </w:t>
      </w:r>
      <w:proofErr w:type="spellStart"/>
      <w:r w:rsidRPr="00EF4AA4">
        <w:rPr>
          <w:rFonts w:ascii="Calibri" w:eastAsia="Times New Roman" w:hAnsi="Calibri" w:cs="Calibri"/>
          <w:kern w:val="0"/>
          <w:lang w:eastAsia="en-GB"/>
          <w14:ligatures w14:val="none"/>
        </w:rPr>
        <w:t>Ailill’s</w:t>
      </w:r>
      <w:proofErr w:type="spellEnd"/>
      <w:r w:rsidRPr="00EF4AA4">
        <w:rPr>
          <w:rFonts w:ascii="Calibri" w:eastAsia="Times New Roman" w:hAnsi="Calibri" w:cs="Calibri"/>
          <w:kern w:val="0"/>
          <w:lang w:eastAsia="en-GB"/>
          <w14:ligatures w14:val="none"/>
        </w:rPr>
        <w:t xml:space="preserve"> White-Horned Bull, resulting in the death of both animals.</w:t>
      </w:r>
      <w:r w:rsidRPr="00EF4AA4">
        <w:rPr>
          <w:rStyle w:val="FootnoteReference"/>
          <w:rFonts w:ascii="Calibri" w:eastAsia="Times New Roman" w:hAnsi="Calibri" w:cs="Calibri"/>
          <w:kern w:val="0"/>
          <w:lang w:eastAsia="en-GB"/>
          <w14:ligatures w14:val="none"/>
        </w:rPr>
        <w:footnoteReference w:id="10"/>
      </w:r>
      <w:r w:rsidRPr="00EF4AA4">
        <w:rPr>
          <w:rFonts w:ascii="Calibri" w:eastAsia="Times New Roman" w:hAnsi="Calibri" w:cs="Calibri"/>
          <w:kern w:val="0"/>
          <w:lang w:eastAsia="en-GB"/>
          <w14:ligatures w14:val="none"/>
        </w:rPr>
        <w:t xml:space="preserve"> The war, therefore, achieves nothing lasting.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despite his victories, is left exhausted and traumatized. The sheer loss of life underscores the senselessness of conflict driven by personal ambition and pride.</w:t>
      </w:r>
    </w:p>
    <w:p w14:paraId="35D65493" w14:textId="699E15EE"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T</w:t>
      </w:r>
      <w:r w:rsidRPr="00277A05">
        <w:rPr>
          <w:rFonts w:ascii="Calibri" w:eastAsia="Times New Roman" w:hAnsi="Calibri" w:cs="Calibri"/>
          <w:kern w:val="0"/>
          <w:lang w:eastAsia="en-GB"/>
          <w14:ligatures w14:val="none"/>
        </w:rPr>
        <w:t xml:space="preserve">he </w:t>
      </w:r>
      <w:proofErr w:type="spellStart"/>
      <w:r w:rsidRPr="00277A05">
        <w:rPr>
          <w:rFonts w:ascii="Calibri" w:eastAsia="Times New Roman" w:hAnsi="Calibri" w:cs="Calibri"/>
          <w:kern w:val="0"/>
          <w:lang w:eastAsia="en-GB"/>
          <w14:ligatures w14:val="none"/>
        </w:rPr>
        <w:t>Mabinogi</w:t>
      </w:r>
      <w:proofErr w:type="spellEnd"/>
      <w:r w:rsidRPr="00277A05">
        <w:rPr>
          <w:rFonts w:ascii="Calibri" w:eastAsia="Times New Roman" w:hAnsi="Calibri" w:cs="Calibri"/>
          <w:kern w:val="0"/>
          <w:lang w:eastAsia="en-GB"/>
          <w14:ligatures w14:val="none"/>
        </w:rPr>
        <w:t xml:space="preserve"> presents warfare as a </w:t>
      </w:r>
      <w:r w:rsidRPr="00EF4AA4">
        <w:rPr>
          <w:rFonts w:ascii="Calibri" w:eastAsia="Times New Roman" w:hAnsi="Calibri" w:cs="Calibri"/>
          <w:kern w:val="0"/>
          <w:lang w:eastAsia="en-GB"/>
          <w14:ligatures w14:val="none"/>
        </w:rPr>
        <w:t>cyclical</w:t>
      </w:r>
      <w:r w:rsidRPr="00277A05">
        <w:rPr>
          <w:rFonts w:ascii="Calibri" w:eastAsia="Times New Roman" w:hAnsi="Calibri" w:cs="Calibri"/>
          <w:kern w:val="0"/>
          <w:lang w:eastAsia="en-GB"/>
          <w14:ligatures w14:val="none"/>
        </w:rPr>
        <w:t xml:space="preserve"> force that precipitates both ruin and renewal. In </w:t>
      </w:r>
      <w:r w:rsidRPr="00277A05">
        <w:rPr>
          <w:rFonts w:ascii="Calibri" w:eastAsia="Times New Roman" w:hAnsi="Calibri" w:cs="Calibri"/>
          <w:i/>
          <w:iCs/>
          <w:kern w:val="0"/>
          <w:lang w:eastAsia="en-GB"/>
          <w14:ligatures w14:val="none"/>
        </w:rPr>
        <w:t xml:space="preserve">Manawydan, Son of </w:t>
      </w:r>
      <w:proofErr w:type="spellStart"/>
      <w:r w:rsidRPr="00277A05">
        <w:rPr>
          <w:rFonts w:ascii="Calibri" w:eastAsia="Times New Roman" w:hAnsi="Calibri" w:cs="Calibri"/>
          <w:i/>
          <w:iCs/>
          <w:kern w:val="0"/>
          <w:lang w:eastAsia="en-GB"/>
          <w14:ligatures w14:val="none"/>
        </w:rPr>
        <w:t>Llŷr</w:t>
      </w:r>
      <w:proofErr w:type="spellEnd"/>
      <w:r w:rsidRPr="00277A05">
        <w:rPr>
          <w:rFonts w:ascii="Calibri" w:eastAsia="Times New Roman" w:hAnsi="Calibri" w:cs="Calibri"/>
          <w:kern w:val="0"/>
          <w:lang w:eastAsia="en-GB"/>
          <w14:ligatures w14:val="none"/>
        </w:rPr>
        <w:t xml:space="preserve"> the aftermath of conflict leads to a period of uneasy recovery and reconstitution of social norms. The narrative describes how war upends established hierarchies, forcing characters to adapt to new realities. This duality—destruction coupled with the possibility of regeneration—is emblematic of medieval Welsh thought, where the cyclical nature of existence is reflected in both natural phenomena and human affairs</w:t>
      </w:r>
      <w:r w:rsidRPr="00EF4AA4">
        <w:rPr>
          <w:rFonts w:ascii="Calibri" w:eastAsia="Times New Roman" w:hAnsi="Calibri" w:cs="Calibri"/>
          <w:kern w:val="0"/>
          <w:lang w:eastAsia="en-GB"/>
          <w14:ligatures w14:val="none"/>
        </w:rPr>
        <w:t xml:space="preserve">. </w:t>
      </w:r>
      <w:r w:rsidRPr="00EF4AA4">
        <w:rPr>
          <w:rFonts w:ascii="Calibri" w:hAnsi="Calibri" w:cs="Calibri"/>
        </w:rPr>
        <w:t xml:space="preserve">In </w:t>
      </w:r>
      <w:r w:rsidRPr="00EF4AA4">
        <w:rPr>
          <w:rFonts w:ascii="Calibri" w:hAnsi="Calibri" w:cs="Calibri"/>
          <w:i/>
          <w:iCs/>
        </w:rPr>
        <w:t>A Land of Poets and Warriors</w:t>
      </w:r>
      <w:r w:rsidRPr="00EF4AA4">
        <w:rPr>
          <w:rFonts w:ascii="Calibri" w:hAnsi="Calibri" w:cs="Calibri"/>
        </w:rPr>
        <w:t xml:space="preserve">, it's noted that in the case of warfare in the </w:t>
      </w:r>
      <w:proofErr w:type="spellStart"/>
      <w:r w:rsidRPr="00EF4AA4">
        <w:rPr>
          <w:rFonts w:ascii="Calibri" w:hAnsi="Calibri" w:cs="Calibri"/>
        </w:rPr>
        <w:t>Mabinogi</w:t>
      </w:r>
      <w:proofErr w:type="spellEnd"/>
      <w:r w:rsidRPr="00EF4AA4">
        <w:rPr>
          <w:rFonts w:ascii="Calibri" w:hAnsi="Calibri" w:cs="Calibri"/>
        </w:rPr>
        <w:t>, the stories present violence and peace as alternating states, with "periods" of each following one another in a natural progression.</w:t>
      </w:r>
      <w:r w:rsidRPr="00EF4AA4">
        <w:rPr>
          <w:rStyle w:val="FootnoteReference"/>
          <w:rFonts w:ascii="Calibri" w:hAnsi="Calibri" w:cs="Calibri"/>
        </w:rPr>
        <w:footnoteReference w:id="11"/>
      </w:r>
      <w:r w:rsidRPr="00EF4AA4">
        <w:rPr>
          <w:rFonts w:ascii="Calibri" w:eastAsia="Times New Roman" w:hAnsi="Calibri" w:cs="Calibri"/>
          <w:kern w:val="0"/>
          <w:lang w:eastAsia="en-GB"/>
          <w14:ligatures w14:val="none"/>
        </w:rPr>
        <w:t xml:space="preserve"> </w:t>
      </w:r>
      <w:r w:rsidRPr="00277A05">
        <w:rPr>
          <w:rFonts w:ascii="Calibri" w:eastAsia="Times New Roman" w:hAnsi="Calibri" w:cs="Calibri"/>
          <w:kern w:val="0"/>
          <w:lang w:eastAsia="en-GB"/>
          <w14:ligatures w14:val="none"/>
        </w:rPr>
        <w:t xml:space="preserve">Thus, in the </w:t>
      </w:r>
      <w:proofErr w:type="spellStart"/>
      <w:r w:rsidRPr="00277A05">
        <w:rPr>
          <w:rFonts w:ascii="Calibri" w:eastAsia="Times New Roman" w:hAnsi="Calibri" w:cs="Calibri"/>
          <w:i/>
          <w:iCs/>
          <w:kern w:val="0"/>
          <w:lang w:eastAsia="en-GB"/>
          <w14:ligatures w14:val="none"/>
        </w:rPr>
        <w:t>Mabinogi</w:t>
      </w:r>
      <w:proofErr w:type="spellEnd"/>
      <w:r w:rsidRPr="00277A05">
        <w:rPr>
          <w:rFonts w:ascii="Calibri" w:eastAsia="Times New Roman" w:hAnsi="Calibri" w:cs="Calibri"/>
          <w:kern w:val="0"/>
          <w:lang w:eastAsia="en-GB"/>
          <w14:ligatures w14:val="none"/>
        </w:rPr>
        <w:t>, warfare is depicted not solely as an instrument of devastation but also as a catalyst for transformative change, with its consequences resonating on both personal and communal levels.</w:t>
      </w:r>
    </w:p>
    <w:p w14:paraId="1327C53D" w14:textId="70BC2B4B"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lastRenderedPageBreak/>
        <w:t xml:space="preserve">Both texts integrate supernatural elements into their depictions of war, reinforcing the idea that divine forces and fate play crucial roles in human conflicts.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features enchanted objects, such as the Cauldron of Rebirth, which initially seems to provide an advantage in battle but ultimately becomes a symbol of the endless, dehumanizing cycle of war. In </w:t>
      </w:r>
      <w:r w:rsidRPr="00EF4AA4">
        <w:rPr>
          <w:rFonts w:ascii="Calibri" w:eastAsia="Times New Roman" w:hAnsi="Calibri" w:cs="Calibri"/>
          <w:i/>
          <w:iCs/>
          <w:kern w:val="0"/>
          <w:lang w:eastAsia="en-GB"/>
          <w14:ligatures w14:val="none"/>
        </w:rPr>
        <w:t xml:space="preserve">Math Son of </w:t>
      </w:r>
      <w:proofErr w:type="spellStart"/>
      <w:r w:rsidRPr="00EF4AA4">
        <w:rPr>
          <w:rFonts w:ascii="Calibri" w:eastAsia="Times New Roman" w:hAnsi="Calibri" w:cs="Calibri"/>
          <w:i/>
          <w:iCs/>
          <w:kern w:val="0"/>
          <w:lang w:eastAsia="en-GB"/>
          <w14:ligatures w14:val="none"/>
        </w:rPr>
        <w:t>Mathonwy</w:t>
      </w:r>
      <w:proofErr w:type="spellEnd"/>
      <w:r w:rsidRPr="00EF4AA4">
        <w:rPr>
          <w:rFonts w:ascii="Calibri" w:eastAsia="Times New Roman" w:hAnsi="Calibri" w:cs="Calibri"/>
          <w:kern w:val="0"/>
          <w:lang w:eastAsia="en-GB"/>
          <w14:ligatures w14:val="none"/>
        </w:rPr>
        <w:t xml:space="preserve">, Gwydion uses magic to transform </w:t>
      </w:r>
      <w:proofErr w:type="spellStart"/>
      <w:r w:rsidRPr="00EF4AA4">
        <w:rPr>
          <w:rFonts w:ascii="Calibri" w:eastAsia="Times New Roman" w:hAnsi="Calibri" w:cs="Calibri"/>
          <w:kern w:val="0"/>
          <w:lang w:eastAsia="en-GB"/>
          <w14:ligatures w14:val="none"/>
        </w:rPr>
        <w:t>Lleu</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Llaw</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Gyffes</w:t>
      </w:r>
      <w:proofErr w:type="spellEnd"/>
      <w:r w:rsidRPr="00EF4AA4">
        <w:rPr>
          <w:rFonts w:ascii="Calibri" w:eastAsia="Times New Roman" w:hAnsi="Calibri" w:cs="Calibri"/>
          <w:kern w:val="0"/>
          <w:lang w:eastAsia="en-GB"/>
          <w14:ligatures w14:val="none"/>
        </w:rPr>
        <w:t xml:space="preserve"> into an eagle after he is wounded in battle, illustrating how supernatural intervention can both harm and heal.</w:t>
      </w:r>
      <w:r w:rsidRPr="00EF4AA4">
        <w:rPr>
          <w:rStyle w:val="FootnoteReference"/>
          <w:rFonts w:ascii="Calibri" w:eastAsia="Times New Roman" w:hAnsi="Calibri" w:cs="Calibri"/>
          <w:kern w:val="0"/>
          <w:lang w:eastAsia="en-GB"/>
          <w14:ligatures w14:val="none"/>
        </w:rPr>
        <w:footnoteReference w:id="12"/>
      </w:r>
    </w:p>
    <w:p w14:paraId="77C67FF4"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In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xml:space="preserve"> himself possesses divine traits, being the son of the god Lugh. His </w:t>
      </w:r>
      <w:r w:rsidRPr="00EF4AA4">
        <w:rPr>
          <w:rFonts w:ascii="Calibri" w:eastAsia="Times New Roman" w:hAnsi="Calibri" w:cs="Calibri"/>
          <w:i/>
          <w:iCs/>
          <w:kern w:val="0"/>
          <w:lang w:eastAsia="en-GB"/>
          <w14:ligatures w14:val="none"/>
        </w:rPr>
        <w:t>warp-spasm</w:t>
      </w:r>
      <w:r w:rsidRPr="00EF4AA4">
        <w:rPr>
          <w:rFonts w:ascii="Calibri" w:eastAsia="Times New Roman" w:hAnsi="Calibri" w:cs="Calibri"/>
          <w:kern w:val="0"/>
          <w:lang w:eastAsia="en-GB"/>
          <w14:ligatures w14:val="none"/>
        </w:rPr>
        <w:t xml:space="preserve"> grants him superhuman strength, but it also dehumanizes him, reflecting the dual nature of heroism in Irish mythology. The gods and supernatural beings occasionally intervene, yet their involvement rarely alters the ultimate course of fate, emphasizing the inevitability of war’s destruction.</w:t>
      </w:r>
    </w:p>
    <w:p w14:paraId="2F964A61"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Both texts question the morality of warfare, though they do so in different ways.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often presents war as a tragic consequence of human folly. Even when victory is achieved, it comes at an unbearable cost. The repeated theme of unintended destruction—whether in </w:t>
      </w:r>
      <w:proofErr w:type="spellStart"/>
      <w:r w:rsidRPr="00EF4AA4">
        <w:rPr>
          <w:rFonts w:ascii="Calibri" w:eastAsia="Times New Roman" w:hAnsi="Calibri" w:cs="Calibri"/>
          <w:kern w:val="0"/>
          <w:lang w:eastAsia="en-GB"/>
          <w14:ligatures w14:val="none"/>
        </w:rPr>
        <w:t>Branwen’s</w:t>
      </w:r>
      <w:proofErr w:type="spellEnd"/>
      <w:r w:rsidRPr="00EF4AA4">
        <w:rPr>
          <w:rFonts w:ascii="Calibri" w:eastAsia="Times New Roman" w:hAnsi="Calibri" w:cs="Calibri"/>
          <w:kern w:val="0"/>
          <w:lang w:eastAsia="en-GB"/>
          <w14:ligatures w14:val="none"/>
        </w:rPr>
        <w:t xml:space="preserve"> sorrow or the senseless death of </w:t>
      </w:r>
      <w:proofErr w:type="spellStart"/>
      <w:r w:rsidRPr="00EF4AA4">
        <w:rPr>
          <w:rFonts w:ascii="Calibri" w:eastAsia="Times New Roman" w:hAnsi="Calibri" w:cs="Calibri"/>
          <w:kern w:val="0"/>
          <w:lang w:eastAsia="en-GB"/>
          <w14:ligatures w14:val="none"/>
        </w:rPr>
        <w:t>Pryderi</w:t>
      </w:r>
      <w:proofErr w:type="spellEnd"/>
      <w:r w:rsidRPr="00EF4AA4">
        <w:rPr>
          <w:rFonts w:ascii="Calibri" w:eastAsia="Times New Roman" w:hAnsi="Calibri" w:cs="Calibri"/>
          <w:kern w:val="0"/>
          <w:lang w:eastAsia="en-GB"/>
          <w14:ligatures w14:val="none"/>
        </w:rPr>
        <w:t xml:space="preserve"> in </w:t>
      </w:r>
      <w:r w:rsidRPr="00EF4AA4">
        <w:rPr>
          <w:rFonts w:ascii="Calibri" w:eastAsia="Times New Roman" w:hAnsi="Calibri" w:cs="Calibri"/>
          <w:i/>
          <w:iCs/>
          <w:kern w:val="0"/>
          <w:lang w:eastAsia="en-GB"/>
          <w14:ligatures w14:val="none"/>
        </w:rPr>
        <w:t xml:space="preserve">Math Son of </w:t>
      </w:r>
      <w:proofErr w:type="spellStart"/>
      <w:r w:rsidRPr="00EF4AA4">
        <w:rPr>
          <w:rFonts w:ascii="Calibri" w:eastAsia="Times New Roman" w:hAnsi="Calibri" w:cs="Calibri"/>
          <w:i/>
          <w:iCs/>
          <w:kern w:val="0"/>
          <w:lang w:eastAsia="en-GB"/>
          <w14:ligatures w14:val="none"/>
        </w:rPr>
        <w:t>Mathonwy</w:t>
      </w:r>
      <w:proofErr w:type="spellEnd"/>
      <w:r w:rsidRPr="00EF4AA4">
        <w:rPr>
          <w:rFonts w:ascii="Calibri" w:eastAsia="Times New Roman" w:hAnsi="Calibri" w:cs="Calibri"/>
          <w:kern w:val="0"/>
          <w:lang w:eastAsia="en-GB"/>
          <w14:ligatures w14:val="none"/>
        </w:rPr>
        <w:t>—suggests a moral lesson about the dangers of unchecked ambition and vengeance.</w:t>
      </w:r>
    </w:p>
    <w:p w14:paraId="554E9B10" w14:textId="42DC9764"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while also highlighting the destruction war brings, is more ambivalent in its moral stance. Medb is depicted as ambitious and relentless, but her role is not entirely villainous—she is a determined ruler in a patriarchal society, striving for power in a world where strength is paramount</w:t>
      </w:r>
      <w:r w:rsidRPr="00EF4AA4">
        <w:rPr>
          <w:rFonts w:ascii="Calibri" w:eastAsia="Times New Roman" w:hAnsi="Calibri" w:cs="Calibri"/>
          <w:kern w:val="0"/>
          <w:lang w:eastAsia="en-GB"/>
          <w14:ligatures w14:val="none"/>
        </w:rPr>
        <w:t xml:space="preserve">, and her </w:t>
      </w:r>
      <w:r w:rsidRPr="00EF4AA4">
        <w:rPr>
          <w:rFonts w:ascii="Calibri" w:eastAsia="Times New Roman" w:hAnsi="Calibri" w:cs="Calibri"/>
          <w:kern w:val="0"/>
          <w:lang w:eastAsia="en-GB"/>
          <w14:ligatures w14:val="none"/>
        </w:rPr>
        <w:t>personality, motivations, and actions offer a deep exploration of human desire and the consequences of unchecked ambition.</w:t>
      </w:r>
      <w:r w:rsidRPr="00EF4AA4">
        <w:rPr>
          <w:rStyle w:val="FootnoteReference"/>
          <w:rFonts w:ascii="Calibri" w:eastAsia="Times New Roman" w:hAnsi="Calibri" w:cs="Calibri"/>
          <w:kern w:val="0"/>
          <w:lang w:eastAsia="en-GB"/>
          <w14:ligatures w14:val="none"/>
        </w:rPr>
        <w:footnoteReference w:id="13"/>
      </w:r>
    </w:p>
    <w:p w14:paraId="219EB865" w14:textId="3CE320CE"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The epic </w:t>
      </w:r>
      <w:r w:rsidRPr="00EF4AA4">
        <w:rPr>
          <w:rFonts w:ascii="Calibri" w:eastAsia="Times New Roman" w:hAnsi="Calibri" w:cs="Calibri"/>
          <w:kern w:val="0"/>
          <w:lang w:eastAsia="en-GB"/>
          <w14:ligatures w14:val="none"/>
        </w:rPr>
        <w:t xml:space="preserve">glorifies </w:t>
      </w:r>
      <w:proofErr w:type="spellStart"/>
      <w:r w:rsidRPr="00EF4AA4">
        <w:rPr>
          <w:rFonts w:ascii="Calibri" w:eastAsia="Times New Roman" w:hAnsi="Calibri" w:cs="Calibri"/>
          <w:kern w:val="0"/>
          <w:lang w:eastAsia="en-GB"/>
          <w14:ligatures w14:val="none"/>
        </w:rPr>
        <w:t>Cú</w:t>
      </w:r>
      <w:proofErr w:type="spellEnd"/>
      <w:r w:rsidRPr="00EF4AA4">
        <w:rPr>
          <w:rFonts w:ascii="Calibri" w:eastAsia="Times New Roman" w:hAnsi="Calibri" w:cs="Calibri"/>
          <w:kern w:val="0"/>
          <w:lang w:eastAsia="en-GB"/>
          <w14:ligatures w14:val="none"/>
        </w:rPr>
        <w:t xml:space="preserve"> </w:t>
      </w:r>
      <w:proofErr w:type="spellStart"/>
      <w:r w:rsidRPr="00EF4AA4">
        <w:rPr>
          <w:rFonts w:ascii="Calibri" w:eastAsia="Times New Roman" w:hAnsi="Calibri" w:cs="Calibri"/>
          <w:kern w:val="0"/>
          <w:lang w:eastAsia="en-GB"/>
          <w14:ligatures w14:val="none"/>
        </w:rPr>
        <w:t>Chulainn’s</w:t>
      </w:r>
      <w:proofErr w:type="spellEnd"/>
      <w:r w:rsidRPr="00EF4AA4">
        <w:rPr>
          <w:rFonts w:ascii="Calibri" w:eastAsia="Times New Roman" w:hAnsi="Calibri" w:cs="Calibri"/>
          <w:kern w:val="0"/>
          <w:lang w:eastAsia="en-GB"/>
          <w14:ligatures w14:val="none"/>
        </w:rPr>
        <w:t xml:space="preserve"> heroics while also portraying the war as ultimately futile</w:t>
      </w:r>
      <w:r w:rsidRPr="00EF4AA4">
        <w:rPr>
          <w:rFonts w:ascii="Calibri" w:eastAsia="Times New Roman" w:hAnsi="Calibri" w:cs="Calibri"/>
          <w:kern w:val="0"/>
          <w:lang w:eastAsia="en-GB"/>
          <w14:ligatures w14:val="none"/>
        </w:rPr>
        <w:t xml:space="preserve">, </w:t>
      </w:r>
      <w:r w:rsidRPr="00277A05">
        <w:rPr>
          <w:rFonts w:ascii="Calibri" w:eastAsia="Times New Roman" w:hAnsi="Calibri" w:cs="Calibri"/>
          <w:kern w:val="0"/>
          <w:lang w:eastAsia="en-GB"/>
          <w14:ligatures w14:val="none"/>
        </w:rPr>
        <w:t>celebrat</w:t>
      </w:r>
      <w:r w:rsidRPr="00EF4AA4">
        <w:rPr>
          <w:rFonts w:ascii="Calibri" w:eastAsia="Times New Roman" w:hAnsi="Calibri" w:cs="Calibri"/>
          <w:kern w:val="0"/>
          <w:lang w:eastAsia="en-GB"/>
          <w14:ligatures w14:val="none"/>
        </w:rPr>
        <w:t>ing</w:t>
      </w:r>
      <w:r w:rsidRPr="00277A05">
        <w:rPr>
          <w:rFonts w:ascii="Calibri" w:eastAsia="Times New Roman" w:hAnsi="Calibri" w:cs="Calibri"/>
          <w:kern w:val="0"/>
          <w:lang w:eastAsia="en-GB"/>
          <w14:ligatures w14:val="none"/>
        </w:rPr>
        <w:t xml:space="preserve"> the martial ideals of </w:t>
      </w:r>
      <w:r w:rsidRPr="00EF4AA4">
        <w:rPr>
          <w:rFonts w:ascii="Calibri" w:eastAsia="Times New Roman" w:hAnsi="Calibri" w:cs="Calibri"/>
          <w:kern w:val="0"/>
          <w:lang w:eastAsia="en-GB"/>
          <w14:ligatures w14:val="none"/>
        </w:rPr>
        <w:t>honour</w:t>
      </w:r>
      <w:r w:rsidRPr="00277A05">
        <w:rPr>
          <w:rFonts w:ascii="Calibri" w:eastAsia="Times New Roman" w:hAnsi="Calibri" w:cs="Calibri"/>
          <w:kern w:val="0"/>
          <w:lang w:eastAsia="en-GB"/>
          <w14:ligatures w14:val="none"/>
        </w:rPr>
        <w:t xml:space="preserve"> and bravery even as it mourns the inescapable tragedy that befalls its </w:t>
      </w:r>
      <w:r w:rsidRPr="00EF4AA4">
        <w:rPr>
          <w:rFonts w:ascii="Calibri" w:eastAsia="Times New Roman" w:hAnsi="Calibri" w:cs="Calibri"/>
          <w:kern w:val="0"/>
          <w:lang w:eastAsia="en-GB"/>
          <w14:ligatures w14:val="none"/>
        </w:rPr>
        <w:t>heroes. This is</w:t>
      </w:r>
      <w:r w:rsidRPr="00277A05">
        <w:rPr>
          <w:rFonts w:ascii="Calibri" w:eastAsia="Times New Roman" w:hAnsi="Calibri" w:cs="Calibri"/>
          <w:kern w:val="0"/>
          <w:lang w:eastAsia="en-GB"/>
          <w14:ligatures w14:val="none"/>
        </w:rPr>
        <w:t xml:space="preserve"> epitomi</w:t>
      </w:r>
      <w:r w:rsidRPr="00EF4AA4">
        <w:rPr>
          <w:rFonts w:ascii="Calibri" w:eastAsia="Times New Roman" w:hAnsi="Calibri" w:cs="Calibri"/>
          <w:kern w:val="0"/>
          <w:lang w:eastAsia="en-GB"/>
          <w14:ligatures w14:val="none"/>
        </w:rPr>
        <w:t>s</w:t>
      </w:r>
      <w:r w:rsidRPr="00277A05">
        <w:rPr>
          <w:rFonts w:ascii="Calibri" w:eastAsia="Times New Roman" w:hAnsi="Calibri" w:cs="Calibri"/>
          <w:kern w:val="0"/>
          <w:lang w:eastAsia="en-GB"/>
          <w14:ligatures w14:val="none"/>
        </w:rPr>
        <w:t xml:space="preserve">ed in the fate of </w:t>
      </w:r>
      <w:proofErr w:type="spellStart"/>
      <w:r w:rsidRPr="00277A05">
        <w:rPr>
          <w:rFonts w:ascii="Calibri" w:eastAsia="Times New Roman" w:hAnsi="Calibri" w:cs="Calibri"/>
          <w:kern w:val="0"/>
          <w:lang w:eastAsia="en-GB"/>
          <w14:ligatures w14:val="none"/>
        </w:rPr>
        <w:t>Cú</w:t>
      </w:r>
      <w:proofErr w:type="spellEnd"/>
      <w:r w:rsidRPr="00277A05">
        <w:rPr>
          <w:rFonts w:ascii="Calibri" w:eastAsia="Times New Roman" w:hAnsi="Calibri" w:cs="Calibri"/>
          <w:kern w:val="0"/>
          <w:lang w:eastAsia="en-GB"/>
          <w14:ligatures w14:val="none"/>
        </w:rPr>
        <w:t xml:space="preserve"> </w:t>
      </w:r>
      <w:proofErr w:type="spellStart"/>
      <w:r w:rsidRPr="00277A05">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xml:space="preserve"> in </w:t>
      </w:r>
      <w:r w:rsidRPr="00EF4AA4">
        <w:rPr>
          <w:rFonts w:ascii="Calibri" w:eastAsia="Times New Roman" w:hAnsi="Calibri" w:cs="Calibri"/>
          <w:i/>
          <w:iCs/>
          <w:kern w:val="0"/>
          <w:lang w:eastAsia="en-GB"/>
          <w14:ligatures w14:val="none"/>
        </w:rPr>
        <w:t xml:space="preserve">Aided Con </w:t>
      </w:r>
      <w:proofErr w:type="spellStart"/>
      <w:r w:rsidRPr="00EF4AA4">
        <w:rPr>
          <w:rFonts w:ascii="Calibri" w:eastAsia="Times New Roman" w:hAnsi="Calibri" w:cs="Calibri"/>
          <w:i/>
          <w:iCs/>
          <w:kern w:val="0"/>
          <w:lang w:eastAsia="en-GB"/>
          <w14:ligatures w14:val="none"/>
        </w:rPr>
        <w:t>Culainn</w:t>
      </w:r>
      <w:proofErr w:type="spellEnd"/>
      <w:r w:rsidRPr="00EF4AA4">
        <w:rPr>
          <w:rFonts w:ascii="Calibri" w:eastAsia="Times New Roman" w:hAnsi="Calibri" w:cs="Calibri"/>
          <w:kern w:val="0"/>
          <w:lang w:eastAsia="en-GB"/>
          <w14:ligatures w14:val="none"/>
        </w:rPr>
        <w:t xml:space="preserve">; despite his divine heritage and superhuman abilities, he could not escape his fate. </w:t>
      </w:r>
    </w:p>
    <w:p w14:paraId="6114C64B" w14:textId="77777777" w:rsidR="00EF4AA4" w:rsidRPr="00EF4AA4" w:rsidRDefault="00EF4AA4" w:rsidP="00EF4AA4">
      <w:pPr>
        <w:spacing w:before="100" w:beforeAutospacing="1" w:after="100" w:afterAutospacing="1"/>
        <w:ind w:left="720"/>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Then </w:t>
      </w:r>
      <w:proofErr w:type="spellStart"/>
      <w:r w:rsidRPr="00EF4AA4">
        <w:rPr>
          <w:rFonts w:ascii="Calibri" w:eastAsia="Times New Roman" w:hAnsi="Calibri" w:cs="Calibri"/>
          <w:kern w:val="0"/>
          <w:lang w:eastAsia="en-GB"/>
          <w14:ligatures w14:val="none"/>
        </w:rPr>
        <w:t>Lugaid</w:t>
      </w:r>
      <w:proofErr w:type="spellEnd"/>
      <w:r w:rsidRPr="00EF4AA4">
        <w:rPr>
          <w:rFonts w:ascii="Calibri" w:eastAsia="Times New Roman" w:hAnsi="Calibri" w:cs="Calibri"/>
          <w:kern w:val="0"/>
          <w:lang w:eastAsia="en-GB"/>
          <w14:ligatures w14:val="none"/>
        </w:rPr>
        <w:t xml:space="preserve"> flung the spear and struck Cu </w:t>
      </w:r>
      <w:proofErr w:type="spellStart"/>
      <w:r w:rsidRPr="00EF4AA4">
        <w:rPr>
          <w:rFonts w:ascii="Calibri" w:eastAsia="Times New Roman" w:hAnsi="Calibri" w:cs="Calibri"/>
          <w:kern w:val="0"/>
          <w:lang w:eastAsia="en-GB"/>
          <w14:ligatures w14:val="none"/>
        </w:rPr>
        <w:t>Chulainn</w:t>
      </w:r>
      <w:proofErr w:type="spellEnd"/>
      <w:r w:rsidRPr="00EF4AA4">
        <w:rPr>
          <w:rFonts w:ascii="Calibri" w:eastAsia="Times New Roman" w:hAnsi="Calibri" w:cs="Calibri"/>
          <w:kern w:val="0"/>
          <w:lang w:eastAsia="en-GB"/>
          <w14:ligatures w14:val="none"/>
        </w:rPr>
        <w:t xml:space="preserve">, and his bowels came forth on the cushion of the chariot, and his only horse, the Black </w:t>
      </w:r>
      <w:proofErr w:type="spellStart"/>
      <w:r w:rsidRPr="00EF4AA4">
        <w:rPr>
          <w:rFonts w:ascii="Calibri" w:eastAsia="Times New Roman" w:hAnsi="Calibri" w:cs="Calibri"/>
          <w:kern w:val="0"/>
          <w:lang w:eastAsia="en-GB"/>
          <w14:ligatures w14:val="none"/>
        </w:rPr>
        <w:t>Sainglenn</w:t>
      </w:r>
      <w:proofErr w:type="spellEnd"/>
      <w:r w:rsidRPr="00EF4AA4">
        <w:rPr>
          <w:rFonts w:ascii="Calibri" w:eastAsia="Times New Roman" w:hAnsi="Calibri" w:cs="Calibri"/>
          <w:kern w:val="0"/>
          <w:lang w:eastAsia="en-GB"/>
          <w14:ligatures w14:val="none"/>
        </w:rPr>
        <w:t>, fled away, with half the yoke hanging to him, and left the chariot and his master, the king of the heroes of Erin, dying alone on the plain.</w:t>
      </w:r>
      <w:r w:rsidRPr="00EF4AA4">
        <w:rPr>
          <w:rStyle w:val="FootnoteReference"/>
          <w:rFonts w:ascii="Calibri" w:eastAsia="Times New Roman" w:hAnsi="Calibri" w:cs="Calibri"/>
          <w:kern w:val="0"/>
          <w:lang w:eastAsia="en-GB"/>
          <w14:ligatures w14:val="none"/>
        </w:rPr>
        <w:footnoteReference w:id="14"/>
      </w:r>
    </w:p>
    <w:p w14:paraId="3B435849" w14:textId="4FE24E8A"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His death brings full circle the themes of prophecy and inescapable destiny that have been present throughout his life.</w:t>
      </w:r>
      <w:r w:rsidRPr="00277A05">
        <w:rPr>
          <w:rFonts w:ascii="Calibri" w:eastAsia="Times New Roman" w:hAnsi="Calibri" w:cs="Calibri"/>
          <w:kern w:val="0"/>
          <w:lang w:eastAsia="en-GB"/>
          <w14:ligatures w14:val="none"/>
        </w:rPr>
        <w:t xml:space="preserve"> </w:t>
      </w:r>
    </w:p>
    <w:p w14:paraId="1F7A9CB1" w14:textId="77777777"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While both </w:t>
      </w:r>
      <w:r w:rsidRPr="00EF4AA4">
        <w:rPr>
          <w:rFonts w:ascii="Calibri" w:eastAsia="Times New Roman" w:hAnsi="Calibri" w:cs="Calibri"/>
          <w:i/>
          <w:iCs/>
          <w:kern w:val="0"/>
          <w:lang w:eastAsia="en-GB"/>
          <w14:ligatures w14:val="none"/>
        </w:rPr>
        <w:t xml:space="preserve">The Four Branches of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and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Bó</w:t>
      </w:r>
      <w:proofErr w:type="spellEnd"/>
      <w:r w:rsidRPr="00EF4AA4">
        <w:rPr>
          <w:rFonts w:ascii="Calibri" w:eastAsia="Times New Roman" w:hAnsi="Calibri" w:cs="Calibri"/>
          <w:i/>
          <w:iCs/>
          <w:kern w:val="0"/>
          <w:lang w:eastAsia="en-GB"/>
          <w14:ligatures w14:val="none"/>
        </w:rPr>
        <w:t xml:space="preserve"> </w:t>
      </w:r>
      <w:proofErr w:type="spellStart"/>
      <w:r w:rsidRPr="00EF4AA4">
        <w:rPr>
          <w:rFonts w:ascii="Calibri" w:eastAsia="Times New Roman" w:hAnsi="Calibri" w:cs="Calibri"/>
          <w:i/>
          <w:iCs/>
          <w:kern w:val="0"/>
          <w:lang w:eastAsia="en-GB"/>
          <w14:ligatures w14:val="none"/>
        </w:rPr>
        <w:t>Cúailnge</w:t>
      </w:r>
      <w:proofErr w:type="spellEnd"/>
      <w:r w:rsidRPr="00EF4AA4">
        <w:rPr>
          <w:rFonts w:ascii="Calibri" w:eastAsia="Times New Roman" w:hAnsi="Calibri" w:cs="Calibri"/>
          <w:kern w:val="0"/>
          <w:lang w:eastAsia="en-GB"/>
          <w14:ligatures w14:val="none"/>
        </w:rPr>
        <w:t xml:space="preserve"> depict warfare as a devastating force, they approach the subject in distinct ways.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tends to emphasize the tragic and ethical dimensions of conflict, portraying war </w:t>
      </w:r>
      <w:proofErr w:type="gramStart"/>
      <w:r w:rsidRPr="00EF4AA4">
        <w:rPr>
          <w:rFonts w:ascii="Calibri" w:eastAsia="Times New Roman" w:hAnsi="Calibri" w:cs="Calibri"/>
          <w:kern w:val="0"/>
          <w:lang w:eastAsia="en-GB"/>
          <w14:ligatures w14:val="none"/>
        </w:rPr>
        <w:t>as a consequence of</w:t>
      </w:r>
      <w:proofErr w:type="gramEnd"/>
      <w:r w:rsidRPr="00EF4AA4">
        <w:rPr>
          <w:rFonts w:ascii="Calibri" w:eastAsia="Times New Roman" w:hAnsi="Calibri" w:cs="Calibri"/>
          <w:kern w:val="0"/>
          <w:lang w:eastAsia="en-GB"/>
          <w14:ligatures w14:val="none"/>
        </w:rPr>
        <w:t xml:space="preserve"> </w:t>
      </w:r>
      <w:r w:rsidRPr="00EF4AA4">
        <w:rPr>
          <w:rFonts w:ascii="Calibri" w:eastAsia="Times New Roman" w:hAnsi="Calibri" w:cs="Calibri"/>
          <w:kern w:val="0"/>
          <w:lang w:eastAsia="en-GB"/>
          <w14:ligatures w14:val="none"/>
        </w:rPr>
        <w:lastRenderedPageBreak/>
        <w:t xml:space="preserve">personal failings and social disorder. 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on the other hand, glorifies the heroism of individual warriors while simultaneously illustrating the futility of large-scale conflict.</w:t>
      </w:r>
    </w:p>
    <w:p w14:paraId="3DD9F1C4" w14:textId="39DA81AB" w:rsidR="00EF4AA4" w:rsidRPr="00EF4AA4" w:rsidRDefault="00EF4AA4" w:rsidP="00EF4AA4">
      <w:pPr>
        <w:spacing w:before="100" w:beforeAutospacing="1" w:after="100" w:afterAutospacing="1"/>
        <w:rPr>
          <w:rFonts w:ascii="Calibri" w:eastAsia="Times New Roman" w:hAnsi="Calibri" w:cs="Calibri"/>
          <w:kern w:val="0"/>
          <w:lang w:eastAsia="en-GB"/>
          <w14:ligatures w14:val="none"/>
        </w:rPr>
      </w:pPr>
      <w:r w:rsidRPr="00EF4AA4">
        <w:rPr>
          <w:rFonts w:ascii="Calibri" w:eastAsia="Times New Roman" w:hAnsi="Calibri" w:cs="Calibri"/>
          <w:kern w:val="0"/>
          <w:lang w:eastAsia="en-GB"/>
          <w14:ligatures w14:val="none"/>
        </w:rPr>
        <w:t xml:space="preserve">Ultimately, both texts offer rich and complex perspectives on war, reflecting their respective cultural contexts. The </w:t>
      </w:r>
      <w:proofErr w:type="spellStart"/>
      <w:r w:rsidRPr="00EF4AA4">
        <w:rPr>
          <w:rFonts w:ascii="Calibri" w:eastAsia="Times New Roman" w:hAnsi="Calibri" w:cs="Calibri"/>
          <w:i/>
          <w:iCs/>
          <w:kern w:val="0"/>
          <w:lang w:eastAsia="en-GB"/>
          <w14:ligatures w14:val="none"/>
        </w:rPr>
        <w:t>Mabinogi</w:t>
      </w:r>
      <w:proofErr w:type="spellEnd"/>
      <w:r w:rsidRPr="00EF4AA4">
        <w:rPr>
          <w:rFonts w:ascii="Calibri" w:eastAsia="Times New Roman" w:hAnsi="Calibri" w:cs="Calibri"/>
          <w:kern w:val="0"/>
          <w:lang w:eastAsia="en-GB"/>
          <w14:ligatures w14:val="none"/>
        </w:rPr>
        <w:t xml:space="preserve"> presents war as a force that unravels societies, while the </w:t>
      </w:r>
      <w:proofErr w:type="spellStart"/>
      <w:r w:rsidRPr="00EF4AA4">
        <w:rPr>
          <w:rFonts w:ascii="Calibri" w:eastAsia="Times New Roman" w:hAnsi="Calibri" w:cs="Calibri"/>
          <w:i/>
          <w:iCs/>
          <w:kern w:val="0"/>
          <w:lang w:eastAsia="en-GB"/>
          <w14:ligatures w14:val="none"/>
        </w:rPr>
        <w:t>Táin</w:t>
      </w:r>
      <w:proofErr w:type="spellEnd"/>
      <w:r w:rsidRPr="00EF4AA4">
        <w:rPr>
          <w:rFonts w:ascii="Calibri" w:eastAsia="Times New Roman" w:hAnsi="Calibri" w:cs="Calibri"/>
          <w:kern w:val="0"/>
          <w:lang w:eastAsia="en-GB"/>
          <w14:ligatures w14:val="none"/>
        </w:rPr>
        <w:t xml:space="preserve"> showcases both the glory and the doom inherent in martial </w:t>
      </w:r>
      <w:r w:rsidRPr="00EF4AA4">
        <w:rPr>
          <w:rFonts w:ascii="Calibri" w:eastAsia="Times New Roman" w:hAnsi="Calibri" w:cs="Calibri"/>
          <w:kern w:val="0"/>
          <w:lang w:eastAsia="en-GB"/>
          <w14:ligatures w14:val="none"/>
        </w:rPr>
        <w:t>valour</w:t>
      </w:r>
      <w:r w:rsidRPr="00EF4AA4">
        <w:rPr>
          <w:rFonts w:ascii="Calibri" w:eastAsia="Times New Roman" w:hAnsi="Calibri" w:cs="Calibri"/>
          <w:kern w:val="0"/>
          <w:lang w:eastAsia="en-GB"/>
          <w14:ligatures w14:val="none"/>
        </w:rPr>
        <w:t>. Together, they provide a profound exploration of warfare’s impact on individuals and civilizations alike.</w:t>
      </w:r>
    </w:p>
    <w:p w14:paraId="77C5F2E1" w14:textId="77777777" w:rsidR="00FA55EE" w:rsidRPr="00EF4AA4" w:rsidRDefault="00FA55EE">
      <w:pPr>
        <w:rPr>
          <w:rFonts w:ascii="Calibri" w:hAnsi="Calibri" w:cs="Calibri"/>
        </w:rPr>
      </w:pPr>
    </w:p>
    <w:p w14:paraId="1FD291E0" w14:textId="77777777" w:rsidR="00EF4AA4" w:rsidRPr="00EF4AA4" w:rsidRDefault="00EF4AA4" w:rsidP="00EF4AA4">
      <w:pPr>
        <w:rPr>
          <w:rFonts w:ascii="Calibri" w:hAnsi="Calibri" w:cs="Calibri"/>
        </w:rPr>
      </w:pPr>
      <w:r w:rsidRPr="00EF4AA4">
        <w:rPr>
          <w:rFonts w:ascii="Calibri" w:hAnsi="Calibri" w:cs="Calibri"/>
        </w:rPr>
        <w:t>References</w:t>
      </w:r>
    </w:p>
    <w:p w14:paraId="4BF41D46" w14:textId="77777777" w:rsidR="00852046" w:rsidRPr="00852046" w:rsidRDefault="00852046" w:rsidP="00852046">
      <w:pPr>
        <w:rPr>
          <w:rFonts w:ascii="Calibri" w:hAnsi="Calibri" w:cs="Calibri"/>
        </w:rPr>
      </w:pPr>
      <w:r w:rsidRPr="00852046">
        <w:rPr>
          <w:rFonts w:ascii="Calibri" w:hAnsi="Calibri" w:cs="Calibri"/>
          <w:i/>
          <w:iCs/>
        </w:rPr>
        <w:t xml:space="preserve">Alderson, Sarah Lynn, "A Land of Poets and Warriors: </w:t>
      </w:r>
      <w:proofErr w:type="gramStart"/>
      <w:r w:rsidRPr="00852046">
        <w:rPr>
          <w:rFonts w:ascii="Calibri" w:hAnsi="Calibri" w:cs="Calibri"/>
          <w:i/>
          <w:iCs/>
        </w:rPr>
        <w:t>the</w:t>
      </w:r>
      <w:proofErr w:type="gramEnd"/>
      <w:r w:rsidRPr="00852046">
        <w:rPr>
          <w:rFonts w:ascii="Calibri" w:hAnsi="Calibri" w:cs="Calibri"/>
          <w:i/>
          <w:iCs/>
        </w:rPr>
        <w:t xml:space="preserve"> Connection Between Warrior Culture and Bardic Culture in Medieval Wales c. 1066-1283" </w:t>
      </w:r>
      <w:r w:rsidRPr="00852046">
        <w:rPr>
          <w:rFonts w:ascii="Calibri" w:hAnsi="Calibri" w:cs="Calibri"/>
        </w:rPr>
        <w:t>(2020). Dissertations and Theses. Paper 5567. &lt;</w:t>
      </w:r>
      <w:hyperlink r:id="rId8" w:history="1">
        <w:r w:rsidRPr="00852046">
          <w:rPr>
            <w:rStyle w:val="Hyperlink"/>
            <w:rFonts w:ascii="Calibri" w:hAnsi="Calibri" w:cs="Calibri"/>
          </w:rPr>
          <w:t>https://doi.org/10.15760/etd.7441</w:t>
        </w:r>
      </w:hyperlink>
      <w:r w:rsidRPr="00852046">
        <w:rPr>
          <w:rFonts w:ascii="Calibri" w:hAnsi="Calibri" w:cs="Calibri"/>
        </w:rPr>
        <w:t>&gt; [accessed 7 March 2025].</w:t>
      </w:r>
    </w:p>
    <w:p w14:paraId="7CF8C163" w14:textId="77777777" w:rsidR="00EF4AA4" w:rsidRPr="00EF4AA4" w:rsidRDefault="00EF4AA4" w:rsidP="00EF4AA4">
      <w:pPr>
        <w:rPr>
          <w:rFonts w:ascii="Calibri" w:hAnsi="Calibri" w:cs="Calibri"/>
        </w:rPr>
      </w:pPr>
    </w:p>
    <w:p w14:paraId="2DA895E3" w14:textId="0B79924D" w:rsidR="00852046" w:rsidRPr="00852046" w:rsidRDefault="00EF4AA4" w:rsidP="00852046">
      <w:pPr>
        <w:rPr>
          <w:rFonts w:ascii="Calibri" w:hAnsi="Calibri" w:cs="Calibri"/>
          <w:i/>
          <w:iCs/>
        </w:rPr>
      </w:pPr>
      <w:r w:rsidRPr="00EF4AA4">
        <w:rPr>
          <w:rFonts w:ascii="Calibri" w:hAnsi="Calibri" w:cs="Calibri"/>
        </w:rPr>
        <w:t>Carson, Ciaran. 2008. </w:t>
      </w:r>
      <w:r w:rsidR="00852046" w:rsidRPr="00EF4AA4">
        <w:rPr>
          <w:rFonts w:ascii="Calibri" w:hAnsi="Calibri" w:cs="Calibri"/>
          <w:i/>
          <w:iCs/>
        </w:rPr>
        <w:t xml:space="preserve">The </w:t>
      </w:r>
      <w:proofErr w:type="spellStart"/>
      <w:r w:rsidR="00852046" w:rsidRPr="00EF4AA4">
        <w:rPr>
          <w:rFonts w:ascii="Calibri" w:hAnsi="Calibri" w:cs="Calibri"/>
          <w:i/>
          <w:iCs/>
        </w:rPr>
        <w:t>Tain</w:t>
      </w:r>
      <w:proofErr w:type="spellEnd"/>
      <w:r w:rsidR="00852046" w:rsidRPr="00EF4AA4">
        <w:rPr>
          <w:rFonts w:ascii="Calibri" w:hAnsi="Calibri" w:cs="Calibri"/>
          <w:i/>
          <w:iCs/>
        </w:rPr>
        <w:t> </w:t>
      </w:r>
      <w:r w:rsidR="00852046" w:rsidRPr="00EF4AA4">
        <w:rPr>
          <w:rFonts w:ascii="Calibri" w:hAnsi="Calibri" w:cs="Calibri"/>
        </w:rPr>
        <w:t>(</w:t>
      </w:r>
      <w:r w:rsidR="00852046" w:rsidRPr="00852046">
        <w:rPr>
          <w:rFonts w:ascii="Calibri" w:hAnsi="Calibri" w:cs="Calibri"/>
        </w:rPr>
        <w:t>London: Penguin Classics, 2008</w:t>
      </w:r>
      <w:r w:rsidR="00852046" w:rsidRPr="00EF4AA4">
        <w:rPr>
          <w:rFonts w:ascii="Calibri" w:hAnsi="Calibri" w:cs="Calibri"/>
        </w:rPr>
        <w:t>)</w:t>
      </w:r>
      <w:r w:rsidR="00852046" w:rsidRPr="00852046">
        <w:rPr>
          <w:rFonts w:ascii="Calibri" w:hAnsi="Calibri" w:cs="Calibri"/>
        </w:rPr>
        <w:t xml:space="preserve"> </w:t>
      </w:r>
    </w:p>
    <w:p w14:paraId="571D3445" w14:textId="378AF856" w:rsidR="00EF4AA4" w:rsidRPr="00EF4AA4" w:rsidRDefault="00EF4AA4" w:rsidP="00EF4AA4">
      <w:pPr>
        <w:rPr>
          <w:rFonts w:ascii="Calibri" w:hAnsi="Calibri" w:cs="Calibri"/>
        </w:rPr>
      </w:pPr>
    </w:p>
    <w:p w14:paraId="166B1402" w14:textId="58691DA3" w:rsidR="00EF4AA4" w:rsidRPr="00EF4AA4" w:rsidRDefault="00EF4AA4" w:rsidP="00EF4AA4">
      <w:pPr>
        <w:rPr>
          <w:rFonts w:ascii="Calibri" w:hAnsi="Calibri" w:cs="Calibri"/>
        </w:rPr>
      </w:pPr>
      <w:r w:rsidRPr="00EF4AA4">
        <w:rPr>
          <w:rFonts w:ascii="Calibri" w:hAnsi="Calibri" w:cs="Calibri"/>
        </w:rPr>
        <w:t xml:space="preserve">Ellis, Peter </w:t>
      </w:r>
      <w:proofErr w:type="spellStart"/>
      <w:r w:rsidRPr="00EF4AA4">
        <w:rPr>
          <w:rFonts w:ascii="Calibri" w:hAnsi="Calibri" w:cs="Calibri"/>
        </w:rPr>
        <w:t>Berresford</w:t>
      </w:r>
      <w:proofErr w:type="spellEnd"/>
      <w:r w:rsidRPr="00EF4AA4">
        <w:rPr>
          <w:rFonts w:ascii="Calibri" w:hAnsi="Calibri" w:cs="Calibri"/>
        </w:rPr>
        <w:t>. </w:t>
      </w:r>
      <w:r w:rsidRPr="00EF4AA4">
        <w:rPr>
          <w:rFonts w:ascii="Calibri" w:hAnsi="Calibri" w:cs="Calibri"/>
          <w:i/>
          <w:iCs/>
        </w:rPr>
        <w:t>Chronicles of the Celts</w:t>
      </w:r>
      <w:r w:rsidRPr="00EF4AA4">
        <w:rPr>
          <w:rFonts w:ascii="Calibri" w:hAnsi="Calibri" w:cs="Calibri"/>
        </w:rPr>
        <w:t xml:space="preserve">, ed. by Peter </w:t>
      </w:r>
      <w:proofErr w:type="spellStart"/>
      <w:r w:rsidRPr="00EF4AA4">
        <w:rPr>
          <w:rFonts w:ascii="Calibri" w:hAnsi="Calibri" w:cs="Calibri"/>
        </w:rPr>
        <w:t>Berresford</w:t>
      </w:r>
      <w:proofErr w:type="spellEnd"/>
      <w:r w:rsidRPr="00EF4AA4">
        <w:rPr>
          <w:rFonts w:ascii="Calibri" w:hAnsi="Calibri" w:cs="Calibri"/>
        </w:rPr>
        <w:t>-Ellis (London, England: Robinson Publishing</w:t>
      </w:r>
      <w:r w:rsidR="00852046">
        <w:rPr>
          <w:rFonts w:ascii="Calibri" w:hAnsi="Calibri" w:cs="Calibri"/>
        </w:rPr>
        <w:t xml:space="preserve">, </w:t>
      </w:r>
      <w:r w:rsidR="00852046" w:rsidRPr="00EF4AA4">
        <w:rPr>
          <w:rFonts w:ascii="Calibri" w:hAnsi="Calibri" w:cs="Calibri"/>
        </w:rPr>
        <w:t>1999</w:t>
      </w:r>
      <w:r w:rsidRPr="00EF4AA4">
        <w:rPr>
          <w:rFonts w:ascii="Calibri" w:hAnsi="Calibri" w:cs="Calibri"/>
        </w:rPr>
        <w:t>)</w:t>
      </w:r>
    </w:p>
    <w:p w14:paraId="24EB5B82" w14:textId="77777777" w:rsidR="00EF4AA4" w:rsidRPr="00EF4AA4" w:rsidRDefault="00EF4AA4" w:rsidP="00EF4AA4">
      <w:pPr>
        <w:rPr>
          <w:rFonts w:ascii="Calibri" w:hAnsi="Calibri" w:cs="Calibri"/>
        </w:rPr>
      </w:pPr>
    </w:p>
    <w:p w14:paraId="74224857" w14:textId="77777777" w:rsidR="00EF4AA4" w:rsidRPr="00EF4AA4" w:rsidRDefault="00EF4AA4" w:rsidP="00EF4AA4">
      <w:pPr>
        <w:rPr>
          <w:rFonts w:ascii="Calibri" w:hAnsi="Calibri" w:cs="Calibri"/>
        </w:rPr>
      </w:pPr>
      <w:r w:rsidRPr="00EF4AA4">
        <w:rPr>
          <w:rFonts w:ascii="Calibri" w:hAnsi="Calibri" w:cs="Calibri"/>
        </w:rPr>
        <w:t>Jackson, Kenneth (ed.). 2015. </w:t>
      </w:r>
      <w:r w:rsidRPr="00EF4AA4">
        <w:rPr>
          <w:rFonts w:ascii="Calibri" w:hAnsi="Calibri" w:cs="Calibri"/>
          <w:i/>
          <w:iCs/>
        </w:rPr>
        <w:t>A Celtic Miscellany: Selected and Translated by Kenneth Hurlstone Jackson</w:t>
      </w:r>
      <w:r w:rsidRPr="00EF4AA4">
        <w:rPr>
          <w:rFonts w:ascii="Calibri" w:hAnsi="Calibri" w:cs="Calibri"/>
        </w:rPr>
        <w:t> (London, England: Penguin Classics)</w:t>
      </w:r>
    </w:p>
    <w:p w14:paraId="623E21B2" w14:textId="77777777" w:rsidR="00EF4AA4" w:rsidRPr="00EF4AA4" w:rsidRDefault="00EF4AA4" w:rsidP="00EF4AA4">
      <w:pPr>
        <w:rPr>
          <w:rFonts w:ascii="Calibri" w:hAnsi="Calibri" w:cs="Calibri"/>
        </w:rPr>
      </w:pPr>
    </w:p>
    <w:p w14:paraId="049F9FAE" w14:textId="3EED1BA3" w:rsidR="00EF4AA4" w:rsidRPr="00EF4AA4" w:rsidRDefault="00EF4AA4" w:rsidP="00EF4AA4">
      <w:pPr>
        <w:rPr>
          <w:rFonts w:ascii="Calibri" w:hAnsi="Calibri" w:cs="Calibri"/>
        </w:rPr>
      </w:pPr>
      <w:r w:rsidRPr="00EF4AA4">
        <w:rPr>
          <w:rFonts w:ascii="Calibri" w:hAnsi="Calibri" w:cs="Calibri"/>
        </w:rPr>
        <w:t>Koch, John T. </w:t>
      </w:r>
      <w:r w:rsidRPr="00EF4AA4">
        <w:rPr>
          <w:rFonts w:ascii="Calibri" w:hAnsi="Calibri" w:cs="Calibri"/>
          <w:i/>
          <w:iCs/>
        </w:rPr>
        <w:t>The Celtic Heroic Age</w:t>
      </w:r>
      <w:r w:rsidRPr="00EF4AA4">
        <w:rPr>
          <w:rFonts w:ascii="Calibri" w:hAnsi="Calibri" w:cs="Calibri"/>
        </w:rPr>
        <w:t> (Wales, England: Celtic Studies Publications</w:t>
      </w:r>
      <w:r w:rsidR="00852046">
        <w:rPr>
          <w:rFonts w:ascii="Calibri" w:hAnsi="Calibri" w:cs="Calibri"/>
        </w:rPr>
        <w:t xml:space="preserve">, </w:t>
      </w:r>
      <w:r w:rsidR="00852046" w:rsidRPr="00EF4AA4">
        <w:rPr>
          <w:rFonts w:ascii="Calibri" w:hAnsi="Calibri" w:cs="Calibri"/>
        </w:rPr>
        <w:t>2003</w:t>
      </w:r>
      <w:r w:rsidRPr="00EF4AA4">
        <w:rPr>
          <w:rFonts w:ascii="Calibri" w:hAnsi="Calibri" w:cs="Calibri"/>
        </w:rPr>
        <w:t>)</w:t>
      </w:r>
    </w:p>
    <w:p w14:paraId="7ABD8CE8" w14:textId="77777777" w:rsidR="00EF4AA4" w:rsidRPr="00EF4AA4" w:rsidRDefault="00EF4AA4" w:rsidP="00EF4AA4">
      <w:pPr>
        <w:rPr>
          <w:rFonts w:ascii="Calibri" w:hAnsi="Calibri" w:cs="Calibri"/>
        </w:rPr>
      </w:pPr>
    </w:p>
    <w:p w14:paraId="54D3910C" w14:textId="77777777" w:rsidR="00EF4AA4" w:rsidRPr="00EF4AA4" w:rsidRDefault="00EF4AA4" w:rsidP="00EF4AA4">
      <w:pPr>
        <w:rPr>
          <w:rFonts w:ascii="Calibri" w:hAnsi="Calibri" w:cs="Calibri"/>
        </w:rPr>
      </w:pPr>
      <w:r w:rsidRPr="00EF4AA4">
        <w:rPr>
          <w:rFonts w:ascii="Calibri" w:hAnsi="Calibri" w:cs="Calibri"/>
        </w:rPr>
        <w:t>Stories, Irish Mythology. 2024. “Queen Medb of Connacht: The Ambitious and Controversial Queen of Irish Mythology,” </w:t>
      </w:r>
      <w:r w:rsidRPr="00EF4AA4">
        <w:rPr>
          <w:rFonts w:ascii="Calibri" w:hAnsi="Calibri" w:cs="Calibri"/>
          <w:i/>
          <w:iCs/>
        </w:rPr>
        <w:t>Irish Mythology Stories</w:t>
      </w:r>
      <w:r w:rsidRPr="00EF4AA4">
        <w:rPr>
          <w:rFonts w:ascii="Calibri" w:hAnsi="Calibri" w:cs="Calibri"/>
        </w:rPr>
        <w:t> &lt;https://irishmythologystories.substack.com/p/queen-medb-of-connacht-the-ambitious&gt; [accessed 10 March 2025]</w:t>
      </w:r>
    </w:p>
    <w:p w14:paraId="5370616F" w14:textId="77777777" w:rsidR="00EF4AA4" w:rsidRPr="00EF4AA4" w:rsidRDefault="00EF4AA4" w:rsidP="00EF4AA4">
      <w:pPr>
        <w:rPr>
          <w:rFonts w:ascii="Calibri" w:hAnsi="Calibri" w:cs="Calibri"/>
        </w:rPr>
      </w:pPr>
    </w:p>
    <w:p w14:paraId="1956C4A1" w14:textId="77777777" w:rsidR="00EF4AA4" w:rsidRPr="00EF4AA4" w:rsidRDefault="00EF4AA4" w:rsidP="00EF4AA4">
      <w:pPr>
        <w:rPr>
          <w:rFonts w:ascii="Calibri" w:hAnsi="Calibri" w:cs="Calibri"/>
        </w:rPr>
      </w:pPr>
      <w:r w:rsidRPr="00EF4AA4">
        <w:rPr>
          <w:rFonts w:ascii="Calibri" w:hAnsi="Calibri" w:cs="Calibri"/>
        </w:rPr>
        <w:t xml:space="preserve">“The Death of Cu </w:t>
      </w:r>
      <w:proofErr w:type="spellStart"/>
      <w:r w:rsidRPr="00EF4AA4">
        <w:rPr>
          <w:rFonts w:ascii="Calibri" w:hAnsi="Calibri" w:cs="Calibri"/>
        </w:rPr>
        <w:t>Chulainn</w:t>
      </w:r>
      <w:proofErr w:type="spellEnd"/>
      <w:r w:rsidRPr="00EF4AA4">
        <w:rPr>
          <w:rFonts w:ascii="Calibri" w:hAnsi="Calibri" w:cs="Calibri"/>
        </w:rPr>
        <w:t>.” [n.d.]. </w:t>
      </w:r>
      <w:r w:rsidRPr="00EF4AA4">
        <w:rPr>
          <w:rFonts w:ascii="Calibri" w:hAnsi="Calibri" w:cs="Calibri"/>
          <w:i/>
          <w:iCs/>
        </w:rPr>
        <w:t>Ancienttexts.org</w:t>
      </w:r>
      <w:r w:rsidRPr="00EF4AA4">
        <w:rPr>
          <w:rFonts w:ascii="Calibri" w:hAnsi="Calibri" w:cs="Calibri"/>
        </w:rPr>
        <w:t> &lt;https://www.ancienttexts.org/library/celtic/ctexts/cuchulain3.html&gt; [accessed 10 March 2025]</w:t>
      </w:r>
    </w:p>
    <w:p w14:paraId="30C21E25" w14:textId="77777777" w:rsidR="00EF4AA4" w:rsidRPr="00EF4AA4" w:rsidRDefault="00EF4AA4" w:rsidP="00EF4AA4">
      <w:pPr>
        <w:rPr>
          <w:rFonts w:ascii="Calibri" w:hAnsi="Calibri" w:cs="Calibri"/>
        </w:rPr>
      </w:pPr>
    </w:p>
    <w:p w14:paraId="5EB3C579" w14:textId="44CABEAA" w:rsidR="00852046" w:rsidRPr="00852046" w:rsidRDefault="00852046" w:rsidP="00852046">
      <w:pPr>
        <w:rPr>
          <w:rFonts w:ascii="Calibri" w:hAnsi="Calibri" w:cs="Calibri"/>
          <w:i/>
          <w:iCs/>
        </w:rPr>
      </w:pPr>
      <w:proofErr w:type="spellStart"/>
      <w:r w:rsidRPr="00852046">
        <w:t>Gantz</w:t>
      </w:r>
      <w:proofErr w:type="spellEnd"/>
      <w:r>
        <w:t>,</w:t>
      </w:r>
      <w:r w:rsidRPr="00852046">
        <w:rPr>
          <w:i/>
          <w:iCs/>
        </w:rPr>
        <w:t> </w:t>
      </w:r>
      <w:r>
        <w:t>Jeffrey</w:t>
      </w:r>
      <w:r>
        <w:t>.</w:t>
      </w:r>
      <w:r>
        <w:t xml:space="preserve"> </w:t>
      </w:r>
      <w:r w:rsidRPr="00852046">
        <w:rPr>
          <w:i/>
          <w:iCs/>
        </w:rPr>
        <w:t>The M</w:t>
      </w:r>
      <w:proofErr w:type="spellStart"/>
      <w:r w:rsidRPr="00852046">
        <w:rPr>
          <w:i/>
          <w:iCs/>
        </w:rPr>
        <w:t>abinogion</w:t>
      </w:r>
      <w:proofErr w:type="spellEnd"/>
      <w:r w:rsidRPr="00852046">
        <w:rPr>
          <w:i/>
          <w:iCs/>
        </w:rPr>
        <w:t>, </w:t>
      </w:r>
      <w:r>
        <w:t xml:space="preserve">(London: </w:t>
      </w:r>
      <w:r w:rsidRPr="00852046">
        <w:t>Penguin Books Ltd</w:t>
      </w:r>
      <w:r>
        <w:t>, 2003)</w:t>
      </w:r>
      <w:r w:rsidRPr="00852046">
        <w:t xml:space="preserve"> </w:t>
      </w:r>
      <w:r>
        <w:t>p.73.</w:t>
      </w:r>
    </w:p>
    <w:p w14:paraId="23C19872" w14:textId="77777777" w:rsidR="00EF4AA4" w:rsidRPr="00EF4AA4" w:rsidRDefault="00EF4AA4" w:rsidP="00EF4AA4">
      <w:pPr>
        <w:rPr>
          <w:rFonts w:ascii="Calibri" w:hAnsi="Calibri" w:cs="Calibri"/>
        </w:rPr>
      </w:pPr>
    </w:p>
    <w:p w14:paraId="4C4A3593" w14:textId="37A8FF94" w:rsidR="00EF4AA4" w:rsidRPr="00EF4AA4" w:rsidRDefault="00852046" w:rsidP="00EF4AA4">
      <w:pPr>
        <w:rPr>
          <w:rFonts w:ascii="Calibri" w:hAnsi="Calibri" w:cs="Calibri"/>
        </w:rPr>
      </w:pPr>
      <w:r w:rsidRPr="00852046">
        <w:rPr>
          <w:rFonts w:ascii="Calibri" w:hAnsi="Calibri" w:cs="Calibri"/>
        </w:rPr>
        <w:t>Moore,</w:t>
      </w:r>
      <w:r>
        <w:rPr>
          <w:rFonts w:ascii="Calibri" w:hAnsi="Calibri" w:cs="Calibri"/>
        </w:rPr>
        <w:t xml:space="preserve"> </w:t>
      </w:r>
      <w:r w:rsidRPr="00852046">
        <w:rPr>
          <w:rFonts w:ascii="Calibri" w:hAnsi="Calibri" w:cs="Calibri"/>
        </w:rPr>
        <w:t>Elizabeth</w:t>
      </w:r>
      <w:r>
        <w:rPr>
          <w:rFonts w:ascii="Calibri" w:hAnsi="Calibri" w:cs="Calibri"/>
        </w:rPr>
        <w:t>.</w:t>
      </w:r>
      <w:r w:rsidRPr="00852046">
        <w:rPr>
          <w:rFonts w:ascii="Calibri" w:hAnsi="Calibri" w:cs="Calibri"/>
        </w:rPr>
        <w:t xml:space="preserve"> “A Reading of </w:t>
      </w:r>
      <w:proofErr w:type="spellStart"/>
      <w:r w:rsidRPr="00852046">
        <w:rPr>
          <w:rFonts w:ascii="Calibri" w:hAnsi="Calibri" w:cs="Calibri"/>
        </w:rPr>
        <w:t>Cú</w:t>
      </w:r>
      <w:proofErr w:type="spellEnd"/>
      <w:r w:rsidRPr="00852046">
        <w:rPr>
          <w:rFonts w:ascii="Calibri" w:hAnsi="Calibri" w:cs="Calibri"/>
        </w:rPr>
        <w:t xml:space="preserve"> </w:t>
      </w:r>
      <w:proofErr w:type="spellStart"/>
      <w:r w:rsidRPr="00852046">
        <w:rPr>
          <w:rFonts w:ascii="Calibri" w:hAnsi="Calibri" w:cs="Calibri"/>
        </w:rPr>
        <w:t>Chulainn’s</w:t>
      </w:r>
      <w:proofErr w:type="spellEnd"/>
      <w:r w:rsidRPr="00852046">
        <w:rPr>
          <w:rFonts w:ascii="Calibri" w:hAnsi="Calibri" w:cs="Calibri"/>
        </w:rPr>
        <w:t xml:space="preserve"> First Recension ‘</w:t>
      </w:r>
      <w:proofErr w:type="spellStart"/>
      <w:r w:rsidRPr="00852046">
        <w:rPr>
          <w:rFonts w:ascii="Calibri" w:hAnsi="Calibri" w:cs="Calibri"/>
        </w:rPr>
        <w:t>Ríastrad</w:t>
      </w:r>
      <w:proofErr w:type="spellEnd"/>
      <w:r w:rsidRPr="00852046">
        <w:rPr>
          <w:rFonts w:ascii="Calibri" w:hAnsi="Calibri" w:cs="Calibri"/>
        </w:rPr>
        <w:t xml:space="preserve">.’” </w:t>
      </w:r>
      <w:r w:rsidRPr="00852046">
        <w:rPr>
          <w:rFonts w:ascii="Calibri" w:hAnsi="Calibri" w:cs="Calibri"/>
          <w:i/>
          <w:iCs/>
        </w:rPr>
        <w:t>Proceedings of the Harvard Celtic Colloquium</w:t>
      </w:r>
      <w:r w:rsidRPr="00852046">
        <w:rPr>
          <w:rFonts w:ascii="Calibri" w:hAnsi="Calibri" w:cs="Calibri"/>
        </w:rPr>
        <w:t>, vol. 29, 2009, pp. 154–76. (</w:t>
      </w:r>
      <w:r w:rsidRPr="00852046">
        <w:rPr>
          <w:rFonts w:ascii="Calibri" w:hAnsi="Calibri" w:cs="Calibri"/>
          <w:i/>
          <w:iCs/>
        </w:rPr>
        <w:t>JSTOR</w:t>
      </w:r>
      <w:r w:rsidRPr="00852046">
        <w:rPr>
          <w:rFonts w:ascii="Calibri" w:hAnsi="Calibri" w:cs="Calibri"/>
        </w:rPr>
        <w:t>, http://www.jstor.org/stable/41219639) Accessed 4 Mar. 2025.</w:t>
      </w:r>
    </w:p>
    <w:p w14:paraId="7C6716D5" w14:textId="77777777" w:rsidR="00EF4AA4" w:rsidRPr="00EF4AA4" w:rsidRDefault="00EF4AA4">
      <w:pPr>
        <w:rPr>
          <w:rFonts w:ascii="Calibri" w:hAnsi="Calibri" w:cs="Calibri"/>
        </w:rPr>
      </w:pPr>
    </w:p>
    <w:sectPr w:rsidR="00EF4AA4" w:rsidRPr="00EF4A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94B4C" w14:textId="77777777" w:rsidR="00D91E47" w:rsidRDefault="00D91E47" w:rsidP="00EF4AA4">
      <w:r>
        <w:separator/>
      </w:r>
    </w:p>
  </w:endnote>
  <w:endnote w:type="continuationSeparator" w:id="0">
    <w:p w14:paraId="1CF81007" w14:textId="77777777" w:rsidR="00D91E47" w:rsidRDefault="00D91E47" w:rsidP="00EF4A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3B934" w14:textId="77777777" w:rsidR="00D91E47" w:rsidRDefault="00D91E47" w:rsidP="00EF4AA4">
      <w:r>
        <w:separator/>
      </w:r>
    </w:p>
  </w:footnote>
  <w:footnote w:type="continuationSeparator" w:id="0">
    <w:p w14:paraId="2DAD06BB" w14:textId="77777777" w:rsidR="00D91E47" w:rsidRDefault="00D91E47" w:rsidP="00EF4AA4">
      <w:r>
        <w:continuationSeparator/>
      </w:r>
    </w:p>
  </w:footnote>
  <w:footnote w:id="1">
    <w:p w14:paraId="5C21DA0A" w14:textId="6935EB37" w:rsidR="00EF4AA4" w:rsidRDefault="00EF4AA4">
      <w:pPr>
        <w:pStyle w:val="FootnoteText"/>
      </w:pPr>
      <w:r>
        <w:rPr>
          <w:rStyle w:val="FootnoteReference"/>
        </w:rPr>
        <w:footnoteRef/>
      </w:r>
      <w:r>
        <w:t xml:space="preserve"> </w:t>
      </w:r>
      <w:r w:rsidR="00852046">
        <w:t xml:space="preserve">Jeffrey </w:t>
      </w:r>
      <w:proofErr w:type="spellStart"/>
      <w:r w:rsidR="00852046" w:rsidRPr="00852046">
        <w:t>Gantz</w:t>
      </w:r>
      <w:proofErr w:type="spellEnd"/>
      <w:r w:rsidR="00852046">
        <w:t>,</w:t>
      </w:r>
      <w:r w:rsidR="00852046" w:rsidRPr="00852046">
        <w:rPr>
          <w:i/>
          <w:iCs/>
        </w:rPr>
        <w:t xml:space="preserve"> The </w:t>
      </w:r>
      <w:proofErr w:type="spellStart"/>
      <w:r w:rsidR="00852046" w:rsidRPr="00852046">
        <w:rPr>
          <w:i/>
          <w:iCs/>
        </w:rPr>
        <w:t>Mabinogion</w:t>
      </w:r>
      <w:proofErr w:type="spellEnd"/>
      <w:r w:rsidR="00852046" w:rsidRPr="00852046">
        <w:rPr>
          <w:i/>
          <w:iCs/>
        </w:rPr>
        <w:t>, </w:t>
      </w:r>
      <w:r w:rsidR="00852046">
        <w:t xml:space="preserve">(London: </w:t>
      </w:r>
      <w:r w:rsidR="00852046" w:rsidRPr="00852046">
        <w:t>Penguin Books Ltd</w:t>
      </w:r>
      <w:r w:rsidR="00852046">
        <w:t>, 2003)</w:t>
      </w:r>
      <w:r w:rsidR="00852046" w:rsidRPr="00852046">
        <w:t xml:space="preserve"> </w:t>
      </w:r>
      <w:r w:rsidR="00852046">
        <w:t>p.</w:t>
      </w:r>
      <w:r>
        <w:t>73</w:t>
      </w:r>
      <w:r w:rsidR="00852046">
        <w:t>.</w:t>
      </w:r>
    </w:p>
  </w:footnote>
  <w:footnote w:id="2">
    <w:p w14:paraId="590F3B2B" w14:textId="2F8EE7FE" w:rsidR="00EF4AA4" w:rsidRDefault="00EF4AA4">
      <w:pPr>
        <w:pStyle w:val="FootnoteText"/>
      </w:pPr>
      <w:r>
        <w:rPr>
          <w:rStyle w:val="FootnoteReference"/>
        </w:rPr>
        <w:footnoteRef/>
      </w:r>
      <w:r>
        <w:t xml:space="preserve"> </w:t>
      </w:r>
      <w:proofErr w:type="spellStart"/>
      <w:r w:rsidR="00852046">
        <w:t>Gantz</w:t>
      </w:r>
      <w:proofErr w:type="spellEnd"/>
      <w:r w:rsidR="00852046">
        <w:t xml:space="preserve">, </w:t>
      </w:r>
      <w:r w:rsidR="00852046" w:rsidRPr="00852046">
        <w:rPr>
          <w:i/>
          <w:iCs/>
        </w:rPr>
        <w:t xml:space="preserve">The </w:t>
      </w:r>
      <w:proofErr w:type="spellStart"/>
      <w:r w:rsidR="00852046" w:rsidRPr="00852046">
        <w:rPr>
          <w:i/>
          <w:iCs/>
        </w:rPr>
        <w:t>Mabinogion</w:t>
      </w:r>
      <w:proofErr w:type="spellEnd"/>
      <w:r w:rsidR="00852046" w:rsidRPr="00852046">
        <w:rPr>
          <w:i/>
          <w:iCs/>
        </w:rPr>
        <w:t>,</w:t>
      </w:r>
      <w:r w:rsidR="00852046">
        <w:t xml:space="preserve"> p.</w:t>
      </w:r>
      <w:r>
        <w:t>110</w:t>
      </w:r>
      <w:r w:rsidR="00852046">
        <w:t>.</w:t>
      </w:r>
    </w:p>
  </w:footnote>
  <w:footnote w:id="3">
    <w:p w14:paraId="2833438B" w14:textId="485526D7" w:rsidR="00EF4AA4" w:rsidRDefault="00EF4AA4">
      <w:pPr>
        <w:pStyle w:val="FootnoteText"/>
      </w:pPr>
      <w:r>
        <w:rPr>
          <w:rStyle w:val="FootnoteReference"/>
        </w:rPr>
        <w:footnoteRef/>
      </w:r>
      <w:r>
        <w:t xml:space="preserve"> </w:t>
      </w:r>
      <w:r w:rsidR="00852046" w:rsidRPr="00EF4AA4">
        <w:t>Ciaran</w:t>
      </w:r>
      <w:r w:rsidR="00852046" w:rsidRPr="00EF4AA4">
        <w:t xml:space="preserve"> </w:t>
      </w:r>
      <w:r w:rsidR="00852046" w:rsidRPr="00EF4AA4">
        <w:t>Carson, </w:t>
      </w:r>
      <w:r w:rsidR="00852046" w:rsidRPr="00EF4AA4">
        <w:rPr>
          <w:i/>
          <w:iCs/>
        </w:rPr>
        <w:t xml:space="preserve">The </w:t>
      </w:r>
      <w:proofErr w:type="spellStart"/>
      <w:r w:rsidR="00852046" w:rsidRPr="00EF4AA4">
        <w:rPr>
          <w:i/>
          <w:iCs/>
        </w:rPr>
        <w:t>Tain</w:t>
      </w:r>
      <w:proofErr w:type="spellEnd"/>
      <w:r w:rsidR="00852046" w:rsidRPr="00EF4AA4">
        <w:t> (</w:t>
      </w:r>
      <w:r w:rsidR="00852046">
        <w:t>London: Penguin Classics, 2008</w:t>
      </w:r>
      <w:r w:rsidR="00852046" w:rsidRPr="00EF4AA4">
        <w:t>)</w:t>
      </w:r>
      <w:r w:rsidR="00852046">
        <w:t xml:space="preserve"> p.5.</w:t>
      </w:r>
    </w:p>
  </w:footnote>
  <w:footnote w:id="4">
    <w:p w14:paraId="095125AA" w14:textId="6D16A544" w:rsidR="00EF4AA4" w:rsidRDefault="00EF4AA4">
      <w:pPr>
        <w:pStyle w:val="FootnoteText"/>
      </w:pPr>
      <w:r>
        <w:rPr>
          <w:rStyle w:val="FootnoteReference"/>
        </w:rPr>
        <w:footnoteRef/>
      </w:r>
      <w:r>
        <w:t xml:space="preserve"> </w:t>
      </w:r>
      <w:r w:rsidR="00852046" w:rsidRPr="00EF4AA4">
        <w:t>Carson, </w:t>
      </w:r>
      <w:r w:rsidR="00852046" w:rsidRPr="00EF4AA4">
        <w:rPr>
          <w:i/>
          <w:iCs/>
        </w:rPr>
        <w:t xml:space="preserve">The </w:t>
      </w:r>
      <w:proofErr w:type="spellStart"/>
      <w:r w:rsidR="00852046" w:rsidRPr="00EF4AA4">
        <w:rPr>
          <w:i/>
          <w:iCs/>
        </w:rPr>
        <w:t>Tain</w:t>
      </w:r>
      <w:proofErr w:type="spellEnd"/>
      <w:r w:rsidR="00852046" w:rsidRPr="00EF4AA4">
        <w:t> </w:t>
      </w:r>
      <w:r w:rsidR="00852046">
        <w:t>p.109.</w:t>
      </w:r>
    </w:p>
  </w:footnote>
  <w:footnote w:id="5">
    <w:p w14:paraId="66BC8320" w14:textId="7FA3F5C6" w:rsidR="00EF4AA4" w:rsidRDefault="00EF4AA4">
      <w:pPr>
        <w:pStyle w:val="FootnoteText"/>
      </w:pPr>
      <w:r>
        <w:rPr>
          <w:rStyle w:val="FootnoteReference"/>
        </w:rPr>
        <w:footnoteRef/>
      </w:r>
      <w:r>
        <w:t xml:space="preserve"> </w:t>
      </w:r>
      <w:r w:rsidR="00852046" w:rsidRPr="00EF4AA4">
        <w:t>Elizabeth</w:t>
      </w:r>
      <w:r w:rsidR="00852046" w:rsidRPr="00EF4AA4">
        <w:t xml:space="preserve"> </w:t>
      </w:r>
      <w:r w:rsidRPr="00EF4AA4">
        <w:t>Moore,</w:t>
      </w:r>
      <w:r w:rsidR="00852046">
        <w:t xml:space="preserve"> “</w:t>
      </w:r>
      <w:r w:rsidRPr="00EF4AA4">
        <w:t xml:space="preserve">A Reading of </w:t>
      </w:r>
      <w:proofErr w:type="spellStart"/>
      <w:r w:rsidRPr="00EF4AA4">
        <w:t>Cú</w:t>
      </w:r>
      <w:proofErr w:type="spellEnd"/>
      <w:r w:rsidRPr="00EF4AA4">
        <w:t xml:space="preserve"> </w:t>
      </w:r>
      <w:proofErr w:type="spellStart"/>
      <w:r w:rsidRPr="00EF4AA4">
        <w:t>Chulainn’s</w:t>
      </w:r>
      <w:proofErr w:type="spellEnd"/>
      <w:r w:rsidRPr="00EF4AA4">
        <w:t xml:space="preserve"> First Recension ‘</w:t>
      </w:r>
      <w:proofErr w:type="spellStart"/>
      <w:r w:rsidRPr="00EF4AA4">
        <w:t>Ríastrad</w:t>
      </w:r>
      <w:proofErr w:type="spellEnd"/>
      <w:r w:rsidRPr="00EF4AA4">
        <w:t xml:space="preserve">.’” </w:t>
      </w:r>
      <w:r w:rsidRPr="00EF4AA4">
        <w:rPr>
          <w:i/>
          <w:iCs/>
        </w:rPr>
        <w:t>Proceedings of the Harvard Celtic Colloquium</w:t>
      </w:r>
      <w:r w:rsidRPr="00EF4AA4">
        <w:t xml:space="preserve">, vol. 29, 2009, pp. 154–76. </w:t>
      </w:r>
      <w:r w:rsidR="00852046">
        <w:t>(</w:t>
      </w:r>
      <w:r w:rsidRPr="00EF4AA4">
        <w:rPr>
          <w:i/>
          <w:iCs/>
        </w:rPr>
        <w:t>JSTOR</w:t>
      </w:r>
      <w:r w:rsidRPr="00EF4AA4">
        <w:t>, http://www.jstor.org/stable/41219639</w:t>
      </w:r>
      <w:r w:rsidR="00852046">
        <w:t>)</w:t>
      </w:r>
      <w:r w:rsidRPr="00EF4AA4">
        <w:t xml:space="preserve"> Accessed </w:t>
      </w:r>
      <w:r w:rsidR="00852046">
        <w:t>4</w:t>
      </w:r>
      <w:r w:rsidRPr="00EF4AA4">
        <w:t xml:space="preserve"> Mar. 2025.</w:t>
      </w:r>
    </w:p>
  </w:footnote>
  <w:footnote w:id="6">
    <w:p w14:paraId="503294E9" w14:textId="41C2918E" w:rsidR="00EF4AA4" w:rsidRDefault="00EF4AA4">
      <w:pPr>
        <w:pStyle w:val="FootnoteText"/>
      </w:pPr>
      <w:r>
        <w:rPr>
          <w:rStyle w:val="FootnoteReference"/>
        </w:rPr>
        <w:footnoteRef/>
      </w:r>
      <w:r>
        <w:t xml:space="preserve"> </w:t>
      </w:r>
      <w:proofErr w:type="spellStart"/>
      <w:r w:rsidR="00852046">
        <w:t>Gantz</w:t>
      </w:r>
      <w:proofErr w:type="spellEnd"/>
      <w:r w:rsidR="00852046">
        <w:t xml:space="preserve">, </w:t>
      </w:r>
      <w:r w:rsidR="00852046" w:rsidRPr="00852046">
        <w:rPr>
          <w:i/>
          <w:iCs/>
        </w:rPr>
        <w:t xml:space="preserve">The </w:t>
      </w:r>
      <w:proofErr w:type="spellStart"/>
      <w:r w:rsidR="00852046" w:rsidRPr="00852046">
        <w:rPr>
          <w:i/>
          <w:iCs/>
        </w:rPr>
        <w:t>Mabinogion</w:t>
      </w:r>
      <w:proofErr w:type="spellEnd"/>
      <w:r w:rsidR="00852046" w:rsidRPr="00852046">
        <w:rPr>
          <w:i/>
          <w:iCs/>
        </w:rPr>
        <w:t>,</w:t>
      </w:r>
      <w:r w:rsidR="00852046">
        <w:t xml:space="preserve"> p.</w:t>
      </w:r>
      <w:r w:rsidR="00852046">
        <w:t>75</w:t>
      </w:r>
      <w:r w:rsidR="00852046">
        <w:t>.</w:t>
      </w:r>
    </w:p>
  </w:footnote>
  <w:footnote w:id="7">
    <w:p w14:paraId="5EF8C7FF" w14:textId="491C7F1C" w:rsidR="00EF4AA4" w:rsidRDefault="00EF4AA4" w:rsidP="00EF4AA4">
      <w:pPr>
        <w:pStyle w:val="FootnoteText"/>
      </w:pPr>
      <w:r>
        <w:rPr>
          <w:rStyle w:val="FootnoteReference"/>
        </w:rPr>
        <w:footnoteRef/>
      </w:r>
      <w:r>
        <w:t xml:space="preserve"> </w:t>
      </w:r>
      <w:r w:rsidR="00852046" w:rsidRPr="00EF4AA4">
        <w:t>Carson, </w:t>
      </w:r>
      <w:r w:rsidR="00852046" w:rsidRPr="00EF4AA4">
        <w:rPr>
          <w:i/>
          <w:iCs/>
        </w:rPr>
        <w:t xml:space="preserve">The </w:t>
      </w:r>
      <w:proofErr w:type="spellStart"/>
      <w:r w:rsidR="00852046" w:rsidRPr="00EF4AA4">
        <w:rPr>
          <w:i/>
          <w:iCs/>
        </w:rPr>
        <w:t>Tain</w:t>
      </w:r>
      <w:proofErr w:type="spellEnd"/>
      <w:r w:rsidR="00852046">
        <w:t xml:space="preserve">, </w:t>
      </w:r>
      <w:r>
        <w:t>p</w:t>
      </w:r>
      <w:r w:rsidR="00852046">
        <w:t>.</w:t>
      </w:r>
      <w:r>
        <w:t>36</w:t>
      </w:r>
      <w:r w:rsidR="00852046">
        <w:t>.</w:t>
      </w:r>
    </w:p>
  </w:footnote>
  <w:footnote w:id="8">
    <w:p w14:paraId="48954CB2" w14:textId="365B49AE" w:rsidR="00EF4AA4" w:rsidRDefault="00EF4AA4" w:rsidP="00EF4AA4">
      <w:pPr>
        <w:pStyle w:val="FootnoteText"/>
      </w:pPr>
      <w:r>
        <w:rPr>
          <w:rStyle w:val="FootnoteReference"/>
        </w:rPr>
        <w:footnoteRef/>
      </w:r>
      <w:r>
        <w:t xml:space="preserve"> </w:t>
      </w:r>
      <w:proofErr w:type="spellStart"/>
      <w:r w:rsidR="00852046">
        <w:t>Gantz</w:t>
      </w:r>
      <w:proofErr w:type="spellEnd"/>
      <w:r w:rsidR="00852046">
        <w:t xml:space="preserve">, </w:t>
      </w:r>
      <w:r w:rsidR="00852046" w:rsidRPr="00852046">
        <w:rPr>
          <w:i/>
          <w:iCs/>
        </w:rPr>
        <w:t xml:space="preserve">The </w:t>
      </w:r>
      <w:proofErr w:type="spellStart"/>
      <w:r w:rsidR="00852046" w:rsidRPr="00852046">
        <w:rPr>
          <w:i/>
          <w:iCs/>
        </w:rPr>
        <w:t>Mabinogion</w:t>
      </w:r>
      <w:proofErr w:type="spellEnd"/>
      <w:r w:rsidR="00852046" w:rsidRPr="00852046">
        <w:rPr>
          <w:i/>
          <w:iCs/>
        </w:rPr>
        <w:t>,</w:t>
      </w:r>
      <w:r w:rsidR="00852046">
        <w:t xml:space="preserve"> p</w:t>
      </w:r>
      <w:r w:rsidR="00852046">
        <w:t>.83.</w:t>
      </w:r>
    </w:p>
  </w:footnote>
  <w:footnote w:id="9">
    <w:p w14:paraId="37126DB4" w14:textId="16A6E6A2" w:rsidR="00EF4AA4" w:rsidRDefault="00EF4AA4">
      <w:pPr>
        <w:pStyle w:val="FootnoteText"/>
      </w:pPr>
      <w:r>
        <w:rPr>
          <w:rStyle w:val="FootnoteReference"/>
        </w:rPr>
        <w:footnoteRef/>
      </w:r>
      <w:r>
        <w:t xml:space="preserve"> </w:t>
      </w:r>
      <w:r w:rsidR="00852046">
        <w:t>Ibid. p85.</w:t>
      </w:r>
    </w:p>
  </w:footnote>
  <w:footnote w:id="10">
    <w:p w14:paraId="054246B0" w14:textId="061F5202" w:rsidR="00EF4AA4" w:rsidRDefault="00EF4AA4">
      <w:pPr>
        <w:pStyle w:val="FootnoteText"/>
      </w:pPr>
      <w:r>
        <w:rPr>
          <w:rStyle w:val="FootnoteReference"/>
        </w:rPr>
        <w:footnoteRef/>
      </w:r>
      <w:r>
        <w:t xml:space="preserve"> </w:t>
      </w:r>
      <w:r w:rsidR="00852046" w:rsidRPr="00EF4AA4">
        <w:t>Carson, </w:t>
      </w:r>
      <w:r w:rsidR="00852046" w:rsidRPr="00EF4AA4">
        <w:rPr>
          <w:i/>
          <w:iCs/>
        </w:rPr>
        <w:t xml:space="preserve">The </w:t>
      </w:r>
      <w:proofErr w:type="spellStart"/>
      <w:r w:rsidR="00852046" w:rsidRPr="00EF4AA4">
        <w:rPr>
          <w:i/>
          <w:iCs/>
        </w:rPr>
        <w:t>Tain</w:t>
      </w:r>
      <w:proofErr w:type="spellEnd"/>
      <w:r w:rsidR="00852046">
        <w:t>, p.</w:t>
      </w:r>
      <w:r>
        <w:t>208</w:t>
      </w:r>
      <w:r w:rsidR="00852046">
        <w:t>.</w:t>
      </w:r>
    </w:p>
  </w:footnote>
  <w:footnote w:id="11">
    <w:p w14:paraId="4EBF0C5D" w14:textId="3030D725" w:rsidR="00EF4AA4" w:rsidRDefault="00EF4AA4" w:rsidP="00EF4AA4">
      <w:pPr>
        <w:pStyle w:val="FootnoteText"/>
      </w:pPr>
      <w:r>
        <w:rPr>
          <w:rStyle w:val="FootnoteReference"/>
        </w:rPr>
        <w:footnoteRef/>
      </w:r>
      <w:r>
        <w:t xml:space="preserve"> </w:t>
      </w:r>
      <w:r w:rsidR="00852046">
        <w:t>S L Alderson</w:t>
      </w:r>
      <w:r w:rsidRPr="00EF4AA4">
        <w:t>,</w:t>
      </w:r>
      <w:r w:rsidR="00852046">
        <w:t xml:space="preserve"> </w:t>
      </w:r>
      <w:r w:rsidR="00852046" w:rsidRPr="00852046">
        <w:t xml:space="preserve">"A Land of Poets and Warriors: </w:t>
      </w:r>
      <w:proofErr w:type="gramStart"/>
      <w:r w:rsidR="00852046" w:rsidRPr="00852046">
        <w:t>the</w:t>
      </w:r>
      <w:proofErr w:type="gramEnd"/>
      <w:r w:rsidR="00852046" w:rsidRPr="00852046">
        <w:t xml:space="preserve"> Connection Between Warrior Culture and Bardic Culture in Medieval Wales c. 1066-1283" (2020). </w:t>
      </w:r>
      <w:r w:rsidR="00852046" w:rsidRPr="00852046">
        <w:rPr>
          <w:i/>
          <w:iCs/>
        </w:rPr>
        <w:t>Dissertations and Theses. Paper 5567</w:t>
      </w:r>
      <w:r w:rsidR="00852046" w:rsidRPr="00852046">
        <w:t xml:space="preserve">. </w:t>
      </w:r>
      <w:r w:rsidR="00852046">
        <w:t>&lt;</w:t>
      </w:r>
      <w:hyperlink r:id="rId1" w:history="1">
        <w:r w:rsidR="00852046" w:rsidRPr="00D70DFA">
          <w:rPr>
            <w:rStyle w:val="Hyperlink"/>
          </w:rPr>
          <w:t>https://doi.org/10.15760/etd.7441</w:t>
        </w:r>
      </w:hyperlink>
      <w:r w:rsidR="00852046">
        <w:t>&gt; [accessed 7 March 2025].</w:t>
      </w:r>
    </w:p>
  </w:footnote>
  <w:footnote w:id="12">
    <w:p w14:paraId="7DD5C24C" w14:textId="689530F1" w:rsidR="00EF4AA4" w:rsidRDefault="00EF4AA4">
      <w:pPr>
        <w:pStyle w:val="FootnoteText"/>
      </w:pPr>
      <w:r>
        <w:rPr>
          <w:rStyle w:val="FootnoteReference"/>
        </w:rPr>
        <w:footnoteRef/>
      </w:r>
      <w:r>
        <w:t xml:space="preserve"> </w:t>
      </w:r>
      <w:proofErr w:type="spellStart"/>
      <w:r w:rsidR="00852046">
        <w:t>Gantz</w:t>
      </w:r>
      <w:proofErr w:type="spellEnd"/>
      <w:r w:rsidR="00852046">
        <w:t xml:space="preserve">, </w:t>
      </w:r>
      <w:r w:rsidR="00852046" w:rsidRPr="00852046">
        <w:rPr>
          <w:i/>
          <w:iCs/>
        </w:rPr>
        <w:t xml:space="preserve">The </w:t>
      </w:r>
      <w:proofErr w:type="spellStart"/>
      <w:r w:rsidR="00852046" w:rsidRPr="00852046">
        <w:rPr>
          <w:i/>
          <w:iCs/>
        </w:rPr>
        <w:t>Mabinogion</w:t>
      </w:r>
      <w:proofErr w:type="spellEnd"/>
      <w:r w:rsidR="00852046" w:rsidRPr="00852046">
        <w:rPr>
          <w:i/>
          <w:iCs/>
        </w:rPr>
        <w:t>,</w:t>
      </w:r>
      <w:r w:rsidR="00852046">
        <w:t xml:space="preserve"> p.</w:t>
      </w:r>
      <w:r w:rsidR="00852046">
        <w:t>124.</w:t>
      </w:r>
    </w:p>
  </w:footnote>
  <w:footnote w:id="13">
    <w:p w14:paraId="23A8BAE9" w14:textId="46FC0E77" w:rsidR="00EF4AA4" w:rsidRDefault="00EF4AA4">
      <w:pPr>
        <w:pStyle w:val="FootnoteText"/>
      </w:pPr>
      <w:r>
        <w:rPr>
          <w:rStyle w:val="FootnoteReference"/>
        </w:rPr>
        <w:footnoteRef/>
      </w:r>
      <w:r>
        <w:t xml:space="preserve"> </w:t>
      </w:r>
      <w:r w:rsidR="00852046" w:rsidRPr="00EF4AA4">
        <w:t>Stories, Irish Mythology. 2024. “Queen Medb of Connacht: The Ambitious and Controversial Queen of Irish Mythology,” </w:t>
      </w:r>
      <w:r w:rsidR="00852046" w:rsidRPr="00EF4AA4">
        <w:rPr>
          <w:i/>
          <w:iCs/>
        </w:rPr>
        <w:t>Irish Mythology Stories</w:t>
      </w:r>
      <w:r w:rsidR="00852046" w:rsidRPr="00EF4AA4">
        <w:t> &lt;https://irishmythologystories.substack.com/p/queen-medb-of-connacht-the-ambitious&gt; [accessed 10 March 2025]</w:t>
      </w:r>
      <w:r w:rsidR="00852046">
        <w:t>.</w:t>
      </w:r>
    </w:p>
  </w:footnote>
  <w:footnote w:id="14">
    <w:p w14:paraId="514D3C6E" w14:textId="77777777" w:rsidR="00EF4AA4" w:rsidRDefault="00EF4AA4" w:rsidP="00EF4AA4">
      <w:pPr>
        <w:pStyle w:val="FootnoteText"/>
      </w:pPr>
      <w:r>
        <w:rPr>
          <w:rStyle w:val="FootnoteReference"/>
        </w:rPr>
        <w:footnoteRef/>
      </w:r>
      <w:r>
        <w:t xml:space="preserve"> </w:t>
      </w:r>
      <w:r w:rsidRPr="00EF4AA4">
        <w:t>https://www.ancienttexts.org/library/celtic/ctexts/cuchulain3.html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53E4A"/>
    <w:multiLevelType w:val="multilevel"/>
    <w:tmpl w:val="C6D0C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27323D"/>
    <w:multiLevelType w:val="multilevel"/>
    <w:tmpl w:val="0E262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454869">
    <w:abstractNumId w:val="1"/>
  </w:num>
  <w:num w:numId="2" w16cid:durableId="193425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A05"/>
    <w:rsid w:val="00277A05"/>
    <w:rsid w:val="004F7216"/>
    <w:rsid w:val="00852046"/>
    <w:rsid w:val="009116FB"/>
    <w:rsid w:val="00D91E47"/>
    <w:rsid w:val="00EF4AA4"/>
    <w:rsid w:val="00FA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8A2A7F"/>
  <w15:chartTrackingRefBased/>
  <w15:docId w15:val="{0E8E3BAA-35CF-2644-957E-C87A445E1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A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7A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7A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A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A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A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A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A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A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A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7A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7A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7A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7A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7A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A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A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A05"/>
    <w:rPr>
      <w:rFonts w:eastAsiaTheme="majorEastAsia" w:cstheme="majorBidi"/>
      <w:color w:val="272727" w:themeColor="text1" w:themeTint="D8"/>
    </w:rPr>
  </w:style>
  <w:style w:type="paragraph" w:styleId="Title">
    <w:name w:val="Title"/>
    <w:basedOn w:val="Normal"/>
    <w:next w:val="Normal"/>
    <w:link w:val="TitleChar"/>
    <w:uiPriority w:val="10"/>
    <w:qFormat/>
    <w:rsid w:val="00277A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A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A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A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A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7A05"/>
    <w:rPr>
      <w:i/>
      <w:iCs/>
      <w:color w:val="404040" w:themeColor="text1" w:themeTint="BF"/>
    </w:rPr>
  </w:style>
  <w:style w:type="paragraph" w:styleId="ListParagraph">
    <w:name w:val="List Paragraph"/>
    <w:basedOn w:val="Normal"/>
    <w:uiPriority w:val="34"/>
    <w:qFormat/>
    <w:rsid w:val="00277A05"/>
    <w:pPr>
      <w:ind w:left="720"/>
      <w:contextualSpacing/>
    </w:pPr>
  </w:style>
  <w:style w:type="character" w:styleId="IntenseEmphasis">
    <w:name w:val="Intense Emphasis"/>
    <w:basedOn w:val="DefaultParagraphFont"/>
    <w:uiPriority w:val="21"/>
    <w:qFormat/>
    <w:rsid w:val="00277A05"/>
    <w:rPr>
      <w:i/>
      <w:iCs/>
      <w:color w:val="0F4761" w:themeColor="accent1" w:themeShade="BF"/>
    </w:rPr>
  </w:style>
  <w:style w:type="paragraph" w:styleId="IntenseQuote">
    <w:name w:val="Intense Quote"/>
    <w:basedOn w:val="Normal"/>
    <w:next w:val="Normal"/>
    <w:link w:val="IntenseQuoteChar"/>
    <w:uiPriority w:val="30"/>
    <w:qFormat/>
    <w:rsid w:val="00277A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7A05"/>
    <w:rPr>
      <w:i/>
      <w:iCs/>
      <w:color w:val="0F4761" w:themeColor="accent1" w:themeShade="BF"/>
    </w:rPr>
  </w:style>
  <w:style w:type="character" w:styleId="IntenseReference">
    <w:name w:val="Intense Reference"/>
    <w:basedOn w:val="DefaultParagraphFont"/>
    <w:uiPriority w:val="32"/>
    <w:qFormat/>
    <w:rsid w:val="00277A05"/>
    <w:rPr>
      <w:b/>
      <w:bCs/>
      <w:smallCaps/>
      <w:color w:val="0F4761" w:themeColor="accent1" w:themeShade="BF"/>
      <w:spacing w:val="5"/>
    </w:rPr>
  </w:style>
  <w:style w:type="paragraph" w:styleId="NormalWeb">
    <w:name w:val="Normal (Web)"/>
    <w:basedOn w:val="Normal"/>
    <w:uiPriority w:val="99"/>
    <w:semiHidden/>
    <w:unhideWhenUsed/>
    <w:rsid w:val="00277A0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77A05"/>
    <w:rPr>
      <w:b/>
      <w:bCs/>
    </w:rPr>
  </w:style>
  <w:style w:type="character" w:styleId="Emphasis">
    <w:name w:val="Emphasis"/>
    <w:basedOn w:val="DefaultParagraphFont"/>
    <w:uiPriority w:val="20"/>
    <w:qFormat/>
    <w:rsid w:val="00277A05"/>
    <w:rPr>
      <w:i/>
      <w:iCs/>
    </w:rPr>
  </w:style>
  <w:style w:type="paragraph" w:styleId="FootnoteText">
    <w:name w:val="footnote text"/>
    <w:basedOn w:val="Normal"/>
    <w:link w:val="FootnoteTextChar"/>
    <w:uiPriority w:val="99"/>
    <w:semiHidden/>
    <w:unhideWhenUsed/>
    <w:rsid w:val="00EF4AA4"/>
    <w:rPr>
      <w:sz w:val="20"/>
      <w:szCs w:val="20"/>
    </w:rPr>
  </w:style>
  <w:style w:type="character" w:customStyle="1" w:styleId="FootnoteTextChar">
    <w:name w:val="Footnote Text Char"/>
    <w:basedOn w:val="DefaultParagraphFont"/>
    <w:link w:val="FootnoteText"/>
    <w:uiPriority w:val="99"/>
    <w:semiHidden/>
    <w:rsid w:val="00EF4AA4"/>
    <w:rPr>
      <w:sz w:val="20"/>
      <w:szCs w:val="20"/>
    </w:rPr>
  </w:style>
  <w:style w:type="character" w:styleId="FootnoteReference">
    <w:name w:val="footnote reference"/>
    <w:basedOn w:val="DefaultParagraphFont"/>
    <w:uiPriority w:val="99"/>
    <w:semiHidden/>
    <w:unhideWhenUsed/>
    <w:rsid w:val="00EF4AA4"/>
    <w:rPr>
      <w:vertAlign w:val="superscript"/>
    </w:rPr>
  </w:style>
  <w:style w:type="character" w:styleId="Hyperlink">
    <w:name w:val="Hyperlink"/>
    <w:basedOn w:val="DefaultParagraphFont"/>
    <w:uiPriority w:val="99"/>
    <w:unhideWhenUsed/>
    <w:rsid w:val="00EF4AA4"/>
    <w:rPr>
      <w:color w:val="0000FF"/>
      <w:u w:val="single"/>
    </w:rPr>
  </w:style>
  <w:style w:type="character" w:styleId="UnresolvedMention">
    <w:name w:val="Unresolved Mention"/>
    <w:basedOn w:val="DefaultParagraphFont"/>
    <w:uiPriority w:val="99"/>
    <w:semiHidden/>
    <w:unhideWhenUsed/>
    <w:rsid w:val="008520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46802">
      <w:bodyDiv w:val="1"/>
      <w:marLeft w:val="0"/>
      <w:marRight w:val="0"/>
      <w:marTop w:val="0"/>
      <w:marBottom w:val="0"/>
      <w:divBdr>
        <w:top w:val="none" w:sz="0" w:space="0" w:color="auto"/>
        <w:left w:val="none" w:sz="0" w:space="0" w:color="auto"/>
        <w:bottom w:val="none" w:sz="0" w:space="0" w:color="auto"/>
        <w:right w:val="none" w:sz="0" w:space="0" w:color="auto"/>
      </w:divBdr>
    </w:div>
    <w:div w:id="175075231">
      <w:bodyDiv w:val="1"/>
      <w:marLeft w:val="0"/>
      <w:marRight w:val="0"/>
      <w:marTop w:val="0"/>
      <w:marBottom w:val="0"/>
      <w:divBdr>
        <w:top w:val="none" w:sz="0" w:space="0" w:color="auto"/>
        <w:left w:val="none" w:sz="0" w:space="0" w:color="auto"/>
        <w:bottom w:val="none" w:sz="0" w:space="0" w:color="auto"/>
        <w:right w:val="none" w:sz="0" w:space="0" w:color="auto"/>
      </w:divBdr>
      <w:divsChild>
        <w:div w:id="445200034">
          <w:marLeft w:val="0"/>
          <w:marRight w:val="0"/>
          <w:marTop w:val="0"/>
          <w:marBottom w:val="0"/>
          <w:divBdr>
            <w:top w:val="none" w:sz="0" w:space="0" w:color="auto"/>
            <w:left w:val="none" w:sz="0" w:space="0" w:color="auto"/>
            <w:bottom w:val="none" w:sz="0" w:space="0" w:color="auto"/>
            <w:right w:val="none" w:sz="0" w:space="0" w:color="auto"/>
          </w:divBdr>
          <w:divsChild>
            <w:div w:id="1232690331">
              <w:marLeft w:val="0"/>
              <w:marRight w:val="0"/>
              <w:marTop w:val="0"/>
              <w:marBottom w:val="0"/>
              <w:divBdr>
                <w:top w:val="none" w:sz="0" w:space="0" w:color="auto"/>
                <w:left w:val="none" w:sz="0" w:space="0" w:color="auto"/>
                <w:bottom w:val="none" w:sz="0" w:space="0" w:color="auto"/>
                <w:right w:val="none" w:sz="0" w:space="0" w:color="auto"/>
              </w:divBdr>
            </w:div>
            <w:div w:id="1484735054">
              <w:marLeft w:val="0"/>
              <w:marRight w:val="0"/>
              <w:marTop w:val="0"/>
              <w:marBottom w:val="0"/>
              <w:divBdr>
                <w:top w:val="none" w:sz="0" w:space="0" w:color="auto"/>
                <w:left w:val="none" w:sz="0" w:space="0" w:color="auto"/>
                <w:bottom w:val="none" w:sz="0" w:space="0" w:color="auto"/>
                <w:right w:val="none" w:sz="0" w:space="0" w:color="auto"/>
              </w:divBdr>
            </w:div>
            <w:div w:id="1265571875">
              <w:marLeft w:val="0"/>
              <w:marRight w:val="0"/>
              <w:marTop w:val="0"/>
              <w:marBottom w:val="0"/>
              <w:divBdr>
                <w:top w:val="none" w:sz="0" w:space="0" w:color="auto"/>
                <w:left w:val="none" w:sz="0" w:space="0" w:color="auto"/>
                <w:bottom w:val="none" w:sz="0" w:space="0" w:color="auto"/>
                <w:right w:val="none" w:sz="0" w:space="0" w:color="auto"/>
              </w:divBdr>
            </w:div>
            <w:div w:id="71589700">
              <w:marLeft w:val="0"/>
              <w:marRight w:val="0"/>
              <w:marTop w:val="0"/>
              <w:marBottom w:val="0"/>
              <w:divBdr>
                <w:top w:val="none" w:sz="0" w:space="0" w:color="auto"/>
                <w:left w:val="none" w:sz="0" w:space="0" w:color="auto"/>
                <w:bottom w:val="none" w:sz="0" w:space="0" w:color="auto"/>
                <w:right w:val="none" w:sz="0" w:space="0" w:color="auto"/>
              </w:divBdr>
            </w:div>
            <w:div w:id="1391996560">
              <w:marLeft w:val="0"/>
              <w:marRight w:val="0"/>
              <w:marTop w:val="0"/>
              <w:marBottom w:val="0"/>
              <w:divBdr>
                <w:top w:val="none" w:sz="0" w:space="0" w:color="auto"/>
                <w:left w:val="none" w:sz="0" w:space="0" w:color="auto"/>
                <w:bottom w:val="none" w:sz="0" w:space="0" w:color="auto"/>
                <w:right w:val="none" w:sz="0" w:space="0" w:color="auto"/>
              </w:divBdr>
            </w:div>
            <w:div w:id="1362974193">
              <w:marLeft w:val="0"/>
              <w:marRight w:val="0"/>
              <w:marTop w:val="0"/>
              <w:marBottom w:val="0"/>
              <w:divBdr>
                <w:top w:val="none" w:sz="0" w:space="0" w:color="auto"/>
                <w:left w:val="none" w:sz="0" w:space="0" w:color="auto"/>
                <w:bottom w:val="none" w:sz="0" w:space="0" w:color="auto"/>
                <w:right w:val="none" w:sz="0" w:space="0" w:color="auto"/>
              </w:divBdr>
            </w:div>
            <w:div w:id="711536190">
              <w:marLeft w:val="0"/>
              <w:marRight w:val="0"/>
              <w:marTop w:val="0"/>
              <w:marBottom w:val="0"/>
              <w:divBdr>
                <w:top w:val="none" w:sz="0" w:space="0" w:color="auto"/>
                <w:left w:val="none" w:sz="0" w:space="0" w:color="auto"/>
                <w:bottom w:val="none" w:sz="0" w:space="0" w:color="auto"/>
                <w:right w:val="none" w:sz="0" w:space="0" w:color="auto"/>
              </w:divBdr>
            </w:div>
            <w:div w:id="355231426">
              <w:marLeft w:val="0"/>
              <w:marRight w:val="0"/>
              <w:marTop w:val="0"/>
              <w:marBottom w:val="0"/>
              <w:divBdr>
                <w:top w:val="none" w:sz="0" w:space="0" w:color="auto"/>
                <w:left w:val="none" w:sz="0" w:space="0" w:color="auto"/>
                <w:bottom w:val="none" w:sz="0" w:space="0" w:color="auto"/>
                <w:right w:val="none" w:sz="0" w:space="0" w:color="auto"/>
              </w:divBdr>
            </w:div>
            <w:div w:id="135379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458171">
      <w:bodyDiv w:val="1"/>
      <w:marLeft w:val="0"/>
      <w:marRight w:val="0"/>
      <w:marTop w:val="0"/>
      <w:marBottom w:val="0"/>
      <w:divBdr>
        <w:top w:val="none" w:sz="0" w:space="0" w:color="auto"/>
        <w:left w:val="none" w:sz="0" w:space="0" w:color="auto"/>
        <w:bottom w:val="none" w:sz="0" w:space="0" w:color="auto"/>
        <w:right w:val="none" w:sz="0" w:space="0" w:color="auto"/>
      </w:divBdr>
    </w:div>
    <w:div w:id="467283414">
      <w:bodyDiv w:val="1"/>
      <w:marLeft w:val="0"/>
      <w:marRight w:val="0"/>
      <w:marTop w:val="0"/>
      <w:marBottom w:val="0"/>
      <w:divBdr>
        <w:top w:val="none" w:sz="0" w:space="0" w:color="auto"/>
        <w:left w:val="none" w:sz="0" w:space="0" w:color="auto"/>
        <w:bottom w:val="none" w:sz="0" w:space="0" w:color="auto"/>
        <w:right w:val="none" w:sz="0" w:space="0" w:color="auto"/>
      </w:divBdr>
    </w:div>
    <w:div w:id="533226648">
      <w:bodyDiv w:val="1"/>
      <w:marLeft w:val="0"/>
      <w:marRight w:val="0"/>
      <w:marTop w:val="0"/>
      <w:marBottom w:val="0"/>
      <w:divBdr>
        <w:top w:val="none" w:sz="0" w:space="0" w:color="auto"/>
        <w:left w:val="none" w:sz="0" w:space="0" w:color="auto"/>
        <w:bottom w:val="none" w:sz="0" w:space="0" w:color="auto"/>
        <w:right w:val="none" w:sz="0" w:space="0" w:color="auto"/>
      </w:divBdr>
      <w:divsChild>
        <w:div w:id="1466504648">
          <w:marLeft w:val="0"/>
          <w:marRight w:val="0"/>
          <w:marTop w:val="0"/>
          <w:marBottom w:val="0"/>
          <w:divBdr>
            <w:top w:val="none" w:sz="0" w:space="0" w:color="auto"/>
            <w:left w:val="none" w:sz="0" w:space="0" w:color="auto"/>
            <w:bottom w:val="none" w:sz="0" w:space="0" w:color="auto"/>
            <w:right w:val="none" w:sz="0" w:space="0" w:color="auto"/>
          </w:divBdr>
          <w:divsChild>
            <w:div w:id="2128693632">
              <w:marLeft w:val="0"/>
              <w:marRight w:val="0"/>
              <w:marTop w:val="0"/>
              <w:marBottom w:val="0"/>
              <w:divBdr>
                <w:top w:val="none" w:sz="0" w:space="0" w:color="auto"/>
                <w:left w:val="none" w:sz="0" w:space="0" w:color="auto"/>
                <w:bottom w:val="none" w:sz="0" w:space="0" w:color="auto"/>
                <w:right w:val="none" w:sz="0" w:space="0" w:color="auto"/>
              </w:divBdr>
              <w:divsChild>
                <w:div w:id="2127695296">
                  <w:marLeft w:val="-120"/>
                  <w:marRight w:val="-120"/>
                  <w:marTop w:val="0"/>
                  <w:marBottom w:val="0"/>
                  <w:divBdr>
                    <w:top w:val="none" w:sz="0" w:space="0" w:color="auto"/>
                    <w:left w:val="none" w:sz="0" w:space="0" w:color="auto"/>
                    <w:bottom w:val="none" w:sz="0" w:space="0" w:color="auto"/>
                    <w:right w:val="none" w:sz="0" w:space="0" w:color="auto"/>
                  </w:divBdr>
                  <w:divsChild>
                    <w:div w:id="151146518">
                      <w:marLeft w:val="0"/>
                      <w:marRight w:val="0"/>
                      <w:marTop w:val="0"/>
                      <w:marBottom w:val="0"/>
                      <w:divBdr>
                        <w:top w:val="none" w:sz="0" w:space="0" w:color="auto"/>
                        <w:left w:val="none" w:sz="0" w:space="0" w:color="auto"/>
                        <w:bottom w:val="none" w:sz="0" w:space="0" w:color="auto"/>
                        <w:right w:val="none" w:sz="0" w:space="0" w:color="auto"/>
                      </w:divBdr>
                      <w:divsChild>
                        <w:div w:id="1360476287">
                          <w:marLeft w:val="0"/>
                          <w:marRight w:val="0"/>
                          <w:marTop w:val="0"/>
                          <w:marBottom w:val="0"/>
                          <w:divBdr>
                            <w:top w:val="single" w:sz="6" w:space="16" w:color="D4D4D4"/>
                            <w:left w:val="none" w:sz="0" w:space="0" w:color="auto"/>
                            <w:bottom w:val="none" w:sz="0" w:space="0" w:color="auto"/>
                            <w:right w:val="none" w:sz="0" w:space="0" w:color="auto"/>
                          </w:divBdr>
                          <w:divsChild>
                            <w:div w:id="2017266017">
                              <w:marLeft w:val="0"/>
                              <w:marRight w:val="0"/>
                              <w:marTop w:val="0"/>
                              <w:marBottom w:val="0"/>
                              <w:divBdr>
                                <w:top w:val="none" w:sz="0" w:space="0" w:color="auto"/>
                                <w:left w:val="none" w:sz="0" w:space="0" w:color="auto"/>
                                <w:bottom w:val="none" w:sz="0" w:space="0" w:color="auto"/>
                                <w:right w:val="none" w:sz="0" w:space="0" w:color="auto"/>
                              </w:divBdr>
                              <w:divsChild>
                                <w:div w:id="1351489390">
                                  <w:marLeft w:val="0"/>
                                  <w:marRight w:val="0"/>
                                  <w:marTop w:val="0"/>
                                  <w:marBottom w:val="0"/>
                                  <w:divBdr>
                                    <w:top w:val="none" w:sz="0" w:space="0" w:color="auto"/>
                                    <w:left w:val="none" w:sz="0" w:space="0" w:color="auto"/>
                                    <w:bottom w:val="none" w:sz="0" w:space="0" w:color="auto"/>
                                    <w:right w:val="none" w:sz="0" w:space="0" w:color="auto"/>
                                  </w:divBdr>
                                  <w:divsChild>
                                    <w:div w:id="521668110">
                                      <w:marLeft w:val="0"/>
                                      <w:marRight w:val="0"/>
                                      <w:marTop w:val="0"/>
                                      <w:marBottom w:val="0"/>
                                      <w:divBdr>
                                        <w:top w:val="none" w:sz="0" w:space="0" w:color="auto"/>
                                        <w:left w:val="none" w:sz="0" w:space="0" w:color="auto"/>
                                        <w:bottom w:val="single" w:sz="6" w:space="3" w:color="DADADA"/>
                                        <w:right w:val="none" w:sz="0" w:space="0" w:color="auto"/>
                                      </w:divBdr>
                                    </w:div>
                                  </w:divsChild>
                                </w:div>
                              </w:divsChild>
                            </w:div>
                          </w:divsChild>
                        </w:div>
                      </w:divsChild>
                    </w:div>
                  </w:divsChild>
                </w:div>
              </w:divsChild>
            </w:div>
          </w:divsChild>
        </w:div>
      </w:divsChild>
    </w:div>
    <w:div w:id="561866497">
      <w:bodyDiv w:val="1"/>
      <w:marLeft w:val="0"/>
      <w:marRight w:val="0"/>
      <w:marTop w:val="0"/>
      <w:marBottom w:val="0"/>
      <w:divBdr>
        <w:top w:val="none" w:sz="0" w:space="0" w:color="auto"/>
        <w:left w:val="none" w:sz="0" w:space="0" w:color="auto"/>
        <w:bottom w:val="none" w:sz="0" w:space="0" w:color="auto"/>
        <w:right w:val="none" w:sz="0" w:space="0" w:color="auto"/>
      </w:divBdr>
      <w:divsChild>
        <w:div w:id="701787992">
          <w:marLeft w:val="0"/>
          <w:marRight w:val="0"/>
          <w:marTop w:val="0"/>
          <w:marBottom w:val="0"/>
          <w:divBdr>
            <w:top w:val="none" w:sz="0" w:space="0" w:color="auto"/>
            <w:left w:val="none" w:sz="0" w:space="0" w:color="auto"/>
            <w:bottom w:val="none" w:sz="0" w:space="0" w:color="auto"/>
            <w:right w:val="none" w:sz="0" w:space="0" w:color="auto"/>
          </w:divBdr>
          <w:divsChild>
            <w:div w:id="42457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261604">
      <w:bodyDiv w:val="1"/>
      <w:marLeft w:val="0"/>
      <w:marRight w:val="0"/>
      <w:marTop w:val="0"/>
      <w:marBottom w:val="0"/>
      <w:divBdr>
        <w:top w:val="none" w:sz="0" w:space="0" w:color="auto"/>
        <w:left w:val="none" w:sz="0" w:space="0" w:color="auto"/>
        <w:bottom w:val="none" w:sz="0" w:space="0" w:color="auto"/>
        <w:right w:val="none" w:sz="0" w:space="0" w:color="auto"/>
      </w:divBdr>
      <w:divsChild>
        <w:div w:id="1651785947">
          <w:marLeft w:val="0"/>
          <w:marRight w:val="0"/>
          <w:marTop w:val="0"/>
          <w:marBottom w:val="0"/>
          <w:divBdr>
            <w:top w:val="none" w:sz="0" w:space="0" w:color="auto"/>
            <w:left w:val="none" w:sz="0" w:space="0" w:color="auto"/>
            <w:bottom w:val="none" w:sz="0" w:space="0" w:color="auto"/>
            <w:right w:val="none" w:sz="0" w:space="0" w:color="auto"/>
          </w:divBdr>
          <w:divsChild>
            <w:div w:id="2124104524">
              <w:marLeft w:val="0"/>
              <w:marRight w:val="0"/>
              <w:marTop w:val="0"/>
              <w:marBottom w:val="0"/>
              <w:divBdr>
                <w:top w:val="none" w:sz="0" w:space="0" w:color="auto"/>
                <w:left w:val="none" w:sz="0" w:space="0" w:color="auto"/>
                <w:bottom w:val="none" w:sz="0" w:space="0" w:color="auto"/>
                <w:right w:val="none" w:sz="0" w:space="0" w:color="auto"/>
              </w:divBdr>
              <w:divsChild>
                <w:div w:id="1900283000">
                  <w:marLeft w:val="-120"/>
                  <w:marRight w:val="-120"/>
                  <w:marTop w:val="0"/>
                  <w:marBottom w:val="0"/>
                  <w:divBdr>
                    <w:top w:val="none" w:sz="0" w:space="0" w:color="auto"/>
                    <w:left w:val="none" w:sz="0" w:space="0" w:color="auto"/>
                    <w:bottom w:val="none" w:sz="0" w:space="0" w:color="auto"/>
                    <w:right w:val="none" w:sz="0" w:space="0" w:color="auto"/>
                  </w:divBdr>
                  <w:divsChild>
                    <w:div w:id="1199658149">
                      <w:marLeft w:val="0"/>
                      <w:marRight w:val="0"/>
                      <w:marTop w:val="0"/>
                      <w:marBottom w:val="0"/>
                      <w:divBdr>
                        <w:top w:val="none" w:sz="0" w:space="0" w:color="auto"/>
                        <w:left w:val="none" w:sz="0" w:space="0" w:color="auto"/>
                        <w:bottom w:val="none" w:sz="0" w:space="0" w:color="auto"/>
                        <w:right w:val="none" w:sz="0" w:space="0" w:color="auto"/>
                      </w:divBdr>
                      <w:divsChild>
                        <w:div w:id="89863787">
                          <w:marLeft w:val="0"/>
                          <w:marRight w:val="0"/>
                          <w:marTop w:val="0"/>
                          <w:marBottom w:val="0"/>
                          <w:divBdr>
                            <w:top w:val="single" w:sz="6" w:space="16" w:color="D4D4D4"/>
                            <w:left w:val="none" w:sz="0" w:space="0" w:color="auto"/>
                            <w:bottom w:val="none" w:sz="0" w:space="0" w:color="auto"/>
                            <w:right w:val="none" w:sz="0" w:space="0" w:color="auto"/>
                          </w:divBdr>
                          <w:divsChild>
                            <w:div w:id="748697637">
                              <w:marLeft w:val="0"/>
                              <w:marRight w:val="0"/>
                              <w:marTop w:val="0"/>
                              <w:marBottom w:val="0"/>
                              <w:divBdr>
                                <w:top w:val="none" w:sz="0" w:space="0" w:color="auto"/>
                                <w:left w:val="none" w:sz="0" w:space="0" w:color="auto"/>
                                <w:bottom w:val="none" w:sz="0" w:space="0" w:color="auto"/>
                                <w:right w:val="none" w:sz="0" w:space="0" w:color="auto"/>
                              </w:divBdr>
                              <w:divsChild>
                                <w:div w:id="220362905">
                                  <w:marLeft w:val="0"/>
                                  <w:marRight w:val="0"/>
                                  <w:marTop w:val="0"/>
                                  <w:marBottom w:val="0"/>
                                  <w:divBdr>
                                    <w:top w:val="none" w:sz="0" w:space="0" w:color="auto"/>
                                    <w:left w:val="none" w:sz="0" w:space="0" w:color="auto"/>
                                    <w:bottom w:val="none" w:sz="0" w:space="0" w:color="auto"/>
                                    <w:right w:val="none" w:sz="0" w:space="0" w:color="auto"/>
                                  </w:divBdr>
                                  <w:divsChild>
                                    <w:div w:id="1964537484">
                                      <w:marLeft w:val="0"/>
                                      <w:marRight w:val="0"/>
                                      <w:marTop w:val="0"/>
                                      <w:marBottom w:val="0"/>
                                      <w:divBdr>
                                        <w:top w:val="none" w:sz="0" w:space="0" w:color="auto"/>
                                        <w:left w:val="none" w:sz="0" w:space="0" w:color="auto"/>
                                        <w:bottom w:val="single" w:sz="6" w:space="3" w:color="DADADA"/>
                                        <w:right w:val="none" w:sz="0" w:space="0" w:color="auto"/>
                                      </w:divBdr>
                                    </w:div>
                                  </w:divsChild>
                                </w:div>
                              </w:divsChild>
                            </w:div>
                          </w:divsChild>
                        </w:div>
                      </w:divsChild>
                    </w:div>
                  </w:divsChild>
                </w:div>
              </w:divsChild>
            </w:div>
          </w:divsChild>
        </w:div>
      </w:divsChild>
    </w:div>
    <w:div w:id="1113674790">
      <w:bodyDiv w:val="1"/>
      <w:marLeft w:val="0"/>
      <w:marRight w:val="0"/>
      <w:marTop w:val="0"/>
      <w:marBottom w:val="0"/>
      <w:divBdr>
        <w:top w:val="none" w:sz="0" w:space="0" w:color="auto"/>
        <w:left w:val="none" w:sz="0" w:space="0" w:color="auto"/>
        <w:bottom w:val="none" w:sz="0" w:space="0" w:color="auto"/>
        <w:right w:val="none" w:sz="0" w:space="0" w:color="auto"/>
      </w:divBdr>
      <w:divsChild>
        <w:div w:id="312412092">
          <w:marLeft w:val="0"/>
          <w:marRight w:val="0"/>
          <w:marTop w:val="0"/>
          <w:marBottom w:val="0"/>
          <w:divBdr>
            <w:top w:val="none" w:sz="0" w:space="0" w:color="auto"/>
            <w:left w:val="none" w:sz="0" w:space="0" w:color="auto"/>
            <w:bottom w:val="none" w:sz="0" w:space="0" w:color="auto"/>
            <w:right w:val="none" w:sz="0" w:space="0" w:color="auto"/>
          </w:divBdr>
        </w:div>
      </w:divsChild>
    </w:div>
    <w:div w:id="1167548957">
      <w:bodyDiv w:val="1"/>
      <w:marLeft w:val="0"/>
      <w:marRight w:val="0"/>
      <w:marTop w:val="0"/>
      <w:marBottom w:val="0"/>
      <w:divBdr>
        <w:top w:val="none" w:sz="0" w:space="0" w:color="auto"/>
        <w:left w:val="none" w:sz="0" w:space="0" w:color="auto"/>
        <w:bottom w:val="none" w:sz="0" w:space="0" w:color="auto"/>
        <w:right w:val="none" w:sz="0" w:space="0" w:color="auto"/>
      </w:divBdr>
    </w:div>
    <w:div w:id="1382362411">
      <w:bodyDiv w:val="1"/>
      <w:marLeft w:val="0"/>
      <w:marRight w:val="0"/>
      <w:marTop w:val="0"/>
      <w:marBottom w:val="0"/>
      <w:divBdr>
        <w:top w:val="none" w:sz="0" w:space="0" w:color="auto"/>
        <w:left w:val="none" w:sz="0" w:space="0" w:color="auto"/>
        <w:bottom w:val="none" w:sz="0" w:space="0" w:color="auto"/>
        <w:right w:val="none" w:sz="0" w:space="0" w:color="auto"/>
      </w:divBdr>
      <w:divsChild>
        <w:div w:id="1366712479">
          <w:marLeft w:val="0"/>
          <w:marRight w:val="0"/>
          <w:marTop w:val="0"/>
          <w:marBottom w:val="0"/>
          <w:divBdr>
            <w:top w:val="none" w:sz="0" w:space="0" w:color="auto"/>
            <w:left w:val="none" w:sz="0" w:space="0" w:color="auto"/>
            <w:bottom w:val="none" w:sz="0" w:space="0" w:color="auto"/>
            <w:right w:val="none" w:sz="0" w:space="0" w:color="auto"/>
          </w:divBdr>
          <w:divsChild>
            <w:div w:id="119716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25549">
      <w:bodyDiv w:val="1"/>
      <w:marLeft w:val="0"/>
      <w:marRight w:val="0"/>
      <w:marTop w:val="0"/>
      <w:marBottom w:val="0"/>
      <w:divBdr>
        <w:top w:val="none" w:sz="0" w:space="0" w:color="auto"/>
        <w:left w:val="none" w:sz="0" w:space="0" w:color="auto"/>
        <w:bottom w:val="none" w:sz="0" w:space="0" w:color="auto"/>
        <w:right w:val="none" w:sz="0" w:space="0" w:color="auto"/>
      </w:divBdr>
      <w:divsChild>
        <w:div w:id="1163886480">
          <w:marLeft w:val="0"/>
          <w:marRight w:val="0"/>
          <w:marTop w:val="0"/>
          <w:marBottom w:val="0"/>
          <w:divBdr>
            <w:top w:val="none" w:sz="0" w:space="0" w:color="auto"/>
            <w:left w:val="none" w:sz="0" w:space="0" w:color="auto"/>
            <w:bottom w:val="none" w:sz="0" w:space="0" w:color="auto"/>
            <w:right w:val="none" w:sz="0" w:space="0" w:color="auto"/>
          </w:divBdr>
          <w:divsChild>
            <w:div w:id="2014608363">
              <w:marLeft w:val="0"/>
              <w:marRight w:val="0"/>
              <w:marTop w:val="0"/>
              <w:marBottom w:val="0"/>
              <w:divBdr>
                <w:top w:val="none" w:sz="0" w:space="0" w:color="auto"/>
                <w:left w:val="none" w:sz="0" w:space="0" w:color="auto"/>
                <w:bottom w:val="none" w:sz="0" w:space="0" w:color="auto"/>
                <w:right w:val="none" w:sz="0" w:space="0" w:color="auto"/>
              </w:divBdr>
            </w:div>
            <w:div w:id="455442218">
              <w:marLeft w:val="0"/>
              <w:marRight w:val="0"/>
              <w:marTop w:val="0"/>
              <w:marBottom w:val="0"/>
              <w:divBdr>
                <w:top w:val="none" w:sz="0" w:space="0" w:color="auto"/>
                <w:left w:val="none" w:sz="0" w:space="0" w:color="auto"/>
                <w:bottom w:val="none" w:sz="0" w:space="0" w:color="auto"/>
                <w:right w:val="none" w:sz="0" w:space="0" w:color="auto"/>
              </w:divBdr>
            </w:div>
            <w:div w:id="155390640">
              <w:marLeft w:val="0"/>
              <w:marRight w:val="0"/>
              <w:marTop w:val="0"/>
              <w:marBottom w:val="0"/>
              <w:divBdr>
                <w:top w:val="none" w:sz="0" w:space="0" w:color="auto"/>
                <w:left w:val="none" w:sz="0" w:space="0" w:color="auto"/>
                <w:bottom w:val="none" w:sz="0" w:space="0" w:color="auto"/>
                <w:right w:val="none" w:sz="0" w:space="0" w:color="auto"/>
              </w:divBdr>
            </w:div>
            <w:div w:id="171726839">
              <w:marLeft w:val="0"/>
              <w:marRight w:val="0"/>
              <w:marTop w:val="0"/>
              <w:marBottom w:val="0"/>
              <w:divBdr>
                <w:top w:val="none" w:sz="0" w:space="0" w:color="auto"/>
                <w:left w:val="none" w:sz="0" w:space="0" w:color="auto"/>
                <w:bottom w:val="none" w:sz="0" w:space="0" w:color="auto"/>
                <w:right w:val="none" w:sz="0" w:space="0" w:color="auto"/>
              </w:divBdr>
            </w:div>
            <w:div w:id="1398017550">
              <w:marLeft w:val="0"/>
              <w:marRight w:val="0"/>
              <w:marTop w:val="0"/>
              <w:marBottom w:val="0"/>
              <w:divBdr>
                <w:top w:val="none" w:sz="0" w:space="0" w:color="auto"/>
                <w:left w:val="none" w:sz="0" w:space="0" w:color="auto"/>
                <w:bottom w:val="none" w:sz="0" w:space="0" w:color="auto"/>
                <w:right w:val="none" w:sz="0" w:space="0" w:color="auto"/>
              </w:divBdr>
            </w:div>
            <w:div w:id="807477913">
              <w:marLeft w:val="0"/>
              <w:marRight w:val="0"/>
              <w:marTop w:val="0"/>
              <w:marBottom w:val="0"/>
              <w:divBdr>
                <w:top w:val="none" w:sz="0" w:space="0" w:color="auto"/>
                <w:left w:val="none" w:sz="0" w:space="0" w:color="auto"/>
                <w:bottom w:val="none" w:sz="0" w:space="0" w:color="auto"/>
                <w:right w:val="none" w:sz="0" w:space="0" w:color="auto"/>
              </w:divBdr>
            </w:div>
            <w:div w:id="1316836778">
              <w:marLeft w:val="0"/>
              <w:marRight w:val="0"/>
              <w:marTop w:val="0"/>
              <w:marBottom w:val="0"/>
              <w:divBdr>
                <w:top w:val="none" w:sz="0" w:space="0" w:color="auto"/>
                <w:left w:val="none" w:sz="0" w:space="0" w:color="auto"/>
                <w:bottom w:val="none" w:sz="0" w:space="0" w:color="auto"/>
                <w:right w:val="none" w:sz="0" w:space="0" w:color="auto"/>
              </w:divBdr>
            </w:div>
            <w:div w:id="49043496">
              <w:marLeft w:val="0"/>
              <w:marRight w:val="0"/>
              <w:marTop w:val="0"/>
              <w:marBottom w:val="0"/>
              <w:divBdr>
                <w:top w:val="none" w:sz="0" w:space="0" w:color="auto"/>
                <w:left w:val="none" w:sz="0" w:space="0" w:color="auto"/>
                <w:bottom w:val="none" w:sz="0" w:space="0" w:color="auto"/>
                <w:right w:val="none" w:sz="0" w:space="0" w:color="auto"/>
              </w:divBdr>
            </w:div>
            <w:div w:id="38522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840269">
      <w:bodyDiv w:val="1"/>
      <w:marLeft w:val="0"/>
      <w:marRight w:val="0"/>
      <w:marTop w:val="0"/>
      <w:marBottom w:val="0"/>
      <w:divBdr>
        <w:top w:val="none" w:sz="0" w:space="0" w:color="auto"/>
        <w:left w:val="none" w:sz="0" w:space="0" w:color="auto"/>
        <w:bottom w:val="none" w:sz="0" w:space="0" w:color="auto"/>
        <w:right w:val="none" w:sz="0" w:space="0" w:color="auto"/>
      </w:divBdr>
    </w:div>
    <w:div w:id="1740863583">
      <w:bodyDiv w:val="1"/>
      <w:marLeft w:val="0"/>
      <w:marRight w:val="0"/>
      <w:marTop w:val="0"/>
      <w:marBottom w:val="0"/>
      <w:divBdr>
        <w:top w:val="none" w:sz="0" w:space="0" w:color="auto"/>
        <w:left w:val="none" w:sz="0" w:space="0" w:color="auto"/>
        <w:bottom w:val="none" w:sz="0" w:space="0" w:color="auto"/>
        <w:right w:val="none" w:sz="0" w:space="0" w:color="auto"/>
      </w:divBdr>
      <w:divsChild>
        <w:div w:id="1352296875">
          <w:marLeft w:val="0"/>
          <w:marRight w:val="0"/>
          <w:marTop w:val="0"/>
          <w:marBottom w:val="0"/>
          <w:divBdr>
            <w:top w:val="none" w:sz="0" w:space="0" w:color="auto"/>
            <w:left w:val="none" w:sz="0" w:space="0" w:color="auto"/>
            <w:bottom w:val="none" w:sz="0" w:space="0" w:color="auto"/>
            <w:right w:val="none" w:sz="0" w:space="0" w:color="auto"/>
          </w:divBdr>
          <w:divsChild>
            <w:div w:id="748381436">
              <w:marLeft w:val="0"/>
              <w:marRight w:val="0"/>
              <w:marTop w:val="0"/>
              <w:marBottom w:val="0"/>
              <w:divBdr>
                <w:top w:val="none" w:sz="0" w:space="0" w:color="auto"/>
                <w:left w:val="none" w:sz="0" w:space="0" w:color="auto"/>
                <w:bottom w:val="none" w:sz="0" w:space="0" w:color="auto"/>
                <w:right w:val="none" w:sz="0" w:space="0" w:color="auto"/>
              </w:divBdr>
              <w:divsChild>
                <w:div w:id="930895829">
                  <w:marLeft w:val="-120"/>
                  <w:marRight w:val="-120"/>
                  <w:marTop w:val="0"/>
                  <w:marBottom w:val="0"/>
                  <w:divBdr>
                    <w:top w:val="none" w:sz="0" w:space="0" w:color="auto"/>
                    <w:left w:val="none" w:sz="0" w:space="0" w:color="auto"/>
                    <w:bottom w:val="none" w:sz="0" w:space="0" w:color="auto"/>
                    <w:right w:val="none" w:sz="0" w:space="0" w:color="auto"/>
                  </w:divBdr>
                  <w:divsChild>
                    <w:div w:id="310254035">
                      <w:marLeft w:val="0"/>
                      <w:marRight w:val="0"/>
                      <w:marTop w:val="0"/>
                      <w:marBottom w:val="0"/>
                      <w:divBdr>
                        <w:top w:val="none" w:sz="0" w:space="0" w:color="auto"/>
                        <w:left w:val="none" w:sz="0" w:space="0" w:color="auto"/>
                        <w:bottom w:val="none" w:sz="0" w:space="0" w:color="auto"/>
                        <w:right w:val="none" w:sz="0" w:space="0" w:color="auto"/>
                      </w:divBdr>
                      <w:divsChild>
                        <w:div w:id="711345264">
                          <w:marLeft w:val="0"/>
                          <w:marRight w:val="0"/>
                          <w:marTop w:val="0"/>
                          <w:marBottom w:val="0"/>
                          <w:divBdr>
                            <w:top w:val="single" w:sz="6" w:space="16" w:color="D4D4D4"/>
                            <w:left w:val="none" w:sz="0" w:space="0" w:color="auto"/>
                            <w:bottom w:val="none" w:sz="0" w:space="0" w:color="auto"/>
                            <w:right w:val="none" w:sz="0" w:space="0" w:color="auto"/>
                          </w:divBdr>
                          <w:divsChild>
                            <w:div w:id="1755741898">
                              <w:marLeft w:val="0"/>
                              <w:marRight w:val="0"/>
                              <w:marTop w:val="0"/>
                              <w:marBottom w:val="0"/>
                              <w:divBdr>
                                <w:top w:val="none" w:sz="0" w:space="0" w:color="auto"/>
                                <w:left w:val="none" w:sz="0" w:space="0" w:color="auto"/>
                                <w:bottom w:val="none" w:sz="0" w:space="0" w:color="auto"/>
                                <w:right w:val="none" w:sz="0" w:space="0" w:color="auto"/>
                              </w:divBdr>
                              <w:divsChild>
                                <w:div w:id="1467355153">
                                  <w:marLeft w:val="0"/>
                                  <w:marRight w:val="0"/>
                                  <w:marTop w:val="0"/>
                                  <w:marBottom w:val="0"/>
                                  <w:divBdr>
                                    <w:top w:val="none" w:sz="0" w:space="0" w:color="auto"/>
                                    <w:left w:val="none" w:sz="0" w:space="0" w:color="auto"/>
                                    <w:bottom w:val="none" w:sz="0" w:space="0" w:color="auto"/>
                                    <w:right w:val="none" w:sz="0" w:space="0" w:color="auto"/>
                                  </w:divBdr>
                                  <w:divsChild>
                                    <w:div w:id="817383591">
                                      <w:marLeft w:val="0"/>
                                      <w:marRight w:val="0"/>
                                      <w:marTop w:val="0"/>
                                      <w:marBottom w:val="0"/>
                                      <w:divBdr>
                                        <w:top w:val="none" w:sz="0" w:space="0" w:color="auto"/>
                                        <w:left w:val="none" w:sz="0" w:space="0" w:color="auto"/>
                                        <w:bottom w:val="single" w:sz="6" w:space="3" w:color="DADADA"/>
                                        <w:right w:val="none" w:sz="0" w:space="0" w:color="auto"/>
                                      </w:divBdr>
                                    </w:div>
                                  </w:divsChild>
                                </w:div>
                              </w:divsChild>
                            </w:div>
                          </w:divsChild>
                        </w:div>
                      </w:divsChild>
                    </w:div>
                  </w:divsChild>
                </w:div>
              </w:divsChild>
            </w:div>
          </w:divsChild>
        </w:div>
      </w:divsChild>
    </w:div>
    <w:div w:id="1860241235">
      <w:bodyDiv w:val="1"/>
      <w:marLeft w:val="0"/>
      <w:marRight w:val="0"/>
      <w:marTop w:val="0"/>
      <w:marBottom w:val="0"/>
      <w:divBdr>
        <w:top w:val="none" w:sz="0" w:space="0" w:color="auto"/>
        <w:left w:val="none" w:sz="0" w:space="0" w:color="auto"/>
        <w:bottom w:val="none" w:sz="0" w:space="0" w:color="auto"/>
        <w:right w:val="none" w:sz="0" w:space="0" w:color="auto"/>
      </w:divBdr>
    </w:div>
    <w:div w:id="1945336585">
      <w:bodyDiv w:val="1"/>
      <w:marLeft w:val="0"/>
      <w:marRight w:val="0"/>
      <w:marTop w:val="0"/>
      <w:marBottom w:val="0"/>
      <w:divBdr>
        <w:top w:val="none" w:sz="0" w:space="0" w:color="auto"/>
        <w:left w:val="none" w:sz="0" w:space="0" w:color="auto"/>
        <w:bottom w:val="none" w:sz="0" w:space="0" w:color="auto"/>
        <w:right w:val="none" w:sz="0" w:space="0" w:color="auto"/>
      </w:divBdr>
      <w:divsChild>
        <w:div w:id="1176307338">
          <w:marLeft w:val="0"/>
          <w:marRight w:val="0"/>
          <w:marTop w:val="0"/>
          <w:marBottom w:val="0"/>
          <w:divBdr>
            <w:top w:val="none" w:sz="0" w:space="0" w:color="auto"/>
            <w:left w:val="none" w:sz="0" w:space="0" w:color="auto"/>
            <w:bottom w:val="none" w:sz="0" w:space="0" w:color="auto"/>
            <w:right w:val="none" w:sz="0" w:space="0" w:color="auto"/>
          </w:divBdr>
          <w:divsChild>
            <w:div w:id="37211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760/etd.744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5760/etd.74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DFE26-EF7D-D84C-A8B3-1F04678A9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5</Pages>
  <Words>2076</Words>
  <Characters>11235</Characters>
  <Application>Microsoft Office Word</Application>
  <DocSecurity>0</DocSecurity>
  <Lines>170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2025-03-08T09:37:00Z</dcterms:created>
  <dcterms:modified xsi:type="dcterms:W3CDTF">2025-03-10T18:32:00Z</dcterms:modified>
</cp:coreProperties>
</file>