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295D54">
        <w:t>ISLAM SATIR</w:t>
      </w:r>
    </w:p>
    <w:p w:rsidR="007E4409" w:rsidRDefault="00435C42">
      <w:r>
        <w:t>PC 6836</w:t>
      </w:r>
      <w:r w:rsidR="00E41B08">
        <w:t xml:space="preserve"> - </w:t>
      </w:r>
      <w:r w:rsidR="007E4409">
        <w:t>South Wales Police</w:t>
      </w:r>
    </w:p>
    <w:p w:rsidR="00390F03" w:rsidRDefault="007E4409">
      <w:r>
        <w:t xml:space="preserve">Student Number: </w:t>
      </w:r>
      <w:r w:rsidR="00B67A28">
        <w:t>2023917</w:t>
      </w:r>
    </w:p>
    <w:p w:rsidR="007E4409" w:rsidRDefault="00435C42">
      <w:r>
        <w:t>Exam 2</w:t>
      </w:r>
      <w:r w:rsidR="00544969">
        <w:t xml:space="preserve"> – </w:t>
      </w:r>
      <w:r>
        <w:t>01/06</w:t>
      </w:r>
      <w:r w:rsidR="00771E8D">
        <w:t>/2021</w:t>
      </w:r>
    </w:p>
    <w:p w:rsidR="00682F3B" w:rsidRDefault="00682F3B"/>
    <w:p w:rsidR="00682F3B" w:rsidRDefault="00682F3B">
      <w:r>
        <w:t>Question 1</w:t>
      </w:r>
    </w:p>
    <w:p w:rsidR="00682F3B" w:rsidRDefault="00F0685D">
      <w:r>
        <w:t>A constable may stop any vehicles on a public road if he/she has reasonable grounds to believe that the driver of the motor vehicle is carrying out an offence.</w:t>
      </w:r>
    </w:p>
    <w:p w:rsidR="00295D54" w:rsidRDefault="00295D54"/>
    <w:p w:rsidR="00682F3B" w:rsidRDefault="00682F3B"/>
    <w:p w:rsidR="00682F3B" w:rsidRDefault="00682F3B">
      <w:r>
        <w:t>Question 2</w:t>
      </w:r>
    </w:p>
    <w:p w:rsidR="00682F3B" w:rsidRDefault="00F0685D">
      <w:r>
        <w:t>Section 6 of the Road Traffic Act 1988, allows a police constable in uniform to conduct a preliminary test as he/she suspects that the driver has committed an offence. Section 6 (4) ensures that the constable has the powers to conduct the test with regards to potential drink or drugs.</w:t>
      </w:r>
    </w:p>
    <w:p w:rsidR="00295D54" w:rsidRDefault="00295D54"/>
    <w:p w:rsidR="00682F3B" w:rsidRDefault="00682F3B"/>
    <w:p w:rsidR="00682F3B" w:rsidRDefault="00682F3B" w:rsidP="00682F3B">
      <w:r>
        <w:t>Question 3</w:t>
      </w:r>
    </w:p>
    <w:p w:rsidR="00682F3B" w:rsidRDefault="00F0685D">
      <w:r>
        <w:t xml:space="preserve">A person who is driving a motor vehicle without due care and attention or reasonable consideration for other persons on the public road </w:t>
      </w:r>
      <w:r w:rsidR="00AE32CB">
        <w:t xml:space="preserve">or highway </w:t>
      </w:r>
      <w:r>
        <w:t>will be guilty of an offence.</w:t>
      </w:r>
    </w:p>
    <w:p w:rsidR="00295D54" w:rsidRDefault="00295D54"/>
    <w:p w:rsidR="00682F3B" w:rsidRDefault="00682F3B"/>
    <w:p w:rsidR="00682F3B" w:rsidRDefault="00682F3B" w:rsidP="00682F3B">
      <w:r>
        <w:t>Question 4</w:t>
      </w:r>
    </w:p>
    <w:p w:rsidR="00682F3B" w:rsidRDefault="00F0685D">
      <w:r>
        <w:t xml:space="preserve">The effective use of roads policing powers can help in reducing the wider unlawful activity of criminals, through, for example, in the case of section </w:t>
      </w:r>
      <w:r w:rsidR="0075483B">
        <w:t>4 of the Road Traffic Act 1988, if an officer has reasonable suspicion that the driver is under the influence of drink/drugs, and from section 6 of the Road Traffic Act 1988 finds that the driver is not within the legal remits, then that could hinder wider drug operations involving criminal gangs who may exploit young people.</w:t>
      </w:r>
    </w:p>
    <w:p w:rsidR="00295D54" w:rsidRDefault="00295D54"/>
    <w:p w:rsidR="00682F3B" w:rsidRDefault="00682F3B"/>
    <w:p w:rsidR="00682F3B" w:rsidRDefault="00682F3B" w:rsidP="00682F3B">
      <w:r>
        <w:t>Question 5</w:t>
      </w:r>
    </w:p>
    <w:p w:rsidR="00682F3B" w:rsidRDefault="00751B75">
      <w:r>
        <w:t>Section 165A of the Road Traffic Act 1988, gives powers to a police constable if they believe it is necessary to seize a motor vehicle as they belive the driver of the motor vehicle or the vehicle itself is involved in an offence.</w:t>
      </w:r>
    </w:p>
    <w:p w:rsidR="00295D54" w:rsidRDefault="00295D54"/>
    <w:p w:rsidR="00682F3B" w:rsidRDefault="00682F3B"/>
    <w:p w:rsidR="00682F3B" w:rsidRDefault="00682F3B" w:rsidP="00682F3B">
      <w:r>
        <w:t>Question 6</w:t>
      </w:r>
    </w:p>
    <w:p w:rsidR="00682F3B" w:rsidRDefault="00751B75">
      <w:r>
        <w:t xml:space="preserve">According to section 170 (1) of the Road Traffic Act 1988, a persons involved in a reportable road traffic collision must exchange details with other involved in that collision. Therefore, if a person is involved in an accident and the driver of the other vehicle requires the insurance details, name and other details of his, it is an offence for that person to just drive off from the incident. </w:t>
      </w:r>
    </w:p>
    <w:p w:rsidR="00295D54" w:rsidRDefault="00295D54"/>
    <w:p w:rsidR="00682F3B" w:rsidRDefault="00682F3B"/>
    <w:p w:rsidR="00682F3B" w:rsidRDefault="00682F3B" w:rsidP="00682F3B">
      <w:r>
        <w:t>Question 7</w:t>
      </w:r>
    </w:p>
    <w:p w:rsidR="00682F3B" w:rsidRDefault="00F0685D">
      <w:r>
        <w:t>A Family Liaison Officer (FLO), although part of the police, acts as a bridge between the investigation of the case of a family member, and the members of the family themselves</w:t>
      </w:r>
      <w:r w:rsidR="00CD32D1">
        <w:t>, for example</w:t>
      </w:r>
      <w:r>
        <w:t xml:space="preserve">. This includes updating, for example, the next of kin or closest family members on the process of the investigation, how the police may be able to help the family in coping with the loss of a loved one, and ensuring that the key events and potential events that could occur from the investigation are all explained appropriately to the family involved. </w:t>
      </w:r>
      <w:r w:rsidR="005A63C8">
        <w:t xml:space="preserve">An </w:t>
      </w:r>
      <w:r w:rsidR="00CD32D1">
        <w:t xml:space="preserve">FLO supports the family of individual who may have passed away by working with the family members to get a better insight as to how an incident may have occurred through building a rapport with the family and understanding their situation. </w:t>
      </w:r>
    </w:p>
    <w:p w:rsidR="00295D54" w:rsidRDefault="00295D54"/>
    <w:p w:rsidR="00682F3B" w:rsidRDefault="00682F3B"/>
    <w:p w:rsidR="00682F3B" w:rsidRDefault="00682F3B" w:rsidP="00682F3B">
      <w:r>
        <w:t>Question 8</w:t>
      </w:r>
    </w:p>
    <w:p w:rsidR="00682F3B" w:rsidRDefault="008E58A6">
      <w:r>
        <w:t xml:space="preserve">Section 170 of the Road Traffic Act </w:t>
      </w:r>
      <w:r w:rsidR="00146326">
        <w:t xml:space="preserve">1988 </w:t>
      </w:r>
      <w:r>
        <w:t>states that the responsibility is solely with the drivers of the vehicles involved in a reportable road traffic collision, therefore, if a reportable road traffic collision occurs, they (the drivers) must exchange details, such as that of insurance details to ensure that the matter is dealt with appropriately. As it is an offence for t</w:t>
      </w:r>
      <w:r w:rsidR="00F43548">
        <w:t xml:space="preserve">he drivers involved to just leave the scene, if someone has reasonable grounds to receive details from them, whether that be a police constable or someone who has just been involved in a road traffic collision with them. </w:t>
      </w:r>
    </w:p>
    <w:p w:rsidR="00295D54" w:rsidRDefault="00295D54"/>
    <w:p w:rsidR="00682F3B" w:rsidRDefault="00682F3B"/>
    <w:p w:rsidR="00682F3B" w:rsidRDefault="00682F3B" w:rsidP="00682F3B">
      <w:r>
        <w:t>Question 9</w:t>
      </w:r>
    </w:p>
    <w:p w:rsidR="00682F3B" w:rsidRDefault="00146326">
      <w:r>
        <w:t>Under Section 6E of the Road Traffic Act 1988, a constable has the power to enter a house and deal with a driver for the offence of driving whilst over the prescribed limit, if he/she has reasonable grounds to believe that further harm may be caused due to this, such as potential life or limb being at risk, or the driver leaving his house to drive again whilst over the prescribed limit.</w:t>
      </w:r>
    </w:p>
    <w:p w:rsidR="00295D54" w:rsidRDefault="00295D54"/>
    <w:p w:rsidR="00682F3B" w:rsidRDefault="00682F3B"/>
    <w:p w:rsidR="00682F3B" w:rsidRDefault="00682F3B" w:rsidP="00682F3B">
      <w:r>
        <w:t>Question 10</w:t>
      </w:r>
    </w:p>
    <w:p w:rsidR="00682F3B" w:rsidRDefault="006C3BAF">
      <w:r>
        <w:t xml:space="preserve">A person is guilty of this offence if they drive a motor vehicle on a public road or highway which result in death by dangerous driving of another person </w:t>
      </w:r>
      <w:r w:rsidR="00E02B6E">
        <w:t>on public road.</w:t>
      </w:r>
    </w:p>
    <w:p w:rsidR="00295D54" w:rsidRDefault="00295D54"/>
    <w:p w:rsidR="00682F3B" w:rsidRDefault="00682F3B"/>
    <w:p w:rsidR="00682F3B" w:rsidRDefault="00682F3B" w:rsidP="00682F3B">
      <w:r>
        <w:t>Question 11</w:t>
      </w:r>
    </w:p>
    <w:p w:rsidR="00682F3B" w:rsidRDefault="00717A05">
      <w:r>
        <w:t xml:space="preserve">108mg per 100ml of alcohol </w:t>
      </w:r>
    </w:p>
    <w:p w:rsidR="00295D54" w:rsidRDefault="00717A05">
      <w:r>
        <w:t>30mg per 100ml of blood</w:t>
      </w:r>
    </w:p>
    <w:p w:rsidR="00682F3B" w:rsidRDefault="00EE308D">
      <w:r>
        <w:t>2mg of cannabis</w:t>
      </w:r>
    </w:p>
    <w:p w:rsidR="0019438E" w:rsidRDefault="0019438E" w:rsidP="00682F3B"/>
    <w:p w:rsidR="00682F3B" w:rsidRDefault="00682F3B" w:rsidP="00682F3B">
      <w:r>
        <w:t>Question 12</w:t>
      </w:r>
    </w:p>
    <w:p w:rsidR="00717A05" w:rsidRDefault="00717A05">
      <w:r>
        <w:t>The role of any ‘relevant other’ people who should/could be present during a suspect interview, could include a solicitor who may advise their clients, an interpreter who may help suspects understand the questions more effectively in a suspect’s preferred language, or more clearly in another language the suspect understands/speaks. An approporiate adult may also be necessary if a suspect has difficulties understanding</w:t>
      </w:r>
      <w:r w:rsidR="0007005C">
        <w:t>, which could be a family or friend, or someone such as a person who could help people with learning difficulties as they may not understand the questions p</w:t>
      </w:r>
      <w:r w:rsidR="0019438E">
        <w:t xml:space="preserve">ut to them by the police to a full </w:t>
      </w:r>
      <w:r w:rsidR="00D809DB">
        <w:t xml:space="preserve">extent, as some people may also have certain deficiencies physically and/or mentally. </w:t>
      </w:r>
    </w:p>
    <w:p w:rsidR="00295D54" w:rsidRDefault="00295D54"/>
    <w:p w:rsidR="00682F3B" w:rsidRDefault="00682F3B"/>
    <w:p w:rsidR="00682F3B" w:rsidRDefault="00682F3B" w:rsidP="00682F3B">
      <w:r>
        <w:t>Question 13</w:t>
      </w:r>
    </w:p>
    <w:p w:rsidR="00682F3B" w:rsidRDefault="00E17CD3">
      <w:r>
        <w:t>The nationa</w:t>
      </w:r>
      <w:r w:rsidR="00BD18BC">
        <w:t>l</w:t>
      </w:r>
      <w:r>
        <w:t xml:space="preserve"> police interviewing models provide police officers a guide and structure as to how officer may plan thier interviews. This includes the PEACE model for interviewing. This involved planning and preparation for said interview as officers may have to familiarise themselves with a case they may not have dealt with, engage and explain which allows officers to work with the individuals and get a better understanding of situations, account allows officers to gain the accounts from the viewpoints of the interviewee</w:t>
      </w:r>
      <w:r w:rsidR="005B2DEA">
        <w:t>, challenge involves the officer challenging any potential inconsistencies the officer may find from the interview. Whilst evaluation refers to how the officer may view the interview that he/she has conducted and how they may feel they could improve their interviews for the next time.</w:t>
      </w:r>
    </w:p>
    <w:p w:rsidR="00295D54" w:rsidRDefault="00295D54"/>
    <w:p w:rsidR="00682F3B" w:rsidRDefault="00682F3B"/>
    <w:p w:rsidR="00682F3B" w:rsidRDefault="00682F3B" w:rsidP="00682F3B">
      <w:r>
        <w:t>Question 14</w:t>
      </w:r>
    </w:p>
    <w:p w:rsidR="00682F3B" w:rsidRDefault="0015570A">
      <w:r>
        <w:t>Controlling or coercive behaviour in an intimate or family relationship contrary to section 76 of the Serious Crime Act 2015, involves behaviours of a controlling or coercive behaviour which includes preventing a victim from seeing family and/or friends, making it difficult for them economically through economic abuse, such as preventing them from getting a job, or when they get paid from a job, preventing them from being the owner of the money. For this to occur the person has to be 16 years or over and have an intimate or family relationship with the perpertartor, although the sex or gender of the perpetrator may not always be relevant.</w:t>
      </w:r>
    </w:p>
    <w:p w:rsidR="000948F8" w:rsidRDefault="000948F8">
      <w:r>
        <w:t>Coercive control takes a greater look at the mental and emotional side of the abuse which may be more difficult for some to see.</w:t>
      </w:r>
    </w:p>
    <w:p w:rsidR="00295D54" w:rsidRDefault="00295D54"/>
    <w:p w:rsidR="00682F3B" w:rsidRDefault="00682F3B"/>
    <w:p w:rsidR="00682F3B" w:rsidRDefault="00682F3B" w:rsidP="00682F3B">
      <w:r>
        <w:t>Question 15</w:t>
      </w:r>
    </w:p>
    <w:p w:rsidR="00682F3B" w:rsidRDefault="00FA4949">
      <w:r>
        <w:t>The relative</w:t>
      </w:r>
      <w:r w:rsidR="000948F8">
        <w:t>ly</w:t>
      </w:r>
      <w:r>
        <w:t xml:space="preserve"> new offence of ‘coercive control’ is so important as it takes into account the wider context and implications which occur from abuse, as this may not always involve physical abuse which are more noticeable by other individuals, as coercive control also entails the mental and emotional aspect of abuse which may be more difficult to view but could act as precursors for wider physical abuse in the future. </w:t>
      </w:r>
      <w:r w:rsidR="0031231E">
        <w:t xml:space="preserve">Coercive control includes victim blaming, emotional abuse, abuse in general and could also include or lead to physical abuse. </w:t>
      </w:r>
    </w:p>
    <w:p w:rsidR="00295D54" w:rsidRDefault="00295D54"/>
    <w:p w:rsidR="00682F3B" w:rsidRDefault="00682F3B"/>
    <w:p w:rsidR="00682F3B" w:rsidRDefault="00682F3B" w:rsidP="00682F3B">
      <w:r>
        <w:t>Question 16</w:t>
      </w:r>
    </w:p>
    <w:p w:rsidR="00682F3B" w:rsidRDefault="00751B75">
      <w:r>
        <w:t>Under section 46 of the Children Act 1989, if a constable believes  a child could suffer significant harm due to their circumstances, they will be able to remove the child from that situation and take them to a safe environment. For example, through the police working with other agencies such as schools and social services, they may deem it necessary that a child is at significant harm.</w:t>
      </w:r>
    </w:p>
    <w:p w:rsidR="00295D54" w:rsidRDefault="00295D54"/>
    <w:p w:rsidR="00682F3B" w:rsidRDefault="00682F3B"/>
    <w:p w:rsidR="00682F3B" w:rsidRDefault="00682F3B" w:rsidP="00682F3B">
      <w:r>
        <w:t>Question 17</w:t>
      </w:r>
    </w:p>
    <w:p w:rsidR="00682F3B" w:rsidRDefault="003F16C8">
      <w:r>
        <w:t>According to section 1 of the Children and Young Persons Act 1933, it is an offence for any individual to be treated cruelly, which includes not only physical abuse, but also mental and emotional abuse. This also includes preve</w:t>
      </w:r>
      <w:r w:rsidR="00BE38DD">
        <w:t>n</w:t>
      </w:r>
      <w:r>
        <w:t>ting or failing to provide meals for the child.</w:t>
      </w:r>
    </w:p>
    <w:p w:rsidR="00295D54" w:rsidRDefault="00295D54"/>
    <w:p w:rsidR="00682F3B" w:rsidRDefault="00682F3B"/>
    <w:p w:rsidR="00682F3B" w:rsidRDefault="00682F3B" w:rsidP="00682F3B">
      <w:r>
        <w:t>Question 18</w:t>
      </w:r>
    </w:p>
    <w:p w:rsidR="00682F3B" w:rsidRDefault="003F16C8">
      <w:r>
        <w:t xml:space="preserve">The risk identification in relation to domestic abuse includes viewing whether the victim is a repeat victim, which involves them reporting to the police on more than one occasion being a victim of domestic abuse over a rolling 12 month period. Other risk identifications include viewing the previous history of the victim and the suspect. </w:t>
      </w:r>
    </w:p>
    <w:p w:rsidR="003F16C8" w:rsidRDefault="003F16C8">
      <w:r>
        <w:t>If an officer views them as vulnerable, then a public protection notice would also be carried out, as through this the designated units can act more thoroughly to deal and mange the situation.</w:t>
      </w:r>
    </w:p>
    <w:p w:rsidR="003F16C8" w:rsidRDefault="003F16C8">
      <w:r>
        <w:t>For example, a domestic violence protection order may be handed to the suspect after they are arrested and interviewed which would prevent them from being at certain address for up to 48 hours, while a domestic violence protection order could also be ordered by the court to prevent the suspect from going to a specified address for up to 28 days.</w:t>
      </w:r>
    </w:p>
    <w:p w:rsidR="00295D54" w:rsidRDefault="00295D54"/>
    <w:p w:rsidR="00682F3B" w:rsidRDefault="00682F3B"/>
    <w:p w:rsidR="00682F3B" w:rsidRDefault="00682F3B" w:rsidP="00682F3B">
      <w:r>
        <w:t>Question 19</w:t>
      </w:r>
    </w:p>
    <w:p w:rsidR="00682F3B" w:rsidRDefault="009B402E">
      <w:r>
        <w:t xml:space="preserve">A public protection notice (PPN) would carried out on a individual if the officer(s) involves believe that they are a vulnerable victim in the given case, this may include victims of domestic abuse, sexual assault, rape, hate crime to name a few. </w:t>
      </w:r>
      <w:r w:rsidR="00884071">
        <w:t>The officer carrying out the PPN must decide if the victim’s risk from harm is standard, medium, or high. The PPN ensures that the victim in their own words can answer the questions and explain how they feel and how it has impacted them.</w:t>
      </w:r>
    </w:p>
    <w:p w:rsidR="00295D54" w:rsidRDefault="00295D54"/>
    <w:p w:rsidR="00682F3B" w:rsidRDefault="00682F3B"/>
    <w:p w:rsidR="00682F3B" w:rsidRDefault="00682F3B" w:rsidP="00682F3B">
      <w:r>
        <w:t>Question 20</w:t>
      </w:r>
    </w:p>
    <w:p w:rsidR="00682F3B" w:rsidRDefault="00B95C3D">
      <w:r>
        <w:t xml:space="preserve">A Domestic Violence Protection Notice can be applied by the officer in charge, but must have gained approval from a senior officer of rank of superintendent or higher. For example, if after arresting and interviewing a suspect you have to release him/her, and still believe those at a specified address could be still at risk, then the DVPN can be applied and has an effect of up to 48hours to prevent the suspect from going to that specified address for up to 48 hours. </w:t>
      </w:r>
    </w:p>
    <w:p w:rsidR="00295D54" w:rsidRDefault="00295D54"/>
    <w:p w:rsidR="00682F3B" w:rsidRDefault="00682F3B"/>
    <w:p w:rsidR="00682F3B" w:rsidRDefault="00682F3B" w:rsidP="00682F3B">
      <w:r>
        <w:t>Question 21</w:t>
      </w:r>
    </w:p>
    <w:p w:rsidR="009C71F8" w:rsidRDefault="009C71F8">
      <w:r>
        <w:t>Child Sexual Exploitation includes the use of someone under the age of 18 for sexual gratification for those who are 18 years or over. Child Sexual Exploitation can cover various forms, such as sexual relationships with children which includes pedophilia, to, for example, paying someone under the age of 18 for sexual favours, which would obviously be an offence. As someone under the age of 18 cannot consent to an intimate relationship with someone over 18 years of age.</w:t>
      </w:r>
    </w:p>
    <w:p w:rsidR="00295D54" w:rsidRDefault="00295D54"/>
    <w:p w:rsidR="00682F3B" w:rsidRDefault="00682F3B"/>
    <w:p w:rsidR="00682F3B" w:rsidRDefault="00682F3B" w:rsidP="00682F3B">
      <w:r>
        <w:t>Question 22</w:t>
      </w:r>
      <w:bookmarkStart w:id="0" w:name="_GoBack"/>
      <w:bookmarkEnd w:id="0"/>
    </w:p>
    <w:p w:rsidR="00682F3B" w:rsidRDefault="009C71F8">
      <w:r>
        <w:t>The ‘Child Sexual Offender Discolsure Scheme’ (</w:t>
      </w:r>
      <w:r w:rsidR="00800DF7">
        <w:t xml:space="preserve">CSODS), also referred to as ‘Sarah’s Law’, enables a third party to go to the police on behalf of a person they may be close, who is in a relationship with someone that third party thinks could put that person at risk. This allows the police to get into contact with that individual and tell them that someone has asked or requested on their behalf a cause for concern, which allows the police to give details to the inidivudal about their partner, as they may not be aware of those details, as they could be at risk from abuse or exploitation. </w:t>
      </w:r>
    </w:p>
    <w:p w:rsidR="00295D54" w:rsidRDefault="00295D54"/>
    <w:p w:rsidR="00682F3B" w:rsidRDefault="00682F3B"/>
    <w:p w:rsidR="00682F3B" w:rsidRDefault="00682F3B" w:rsidP="00682F3B">
      <w:r>
        <w:t>Question 23</w:t>
      </w:r>
    </w:p>
    <w:p w:rsidR="00682F3B" w:rsidRDefault="006D7536">
      <w:r>
        <w:t xml:space="preserve">Under the Sexual Offences Act 2003, the court can make evidential presumptions under section 75 (a) and (b), </w:t>
      </w:r>
      <w:r w:rsidR="008404B4">
        <w:t xml:space="preserve">the court and presume that victim has not consented, that the suspect is aware that the victim has not consented, </w:t>
      </w:r>
    </w:p>
    <w:p w:rsidR="00295D54" w:rsidRDefault="00295D54"/>
    <w:p w:rsidR="00682F3B" w:rsidRDefault="00682F3B"/>
    <w:p w:rsidR="00682F3B" w:rsidRDefault="00682F3B" w:rsidP="00682F3B">
      <w:r>
        <w:t>Question 24</w:t>
      </w:r>
    </w:p>
    <w:p w:rsidR="00682F3B" w:rsidRDefault="004B6CAD">
      <w:r>
        <w:t xml:space="preserve">The overriding objectives of the procedural court regarding justice being done in court includes, the safety of the victim(s), public safety, </w:t>
      </w:r>
      <w:r w:rsidR="0018218E">
        <w:t xml:space="preserve">in the </w:t>
      </w:r>
      <w:r w:rsidR="00DB3ED6">
        <w:t>p</w:t>
      </w:r>
      <w:r w:rsidR="00391A53">
        <w:t>ublic</w:t>
      </w:r>
      <w:r w:rsidR="0018218E">
        <w:t xml:space="preserve"> interest</w:t>
      </w:r>
      <w:r w:rsidR="00391A53">
        <w:t xml:space="preserve">, </w:t>
      </w:r>
      <w:r w:rsidR="00D66659">
        <w:t xml:space="preserve">a </w:t>
      </w:r>
      <w:r w:rsidR="005D6E4F">
        <w:t xml:space="preserve">free and fair trial, </w:t>
      </w:r>
    </w:p>
    <w:p w:rsidR="00295D54" w:rsidRDefault="00295D54"/>
    <w:p w:rsidR="00682F3B" w:rsidRDefault="00682F3B"/>
    <w:p w:rsidR="00682F3B" w:rsidRDefault="00682F3B" w:rsidP="00682F3B">
      <w:r>
        <w:t>Question 25</w:t>
      </w:r>
    </w:p>
    <w:p w:rsidR="00682F3B" w:rsidRDefault="00BC3C67" w:rsidP="00682F3B">
      <w:r>
        <w:t xml:space="preserve">The full code test process includes that the </w:t>
      </w:r>
      <w:r w:rsidR="005D6E4F">
        <w:t>victim’s code has been applied which covers, for example the investigation and includes any evidential materials, such as electronics, or DNA. Whilst the court must also ensure that the CPS must also ensure that the suspect</w:t>
      </w:r>
      <w:r w:rsidR="00582DDD">
        <w:t xml:space="preserve"> is given a free and fair trial, which also inludes evidence they may have to show their point of view. </w:t>
      </w:r>
    </w:p>
    <w:p w:rsidR="00295D54" w:rsidRDefault="00295D54" w:rsidP="00682F3B"/>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001" w:rsidRDefault="00980001" w:rsidP="009B6853">
      <w:pPr>
        <w:spacing w:after="0" w:line="240" w:lineRule="auto"/>
      </w:pPr>
      <w:r>
        <w:separator/>
      </w:r>
    </w:p>
  </w:endnote>
  <w:endnote w:type="continuationSeparator" w:id="0">
    <w:p w:rsidR="00980001" w:rsidRDefault="00980001"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C42" w:rsidRDefault="00157EB4" w:rsidP="00157EB4">
    <w:pPr>
      <w:pStyle w:val="Footer"/>
      <w:rPr>
        <w:color w:val="000000"/>
        <w:sz w:val="17"/>
      </w:rPr>
    </w:pPr>
    <w:bookmarkStart w:id="3" w:name="TITUS1FooterEvenPages"/>
    <w:r>
      <w:rPr>
        <w:color w:val="000000"/>
        <w:sz w:val="17"/>
      </w:rPr>
      <w:t> </w:t>
    </w:r>
  </w:p>
  <w:bookmarkEnd w:id="3"/>
  <w:p w:rsidR="00435C42" w:rsidRDefault="00435C42" w:rsidP="00435C42">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157EB4" w:rsidP="00157EB4">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157EB4" w:rsidP="00157EB4">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001" w:rsidRDefault="00980001" w:rsidP="009B6853">
      <w:pPr>
        <w:spacing w:after="0" w:line="240" w:lineRule="auto"/>
      </w:pPr>
      <w:r>
        <w:separator/>
      </w:r>
    </w:p>
  </w:footnote>
  <w:footnote w:type="continuationSeparator" w:id="0">
    <w:p w:rsidR="00980001" w:rsidRDefault="00980001"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C42" w:rsidRDefault="00157EB4" w:rsidP="00157EB4">
    <w:pPr>
      <w:pStyle w:val="Header"/>
      <w:rPr>
        <w:color w:val="000000"/>
        <w:sz w:val="17"/>
      </w:rPr>
    </w:pPr>
    <w:bookmarkStart w:id="1" w:name="TITUS1HeaderEvenPages"/>
    <w:r>
      <w:rPr>
        <w:color w:val="000000"/>
        <w:sz w:val="17"/>
      </w:rPr>
      <w:t> </w:t>
    </w:r>
  </w:p>
  <w:bookmarkEnd w:id="1"/>
  <w:p w:rsidR="00435C42" w:rsidRDefault="00435C42" w:rsidP="00435C42">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157EB4" w:rsidP="00157EB4">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157EB4" w:rsidP="00157EB4">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13A6"/>
    <w:rsid w:val="0007005C"/>
    <w:rsid w:val="000948F8"/>
    <w:rsid w:val="000D4CB1"/>
    <w:rsid w:val="000F3600"/>
    <w:rsid w:val="00121DF7"/>
    <w:rsid w:val="00146326"/>
    <w:rsid w:val="0015570A"/>
    <w:rsid w:val="00157EB4"/>
    <w:rsid w:val="0018218E"/>
    <w:rsid w:val="0019438E"/>
    <w:rsid w:val="00260FCE"/>
    <w:rsid w:val="00295D54"/>
    <w:rsid w:val="0031231E"/>
    <w:rsid w:val="00391A53"/>
    <w:rsid w:val="003C671C"/>
    <w:rsid w:val="003F16C8"/>
    <w:rsid w:val="00435C42"/>
    <w:rsid w:val="00444475"/>
    <w:rsid w:val="004871C6"/>
    <w:rsid w:val="004B6CAD"/>
    <w:rsid w:val="004F4041"/>
    <w:rsid w:val="00544969"/>
    <w:rsid w:val="00582DDD"/>
    <w:rsid w:val="005A63C8"/>
    <w:rsid w:val="005B2DEA"/>
    <w:rsid w:val="005D6E4F"/>
    <w:rsid w:val="00682F3B"/>
    <w:rsid w:val="006C3BAF"/>
    <w:rsid w:val="006D7536"/>
    <w:rsid w:val="006F6981"/>
    <w:rsid w:val="00717A05"/>
    <w:rsid w:val="00751B75"/>
    <w:rsid w:val="0075483B"/>
    <w:rsid w:val="00771E8D"/>
    <w:rsid w:val="00772C0A"/>
    <w:rsid w:val="007E4409"/>
    <w:rsid w:val="00800DF7"/>
    <w:rsid w:val="008404B4"/>
    <w:rsid w:val="00877432"/>
    <w:rsid w:val="00884071"/>
    <w:rsid w:val="008E58A6"/>
    <w:rsid w:val="00955DE1"/>
    <w:rsid w:val="00980001"/>
    <w:rsid w:val="009B402E"/>
    <w:rsid w:val="009B6853"/>
    <w:rsid w:val="009C71F8"/>
    <w:rsid w:val="00A42952"/>
    <w:rsid w:val="00A60B3B"/>
    <w:rsid w:val="00A938E8"/>
    <w:rsid w:val="00AE32CB"/>
    <w:rsid w:val="00B67A28"/>
    <w:rsid w:val="00B95C3D"/>
    <w:rsid w:val="00BC3C67"/>
    <w:rsid w:val="00BD18BC"/>
    <w:rsid w:val="00BE38DD"/>
    <w:rsid w:val="00CD32D1"/>
    <w:rsid w:val="00D66659"/>
    <w:rsid w:val="00D809DB"/>
    <w:rsid w:val="00DB3ED6"/>
    <w:rsid w:val="00E02B6E"/>
    <w:rsid w:val="00E0427B"/>
    <w:rsid w:val="00E17CD3"/>
    <w:rsid w:val="00E41B08"/>
    <w:rsid w:val="00E61E09"/>
    <w:rsid w:val="00EE308D"/>
    <w:rsid w:val="00F0685D"/>
    <w:rsid w:val="00F43548"/>
    <w:rsid w:val="00F643BE"/>
    <w:rsid w:val="00F9757F"/>
    <w:rsid w:val="00FA4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7497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1697</Words>
  <Characters>9674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Satir,Islam swp6836</cp:lastModifiedBy>
  <cp:revision>58</cp:revision>
  <dcterms:created xsi:type="dcterms:W3CDTF">2021-03-10T15:44:00Z</dcterms:created>
  <dcterms:modified xsi:type="dcterms:W3CDTF">2021-06-01T10:07:00Z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