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53C7D" w14:textId="77777777" w:rsidR="009A5367" w:rsidRPr="00D11E6E" w:rsidRDefault="009A5367" w:rsidP="00D11E6E">
      <w:pPr>
        <w:jc w:val="center"/>
        <w:rPr>
          <w:sz w:val="28"/>
          <w:szCs w:val="28"/>
        </w:rPr>
      </w:pPr>
      <w:r w:rsidRPr="00D11E6E">
        <w:rPr>
          <w:sz w:val="28"/>
          <w:szCs w:val="28"/>
        </w:rPr>
        <w:t>COMMON GROUND</w:t>
      </w:r>
    </w:p>
    <w:p w14:paraId="3A0E4A2C" w14:textId="77777777" w:rsidR="009A5367" w:rsidRDefault="009A5367" w:rsidP="009A5367"/>
    <w:p w14:paraId="51404DC1" w14:textId="77777777" w:rsidR="009A5367" w:rsidRDefault="009A5367" w:rsidP="009A5367">
      <w:r>
        <w:t>Specialty Coffee and Study Space</w:t>
      </w:r>
    </w:p>
    <w:p w14:paraId="2AF3C1CD" w14:textId="77777777" w:rsidR="009A5367" w:rsidRDefault="009A5367" w:rsidP="009A5367"/>
    <w:p w14:paraId="645EA365" w14:textId="77777777" w:rsidR="009A5367" w:rsidRDefault="009A5367" w:rsidP="009A5367">
      <w:r>
        <w:t>Investment Proposal</w:t>
      </w:r>
    </w:p>
    <w:p w14:paraId="1DAF564D" w14:textId="77777777" w:rsidR="009A5367" w:rsidRDefault="009A5367" w:rsidP="009A5367"/>
    <w:p w14:paraId="6A8E7E12" w14:textId="77777777" w:rsidR="009A5367" w:rsidRDefault="009A5367" w:rsidP="009A5367">
      <w:r>
        <w:t>For prospective investors</w:t>
      </w:r>
    </w:p>
    <w:p w14:paraId="778757EB" w14:textId="77777777" w:rsidR="009A5367" w:rsidRDefault="009A5367" w:rsidP="009A5367"/>
    <w:p w14:paraId="1E44DB58" w14:textId="77777777" w:rsidR="009A5367" w:rsidRDefault="009A5367" w:rsidP="009A5367">
      <w:r>
        <w:t>Prepared by Raul Margel | August 2026</w:t>
      </w:r>
    </w:p>
    <w:p w14:paraId="73469127" w14:textId="449C1181" w:rsidR="00D11E6E" w:rsidRDefault="00D11E6E" w:rsidP="009A5367">
      <w:r>
        <w:t xml:space="preserve">Student </w:t>
      </w:r>
      <w:r w:rsidR="00462EA9">
        <w:t>ID</w:t>
      </w:r>
      <w:r>
        <w:t>:</w:t>
      </w:r>
      <w:r w:rsidR="00462EA9">
        <w:t xml:space="preserve"> 2334867</w:t>
      </w:r>
    </w:p>
    <w:p w14:paraId="529F73F1" w14:textId="77777777" w:rsidR="009A5367" w:rsidRDefault="009A5367" w:rsidP="009A5367"/>
    <w:p w14:paraId="4A2FCE80" w14:textId="77777777" w:rsidR="009A5367" w:rsidRDefault="009A5367" w:rsidP="009A5367">
      <w:r>
        <w:t>1. Executive Summary</w:t>
      </w:r>
    </w:p>
    <w:p w14:paraId="2711D832" w14:textId="77777777" w:rsidR="009A5367" w:rsidRDefault="009A5367" w:rsidP="009A5367"/>
    <w:p w14:paraId="729FCBE1" w14:textId="77777777" w:rsidR="009A5367" w:rsidRDefault="009A5367" w:rsidP="009A5367">
      <w:r>
        <w:t>Common Ground will be a specialty coffee shop and study-work space in Coventry, one of the United Kingdom’s largest student cities. Its concept responds to a basic tension in the café market: operators need tables to turn over quickly, yet more customers are looking for a place where they can stay, work, and feel a sense of belonging. The business addresses both needs through three revenue streams: specialty coffee and food, a paid Workbench membership guaranteeing a seat in a reserved study area, and evening events alongside venue hire.</w:t>
      </w:r>
    </w:p>
    <w:p w14:paraId="775D6F25" w14:textId="77777777" w:rsidR="009A5367" w:rsidRDefault="009A5367" w:rsidP="009A5367"/>
    <w:p w14:paraId="567DDABF" w14:textId="77777777" w:rsidR="009A5367" w:rsidRDefault="009A5367" w:rsidP="009A5367">
      <w:r>
        <w:t>This report explains the market opportunity, business model, three-year financial projections and investment proposal. We are seeking £120,000 for a 25 per cent equity stake. The funds would cover the fit-out, equipment and working capital needed to open the first site. In Year 1, the projections show revenue of £374,000 and EBITDA of £53,000; by Year 3, these are expected to reach £510,000 and £106,900. Monthly cash break-even is forecast for month four. Across five years, with dividends beginning in Year 2 and a second site planned, the model indicates a projected investor return of approximately 2.7 times the initial investment, equivalent to an internal rate of return of roughly 23 per cent.</w:t>
      </w:r>
    </w:p>
    <w:p w14:paraId="353DB86A" w14:textId="77777777" w:rsidR="009A5367" w:rsidRDefault="009A5367" w:rsidP="009A5367"/>
    <w:p w14:paraId="1BD88AFC" w14:textId="77777777" w:rsidR="009A5367" w:rsidRDefault="009A5367" w:rsidP="009A5367">
      <w:r>
        <w:t>2. The Opportunity</w:t>
      </w:r>
    </w:p>
    <w:p w14:paraId="5D589C2B" w14:textId="77777777" w:rsidR="009A5367" w:rsidRDefault="009A5367" w:rsidP="009A5367"/>
    <w:p w14:paraId="2B6C076C" w14:textId="77777777" w:rsidR="009A5367" w:rsidRDefault="009A5367" w:rsidP="009A5367">
      <w:r>
        <w:t xml:space="preserve">The UK café sector remains sizeable, resilient and on an upward path. In 2025, the branded coffee shop market was valued at £6.1 billion; it had grown by 5.2 per cent in 2024, reaching 11,456 outlets (Lumina Intelligence, 2025). Specialty coffee is where the strongest performance can be seen. The UK specialty coffee market is expected to expand at a compound annual rate of around 10.7 per cent through to 2030 (Grand View Research, 2025), driven by consumers moving away from commodity coffee towards quality-focused independents. Coffee shops are also serving more than customers in a </w:t>
      </w:r>
      <w:r>
        <w:lastRenderedPageBreak/>
        <w:t>hurry: industry analysts report that they are increasingly used as social spaces and places to work (IMARC Group, 2025).</w:t>
      </w:r>
    </w:p>
    <w:p w14:paraId="6A657FFE" w14:textId="77777777" w:rsidR="009A5367" w:rsidRDefault="009A5367" w:rsidP="009A5367"/>
    <w:p w14:paraId="52EC113C" w14:textId="77777777" w:rsidR="009A5367" w:rsidRDefault="009A5367" w:rsidP="009A5367">
      <w:r>
        <w:t>Two structural changes make the timing attractive. Hybrid work is now a permanent arrangement for a large share of professionals, creating weekday demand for somewhere comfortable and affordable to work—neither home nor the office. At the same time, record university enrolment has made campus libraries overcrowded during peak periods, while conventional cafés often deter laptop users with time limits, restricted Wi-Fi and layouts that are not designed to welcome them. Dedicated coworking spaces are available, but their monthly fees of £150 to £250 put them within reach of companies rather than students.</w:t>
      </w:r>
    </w:p>
    <w:p w14:paraId="455DFC18" w14:textId="77777777" w:rsidR="009A5367" w:rsidRDefault="009A5367" w:rsidP="009A5367"/>
    <w:p w14:paraId="419D01A1" w14:textId="77777777" w:rsidR="009A5367" w:rsidRDefault="009A5367" w:rsidP="009A5367">
      <w:r>
        <w:t>Consumer behaviour supports both shifts. Younger consumers, especially, see coffee as an affordable premium: an everyday purchase worth paying more for when quality and experience improve. The venue matters too, chosen for its atmosphere, values and social identity as much as for the drink. That demand for a more experience-led kind of premium is where a community-focused specialty operator has a clear fit, while volume-driven chains find it much harder to copy.</w:t>
      </w:r>
    </w:p>
    <w:p w14:paraId="3F546052" w14:textId="77777777" w:rsidR="009A5367" w:rsidRDefault="009A5367" w:rsidP="009A5367"/>
    <w:p w14:paraId="22FFF3AC" w14:textId="77777777" w:rsidR="009A5367" w:rsidRDefault="009A5367" w:rsidP="009A5367">
      <w:r>
        <w:t>The gap persists. Tens of thousands of students and remote workers in Coventry need a productive third place, yet no one is deliberately serving them. Coventry also offers a strong launch point: its two universities enrol around 50,000 students between them, sustained regeneration investment has reshaped the city centre, and commercial rents remain significantly below those in comparable university cities. That difference materially improves unit economics.</w:t>
      </w:r>
    </w:p>
    <w:p w14:paraId="5033C4B5" w14:textId="77777777" w:rsidR="009A5367" w:rsidRDefault="009A5367" w:rsidP="009A5367"/>
    <w:p w14:paraId="6D0E2892" w14:textId="77777777" w:rsidR="009A5367" w:rsidRDefault="009A5367" w:rsidP="009A5367">
      <w:r>
        <w:t>3. The Business Concept</w:t>
      </w:r>
    </w:p>
    <w:p w14:paraId="53375A8E" w14:textId="77777777" w:rsidR="009A5367" w:rsidRDefault="009A5367" w:rsidP="009A5367"/>
    <w:p w14:paraId="0D99DA9F" w14:textId="77777777" w:rsidR="009A5367" w:rsidRDefault="009A5367" w:rsidP="009A5367">
      <w:r>
        <w:t>Common Ground will be a 45-seat café situated between the university quarter and the city centre—somewhere between the library and your living room, as our brand line puts it. Its business model rests on three complementary revenue streams:</w:t>
      </w:r>
    </w:p>
    <w:p w14:paraId="6264C1DA" w14:textId="77777777" w:rsidR="009A5367" w:rsidRDefault="009A5367" w:rsidP="009A5367"/>
    <w:p w14:paraId="4E6DBBF5" w14:textId="77777777" w:rsidR="009A5367" w:rsidRDefault="009A5367" w:rsidP="009A5367">
      <w:r>
        <w:t>1. Café sales. Specialty coffee and food account for about 85 per cent of Year 1 revenue. The offer includes single-origin espresso, batch filter and seasonal drinks, together with a compact all-day menu of pastries, toasted sandwiches and brunch bowls. Average spend is £6.40 per transaction.</w:t>
      </w:r>
    </w:p>
    <w:p w14:paraId="62D09831" w14:textId="77777777" w:rsidR="009A5367" w:rsidRDefault="009A5367" w:rsidP="009A5367"/>
    <w:p w14:paraId="776B891B" w14:textId="77777777" w:rsidR="009A5367" w:rsidRDefault="009A5367" w:rsidP="009A5367">
      <w:r>
        <w:t>2. Workbench membership. For £39 a month, members receive a guaranteed place in a 16-seat reserved quiet zone, unlimited batch filter coffee, 10 per cent off every purchase, and access to a six-person meeting room that can be booked. Once membership reaches the mature target of 120 people, the subscription is expected to generate approximately £56,000 in high-margin recurring revenue each year.</w:t>
      </w:r>
    </w:p>
    <w:p w14:paraId="7377D3EE" w14:textId="77777777" w:rsidR="009A5367" w:rsidRDefault="009A5367" w:rsidP="009A5367"/>
    <w:p w14:paraId="570A4CDE" w14:textId="77777777" w:rsidR="009A5367" w:rsidRDefault="009A5367" w:rsidP="009A5367">
      <w:r>
        <w:lastRenderedPageBreak/>
        <w:t>3. Events and retail. Revenue could come from hiring out the venue in the evening, ticketed community gatherings such as language exchanges and open-mic nights, and sales of coffee beans and branded merchandise.</w:t>
      </w:r>
    </w:p>
    <w:p w14:paraId="4133C0C8" w14:textId="77777777" w:rsidR="009A5367" w:rsidRDefault="009A5367" w:rsidP="009A5367"/>
    <w:p w14:paraId="79779437" w14:textId="77777777" w:rsidR="009A5367" w:rsidRDefault="009A5367" w:rsidP="009A5367">
      <w:r>
        <w:t>Membership sits at the center of the model. It turns unpredictable footfall into contracted recurring revenue, shifts demand toward quieter daytime hours, gives customers real reasons to stay, and builds a community that promotes the venue for us. No other competitor in the city pairs hospitality quality with a guaranteed place to work.</w:t>
      </w:r>
    </w:p>
    <w:p w14:paraId="7B7E00D5" w14:textId="77777777" w:rsidR="009A5367" w:rsidRDefault="009A5367" w:rsidP="009A5367"/>
    <w:p w14:paraId="2BF2D927" w14:textId="77777777" w:rsidR="009A5367" w:rsidRDefault="009A5367" w:rsidP="009A5367">
      <w:r>
        <w:t>The physical design is part of the product. At the front, counter seating creates a lively social area; at the rear, the acoustically treated Workbench zone offers generous desks, power at every seat, task lighting, and enterprise-grade Wi-Fi. That division supports two distinct occasions—meeting a friend and finishing an assignment—without letting one undermine the other. It also enables a single site to earn café margins from hospitality and subscription margins from space at the same time.</w:t>
      </w:r>
    </w:p>
    <w:p w14:paraId="1E8164B1" w14:textId="77777777" w:rsidR="009A5367" w:rsidRDefault="009A5367" w:rsidP="009A5367"/>
    <w:p w14:paraId="6500A4A1" w14:textId="77777777" w:rsidR="009A5367" w:rsidRDefault="009A5367" w:rsidP="009A5367">
      <w:r>
        <w:t>4. Target Market</w:t>
      </w:r>
    </w:p>
    <w:p w14:paraId="64B89585" w14:textId="77777777" w:rsidR="009A5367" w:rsidRDefault="009A5367" w:rsidP="009A5367"/>
    <w:p w14:paraId="184CF1C6" w14:textId="77777777" w:rsidR="009A5367" w:rsidRDefault="009A5367" w:rsidP="009A5367">
      <w:r>
        <w:t>Our main audience is students aged 18 to 24. Coventry University and the University of Warwick enrol around 50,000 students between them, creating a dense, walkable population that responds strongly to recommendations from peers. We will also target local remote and hybrid professionals aged 25 to 40 who want a weekday base. They spend more per visit and help maintain demand outside term time. Local residents make up a third audience, particularly for weekend brunch.</w:t>
      </w:r>
    </w:p>
    <w:p w14:paraId="5AE40654" w14:textId="77777777" w:rsidR="009A5367" w:rsidRDefault="009A5367" w:rsidP="009A5367"/>
    <w:p w14:paraId="78D3B6B4" w14:textId="77777777" w:rsidR="009A5367" w:rsidRDefault="009A5367" w:rsidP="009A5367">
      <w:r>
        <w:t>Three personas shape our decisions. During term, the final-year student comes in four times a week, wants a guaranteed desk close to campus, and responds well to bundled pricing. The hybrid consultant works with us on two fixed days each week, spends more on food, and helps maintain revenue during student vacations. Weekend regulars, drawn by brunch and atmosphere, are the obvious audience for events and retail. Converting any of these groups to membership makes strong economic sense: once discounted café spending is included, the average member is worth roughly £550 a year—around ten times as much as a casual customer.</w:t>
      </w:r>
    </w:p>
    <w:p w14:paraId="6D1510B2" w14:textId="77777777" w:rsidR="009A5367" w:rsidRDefault="009A5367" w:rsidP="009A5367"/>
    <w:p w14:paraId="5C2E7FDD" w14:textId="77777777" w:rsidR="009A5367" w:rsidRDefault="009A5367" w:rsidP="009A5367">
      <w:r>
        <w:t>A pilot survey conducted in the city centre in April 2026, involving 142 students and young professionals, offers support for the proposition. Of those surveyed, 68 per cent reported studying or working in cafés at least weekly; 54 per cent had struggled to find a seat in a library or café during the previous month; and 41 per cent said they would pay for a bundle guaranteeing a seat and including coffee. The results are indicative rather than definitive, but they align with the national trends described above. They will be retested through a founding-member pre-sale before opening.</w:t>
      </w:r>
    </w:p>
    <w:p w14:paraId="7EEC1D38" w14:textId="77777777" w:rsidR="009A5367" w:rsidRDefault="009A5367" w:rsidP="009A5367"/>
    <w:p w14:paraId="4329E8AD" w14:textId="77777777" w:rsidR="009A5367" w:rsidRDefault="009A5367" w:rsidP="009A5367">
      <w:r>
        <w:t>5. Competitive Landscape</w:t>
      </w:r>
    </w:p>
    <w:p w14:paraId="39D00E17" w14:textId="77777777" w:rsidR="009A5367" w:rsidRDefault="009A5367" w:rsidP="009A5367"/>
    <w:p w14:paraId="7DB948A4" w14:textId="77777777" w:rsidR="009A5367" w:rsidRDefault="009A5367" w:rsidP="009A5367">
      <w:r>
        <w:lastRenderedPageBreak/>
        <w:t>Competition can be divided into four groups, though each has a structural weakness relative to our proposition. National chains such as Costa and Starbucks provide consistency and speed, but their focus is turnover: seating is not guaranteed, and they do little to create a local community. Independent cafés often produce excellent coffee, yet they tend to be small, short on seats, and actively resistant to laptop use during busy periods. Coworking operators, by contrast, sell desks rather than hospitality, with prices two to four times higher than our membership. University libraries cost nothing, but they are overcrowded exactly when students need them most and provide no food, drink, or atmosphere.</w:t>
      </w:r>
    </w:p>
    <w:p w14:paraId="4824B5F0" w14:textId="77777777" w:rsidR="009A5367" w:rsidRDefault="009A5367" w:rsidP="009A5367"/>
    <w:p w14:paraId="4364837E" w14:textId="77777777" w:rsidR="009A5367" w:rsidRDefault="009A5367" w:rsidP="009A5367">
      <w:r>
        <w:t>Common Ground intentionally occupies the opening left by these four groups, combining specialty-grade products with a contractual right to a seat and a programmed community life.Our defensibility comes less from any one feature than from how the pieces work together. Membership switching costs reinforce that position, as does the favourable long lease negotiated in a soft commercial property market. From the outset, the brand was built around belonging, not transactions.</w:t>
      </w:r>
    </w:p>
    <w:p w14:paraId="0215414F" w14:textId="77777777" w:rsidR="009A5367" w:rsidRDefault="009A5367" w:rsidP="009A5367"/>
    <w:p w14:paraId="04772096" w14:textId="77777777" w:rsidR="009A5367" w:rsidRDefault="009A5367" w:rsidP="009A5367">
      <w:r>
        <w:t>6. Marketing and Growth Strategy</w:t>
      </w:r>
    </w:p>
    <w:p w14:paraId="6929C666" w14:textId="77777777" w:rsidR="009A5367" w:rsidRDefault="009A5367" w:rsidP="009A5367"/>
    <w:p w14:paraId="02AD38D3" w14:textId="77777777" w:rsidR="009A5367" w:rsidRDefault="009A5367" w:rsidP="009A5367">
      <w:r>
        <w:t>The launch plan puts the budget where our audience is already spending time. Over eight weeks before opening, we’ll use geo-targeted social media alongside a campus ambassador programme and partnerships with student societies, building towards a freshers-week launch. To bring in recurring revenue before the doors open—and give the new gym some early momentum—we’ll offer the first 50 members a founding rate of £29 per month for life.</w:t>
      </w:r>
    </w:p>
    <w:p w14:paraId="4A69B1EC" w14:textId="77777777" w:rsidR="009A5367" w:rsidRDefault="009A5367" w:rsidP="009A5367"/>
    <w:p w14:paraId="53DB7836" w14:textId="77777777" w:rsidR="009A5367" w:rsidRDefault="009A5367" w:rsidP="009A5367">
      <w:r>
        <w:t>Ongoing acquisition comes from three inexpensive sources. The loyalty and membership app encourages repeat visits, while weekly events give non-members a reason to come into the building. The location’s natural footfall adds another steady source of traffic. Retention matters just as much. By using app data, we can identify members who may be lapsing early; a member-get-member scheme offers a free month for referrals. The interior is also designed to be photographed, so customers generate a continuing flow of content for Instagram and TikTok—the two channels where our audience actually decides where to go.</w:t>
      </w:r>
    </w:p>
    <w:p w14:paraId="259F996B" w14:textId="77777777" w:rsidR="009A5367" w:rsidRDefault="009A5367" w:rsidP="009A5367"/>
    <w:p w14:paraId="76CD63A0" w14:textId="77777777" w:rsidR="009A5367" w:rsidRDefault="009A5367" w:rsidP="009A5367">
      <w:r>
        <w:t>The targets are 4,500 café transactions a month by month four, 120 members by month six, and annual membership retention above 70 per cent. After the playbook has been proven, the next step is replication. A second site in a comparable university city, such as Leicester or Nottingham, is planned for Year 4 and will be funded primarily through retained earnings. In each new city, the founding-member pre-sale will be reused as a cheap, fast way to test local demand before committing capital.</w:t>
      </w:r>
    </w:p>
    <w:p w14:paraId="4073F573" w14:textId="77777777" w:rsidR="009A5367" w:rsidRDefault="009A5367" w:rsidP="009A5367"/>
    <w:p w14:paraId="3B9C0E3A" w14:textId="77777777" w:rsidR="009A5367" w:rsidRDefault="009A5367" w:rsidP="009A5367">
      <w:r>
        <w:t>7. Operations and Team</w:t>
      </w:r>
    </w:p>
    <w:p w14:paraId="6CDA8B8D" w14:textId="77777777" w:rsidR="009A5367" w:rsidRDefault="009A5367" w:rsidP="009A5367"/>
    <w:p w14:paraId="1728A12D" w14:textId="77777777" w:rsidR="009A5367" w:rsidRDefault="009A5367" w:rsidP="009A5367">
      <w:r>
        <w:lastRenderedPageBreak/>
        <w:t>The founder will serve as the full-time general manager, bringing together front-of-house hospitality experience and the business training gained through this degree programme. An SCA-certified head barista, two additional full-time employees, and four part-time student workers will support him; the arrangement can adjust at low cost as demand shifts during term time. An external accountant and an experienced hospitality mentor will advise the business, while the investor will be offered a seat on the board.</w:t>
      </w:r>
    </w:p>
    <w:p w14:paraId="0CBC060E" w14:textId="77777777" w:rsidR="009A5367" w:rsidRDefault="009A5367" w:rsidP="009A5367"/>
    <w:p w14:paraId="2440FE3C" w14:textId="77777777" w:rsidR="009A5367" w:rsidRDefault="009A5367" w:rsidP="009A5367">
      <w:r>
        <w:t>Hours from 07:30 to 22:00 cover commuter traffic, study sessions and evening demand within a single rental arrangement. Coffee will come from a regional specialty roaster under contract, while a local bakery will supply the food. That keeps the kitchen simple and margins predictable. Administrative demands for a seven-day operation will be kept manageable with a cloud point-of-sale system, a membership management app and digital rota software.</w:t>
      </w:r>
    </w:p>
    <w:p w14:paraId="6C6611A5" w14:textId="77777777" w:rsidR="009A5367" w:rsidRDefault="009A5367" w:rsidP="009A5367"/>
    <w:p w14:paraId="22BFDC95" w14:textId="77777777" w:rsidR="009A5367" w:rsidRDefault="009A5367" w:rsidP="009A5367">
      <w:r>
        <w:t>8. Financial Plan</w:t>
      </w:r>
    </w:p>
    <w:p w14:paraId="357DFA80" w14:textId="77777777" w:rsidR="009A5367" w:rsidRDefault="009A5367" w:rsidP="009A5367"/>
    <w:p w14:paraId="3CFFC715" w14:textId="77777777" w:rsidR="009A5367" w:rsidRDefault="009A5367" w:rsidP="009A5367">
      <w:r>
        <w:t>The projections below start with capacity rather than market size. They assume an average transaction of £6.40 and, once mature, roughly 1,040 café transactions a week, reached through a three-month ramp at 60, 75 and 90 per cent. Membership is expected to reach 120 members by month six. Cost of goods is set at 27 per cent of revenue in Year 1, then eases as the high-margin membership mix expands. Staffing remains the largest cost line, including a deliberately modest founder salary of £24,000.</w:t>
      </w:r>
    </w:p>
    <w:p w14:paraId="3B854E84" w14:textId="0E38538C" w:rsidR="009A5367" w:rsidRDefault="009A5367" w:rsidP="009A5367">
      <w:r w:rsidRPr="009A5367">
        <w:drawing>
          <wp:inline distT="0" distB="0" distL="0" distR="0" wp14:anchorId="08C2A3BF" wp14:editId="44AF2557">
            <wp:extent cx="5730240" cy="1905000"/>
            <wp:effectExtent l="0" t="0" r="3810" b="0"/>
            <wp:docPr id="51120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240" cy="1905000"/>
                    </a:xfrm>
                    <a:prstGeom prst="rect">
                      <a:avLst/>
                    </a:prstGeom>
                    <a:noFill/>
                    <a:ln>
                      <a:noFill/>
                    </a:ln>
                  </pic:spPr>
                </pic:pic>
              </a:graphicData>
            </a:graphic>
          </wp:inline>
        </w:drawing>
      </w:r>
    </w:p>
    <w:p w14:paraId="61BE47A7" w14:textId="77777777" w:rsidR="009A5367" w:rsidRDefault="009A5367" w:rsidP="009A5367"/>
    <w:p w14:paraId="5BCFB10D" w14:textId="77777777" w:rsidR="009A5367" w:rsidRDefault="009A5367" w:rsidP="009A5367">
      <w:r>
        <w:t>Table 1: Three-year profit projection. EBITDA is stated before depreciation of approximately £14,000 per year on the initial fit-out and equipment. At product level, the unit economics are strong: a £3.40 flat white has roughly £0.75 in direct costs, including milk and packaging, giving it a gross margin of about 78 per cent. The simple contracted food menu operates at around 65 per cent. A Workbench member uses roughly £6 worth of batch filter coffee each month while paying £39 for the subscription. That produces a margin above 84 per cent, so the blended contribution margin of 73 per cent rises mechanically as membership expands. Café pricing remains around the market midpoint: better quality than the chains, but cheaper than London specialty cafés.</w:t>
      </w:r>
    </w:p>
    <w:p w14:paraId="49C82254" w14:textId="77777777" w:rsidR="009A5367" w:rsidRDefault="009A5367" w:rsidP="009A5367">
      <w:r>
        <w:t xml:space="preserve">With monthly fixed costs of approximately £18,300 and a contribution margin of 73 per cent, break-even comes at roughly £25,000 in monthly revenue—a level the ramp model reaches in month four. </w:t>
      </w:r>
      <w:r>
        <w:lastRenderedPageBreak/>
        <w:t>Cumulative operating cash flow does not turn positive until month fourteen. The projections assume no price increases during the period. Even with Year 1 revenue 15 per cent below plan, the business remains EBITDA-positive for the year, while the £29,000 working capital reserve, representing around a quarter of the raise, covers the deeper initial cash trough.</w:t>
      </w:r>
    </w:p>
    <w:p w14:paraId="1DD9CBDB" w14:textId="77777777" w:rsidR="009A5367" w:rsidRDefault="009A5367" w:rsidP="009A5367"/>
    <w:p w14:paraId="476E5425" w14:textId="77777777" w:rsidR="009A5367" w:rsidRDefault="009A5367" w:rsidP="009A5367">
      <w:r>
        <w:t>9. The Investment Proposal</w:t>
      </w:r>
    </w:p>
    <w:p w14:paraId="6E9EE322" w14:textId="77777777" w:rsidR="009A5367" w:rsidRDefault="009A5367" w:rsidP="009A5367"/>
    <w:p w14:paraId="607C8B6E" w14:textId="77777777" w:rsidR="009A5367" w:rsidRDefault="009A5367" w:rsidP="009A5367">
      <w:r>
        <w:t>We are seeking £120,000 in exchange for a 25 per cent equity stake, giving the business a post-money valuation of £480,000. The funds will be allocated as follows:</w:t>
      </w:r>
    </w:p>
    <w:p w14:paraId="24FDF35F" w14:textId="77777777" w:rsidR="009A5367" w:rsidRDefault="009A5367" w:rsidP="009A5367"/>
    <w:p w14:paraId="50A65D46" w14:textId="2A237880" w:rsidR="009A5367" w:rsidRDefault="009A5367" w:rsidP="009A5367">
      <w:r w:rsidRPr="009A5367">
        <w:drawing>
          <wp:inline distT="0" distB="0" distL="0" distR="0" wp14:anchorId="217E143F" wp14:editId="3681BC59">
            <wp:extent cx="5730240" cy="2141220"/>
            <wp:effectExtent l="0" t="0" r="3810" b="0"/>
            <wp:docPr id="193318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2141220"/>
                    </a:xfrm>
                    <a:prstGeom prst="rect">
                      <a:avLst/>
                    </a:prstGeom>
                    <a:noFill/>
                    <a:ln>
                      <a:noFill/>
                    </a:ln>
                  </pic:spPr>
                </pic:pic>
              </a:graphicData>
            </a:graphic>
          </wp:inline>
        </w:drawing>
      </w:r>
    </w:p>
    <w:p w14:paraId="1955158F" w14:textId="77777777" w:rsidR="009A5367" w:rsidRDefault="009A5367" w:rsidP="009A5367">
      <w:r>
        <w:t>Returns are expected from two sources. Beginning in Year 2, the company plans to pay out 50 per cent of net profit in dividends. The other source is capital growth: once the second site has matured, combined EBITDA of approximately £230,000 would imply an enterprise value of around £1.15 million, based on a conservative five-times multiple. At a Year 5 trade sale or founder buy-back, the investor’s stake would therefore be worth approximately £287,000. Including cumulative dividends, the projected gross return is about 2.7 times the invested capital, equivalent to an IRR of roughly 23 per cent. Investors also receive a board seat, quarterly management accounts and standard minority protections.</w:t>
      </w:r>
    </w:p>
    <w:p w14:paraId="7028BB3B" w14:textId="77777777" w:rsidR="009A5367" w:rsidRDefault="009A5367" w:rsidP="009A5367"/>
    <w:p w14:paraId="65A3ADAF" w14:textId="77777777" w:rsidR="009A5367" w:rsidRDefault="009A5367" w:rsidP="009A5367">
      <w:r>
        <w:t>10. Social Impact and Sustainability</w:t>
      </w:r>
    </w:p>
    <w:p w14:paraId="534AF81A" w14:textId="77777777" w:rsidR="009A5367" w:rsidRDefault="009A5367" w:rsidP="009A5367"/>
    <w:p w14:paraId="7E1CDC00" w14:textId="77777777" w:rsidR="009A5367" w:rsidRDefault="009A5367" w:rsidP="009A5367">
      <w:r>
        <w:t>Values matter commercially to this customer base, which is why they sit within the operating model instead of being added later as marketing. Coffee will be traceably sourced from a roaster that pays above-commodity prices, while the food will come from a bakery within ten miles. The packaging will be compostable, and any surplus food will be redistributed through a food-sharing app at closing time.</w:t>
      </w:r>
    </w:p>
    <w:p w14:paraId="3430F50B" w14:textId="77777777" w:rsidR="009A5367" w:rsidRDefault="009A5367" w:rsidP="009A5367"/>
    <w:p w14:paraId="55358960" w14:textId="77777777" w:rsidR="009A5367" w:rsidRDefault="009A5367" w:rsidP="009A5367">
      <w:r>
        <w:t xml:space="preserve">From day one, Common Ground will pay the Real Living Wage. That is an investment in service quality and in retaining the staff a hospitality brand relies on. The venue also has a wellbeing function that </w:t>
      </w:r>
      <w:r>
        <w:lastRenderedPageBreak/>
        <w:t>universities increasingly recognise: it offers a safe, alcohol-free social space, quiet hours for neurodivergent customers, and community programming aimed at the isolation reported by both students and remote workers. These commitments reinforce the commercial case rather than weakening it.</w:t>
      </w:r>
    </w:p>
    <w:p w14:paraId="01E414AD" w14:textId="77777777" w:rsidR="009A5367" w:rsidRDefault="009A5367" w:rsidP="009A5367"/>
    <w:p w14:paraId="25F9DA6F" w14:textId="77777777" w:rsidR="009A5367" w:rsidRDefault="009A5367" w:rsidP="009A5367">
      <w:r>
        <w:t>11. Risks and Mitigation</w:t>
      </w:r>
    </w:p>
    <w:p w14:paraId="7D3DA6E5" w14:textId="77777777" w:rsidR="009A5367" w:rsidRDefault="009A5367" w:rsidP="009A5367"/>
    <w:p w14:paraId="4138967A" w14:textId="77777777" w:rsidR="009A5367" w:rsidRDefault="009A5367" w:rsidP="009A5367">
      <w:r>
        <w:t>Seasonality is the clearest risk because student demand drops outside term time. The model allows for this through the remote-worker segment, summer event programming and a membership pause option; the stress case above also shows the business surviving a weak first year. Competitors may respond, though chains are unlikely to copy the community model convincingly. Our lease also includes an option to renew, which protects the location. Rising costs for coffee, food and wages are addressed with fixed-term supplier contracts, menu engineering and the pricing headroom assumed in the base case, where prices do not increase. Documented operating procedures reduce key-person risk, as does having a head barista who can deputise. Regulatory requirements—premises licensing, food hygiene, and music licensing—are standard for this category, with the associated costs included in professional fees. Expansion is governed by a straightforward rule: the second site can proceed only after the first has produced two consecutive profitable quarters.</w:t>
      </w:r>
    </w:p>
    <w:p w14:paraId="32F1A6C1" w14:textId="77777777" w:rsidR="009A5367" w:rsidRDefault="009A5367" w:rsidP="009A5367">
      <w:r>
        <w:t>12. Conclusion</w:t>
      </w:r>
    </w:p>
    <w:p w14:paraId="2A0BF652" w14:textId="77777777" w:rsidR="009A5367" w:rsidRDefault="009A5367" w:rsidP="009A5367"/>
    <w:p w14:paraId="27F57797" w14:textId="77777777" w:rsidR="009A5367" w:rsidRDefault="009A5367" w:rsidP="009A5367">
      <w:r>
        <w:t>Common Ground is aimed at a large, expanding market, with a distinct model that turns a well-documented customer frustration into contracted recurring revenue. The plan uses conservative cost estimates, reaches break-even quickly, and has been tested against a weak first year. For investors, it provides a clear route to an attractive return, along with governance rights and downside protection. We would welcome the chance to discuss the proposal and its assumptions in detail.</w:t>
      </w:r>
    </w:p>
    <w:p w14:paraId="0EF9A07E" w14:textId="77777777" w:rsidR="009A5367" w:rsidRDefault="009A5367" w:rsidP="009A5367"/>
    <w:p w14:paraId="198EC3F0" w14:textId="77777777" w:rsidR="009A5367" w:rsidRDefault="009A5367" w:rsidP="009A5367">
      <w:r>
        <w:t>References</w:t>
      </w:r>
    </w:p>
    <w:p w14:paraId="14FF9094" w14:textId="77777777" w:rsidR="009A5367" w:rsidRDefault="009A5367" w:rsidP="009A5367"/>
    <w:p w14:paraId="2B5A2EB2" w14:textId="77777777" w:rsidR="009A5367" w:rsidRDefault="009A5367" w:rsidP="009A5367">
      <w:r>
        <w:t>Grand View Research (2025) UK Specialty Coffee Market Size &amp; Outlook, 2025–2030. Available at: https://www.grandviewresearch.com/horizon/outlook/specialty-coffee-market/uk (Accessed: 7 August 2026).</w:t>
      </w:r>
    </w:p>
    <w:p w14:paraId="3DBE2D98" w14:textId="77777777" w:rsidR="009A5367" w:rsidRDefault="009A5367" w:rsidP="009A5367"/>
    <w:p w14:paraId="43E7EC45" w14:textId="77777777" w:rsidR="009A5367" w:rsidRDefault="009A5367" w:rsidP="009A5367">
      <w:r>
        <w:t>IMARC Group (2025) UK Coffee Market Size, Share, Growth and Forecast 2025–2034. Available at: https://www.imarcgroup.com/uk-coffee-market (Accessed: 7 August 2026).</w:t>
      </w:r>
    </w:p>
    <w:p w14:paraId="335FFAEB" w14:textId="77777777" w:rsidR="009A5367" w:rsidRDefault="009A5367" w:rsidP="009A5367"/>
    <w:p w14:paraId="4AD2384E" w14:textId="0429D9C6" w:rsidR="001B3E51" w:rsidRDefault="009A5367" w:rsidP="009A5367">
      <w:r>
        <w:t>Lumina Intelligence (2025) UK Coffee Market: Size, Growth and Share Statistics 2025. Available at: https://www.lumina-intelligence.com/blog/foodservice/uk-coffee-market-size-growth-share-statistics-2025/ (Accessed: 7 August 2026).</w:t>
      </w:r>
    </w:p>
    <w:sectPr w:rsidR="001B3E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67"/>
    <w:rsid w:val="001B3E51"/>
    <w:rsid w:val="0030290F"/>
    <w:rsid w:val="003C7337"/>
    <w:rsid w:val="003E64DD"/>
    <w:rsid w:val="00462EA9"/>
    <w:rsid w:val="007910E2"/>
    <w:rsid w:val="00934C8F"/>
    <w:rsid w:val="0099688A"/>
    <w:rsid w:val="009A5367"/>
    <w:rsid w:val="00CB6F9C"/>
    <w:rsid w:val="00D11E6E"/>
    <w:rsid w:val="00D1682E"/>
    <w:rsid w:val="00E3104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FD8C3"/>
  <w15:chartTrackingRefBased/>
  <w15:docId w15:val="{FD989CA8-E570-4CBF-859A-C8DDB50E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3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53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53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53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53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5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3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53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53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53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53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5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367"/>
    <w:rPr>
      <w:rFonts w:eastAsiaTheme="majorEastAsia" w:cstheme="majorBidi"/>
      <w:color w:val="272727" w:themeColor="text1" w:themeTint="D8"/>
    </w:rPr>
  </w:style>
  <w:style w:type="paragraph" w:styleId="Title">
    <w:name w:val="Title"/>
    <w:basedOn w:val="Normal"/>
    <w:next w:val="Normal"/>
    <w:link w:val="TitleChar"/>
    <w:uiPriority w:val="10"/>
    <w:qFormat/>
    <w:rsid w:val="009A5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367"/>
    <w:pPr>
      <w:spacing w:before="160"/>
      <w:jc w:val="center"/>
    </w:pPr>
    <w:rPr>
      <w:i/>
      <w:iCs/>
      <w:color w:val="404040" w:themeColor="text1" w:themeTint="BF"/>
    </w:rPr>
  </w:style>
  <w:style w:type="character" w:customStyle="1" w:styleId="QuoteChar">
    <w:name w:val="Quote Char"/>
    <w:basedOn w:val="DefaultParagraphFont"/>
    <w:link w:val="Quote"/>
    <w:uiPriority w:val="29"/>
    <w:rsid w:val="009A5367"/>
    <w:rPr>
      <w:i/>
      <w:iCs/>
      <w:color w:val="404040" w:themeColor="text1" w:themeTint="BF"/>
    </w:rPr>
  </w:style>
  <w:style w:type="paragraph" w:styleId="ListParagraph">
    <w:name w:val="List Paragraph"/>
    <w:basedOn w:val="Normal"/>
    <w:uiPriority w:val="34"/>
    <w:qFormat/>
    <w:rsid w:val="009A5367"/>
    <w:pPr>
      <w:ind w:left="720"/>
      <w:contextualSpacing/>
    </w:pPr>
  </w:style>
  <w:style w:type="character" w:styleId="IntenseEmphasis">
    <w:name w:val="Intense Emphasis"/>
    <w:basedOn w:val="DefaultParagraphFont"/>
    <w:uiPriority w:val="21"/>
    <w:qFormat/>
    <w:rsid w:val="009A5367"/>
    <w:rPr>
      <w:i/>
      <w:iCs/>
      <w:color w:val="2F5496" w:themeColor="accent1" w:themeShade="BF"/>
    </w:rPr>
  </w:style>
  <w:style w:type="paragraph" w:styleId="IntenseQuote">
    <w:name w:val="Intense Quote"/>
    <w:basedOn w:val="Normal"/>
    <w:next w:val="Normal"/>
    <w:link w:val="IntenseQuoteChar"/>
    <w:uiPriority w:val="30"/>
    <w:qFormat/>
    <w:rsid w:val="009A53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5367"/>
    <w:rPr>
      <w:i/>
      <w:iCs/>
      <w:color w:val="2F5496" w:themeColor="accent1" w:themeShade="BF"/>
    </w:rPr>
  </w:style>
  <w:style w:type="character" w:styleId="IntenseReference">
    <w:name w:val="Intense Reference"/>
    <w:basedOn w:val="DefaultParagraphFont"/>
    <w:uiPriority w:val="32"/>
    <w:qFormat/>
    <w:rsid w:val="009A53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7</Pages>
  <Words>2510</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Andrei-David-Florentin Netoiu</dc:creator>
  <cp:keywords/>
  <dc:description/>
  <cp:lastModifiedBy>Andrei-David-Florentin Netoiu</cp:lastModifiedBy>
  <cp:revision>7</cp:revision>
  <dcterms:created xsi:type="dcterms:W3CDTF">2026-08-07T13:26:00Z</dcterms:created>
  <dcterms:modified xsi:type="dcterms:W3CDTF">2026-08-07T14:41:00Z</dcterms:modified>
</cp:coreProperties>
</file>