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ore0.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metadata/core-properties" Target="docProps/core0.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DF0C69" w14:textId="77777777" w:rsidR="007A5E91" w:rsidRPr="00D855B4" w:rsidRDefault="00000000">
      <w:pPr>
        <w:spacing w:after="120"/>
        <w:rPr>
          <w:rFonts w:ascii="Times New Roman" w:hAnsi="Times New Roman" w:cs="Times New Roman"/>
          <w:b/>
          <w:color w:val="000000"/>
          <w:sz w:val="36"/>
        </w:rPr>
      </w:pPr>
      <w:r w:rsidRPr="00D855B4">
        <w:rPr>
          <w:rFonts w:cs="Arial"/>
          <w:b/>
          <w:color w:val="000000"/>
        </w:rPr>
        <w:br/>
      </w:r>
      <w:r w:rsidRPr="00D855B4">
        <w:rPr>
          <w:rFonts w:cs="Arial"/>
          <w:b/>
          <w:color w:val="000000"/>
        </w:rPr>
        <w:br/>
      </w:r>
    </w:p>
    <w:p w14:paraId="52EBF594" w14:textId="77777777" w:rsidR="007A5E91" w:rsidRPr="00D855B4" w:rsidRDefault="007A5E91">
      <w:pPr>
        <w:spacing w:after="120"/>
        <w:rPr>
          <w:rFonts w:ascii="Times New Roman" w:hAnsi="Times New Roman" w:cs="Times New Roman"/>
          <w:b/>
          <w:color w:val="000000"/>
          <w:sz w:val="36"/>
        </w:rPr>
      </w:pPr>
    </w:p>
    <w:p w14:paraId="41391C03" w14:textId="77777777" w:rsidR="007A5E91" w:rsidRPr="00D855B4" w:rsidRDefault="007A5E91">
      <w:pPr>
        <w:spacing w:after="120"/>
        <w:rPr>
          <w:rFonts w:ascii="Times New Roman" w:hAnsi="Times New Roman" w:cs="Times New Roman"/>
          <w:b/>
          <w:color w:val="000000"/>
          <w:sz w:val="36"/>
        </w:rPr>
      </w:pPr>
    </w:p>
    <w:p w14:paraId="46F4727C" w14:textId="77777777" w:rsidR="007A5E91" w:rsidRPr="00D855B4" w:rsidRDefault="00000000" w:rsidP="008D16A2">
      <w:pPr>
        <w:spacing w:after="120"/>
        <w:jc w:val="center"/>
        <w:rPr>
          <w:rFonts w:ascii="Times New Roman" w:hAnsi="Times New Roman" w:cs="Times New Roman"/>
          <w:sz w:val="28"/>
          <w:szCs w:val="28"/>
        </w:rPr>
      </w:pPr>
      <w:r w:rsidRPr="00D855B4">
        <w:rPr>
          <w:rFonts w:cs="Arial"/>
          <w:b/>
          <w:color w:val="000000"/>
          <w:sz w:val="28"/>
          <w:szCs w:val="28"/>
        </w:rPr>
        <w:t>INFORMATION BOOKLET</w:t>
      </w:r>
    </w:p>
    <w:p w14:paraId="2AD8DF42" w14:textId="77777777" w:rsidR="007A5E91" w:rsidRPr="00D855B4" w:rsidRDefault="00000000" w:rsidP="008D16A2">
      <w:pPr>
        <w:spacing w:after="120"/>
        <w:jc w:val="center"/>
        <w:rPr>
          <w:rFonts w:ascii="Times New Roman" w:hAnsi="Times New Roman" w:cs="Times New Roman"/>
          <w:sz w:val="28"/>
          <w:szCs w:val="28"/>
        </w:rPr>
      </w:pPr>
      <w:r w:rsidRPr="00D855B4">
        <w:rPr>
          <w:rFonts w:cs="Arial"/>
          <w:b/>
          <w:sz w:val="28"/>
          <w:szCs w:val="28"/>
        </w:rPr>
        <w:t>Management of Type 2 Diabetes Mellitus in the UK</w:t>
      </w:r>
    </w:p>
    <w:p w14:paraId="5CF9A324" w14:textId="77777777" w:rsidR="007A5E91" w:rsidRPr="00D855B4" w:rsidRDefault="00000000" w:rsidP="008D16A2">
      <w:pPr>
        <w:spacing w:after="120"/>
        <w:jc w:val="center"/>
        <w:rPr>
          <w:rFonts w:ascii="Times New Roman" w:hAnsi="Times New Roman" w:cs="Times New Roman"/>
          <w:sz w:val="28"/>
          <w:szCs w:val="28"/>
        </w:rPr>
      </w:pPr>
      <w:r w:rsidRPr="00D855B4">
        <w:rPr>
          <w:rFonts w:cs="Arial"/>
          <w:b/>
          <w:sz w:val="28"/>
          <w:szCs w:val="28"/>
        </w:rPr>
        <w:t>Audience: Service users and healthcare professionals</w:t>
      </w:r>
    </w:p>
    <w:p w14:paraId="7549AFA9" w14:textId="77777777" w:rsidR="00F037AC" w:rsidRDefault="00F037AC" w:rsidP="008D16A2">
      <w:pPr>
        <w:spacing w:after="120"/>
        <w:jc w:val="center"/>
        <w:rPr>
          <w:rFonts w:cs="Arial"/>
          <w:b/>
          <w:bCs/>
        </w:rPr>
      </w:pPr>
    </w:p>
    <w:p w14:paraId="33F6E9C8" w14:textId="77777777" w:rsidR="00F037AC" w:rsidRDefault="00F037AC" w:rsidP="008D16A2">
      <w:pPr>
        <w:spacing w:after="120"/>
        <w:jc w:val="center"/>
        <w:rPr>
          <w:rFonts w:cs="Arial"/>
          <w:b/>
          <w:bCs/>
        </w:rPr>
      </w:pPr>
    </w:p>
    <w:p w14:paraId="6FF496CF" w14:textId="26E4D61D" w:rsidR="007A5E91" w:rsidRPr="00F037AC" w:rsidRDefault="00000000" w:rsidP="008D16A2">
      <w:pPr>
        <w:spacing w:after="120"/>
        <w:jc w:val="center"/>
        <w:rPr>
          <w:rFonts w:ascii="Times New Roman" w:hAnsi="Times New Roman" w:cs="Times New Roman"/>
          <w:b/>
          <w:bCs/>
        </w:rPr>
      </w:pPr>
      <w:r w:rsidRPr="00F037AC">
        <w:rPr>
          <w:rFonts w:cs="Arial"/>
          <w:b/>
          <w:bCs/>
        </w:rPr>
        <w:t xml:space="preserve">Student name: </w:t>
      </w:r>
      <w:r w:rsidR="00D855B4" w:rsidRPr="00F037AC">
        <w:rPr>
          <w:rFonts w:cs="Arial"/>
          <w:b/>
          <w:bCs/>
        </w:rPr>
        <w:t>Tiya Patel</w:t>
      </w:r>
      <w:r w:rsidR="00D855B4" w:rsidRPr="00F037AC">
        <w:rPr>
          <w:rFonts w:cs="Arial"/>
          <w:b/>
          <w:bCs/>
        </w:rPr>
        <w:tab/>
      </w:r>
    </w:p>
    <w:p w14:paraId="154A7146" w14:textId="42863AC9" w:rsidR="007A5E91" w:rsidRPr="00D855B4" w:rsidRDefault="00000000" w:rsidP="008D16A2">
      <w:pPr>
        <w:spacing w:after="120"/>
        <w:jc w:val="center"/>
        <w:rPr>
          <w:rFonts w:ascii="Times New Roman" w:hAnsi="Times New Roman" w:cs="Times New Roman"/>
        </w:rPr>
      </w:pPr>
      <w:r w:rsidRPr="00F037AC">
        <w:rPr>
          <w:rFonts w:cs="Arial"/>
          <w:b/>
          <w:bCs/>
        </w:rPr>
        <w:t>Student ID:</w:t>
      </w:r>
      <w:r w:rsidR="00D855B4" w:rsidRPr="00F037AC">
        <w:rPr>
          <w:rFonts w:cs="Arial"/>
          <w:b/>
          <w:bCs/>
        </w:rPr>
        <w:t xml:space="preserve"> 2603307</w:t>
      </w:r>
    </w:p>
    <w:p w14:paraId="1129697E" w14:textId="77777777" w:rsidR="008D16A2" w:rsidRPr="00D855B4" w:rsidRDefault="00000000" w:rsidP="008D16A2">
      <w:pPr>
        <w:spacing w:after="120"/>
        <w:jc w:val="center"/>
        <w:rPr>
          <w:rFonts w:cs="Arial"/>
        </w:rPr>
      </w:pPr>
      <w:r w:rsidRPr="00D855B4">
        <w:rPr>
          <w:rFonts w:cs="Arial"/>
        </w:rPr>
        <w:t>LCHS7003 – Community Care and Management of Longer-term Conditions</w:t>
      </w:r>
    </w:p>
    <w:p w14:paraId="0B7BFAFB" w14:textId="77777777" w:rsidR="008D16A2" w:rsidRPr="00D855B4" w:rsidRDefault="008D16A2" w:rsidP="008D16A2">
      <w:pPr>
        <w:spacing w:after="120"/>
        <w:jc w:val="center"/>
        <w:rPr>
          <w:rFonts w:cs="Arial"/>
        </w:rPr>
      </w:pPr>
    </w:p>
    <w:p w14:paraId="25529AE5" w14:textId="257594AC" w:rsidR="008D16A2" w:rsidRPr="00D855B4" w:rsidRDefault="008D16A2" w:rsidP="008D16A2">
      <w:pPr>
        <w:spacing w:after="120"/>
        <w:jc w:val="center"/>
        <w:rPr>
          <w:rFonts w:cs="Arial"/>
        </w:rPr>
      </w:pPr>
      <w:r w:rsidRPr="00D855B4">
        <w:rPr>
          <w:rFonts w:cs="Arial"/>
        </w:rPr>
        <w:t>AI Acknowledgement</w:t>
      </w:r>
    </w:p>
    <w:p w14:paraId="6D0D0E91" w14:textId="77777777" w:rsidR="008D16A2" w:rsidRPr="00D855B4" w:rsidRDefault="008D16A2" w:rsidP="008D16A2">
      <w:pPr>
        <w:spacing w:after="120"/>
        <w:jc w:val="center"/>
        <w:rPr>
          <w:rFonts w:cs="Arial"/>
        </w:rPr>
      </w:pPr>
    </w:p>
    <w:p w14:paraId="63E83776" w14:textId="28F4C68A" w:rsidR="007A5E91" w:rsidRPr="00D855B4" w:rsidRDefault="008D16A2" w:rsidP="008D16A2">
      <w:pPr>
        <w:spacing w:after="120"/>
        <w:jc w:val="center"/>
        <w:rPr>
          <w:rFonts w:ascii="Times New Roman" w:hAnsi="Times New Roman" w:cs="Times New Roman"/>
        </w:rPr>
      </w:pPr>
      <w:r w:rsidRPr="00D855B4">
        <w:rPr>
          <w:rFonts w:cs="Arial"/>
        </w:rPr>
        <w:t>This is my own work. AI was used only for proofreading, grammar, spelling, punctuation, and improving clarity. The ideas, research, analysis, and final content are entirely my own.</w:t>
      </w:r>
      <w:r w:rsidRPr="00D855B4">
        <w:rPr>
          <w:rFonts w:cs="Arial"/>
        </w:rPr>
        <w:br/>
      </w:r>
    </w:p>
    <w:p w14:paraId="5EA48A13" w14:textId="77777777" w:rsidR="007A5E91" w:rsidRPr="00D855B4" w:rsidRDefault="007A5E91">
      <w:pPr>
        <w:spacing w:after="120"/>
        <w:rPr>
          <w:rFonts w:ascii="Times New Roman" w:hAnsi="Times New Roman" w:cs="Times New Roman"/>
        </w:rPr>
      </w:pPr>
    </w:p>
    <w:p w14:paraId="46A0F496" w14:textId="77777777" w:rsidR="00C00EF0" w:rsidRPr="00D855B4" w:rsidRDefault="00C00EF0">
      <w:pPr>
        <w:spacing w:after="0" w:line="240" w:lineRule="auto"/>
        <w:jc w:val="left"/>
        <w:rPr>
          <w:rFonts w:cs="Arial"/>
          <w:b/>
          <w:color w:val="000000"/>
          <w:spacing w:val="5"/>
          <w:kern w:val="2"/>
        </w:rPr>
      </w:pPr>
      <w:bookmarkStart w:id="0" w:name="__RefHeading___Toc473_184744411"/>
      <w:bookmarkEnd w:id="0"/>
      <w:r w:rsidRPr="00D855B4">
        <w:rPr>
          <w:rFonts w:cs="Arial"/>
          <w:b/>
          <w:color w:val="000000"/>
        </w:rPr>
        <w:br w:type="page"/>
      </w:r>
    </w:p>
    <w:p w14:paraId="6951DD6E" w14:textId="78BB5B0D" w:rsidR="007A5E91" w:rsidRPr="00D855B4" w:rsidRDefault="00000000">
      <w:pPr>
        <w:pStyle w:val="Title"/>
        <w:spacing w:after="120"/>
        <w:rPr>
          <w:rFonts w:ascii="Times New Roman" w:eastAsia="Arial" w:hAnsi="Times New Roman" w:cs="Times New Roman"/>
          <w:b/>
          <w:sz w:val="26"/>
        </w:rPr>
      </w:pPr>
      <w:r w:rsidRPr="00D855B4">
        <w:rPr>
          <w:rFonts w:ascii="Arial" w:eastAsia="Arial" w:hAnsi="Arial" w:cs="Arial"/>
          <w:b/>
          <w:color w:val="000000"/>
          <w:szCs w:val="22"/>
        </w:rPr>
        <w:lastRenderedPageBreak/>
        <w:t>Contents</w:t>
      </w:r>
    </w:p>
    <w:sdt>
      <w:sdtPr>
        <w:id w:val="1301723404"/>
        <w:docPartObj>
          <w:docPartGallery w:val="Table of Contents"/>
          <w:docPartUnique/>
        </w:docPartObj>
      </w:sdtPr>
      <w:sdtContent>
        <w:p w14:paraId="01370730" w14:textId="25BEFC80" w:rsidR="0061536E" w:rsidRPr="00D855B4" w:rsidRDefault="008D16A2">
          <w:pPr>
            <w:pStyle w:val="TOC1"/>
            <w:rPr>
              <w:rFonts w:asciiTheme="minorHAnsi" w:eastAsiaTheme="minorEastAsia" w:hAnsiTheme="minorHAnsi" w:cstheme="minorBidi"/>
              <w:kern w:val="2"/>
              <w:sz w:val="24"/>
              <w:szCs w:val="24"/>
              <w:lang w:eastAsia="en-IN"/>
              <w14:ligatures w14:val="standardContextual"/>
            </w:rPr>
          </w:pPr>
          <w:r w:rsidRPr="00D855B4">
            <w:fldChar w:fldCharType="begin"/>
          </w:r>
          <w:r w:rsidRPr="00D855B4">
            <w:rPr>
              <w:rStyle w:val="IndexLink"/>
            </w:rPr>
            <w:instrText xml:space="preserve"> TOC \o "1-2" \h</w:instrText>
          </w:r>
          <w:r w:rsidRPr="00D855B4">
            <w:rPr>
              <w:rStyle w:val="IndexLink"/>
            </w:rPr>
            <w:fldChar w:fldCharType="separate"/>
          </w:r>
          <w:hyperlink w:anchor="_Toc243589161" w:history="1">
            <w:r w:rsidR="0061536E" w:rsidRPr="00D855B4">
              <w:rPr>
                <w:rStyle w:val="Hyperlink"/>
              </w:rPr>
              <w:t>Definition</w:t>
            </w:r>
            <w:r w:rsidR="0061536E" w:rsidRPr="00D855B4">
              <w:tab/>
            </w:r>
            <w:r w:rsidR="0061536E" w:rsidRPr="00D855B4">
              <w:fldChar w:fldCharType="begin"/>
            </w:r>
            <w:r w:rsidR="0061536E" w:rsidRPr="00D855B4">
              <w:instrText xml:space="preserve"> PAGEREF _Toc243589161 \h </w:instrText>
            </w:r>
            <w:r w:rsidR="0061536E" w:rsidRPr="00D855B4">
              <w:fldChar w:fldCharType="separate"/>
            </w:r>
            <w:r w:rsidR="0061536E" w:rsidRPr="00D855B4">
              <w:t>3</w:t>
            </w:r>
            <w:r w:rsidR="0061536E" w:rsidRPr="00D855B4">
              <w:fldChar w:fldCharType="end"/>
            </w:r>
          </w:hyperlink>
        </w:p>
        <w:p w14:paraId="371B6C2B" w14:textId="5CCD4336" w:rsidR="0061536E" w:rsidRPr="00D855B4" w:rsidRDefault="0061536E">
          <w:pPr>
            <w:pStyle w:val="TOC1"/>
            <w:rPr>
              <w:rFonts w:asciiTheme="minorHAnsi" w:eastAsiaTheme="minorEastAsia" w:hAnsiTheme="minorHAnsi" w:cstheme="minorBidi"/>
              <w:kern w:val="2"/>
              <w:sz w:val="24"/>
              <w:szCs w:val="24"/>
              <w:lang w:eastAsia="en-IN"/>
              <w14:ligatures w14:val="standardContextual"/>
            </w:rPr>
          </w:pPr>
          <w:hyperlink w:anchor="_Toc243589162" w:history="1">
            <w:r w:rsidRPr="00D855B4">
              <w:rPr>
                <w:rStyle w:val="Hyperlink"/>
              </w:rPr>
              <w:t>Aim</w:t>
            </w:r>
            <w:r w:rsidRPr="00D855B4">
              <w:tab/>
            </w:r>
            <w:r w:rsidRPr="00D855B4">
              <w:fldChar w:fldCharType="begin"/>
            </w:r>
            <w:r w:rsidRPr="00D855B4">
              <w:instrText xml:space="preserve"> PAGEREF _Toc243589162 \h </w:instrText>
            </w:r>
            <w:r w:rsidRPr="00D855B4">
              <w:fldChar w:fldCharType="separate"/>
            </w:r>
            <w:r w:rsidRPr="00D855B4">
              <w:t>3</w:t>
            </w:r>
            <w:r w:rsidRPr="00D855B4">
              <w:fldChar w:fldCharType="end"/>
            </w:r>
          </w:hyperlink>
        </w:p>
        <w:p w14:paraId="32117C26" w14:textId="74F7C174" w:rsidR="0061536E" w:rsidRPr="00D855B4" w:rsidRDefault="0061536E">
          <w:pPr>
            <w:pStyle w:val="TOC1"/>
            <w:rPr>
              <w:rFonts w:asciiTheme="minorHAnsi" w:eastAsiaTheme="minorEastAsia" w:hAnsiTheme="minorHAnsi" w:cstheme="minorBidi"/>
              <w:kern w:val="2"/>
              <w:sz w:val="24"/>
              <w:szCs w:val="24"/>
              <w:lang w:eastAsia="en-IN"/>
              <w14:ligatures w14:val="standardContextual"/>
            </w:rPr>
          </w:pPr>
          <w:hyperlink w:anchor="_Toc243589163" w:history="1">
            <w:r w:rsidRPr="00D855B4">
              <w:rPr>
                <w:rStyle w:val="Hyperlink"/>
              </w:rPr>
              <w:t>1. Introduction</w:t>
            </w:r>
            <w:r w:rsidRPr="00D855B4">
              <w:tab/>
            </w:r>
            <w:r w:rsidRPr="00D855B4">
              <w:fldChar w:fldCharType="begin"/>
            </w:r>
            <w:r w:rsidRPr="00D855B4">
              <w:instrText xml:space="preserve"> PAGEREF _Toc243589163 \h </w:instrText>
            </w:r>
            <w:r w:rsidRPr="00D855B4">
              <w:fldChar w:fldCharType="separate"/>
            </w:r>
            <w:r w:rsidRPr="00D855B4">
              <w:t>3</w:t>
            </w:r>
            <w:r w:rsidRPr="00D855B4">
              <w:fldChar w:fldCharType="end"/>
            </w:r>
          </w:hyperlink>
        </w:p>
        <w:p w14:paraId="63D48A88" w14:textId="359C5156" w:rsidR="0061536E" w:rsidRPr="00D855B4" w:rsidRDefault="0061536E">
          <w:pPr>
            <w:pStyle w:val="TOC1"/>
            <w:rPr>
              <w:rFonts w:asciiTheme="minorHAnsi" w:eastAsiaTheme="minorEastAsia" w:hAnsiTheme="minorHAnsi" w:cstheme="minorBidi"/>
              <w:kern w:val="2"/>
              <w:sz w:val="24"/>
              <w:szCs w:val="24"/>
              <w:lang w:eastAsia="en-IN"/>
              <w14:ligatures w14:val="standardContextual"/>
            </w:rPr>
          </w:pPr>
          <w:hyperlink w:anchor="_Toc243589164" w:history="1">
            <w:r w:rsidRPr="00D855B4">
              <w:rPr>
                <w:rStyle w:val="Hyperlink"/>
              </w:rPr>
              <w:t>2. Burden, Prevalence, Aetiology and Risk Factors</w:t>
            </w:r>
            <w:r w:rsidRPr="00D855B4">
              <w:tab/>
            </w:r>
            <w:r w:rsidRPr="00D855B4">
              <w:fldChar w:fldCharType="begin"/>
            </w:r>
            <w:r w:rsidRPr="00D855B4">
              <w:instrText xml:space="preserve"> PAGEREF _Toc243589164 \h </w:instrText>
            </w:r>
            <w:r w:rsidRPr="00D855B4">
              <w:fldChar w:fldCharType="separate"/>
            </w:r>
            <w:r w:rsidRPr="00D855B4">
              <w:t>4</w:t>
            </w:r>
            <w:r w:rsidRPr="00D855B4">
              <w:fldChar w:fldCharType="end"/>
            </w:r>
          </w:hyperlink>
        </w:p>
        <w:p w14:paraId="6BD35D3E" w14:textId="32AFE86F" w:rsidR="0061536E" w:rsidRPr="00D855B4" w:rsidRDefault="0061536E">
          <w:pPr>
            <w:pStyle w:val="TOC1"/>
            <w:rPr>
              <w:rFonts w:asciiTheme="minorHAnsi" w:eastAsiaTheme="minorEastAsia" w:hAnsiTheme="minorHAnsi" w:cstheme="minorBidi"/>
              <w:kern w:val="2"/>
              <w:sz w:val="24"/>
              <w:szCs w:val="24"/>
              <w:lang w:eastAsia="en-IN"/>
              <w14:ligatures w14:val="standardContextual"/>
            </w:rPr>
          </w:pPr>
          <w:hyperlink w:anchor="_Toc243589165" w:history="1">
            <w:r w:rsidRPr="00D855B4">
              <w:rPr>
                <w:rStyle w:val="Hyperlink"/>
              </w:rPr>
              <w:t>3. Physical, Psychological and Social Impact</w:t>
            </w:r>
            <w:r w:rsidRPr="00D855B4">
              <w:tab/>
            </w:r>
            <w:r w:rsidRPr="00D855B4">
              <w:fldChar w:fldCharType="begin"/>
            </w:r>
            <w:r w:rsidRPr="00D855B4">
              <w:instrText xml:space="preserve"> PAGEREF _Toc243589165 \h </w:instrText>
            </w:r>
            <w:r w:rsidRPr="00D855B4">
              <w:fldChar w:fldCharType="separate"/>
            </w:r>
            <w:r w:rsidRPr="00D855B4">
              <w:t>5</w:t>
            </w:r>
            <w:r w:rsidRPr="00D855B4">
              <w:fldChar w:fldCharType="end"/>
            </w:r>
          </w:hyperlink>
        </w:p>
        <w:p w14:paraId="26AD0B8F" w14:textId="1509CE4A" w:rsidR="0061536E" w:rsidRPr="00D855B4" w:rsidRDefault="0061536E">
          <w:pPr>
            <w:pStyle w:val="TOC2"/>
            <w:rPr>
              <w:rFonts w:asciiTheme="minorHAnsi" w:eastAsiaTheme="minorEastAsia" w:hAnsiTheme="minorHAnsi" w:cstheme="minorBidi"/>
              <w:kern w:val="2"/>
              <w:sz w:val="24"/>
              <w:szCs w:val="24"/>
              <w:lang w:eastAsia="en-IN"/>
              <w14:ligatures w14:val="standardContextual"/>
            </w:rPr>
          </w:pPr>
          <w:hyperlink w:anchor="_Toc243589166" w:history="1">
            <w:r w:rsidRPr="00D855B4">
              <w:rPr>
                <w:rStyle w:val="Hyperlink"/>
                <w:rFonts w:cs="Arial"/>
              </w:rPr>
              <w:t>3.1 Physical impact</w:t>
            </w:r>
            <w:r w:rsidRPr="00D855B4">
              <w:tab/>
            </w:r>
            <w:r w:rsidRPr="00D855B4">
              <w:fldChar w:fldCharType="begin"/>
            </w:r>
            <w:r w:rsidRPr="00D855B4">
              <w:instrText xml:space="preserve"> PAGEREF _Toc243589166 \h </w:instrText>
            </w:r>
            <w:r w:rsidRPr="00D855B4">
              <w:fldChar w:fldCharType="separate"/>
            </w:r>
            <w:r w:rsidRPr="00D855B4">
              <w:t>5</w:t>
            </w:r>
            <w:r w:rsidRPr="00D855B4">
              <w:fldChar w:fldCharType="end"/>
            </w:r>
          </w:hyperlink>
        </w:p>
        <w:p w14:paraId="57A1467D" w14:textId="70A8C264" w:rsidR="0061536E" w:rsidRPr="00D855B4" w:rsidRDefault="0061536E">
          <w:pPr>
            <w:pStyle w:val="TOC2"/>
            <w:rPr>
              <w:rFonts w:asciiTheme="minorHAnsi" w:eastAsiaTheme="minorEastAsia" w:hAnsiTheme="minorHAnsi" w:cstheme="minorBidi"/>
              <w:kern w:val="2"/>
              <w:sz w:val="24"/>
              <w:szCs w:val="24"/>
              <w:lang w:eastAsia="en-IN"/>
              <w14:ligatures w14:val="standardContextual"/>
            </w:rPr>
          </w:pPr>
          <w:hyperlink w:anchor="_Toc243589167" w:history="1">
            <w:r w:rsidRPr="00D855B4">
              <w:rPr>
                <w:rStyle w:val="Hyperlink"/>
                <w:rFonts w:cs="Arial"/>
              </w:rPr>
              <w:t>3.2 Psychological impact</w:t>
            </w:r>
            <w:r w:rsidRPr="00D855B4">
              <w:tab/>
            </w:r>
            <w:r w:rsidRPr="00D855B4">
              <w:fldChar w:fldCharType="begin"/>
            </w:r>
            <w:r w:rsidRPr="00D855B4">
              <w:instrText xml:space="preserve"> PAGEREF _Toc243589167 \h </w:instrText>
            </w:r>
            <w:r w:rsidRPr="00D855B4">
              <w:fldChar w:fldCharType="separate"/>
            </w:r>
            <w:r w:rsidRPr="00D855B4">
              <w:t>5</w:t>
            </w:r>
            <w:r w:rsidRPr="00D855B4">
              <w:fldChar w:fldCharType="end"/>
            </w:r>
          </w:hyperlink>
        </w:p>
        <w:p w14:paraId="611A0592" w14:textId="62631420" w:rsidR="0061536E" w:rsidRPr="00D855B4" w:rsidRDefault="0061536E">
          <w:pPr>
            <w:pStyle w:val="TOC2"/>
            <w:rPr>
              <w:rFonts w:asciiTheme="minorHAnsi" w:eastAsiaTheme="minorEastAsia" w:hAnsiTheme="minorHAnsi" w:cstheme="minorBidi"/>
              <w:kern w:val="2"/>
              <w:sz w:val="24"/>
              <w:szCs w:val="24"/>
              <w:lang w:eastAsia="en-IN"/>
              <w14:ligatures w14:val="standardContextual"/>
            </w:rPr>
          </w:pPr>
          <w:hyperlink w:anchor="_Toc243589168" w:history="1">
            <w:r w:rsidRPr="00D855B4">
              <w:rPr>
                <w:rStyle w:val="Hyperlink"/>
                <w:rFonts w:cs="Arial"/>
              </w:rPr>
              <w:t>3.3 Social and family impact</w:t>
            </w:r>
            <w:r w:rsidRPr="00D855B4">
              <w:tab/>
            </w:r>
            <w:r w:rsidRPr="00D855B4">
              <w:fldChar w:fldCharType="begin"/>
            </w:r>
            <w:r w:rsidRPr="00D855B4">
              <w:instrText xml:space="preserve"> PAGEREF _Toc243589168 \h </w:instrText>
            </w:r>
            <w:r w:rsidRPr="00D855B4">
              <w:fldChar w:fldCharType="separate"/>
            </w:r>
            <w:r w:rsidRPr="00D855B4">
              <w:t>6</w:t>
            </w:r>
            <w:r w:rsidRPr="00D855B4">
              <w:fldChar w:fldCharType="end"/>
            </w:r>
          </w:hyperlink>
        </w:p>
        <w:p w14:paraId="3E549BEA" w14:textId="6126E54E" w:rsidR="0061536E" w:rsidRPr="00D855B4" w:rsidRDefault="0061536E">
          <w:pPr>
            <w:pStyle w:val="TOC1"/>
            <w:rPr>
              <w:rFonts w:asciiTheme="minorHAnsi" w:eastAsiaTheme="minorEastAsia" w:hAnsiTheme="minorHAnsi" w:cstheme="minorBidi"/>
              <w:kern w:val="2"/>
              <w:sz w:val="24"/>
              <w:szCs w:val="24"/>
              <w:lang w:eastAsia="en-IN"/>
              <w14:ligatures w14:val="standardContextual"/>
            </w:rPr>
          </w:pPr>
          <w:hyperlink w:anchor="_Toc243589169" w:history="1">
            <w:r w:rsidRPr="00D855B4">
              <w:rPr>
                <w:rStyle w:val="Hyperlink"/>
              </w:rPr>
              <w:t>4. Evidence-Based Treatment and Management</w:t>
            </w:r>
            <w:r w:rsidRPr="00D855B4">
              <w:tab/>
            </w:r>
            <w:r w:rsidRPr="00D855B4">
              <w:fldChar w:fldCharType="begin"/>
            </w:r>
            <w:r w:rsidRPr="00D855B4">
              <w:instrText xml:space="preserve"> PAGEREF _Toc243589169 \h </w:instrText>
            </w:r>
            <w:r w:rsidRPr="00D855B4">
              <w:fldChar w:fldCharType="separate"/>
            </w:r>
            <w:r w:rsidRPr="00D855B4">
              <w:t>6</w:t>
            </w:r>
            <w:r w:rsidRPr="00D855B4">
              <w:fldChar w:fldCharType="end"/>
            </w:r>
          </w:hyperlink>
        </w:p>
        <w:p w14:paraId="4EEE2CBC" w14:textId="7402BD43" w:rsidR="0061536E" w:rsidRPr="00D855B4" w:rsidRDefault="0061536E">
          <w:pPr>
            <w:pStyle w:val="TOC2"/>
            <w:rPr>
              <w:rFonts w:asciiTheme="minorHAnsi" w:eastAsiaTheme="minorEastAsia" w:hAnsiTheme="minorHAnsi" w:cstheme="minorBidi"/>
              <w:kern w:val="2"/>
              <w:sz w:val="24"/>
              <w:szCs w:val="24"/>
              <w:lang w:eastAsia="en-IN"/>
              <w14:ligatures w14:val="standardContextual"/>
            </w:rPr>
          </w:pPr>
          <w:hyperlink w:anchor="_Toc243589170" w:history="1">
            <w:r w:rsidRPr="00D855B4">
              <w:rPr>
                <w:rStyle w:val="Hyperlink"/>
                <w:rFonts w:cs="Arial"/>
              </w:rPr>
              <w:t>4.1 Critical appraisal of treatment choices</w:t>
            </w:r>
            <w:r w:rsidRPr="00D855B4">
              <w:tab/>
            </w:r>
            <w:r w:rsidRPr="00D855B4">
              <w:fldChar w:fldCharType="begin"/>
            </w:r>
            <w:r w:rsidRPr="00D855B4">
              <w:instrText xml:space="preserve"> PAGEREF _Toc243589170 \h </w:instrText>
            </w:r>
            <w:r w:rsidRPr="00D855B4">
              <w:fldChar w:fldCharType="separate"/>
            </w:r>
            <w:r w:rsidRPr="00D855B4">
              <w:t>7</w:t>
            </w:r>
            <w:r w:rsidRPr="00D855B4">
              <w:fldChar w:fldCharType="end"/>
            </w:r>
          </w:hyperlink>
        </w:p>
        <w:p w14:paraId="22370223" w14:textId="7C63D08C" w:rsidR="0061536E" w:rsidRPr="00D855B4" w:rsidRDefault="0061536E">
          <w:pPr>
            <w:pStyle w:val="TOC1"/>
            <w:rPr>
              <w:rFonts w:asciiTheme="minorHAnsi" w:eastAsiaTheme="minorEastAsia" w:hAnsiTheme="minorHAnsi" w:cstheme="minorBidi"/>
              <w:kern w:val="2"/>
              <w:sz w:val="24"/>
              <w:szCs w:val="24"/>
              <w:lang w:eastAsia="en-IN"/>
              <w14:ligatures w14:val="standardContextual"/>
            </w:rPr>
          </w:pPr>
          <w:hyperlink w:anchor="_Toc243589171" w:history="1">
            <w:r w:rsidRPr="00D855B4">
              <w:rPr>
                <w:rStyle w:val="Hyperlink"/>
              </w:rPr>
              <w:t>5. Models of Long-Term Condition Management</w:t>
            </w:r>
            <w:r w:rsidRPr="00D855B4">
              <w:tab/>
            </w:r>
            <w:r w:rsidRPr="00D855B4">
              <w:fldChar w:fldCharType="begin"/>
            </w:r>
            <w:r w:rsidRPr="00D855B4">
              <w:instrText xml:space="preserve"> PAGEREF _Toc243589171 \h </w:instrText>
            </w:r>
            <w:r w:rsidRPr="00D855B4">
              <w:fldChar w:fldCharType="separate"/>
            </w:r>
            <w:r w:rsidRPr="00D855B4">
              <w:t>8</w:t>
            </w:r>
            <w:r w:rsidRPr="00D855B4">
              <w:fldChar w:fldCharType="end"/>
            </w:r>
          </w:hyperlink>
        </w:p>
        <w:p w14:paraId="3359CA63" w14:textId="0CCE542E" w:rsidR="0061536E" w:rsidRPr="00D855B4" w:rsidRDefault="0061536E">
          <w:pPr>
            <w:pStyle w:val="TOC2"/>
            <w:rPr>
              <w:rFonts w:asciiTheme="minorHAnsi" w:eastAsiaTheme="minorEastAsia" w:hAnsiTheme="minorHAnsi" w:cstheme="minorBidi"/>
              <w:kern w:val="2"/>
              <w:sz w:val="24"/>
              <w:szCs w:val="24"/>
              <w:lang w:eastAsia="en-IN"/>
              <w14:ligatures w14:val="standardContextual"/>
            </w:rPr>
          </w:pPr>
          <w:hyperlink w:anchor="_Toc243589172" w:history="1">
            <w:r w:rsidRPr="00D855B4">
              <w:rPr>
                <w:rStyle w:val="Hyperlink"/>
                <w:rFonts w:cs="Arial"/>
              </w:rPr>
              <w:t>5.1 UK Model: Comprehensive Model of Personalised Care</w:t>
            </w:r>
            <w:r w:rsidRPr="00D855B4">
              <w:tab/>
            </w:r>
            <w:r w:rsidRPr="00D855B4">
              <w:fldChar w:fldCharType="begin"/>
            </w:r>
            <w:r w:rsidRPr="00D855B4">
              <w:instrText xml:space="preserve"> PAGEREF _Toc243589172 \h </w:instrText>
            </w:r>
            <w:r w:rsidRPr="00D855B4">
              <w:fldChar w:fldCharType="separate"/>
            </w:r>
            <w:r w:rsidRPr="00D855B4">
              <w:t>8</w:t>
            </w:r>
            <w:r w:rsidRPr="00D855B4">
              <w:fldChar w:fldCharType="end"/>
            </w:r>
          </w:hyperlink>
        </w:p>
        <w:p w14:paraId="16B6115B" w14:textId="698F3A8B" w:rsidR="0061536E" w:rsidRPr="00D855B4" w:rsidRDefault="0061536E">
          <w:pPr>
            <w:pStyle w:val="TOC2"/>
            <w:rPr>
              <w:rFonts w:asciiTheme="minorHAnsi" w:eastAsiaTheme="minorEastAsia" w:hAnsiTheme="minorHAnsi" w:cstheme="minorBidi"/>
              <w:kern w:val="2"/>
              <w:sz w:val="24"/>
              <w:szCs w:val="24"/>
              <w:lang w:eastAsia="en-IN"/>
              <w14:ligatures w14:val="standardContextual"/>
            </w:rPr>
          </w:pPr>
          <w:hyperlink w:anchor="_Toc243589173" w:history="1">
            <w:r w:rsidRPr="00D855B4">
              <w:rPr>
                <w:rStyle w:val="Hyperlink"/>
                <w:rFonts w:cs="Arial"/>
              </w:rPr>
              <w:t>5.2 International Model: Chronic Care Model</w:t>
            </w:r>
            <w:r w:rsidRPr="00D855B4">
              <w:tab/>
            </w:r>
            <w:r w:rsidRPr="00D855B4">
              <w:fldChar w:fldCharType="begin"/>
            </w:r>
            <w:r w:rsidRPr="00D855B4">
              <w:instrText xml:space="preserve"> PAGEREF _Toc243589173 \h </w:instrText>
            </w:r>
            <w:r w:rsidRPr="00D855B4">
              <w:fldChar w:fldCharType="separate"/>
            </w:r>
            <w:r w:rsidRPr="00D855B4">
              <w:t>9</w:t>
            </w:r>
            <w:r w:rsidRPr="00D855B4">
              <w:fldChar w:fldCharType="end"/>
            </w:r>
          </w:hyperlink>
        </w:p>
        <w:p w14:paraId="61C49E48" w14:textId="60A918C7" w:rsidR="0061536E" w:rsidRPr="00D855B4" w:rsidRDefault="0061536E">
          <w:pPr>
            <w:pStyle w:val="TOC2"/>
            <w:rPr>
              <w:rFonts w:asciiTheme="minorHAnsi" w:eastAsiaTheme="minorEastAsia" w:hAnsiTheme="minorHAnsi" w:cstheme="minorBidi"/>
              <w:kern w:val="2"/>
              <w:sz w:val="24"/>
              <w:szCs w:val="24"/>
              <w:lang w:eastAsia="en-IN"/>
              <w14:ligatures w14:val="standardContextual"/>
            </w:rPr>
          </w:pPr>
          <w:hyperlink w:anchor="_Toc243589174" w:history="1">
            <w:r w:rsidRPr="00D855B4">
              <w:rPr>
                <w:rStyle w:val="Hyperlink"/>
                <w:rFonts w:cs="Arial"/>
              </w:rPr>
              <w:t>5.3 Critical Comparison</w:t>
            </w:r>
            <w:r w:rsidRPr="00D855B4">
              <w:tab/>
            </w:r>
            <w:r w:rsidRPr="00D855B4">
              <w:fldChar w:fldCharType="begin"/>
            </w:r>
            <w:r w:rsidRPr="00D855B4">
              <w:instrText xml:space="preserve"> PAGEREF _Toc243589174 \h </w:instrText>
            </w:r>
            <w:r w:rsidRPr="00D855B4">
              <w:fldChar w:fldCharType="separate"/>
            </w:r>
            <w:r w:rsidRPr="00D855B4">
              <w:t>9</w:t>
            </w:r>
            <w:r w:rsidRPr="00D855B4">
              <w:fldChar w:fldCharType="end"/>
            </w:r>
          </w:hyperlink>
        </w:p>
        <w:p w14:paraId="4EF92245" w14:textId="72CCDB90" w:rsidR="0061536E" w:rsidRPr="00D855B4" w:rsidRDefault="0061536E">
          <w:pPr>
            <w:pStyle w:val="TOC1"/>
            <w:rPr>
              <w:rFonts w:asciiTheme="minorHAnsi" w:eastAsiaTheme="minorEastAsia" w:hAnsiTheme="minorHAnsi" w:cstheme="minorBidi"/>
              <w:kern w:val="2"/>
              <w:sz w:val="24"/>
              <w:szCs w:val="24"/>
              <w:lang w:eastAsia="en-IN"/>
              <w14:ligatures w14:val="standardContextual"/>
            </w:rPr>
          </w:pPr>
          <w:hyperlink w:anchor="_Toc243589175" w:history="1">
            <w:r w:rsidRPr="00D855B4">
              <w:rPr>
                <w:rStyle w:val="Hyperlink"/>
              </w:rPr>
              <w:t>6. UK Policy and Health and Social Care Agenda</w:t>
            </w:r>
            <w:r w:rsidRPr="00D855B4">
              <w:tab/>
            </w:r>
            <w:r w:rsidRPr="00D855B4">
              <w:fldChar w:fldCharType="begin"/>
            </w:r>
            <w:r w:rsidRPr="00D855B4">
              <w:instrText xml:space="preserve"> PAGEREF _Toc243589175 \h </w:instrText>
            </w:r>
            <w:r w:rsidRPr="00D855B4">
              <w:fldChar w:fldCharType="separate"/>
            </w:r>
            <w:r w:rsidRPr="00D855B4">
              <w:t>9</w:t>
            </w:r>
            <w:r w:rsidRPr="00D855B4">
              <w:fldChar w:fldCharType="end"/>
            </w:r>
          </w:hyperlink>
        </w:p>
        <w:p w14:paraId="46A4A368" w14:textId="5DE1B41E" w:rsidR="0061536E" w:rsidRPr="00D855B4" w:rsidRDefault="0061536E">
          <w:pPr>
            <w:pStyle w:val="TOC2"/>
            <w:rPr>
              <w:rFonts w:asciiTheme="minorHAnsi" w:eastAsiaTheme="minorEastAsia" w:hAnsiTheme="minorHAnsi" w:cstheme="minorBidi"/>
              <w:kern w:val="2"/>
              <w:sz w:val="24"/>
              <w:szCs w:val="24"/>
              <w:lang w:eastAsia="en-IN"/>
              <w14:ligatures w14:val="standardContextual"/>
            </w:rPr>
          </w:pPr>
          <w:hyperlink w:anchor="_Toc243589176" w:history="1">
            <w:r w:rsidRPr="00D855B4">
              <w:rPr>
                <w:rStyle w:val="Hyperlink"/>
                <w:rFonts w:cs="Arial"/>
              </w:rPr>
              <w:t>6.1 Local commissioning and devolved policy context</w:t>
            </w:r>
            <w:r w:rsidRPr="00D855B4">
              <w:tab/>
            </w:r>
            <w:r w:rsidRPr="00D855B4">
              <w:fldChar w:fldCharType="begin"/>
            </w:r>
            <w:r w:rsidRPr="00D855B4">
              <w:instrText xml:space="preserve"> PAGEREF _Toc243589176 \h </w:instrText>
            </w:r>
            <w:r w:rsidRPr="00D855B4">
              <w:fldChar w:fldCharType="separate"/>
            </w:r>
            <w:r w:rsidRPr="00D855B4">
              <w:t>10</w:t>
            </w:r>
            <w:r w:rsidRPr="00D855B4">
              <w:fldChar w:fldCharType="end"/>
            </w:r>
          </w:hyperlink>
        </w:p>
        <w:p w14:paraId="351DADAA" w14:textId="26FC97B5" w:rsidR="0061536E" w:rsidRPr="00D855B4" w:rsidRDefault="0061536E">
          <w:pPr>
            <w:pStyle w:val="TOC1"/>
            <w:rPr>
              <w:rFonts w:asciiTheme="minorHAnsi" w:eastAsiaTheme="minorEastAsia" w:hAnsiTheme="minorHAnsi" w:cstheme="minorBidi"/>
              <w:kern w:val="2"/>
              <w:sz w:val="24"/>
              <w:szCs w:val="24"/>
              <w:lang w:eastAsia="en-IN"/>
              <w14:ligatures w14:val="standardContextual"/>
            </w:rPr>
          </w:pPr>
          <w:hyperlink w:anchor="_Toc243589177" w:history="1">
            <w:r w:rsidRPr="00D855B4">
              <w:rPr>
                <w:rStyle w:val="Hyperlink"/>
              </w:rPr>
              <w:t>7. Person-Centred Care and Self-Management</w:t>
            </w:r>
            <w:r w:rsidRPr="00D855B4">
              <w:tab/>
            </w:r>
            <w:r w:rsidRPr="00D855B4">
              <w:fldChar w:fldCharType="begin"/>
            </w:r>
            <w:r w:rsidRPr="00D855B4">
              <w:instrText xml:space="preserve"> PAGEREF _Toc243589177 \h </w:instrText>
            </w:r>
            <w:r w:rsidRPr="00D855B4">
              <w:fldChar w:fldCharType="separate"/>
            </w:r>
            <w:r w:rsidRPr="00D855B4">
              <w:t>10</w:t>
            </w:r>
            <w:r w:rsidRPr="00D855B4">
              <w:fldChar w:fldCharType="end"/>
            </w:r>
          </w:hyperlink>
        </w:p>
        <w:p w14:paraId="4E9C2747" w14:textId="2350B7BC" w:rsidR="0061536E" w:rsidRPr="00D855B4" w:rsidRDefault="0061536E">
          <w:pPr>
            <w:pStyle w:val="TOC2"/>
            <w:rPr>
              <w:rFonts w:asciiTheme="minorHAnsi" w:eastAsiaTheme="minorEastAsia" w:hAnsiTheme="minorHAnsi" w:cstheme="minorBidi"/>
              <w:kern w:val="2"/>
              <w:sz w:val="24"/>
              <w:szCs w:val="24"/>
              <w:lang w:eastAsia="en-IN"/>
              <w14:ligatures w14:val="standardContextual"/>
            </w:rPr>
          </w:pPr>
          <w:hyperlink w:anchor="_Toc243589178" w:history="1">
            <w:r w:rsidRPr="00D855B4">
              <w:rPr>
                <w:rStyle w:val="Hyperlink"/>
                <w:rFonts w:cs="Arial"/>
              </w:rPr>
              <w:t>7.1 Implementation, equity and continuity</w:t>
            </w:r>
            <w:r w:rsidRPr="00D855B4">
              <w:tab/>
            </w:r>
            <w:r w:rsidRPr="00D855B4">
              <w:fldChar w:fldCharType="begin"/>
            </w:r>
            <w:r w:rsidRPr="00D855B4">
              <w:instrText xml:space="preserve"> PAGEREF _Toc243589178 \h </w:instrText>
            </w:r>
            <w:r w:rsidRPr="00D855B4">
              <w:fldChar w:fldCharType="separate"/>
            </w:r>
            <w:r w:rsidRPr="00D855B4">
              <w:t>11</w:t>
            </w:r>
            <w:r w:rsidRPr="00D855B4">
              <w:fldChar w:fldCharType="end"/>
            </w:r>
          </w:hyperlink>
        </w:p>
        <w:p w14:paraId="579BA46F" w14:textId="6991964F" w:rsidR="0061536E" w:rsidRPr="00D855B4" w:rsidRDefault="0061536E">
          <w:pPr>
            <w:pStyle w:val="TOC2"/>
            <w:rPr>
              <w:rFonts w:asciiTheme="minorHAnsi" w:eastAsiaTheme="minorEastAsia" w:hAnsiTheme="minorHAnsi" w:cstheme="minorBidi"/>
              <w:kern w:val="2"/>
              <w:sz w:val="24"/>
              <w:szCs w:val="24"/>
              <w:lang w:eastAsia="en-IN"/>
              <w14:ligatures w14:val="standardContextual"/>
            </w:rPr>
          </w:pPr>
          <w:hyperlink w:anchor="_Toc243589179" w:history="1">
            <w:r w:rsidRPr="00D855B4">
              <w:rPr>
                <w:rStyle w:val="Hyperlink"/>
                <w:rFonts w:cs="Arial"/>
              </w:rPr>
              <w:t>7.2 Multidisciplinary and carer support</w:t>
            </w:r>
            <w:r w:rsidRPr="00D855B4">
              <w:tab/>
            </w:r>
            <w:r w:rsidRPr="00D855B4">
              <w:fldChar w:fldCharType="begin"/>
            </w:r>
            <w:r w:rsidRPr="00D855B4">
              <w:instrText xml:space="preserve"> PAGEREF _Toc243589179 \h </w:instrText>
            </w:r>
            <w:r w:rsidRPr="00D855B4">
              <w:fldChar w:fldCharType="separate"/>
            </w:r>
            <w:r w:rsidRPr="00D855B4">
              <w:t>12</w:t>
            </w:r>
            <w:r w:rsidRPr="00D855B4">
              <w:fldChar w:fldCharType="end"/>
            </w:r>
          </w:hyperlink>
        </w:p>
        <w:p w14:paraId="090027C5" w14:textId="68937B4A" w:rsidR="0061536E" w:rsidRPr="00D855B4" w:rsidRDefault="0061536E">
          <w:pPr>
            <w:pStyle w:val="TOC1"/>
            <w:rPr>
              <w:rFonts w:asciiTheme="minorHAnsi" w:eastAsiaTheme="minorEastAsia" w:hAnsiTheme="minorHAnsi" w:cstheme="minorBidi"/>
              <w:kern w:val="2"/>
              <w:sz w:val="24"/>
              <w:szCs w:val="24"/>
              <w:lang w:eastAsia="en-IN"/>
              <w14:ligatures w14:val="standardContextual"/>
            </w:rPr>
          </w:pPr>
          <w:hyperlink w:anchor="_Toc243589180" w:history="1">
            <w:r w:rsidRPr="00D855B4">
              <w:rPr>
                <w:rStyle w:val="Hyperlink"/>
              </w:rPr>
              <w:t>8. End-of-Life Care</w:t>
            </w:r>
            <w:r w:rsidRPr="00D855B4">
              <w:tab/>
            </w:r>
            <w:r w:rsidRPr="00D855B4">
              <w:fldChar w:fldCharType="begin"/>
            </w:r>
            <w:r w:rsidRPr="00D855B4">
              <w:instrText xml:space="preserve"> PAGEREF _Toc243589180 \h </w:instrText>
            </w:r>
            <w:r w:rsidRPr="00D855B4">
              <w:fldChar w:fldCharType="separate"/>
            </w:r>
            <w:r w:rsidRPr="00D855B4">
              <w:t>12</w:t>
            </w:r>
            <w:r w:rsidRPr="00D855B4">
              <w:fldChar w:fldCharType="end"/>
            </w:r>
          </w:hyperlink>
        </w:p>
        <w:p w14:paraId="66026431" w14:textId="48A42DDD" w:rsidR="0061536E" w:rsidRPr="00D855B4" w:rsidRDefault="0061536E">
          <w:pPr>
            <w:pStyle w:val="TOC1"/>
            <w:rPr>
              <w:rFonts w:asciiTheme="minorHAnsi" w:eastAsiaTheme="minorEastAsia" w:hAnsiTheme="minorHAnsi" w:cstheme="minorBidi"/>
              <w:kern w:val="2"/>
              <w:sz w:val="24"/>
              <w:szCs w:val="24"/>
              <w:lang w:eastAsia="en-IN"/>
              <w14:ligatures w14:val="standardContextual"/>
            </w:rPr>
          </w:pPr>
          <w:hyperlink w:anchor="_Toc243589181" w:history="1">
            <w:r w:rsidRPr="00D855B4">
              <w:rPr>
                <w:rStyle w:val="Hyperlink"/>
              </w:rPr>
              <w:t>9. Recommendations</w:t>
            </w:r>
            <w:r w:rsidRPr="00D855B4">
              <w:tab/>
            </w:r>
            <w:r w:rsidRPr="00D855B4">
              <w:fldChar w:fldCharType="begin"/>
            </w:r>
            <w:r w:rsidRPr="00D855B4">
              <w:instrText xml:space="preserve"> PAGEREF _Toc243589181 \h </w:instrText>
            </w:r>
            <w:r w:rsidRPr="00D855B4">
              <w:fldChar w:fldCharType="separate"/>
            </w:r>
            <w:r w:rsidRPr="00D855B4">
              <w:t>13</w:t>
            </w:r>
            <w:r w:rsidRPr="00D855B4">
              <w:fldChar w:fldCharType="end"/>
            </w:r>
          </w:hyperlink>
        </w:p>
        <w:p w14:paraId="04CA8B6A" w14:textId="1DA6D675" w:rsidR="0061536E" w:rsidRPr="00D855B4" w:rsidRDefault="0061536E">
          <w:pPr>
            <w:pStyle w:val="TOC2"/>
            <w:rPr>
              <w:rFonts w:asciiTheme="minorHAnsi" w:eastAsiaTheme="minorEastAsia" w:hAnsiTheme="minorHAnsi" w:cstheme="minorBidi"/>
              <w:kern w:val="2"/>
              <w:sz w:val="24"/>
              <w:szCs w:val="24"/>
              <w:lang w:eastAsia="en-IN"/>
              <w14:ligatures w14:val="standardContextual"/>
            </w:rPr>
          </w:pPr>
          <w:hyperlink w:anchor="_Toc243589182" w:history="1">
            <w:r w:rsidRPr="00D855B4">
              <w:rPr>
                <w:rStyle w:val="Hyperlink"/>
                <w:rFonts w:cs="Arial"/>
              </w:rPr>
              <w:t>9.1 Implementation measures</w:t>
            </w:r>
            <w:r w:rsidRPr="00D855B4">
              <w:tab/>
            </w:r>
            <w:r w:rsidRPr="00D855B4">
              <w:fldChar w:fldCharType="begin"/>
            </w:r>
            <w:r w:rsidRPr="00D855B4">
              <w:instrText xml:space="preserve"> PAGEREF _Toc243589182 \h </w:instrText>
            </w:r>
            <w:r w:rsidRPr="00D855B4">
              <w:fldChar w:fldCharType="separate"/>
            </w:r>
            <w:r w:rsidRPr="00D855B4">
              <w:t>14</w:t>
            </w:r>
            <w:r w:rsidRPr="00D855B4">
              <w:fldChar w:fldCharType="end"/>
            </w:r>
          </w:hyperlink>
        </w:p>
        <w:p w14:paraId="69530C4A" w14:textId="106A5E2B" w:rsidR="0061536E" w:rsidRPr="00D855B4" w:rsidRDefault="0061536E">
          <w:pPr>
            <w:pStyle w:val="TOC1"/>
            <w:rPr>
              <w:rFonts w:asciiTheme="minorHAnsi" w:eastAsiaTheme="minorEastAsia" w:hAnsiTheme="minorHAnsi" w:cstheme="minorBidi"/>
              <w:kern w:val="2"/>
              <w:sz w:val="24"/>
              <w:szCs w:val="24"/>
              <w:lang w:eastAsia="en-IN"/>
              <w14:ligatures w14:val="standardContextual"/>
            </w:rPr>
          </w:pPr>
          <w:hyperlink w:anchor="_Toc243589183" w:history="1">
            <w:r w:rsidRPr="00D855B4">
              <w:rPr>
                <w:rStyle w:val="Hyperlink"/>
              </w:rPr>
              <w:t>10. Conclusion</w:t>
            </w:r>
            <w:r w:rsidRPr="00D855B4">
              <w:tab/>
            </w:r>
            <w:r w:rsidRPr="00D855B4">
              <w:fldChar w:fldCharType="begin"/>
            </w:r>
            <w:r w:rsidRPr="00D855B4">
              <w:instrText xml:space="preserve"> PAGEREF _Toc243589183 \h </w:instrText>
            </w:r>
            <w:r w:rsidRPr="00D855B4">
              <w:fldChar w:fldCharType="separate"/>
            </w:r>
            <w:r w:rsidRPr="00D855B4">
              <w:t>14</w:t>
            </w:r>
            <w:r w:rsidRPr="00D855B4">
              <w:fldChar w:fldCharType="end"/>
            </w:r>
          </w:hyperlink>
        </w:p>
        <w:p w14:paraId="320B6839" w14:textId="56EDFE6C" w:rsidR="0061536E" w:rsidRPr="00D855B4" w:rsidRDefault="0061536E">
          <w:pPr>
            <w:pStyle w:val="TOC1"/>
            <w:rPr>
              <w:rFonts w:asciiTheme="minorHAnsi" w:eastAsiaTheme="minorEastAsia" w:hAnsiTheme="minorHAnsi" w:cstheme="minorBidi"/>
              <w:kern w:val="2"/>
              <w:sz w:val="24"/>
              <w:szCs w:val="24"/>
              <w:lang w:eastAsia="en-IN"/>
              <w14:ligatures w14:val="standardContextual"/>
            </w:rPr>
          </w:pPr>
          <w:hyperlink w:anchor="_Toc243589184" w:history="1">
            <w:r w:rsidRPr="00D855B4">
              <w:rPr>
                <w:rStyle w:val="Hyperlink"/>
              </w:rPr>
              <w:t>References</w:t>
            </w:r>
            <w:r w:rsidRPr="00D855B4">
              <w:tab/>
            </w:r>
            <w:r w:rsidRPr="00D855B4">
              <w:fldChar w:fldCharType="begin"/>
            </w:r>
            <w:r w:rsidRPr="00D855B4">
              <w:instrText xml:space="preserve"> PAGEREF _Toc243589184 \h </w:instrText>
            </w:r>
            <w:r w:rsidRPr="00D855B4">
              <w:fldChar w:fldCharType="separate"/>
            </w:r>
            <w:r w:rsidRPr="00D855B4">
              <w:t>16</w:t>
            </w:r>
            <w:r w:rsidRPr="00D855B4">
              <w:fldChar w:fldCharType="end"/>
            </w:r>
          </w:hyperlink>
        </w:p>
        <w:p w14:paraId="787CA252" w14:textId="7AAA176A" w:rsidR="007A5E91" w:rsidRPr="00D855B4" w:rsidRDefault="008D16A2">
          <w:pPr>
            <w:pStyle w:val="TOC1"/>
            <w:tabs>
              <w:tab w:val="clear" w:pos="9648"/>
              <w:tab w:val="right" w:leader="dot" w:pos="9647"/>
            </w:tabs>
          </w:pPr>
          <w:r w:rsidRPr="00D855B4">
            <w:rPr>
              <w:rStyle w:val="IndexLink"/>
            </w:rPr>
            <w:fldChar w:fldCharType="end"/>
          </w:r>
        </w:p>
      </w:sdtContent>
    </w:sdt>
    <w:p w14:paraId="7A1F18F5" w14:textId="77777777" w:rsidR="0061536E" w:rsidRPr="00D855B4" w:rsidRDefault="0061536E" w:rsidP="0061536E">
      <w:pPr>
        <w:pStyle w:val="Heading1"/>
      </w:pPr>
      <w:bookmarkStart w:id="1" w:name="_Toc243589161"/>
      <w:r w:rsidRPr="00D855B4">
        <w:t>Definition</w:t>
      </w:r>
      <w:bookmarkEnd w:id="1"/>
    </w:p>
    <w:p w14:paraId="1C4D978E" w14:textId="77777777" w:rsidR="0061536E" w:rsidRPr="00D855B4" w:rsidRDefault="0061536E" w:rsidP="0061536E">
      <w:r w:rsidRPr="00D855B4">
        <w:t>Type 2 diabetes is a chronic illness whereby the body fails to utilize insulin properly. This may lead to excessively high blood glucose. It involves continuous management in terms of healthy lifestyle selection, treatment, frequent monitoring and self-management.</w:t>
      </w:r>
    </w:p>
    <w:p w14:paraId="2EB37718" w14:textId="77777777" w:rsidR="0061536E" w:rsidRPr="00D855B4" w:rsidRDefault="0061536E" w:rsidP="0061536E">
      <w:pPr>
        <w:pStyle w:val="Heading1"/>
      </w:pPr>
      <w:bookmarkStart w:id="2" w:name="_Toc243589162"/>
      <w:r w:rsidRPr="00D855B4">
        <w:t>Aim</w:t>
      </w:r>
      <w:bookmarkEnd w:id="2"/>
    </w:p>
    <w:p w14:paraId="7D2B7B26" w14:textId="52528990" w:rsidR="0061536E" w:rsidRPr="00D855B4" w:rsidRDefault="0061536E" w:rsidP="0061536E">
      <w:r w:rsidRPr="00D855B4">
        <w:t>This booklet is intended to have a clear and practical information on Type 2 diabetes, its risk factors, effects and management. It also seeks to assist service users and healthcare professionals to comprehend long-term care and enhance health and quality of life.</w:t>
      </w:r>
    </w:p>
    <w:p w14:paraId="606C20C5" w14:textId="7126EBA8" w:rsidR="007A5E91" w:rsidRPr="00D855B4" w:rsidRDefault="00000000" w:rsidP="0061536E">
      <w:pPr>
        <w:pStyle w:val="Heading1"/>
        <w:rPr>
          <w:rFonts w:ascii="Times New Roman" w:hAnsi="Times New Roman" w:cs="Times New Roman"/>
          <w:sz w:val="32"/>
          <w:szCs w:val="32"/>
        </w:rPr>
      </w:pPr>
      <w:bookmarkStart w:id="3" w:name="_Toc243589163"/>
      <w:r w:rsidRPr="00D855B4">
        <w:t>1. Introduction</w:t>
      </w:r>
      <w:bookmarkEnd w:id="3"/>
    </w:p>
    <w:p w14:paraId="54F881D3" w14:textId="77777777" w:rsidR="00BD4854" w:rsidRPr="00D855B4" w:rsidRDefault="00BD4854" w:rsidP="00BD4854">
      <w:pPr>
        <w:spacing w:after="120"/>
        <w:rPr>
          <w:rFonts w:cs="Arial"/>
        </w:rPr>
      </w:pPr>
      <w:r w:rsidRPr="00D855B4">
        <w:rPr>
          <w:rFonts w:cs="Arial"/>
        </w:rPr>
        <w:t>Type 2 diabetes mellitus (T2D) is a chronic metabolic disorder where the body develops insulin resistance and, with time, the pancreas is unable to produce sufficient insulin to keep the blood glucose levels normal. It leads to chronic elevated blood glucose and may harm the heart, blood vessels, eyes, kidneys and nerves when not treated (WHO, 2024). Long-term clinical care and day-to-day self-management are thus needed by the management.</w:t>
      </w:r>
    </w:p>
    <w:p w14:paraId="5CF9EFF9" w14:textId="75C0DB81" w:rsidR="00C24408" w:rsidRPr="00D855B4" w:rsidRDefault="00C24408" w:rsidP="00C24408">
      <w:pPr>
        <w:spacing w:after="120"/>
        <w:jc w:val="center"/>
        <w:rPr>
          <w:rFonts w:cs="Arial"/>
        </w:rPr>
      </w:pPr>
      <w:r w:rsidRPr="00D855B4">
        <w:rPr>
          <w:rFonts w:cs="Arial"/>
        </w:rPr>
        <w:drawing>
          <wp:inline distT="0" distB="0" distL="0" distR="0" wp14:anchorId="2F56CAE8" wp14:editId="4BE13122">
            <wp:extent cx="2917825" cy="1945217"/>
            <wp:effectExtent l="0" t="0" r="0" b="0"/>
            <wp:docPr id="20049171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21511" cy="1947674"/>
                    </a:xfrm>
                    <a:prstGeom prst="rect">
                      <a:avLst/>
                    </a:prstGeom>
                    <a:noFill/>
                  </pic:spPr>
                </pic:pic>
              </a:graphicData>
            </a:graphic>
          </wp:inline>
        </w:drawing>
      </w:r>
    </w:p>
    <w:p w14:paraId="5E1D6643" w14:textId="57E340F9" w:rsidR="00C24408" w:rsidRPr="00D855B4" w:rsidRDefault="00C24408" w:rsidP="00C24408">
      <w:pPr>
        <w:spacing w:after="120"/>
        <w:jc w:val="center"/>
        <w:rPr>
          <w:rFonts w:cs="Arial"/>
        </w:rPr>
      </w:pPr>
      <w:r w:rsidRPr="00D855B4">
        <w:rPr>
          <w:rFonts w:cs="Arial"/>
        </w:rPr>
        <w:t>Figure 1. Definition and aim of the information booklet on Type 2 diabetes.</w:t>
      </w:r>
    </w:p>
    <w:p w14:paraId="5C994CFC" w14:textId="77777777" w:rsidR="00BD4854" w:rsidRPr="00D855B4" w:rsidRDefault="00BD4854" w:rsidP="00BD4854">
      <w:pPr>
        <w:spacing w:after="120"/>
        <w:rPr>
          <w:rFonts w:cs="Arial"/>
        </w:rPr>
      </w:pPr>
      <w:r w:rsidRPr="00D855B4">
        <w:rPr>
          <w:rFonts w:cs="Arial"/>
        </w:rPr>
        <w:lastRenderedPageBreak/>
        <w:t>By 2024, the number of adults aged 2079 years with diabetes is estimated at 589 million, and 853 million cases are projected by 2050 (</w:t>
      </w:r>
      <w:proofErr w:type="spellStart"/>
      <w:r w:rsidRPr="00D855B4">
        <w:rPr>
          <w:rFonts w:cs="Arial"/>
        </w:rPr>
        <w:t>Genitsaridi</w:t>
      </w:r>
      <w:proofErr w:type="spellEnd"/>
      <w:r w:rsidRPr="00D855B4">
        <w:rPr>
          <w:rFonts w:cs="Arial"/>
        </w:rPr>
        <w:t xml:space="preserve"> et al., 2026). This aids in prevention, early diagnosis and long-term care in the community.</w:t>
      </w:r>
    </w:p>
    <w:p w14:paraId="38F0E6D8" w14:textId="002B5317" w:rsidR="007A5E91" w:rsidRPr="00D855B4" w:rsidRDefault="00BD4854" w:rsidP="00BD4854">
      <w:pPr>
        <w:spacing w:after="120"/>
        <w:rPr>
          <w:rFonts w:ascii="Times New Roman" w:hAnsi="Times New Roman" w:cs="Times New Roman"/>
          <w:sz w:val="24"/>
          <w:szCs w:val="24"/>
        </w:rPr>
      </w:pPr>
      <w:r w:rsidRPr="00D855B4">
        <w:rPr>
          <w:rFonts w:cs="Arial"/>
        </w:rPr>
        <w:t xml:space="preserve">According to Diabetes UK, 4.6 million have been diagnosed with diabetes, 1.3 million with undiagnosed T2D and 6.3 million with non-diabetic hyperglycaemia (Diabetes UK, 2025). The latter is not comparable to the 5.7 million </w:t>
      </w:r>
      <w:proofErr w:type="gramStart"/>
      <w:r w:rsidRPr="00D855B4">
        <w:rPr>
          <w:rFonts w:cs="Arial"/>
        </w:rPr>
        <w:t>estimate</w:t>
      </w:r>
      <w:proofErr w:type="gramEnd"/>
      <w:r w:rsidRPr="00D855B4">
        <w:rPr>
          <w:rFonts w:cs="Arial"/>
        </w:rPr>
        <w:t xml:space="preserve"> of OHID since Diabetes UK presents an estimate of the UK as a whole, whereas OHID presents an estimate of England alone and in a different year and by a different method of estimation. The numbers cannot be considered as directly comparable.</w:t>
      </w:r>
    </w:p>
    <w:p w14:paraId="62859999" w14:textId="77777777" w:rsidR="00C24408" w:rsidRPr="00D855B4" w:rsidRDefault="00C24408" w:rsidP="00C24408">
      <w:pPr>
        <w:jc w:val="center"/>
        <w:rPr>
          <w:rFonts w:ascii="Times New Roman" w:hAnsi="Times New Roman" w:cs="Times New Roman"/>
          <w:bCs/>
          <w:sz w:val="24"/>
          <w:szCs w:val="24"/>
        </w:rPr>
      </w:pPr>
      <w:r w:rsidRPr="00D855B4">
        <w:rPr>
          <w:bCs/>
        </w:rPr>
        <w:drawing>
          <wp:inline distT="0" distB="0" distL="0" distR="0" wp14:anchorId="6B15E62E" wp14:editId="422C5BFC">
            <wp:extent cx="4584065" cy="1697990"/>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9"/>
                    <a:stretch>
                      <a:fillRect/>
                    </a:stretch>
                  </pic:blipFill>
                  <pic:spPr bwMode="auto">
                    <a:xfrm>
                      <a:off x="0" y="0"/>
                      <a:ext cx="4584065" cy="1697990"/>
                    </a:xfrm>
                    <a:prstGeom prst="rect">
                      <a:avLst/>
                    </a:prstGeom>
                    <a:noFill/>
                  </pic:spPr>
                </pic:pic>
              </a:graphicData>
            </a:graphic>
          </wp:inline>
        </w:drawing>
      </w:r>
    </w:p>
    <w:p w14:paraId="0CD4B634" w14:textId="3A626051" w:rsidR="007A5E91" w:rsidRPr="00D855B4" w:rsidRDefault="00C24408" w:rsidP="00C24408">
      <w:pPr>
        <w:spacing w:after="120"/>
        <w:jc w:val="center"/>
        <w:rPr>
          <w:rFonts w:ascii="Times New Roman" w:hAnsi="Times New Roman" w:cs="Times New Roman"/>
          <w:bCs/>
          <w:sz w:val="24"/>
          <w:szCs w:val="24"/>
        </w:rPr>
      </w:pPr>
      <w:r w:rsidRPr="00D855B4">
        <w:rPr>
          <w:rFonts w:cs="Arial"/>
          <w:bCs/>
        </w:rPr>
        <w:t>Figure 2. Type 2 diabetes: prevention and long-term management pathway.</w:t>
      </w:r>
    </w:p>
    <w:p w14:paraId="7E1F1DDB" w14:textId="77777777" w:rsidR="007A5E91" w:rsidRPr="00D855B4" w:rsidRDefault="00000000" w:rsidP="0061536E">
      <w:pPr>
        <w:pStyle w:val="Heading1"/>
        <w:rPr>
          <w:rFonts w:ascii="Times New Roman" w:hAnsi="Times New Roman" w:cs="Times New Roman"/>
          <w:sz w:val="32"/>
          <w:szCs w:val="32"/>
        </w:rPr>
      </w:pPr>
      <w:bookmarkStart w:id="4" w:name="_Toc243589164"/>
      <w:r w:rsidRPr="00D855B4">
        <w:t>2. Burden, Prevalence, Aetiology and Risk Factors</w:t>
      </w:r>
      <w:bookmarkEnd w:id="4"/>
    </w:p>
    <w:p w14:paraId="708CFA2F" w14:textId="77777777" w:rsidR="00BD4854" w:rsidRPr="00D855B4" w:rsidRDefault="00BD4854" w:rsidP="00BD4854">
      <w:pPr>
        <w:spacing w:after="120"/>
        <w:rPr>
          <w:rFonts w:cs="Arial"/>
        </w:rPr>
      </w:pPr>
      <w:r w:rsidRPr="00D855B4">
        <w:rPr>
          <w:rFonts w:cs="Arial"/>
        </w:rPr>
        <w:t>The risk factors are age, excess weight, lack of exercise, family history and past hyperglycaemia. Social conditions determine food access, housing, employment, stress and opportunities to be active (WHO, 2024). Prevention must thus not focus on making T2D a personal matter.</w:t>
      </w:r>
    </w:p>
    <w:p w14:paraId="2E27DC3F" w14:textId="65245F24" w:rsidR="00C24408" w:rsidRPr="00D855B4" w:rsidRDefault="00C24408" w:rsidP="00C24408">
      <w:pPr>
        <w:spacing w:after="120"/>
        <w:jc w:val="center"/>
        <w:rPr>
          <w:rFonts w:cs="Arial"/>
        </w:rPr>
      </w:pPr>
      <w:r w:rsidRPr="00D855B4">
        <w:rPr>
          <w:rFonts w:cs="Arial"/>
        </w:rPr>
        <w:drawing>
          <wp:inline distT="0" distB="0" distL="0" distR="0" wp14:anchorId="03170B35" wp14:editId="56A9D1C4">
            <wp:extent cx="3378200" cy="2252133"/>
            <wp:effectExtent l="0" t="0" r="0" b="0"/>
            <wp:docPr id="20685990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80489" cy="2253659"/>
                    </a:xfrm>
                    <a:prstGeom prst="rect">
                      <a:avLst/>
                    </a:prstGeom>
                    <a:noFill/>
                  </pic:spPr>
                </pic:pic>
              </a:graphicData>
            </a:graphic>
          </wp:inline>
        </w:drawing>
      </w:r>
    </w:p>
    <w:p w14:paraId="56AF87F0" w14:textId="4821FF1A" w:rsidR="00C24408" w:rsidRPr="00D855B4" w:rsidRDefault="00C24408" w:rsidP="00C24408">
      <w:pPr>
        <w:spacing w:after="120"/>
        <w:jc w:val="center"/>
        <w:rPr>
          <w:rFonts w:cs="Arial"/>
        </w:rPr>
      </w:pPr>
      <w:r w:rsidRPr="00D855B4">
        <w:rPr>
          <w:rFonts w:cs="Arial"/>
        </w:rPr>
        <w:t>Figure 3. Key risk factors and social factors associated with Type 2 diabetes.</w:t>
      </w:r>
    </w:p>
    <w:p w14:paraId="6B66D5B5" w14:textId="77777777" w:rsidR="00BD4854" w:rsidRPr="00D855B4" w:rsidRDefault="00BD4854" w:rsidP="00BD4854">
      <w:pPr>
        <w:spacing w:after="120"/>
        <w:rPr>
          <w:rFonts w:cs="Arial"/>
        </w:rPr>
      </w:pPr>
      <w:r w:rsidRPr="00D855B4">
        <w:rPr>
          <w:rFonts w:cs="Arial"/>
        </w:rPr>
        <w:lastRenderedPageBreak/>
        <w:t xml:space="preserve">Aetiology is multifactorial. Insulin resistance is a burden on the pancreatic beta </w:t>
      </w:r>
      <w:proofErr w:type="gramStart"/>
      <w:r w:rsidRPr="00D855B4">
        <w:rPr>
          <w:rFonts w:cs="Arial"/>
        </w:rPr>
        <w:t>cells</w:t>
      </w:r>
      <w:proofErr w:type="gramEnd"/>
      <w:r w:rsidRPr="00D855B4">
        <w:rPr>
          <w:rFonts w:cs="Arial"/>
        </w:rPr>
        <w:t xml:space="preserve"> and the progressive beta-cell dysfunction decreases insulin secretion. Genetic predisposition and interaction with adiposity, inactivity, ageing and social factors. Prevention should thus be supported by an individual as well as intervention on broader determinants.</w:t>
      </w:r>
    </w:p>
    <w:p w14:paraId="63216BAD" w14:textId="77777777" w:rsidR="00BD4854" w:rsidRPr="00D855B4" w:rsidRDefault="00BD4854" w:rsidP="00BD4854">
      <w:pPr>
        <w:spacing w:after="120"/>
        <w:rPr>
          <w:rFonts w:cs="Arial"/>
        </w:rPr>
      </w:pPr>
      <w:r w:rsidRPr="00D855B4">
        <w:rPr>
          <w:rFonts w:cs="Arial"/>
        </w:rPr>
        <w:t>In England, 5.7 million adults were estimated to have non-diabetic hyperglycaemia in 2021, which represents 12.7% of adults (OHID, 2026). Such a big population at risk exerts strain on prevention services.</w:t>
      </w:r>
    </w:p>
    <w:p w14:paraId="142CAD7B" w14:textId="77777777" w:rsidR="00BD4854" w:rsidRPr="00D855B4" w:rsidRDefault="00BD4854" w:rsidP="00BD4854">
      <w:pPr>
        <w:spacing w:after="120"/>
        <w:rPr>
          <w:rFonts w:cs="Arial"/>
        </w:rPr>
      </w:pPr>
      <w:r w:rsidRPr="00D855B4">
        <w:rPr>
          <w:rFonts w:cs="Arial"/>
        </w:rPr>
        <w:t xml:space="preserve">Another thing to consider is ethnicity. European experience illustrates that the ethnic minority population with T2D can have lower overall mortality and more risks of nephropathy and retinopathy. On </w:t>
      </w:r>
      <w:proofErr w:type="gramStart"/>
      <w:r w:rsidRPr="00D855B4">
        <w:rPr>
          <w:rFonts w:cs="Arial"/>
        </w:rPr>
        <w:t>the majority of</w:t>
      </w:r>
      <w:proofErr w:type="gramEnd"/>
      <w:r w:rsidRPr="00D855B4">
        <w:rPr>
          <w:rFonts w:cs="Arial"/>
        </w:rPr>
        <w:t xml:space="preserve"> the macrovascular outcomes, South Asian populations had the same risks, and on some of the major cardiovascular outcomes, a slightly increased risk (Beulens et al., 2024).</w:t>
      </w:r>
    </w:p>
    <w:p w14:paraId="051AA73E" w14:textId="1108152A" w:rsidR="007A5E91" w:rsidRPr="00D855B4" w:rsidRDefault="00BD4854" w:rsidP="00BD4854">
      <w:pPr>
        <w:spacing w:after="120"/>
        <w:rPr>
          <w:rFonts w:ascii="Times New Roman" w:hAnsi="Times New Roman" w:cs="Times New Roman"/>
          <w:sz w:val="24"/>
          <w:szCs w:val="24"/>
        </w:rPr>
      </w:pPr>
      <w:r w:rsidRPr="00D855B4">
        <w:rPr>
          <w:rFonts w:cs="Arial"/>
        </w:rPr>
        <w:t>In a meta-analysis of 2025, South Asian, Black and Chinese groups had a lower all-cause mortality than White groups with T2D. This is not to be construed as reduced disease burden since age, access to healthcare and risk factors might vary (Chaudhry et al., 2025).</w:t>
      </w:r>
    </w:p>
    <w:p w14:paraId="6A8EB54A" w14:textId="77777777" w:rsidR="007A5E91" w:rsidRPr="00D855B4" w:rsidRDefault="00000000" w:rsidP="0061536E">
      <w:pPr>
        <w:pStyle w:val="Heading1"/>
        <w:rPr>
          <w:rFonts w:ascii="Times New Roman" w:hAnsi="Times New Roman" w:cs="Times New Roman"/>
          <w:sz w:val="32"/>
          <w:szCs w:val="32"/>
        </w:rPr>
      </w:pPr>
      <w:bookmarkStart w:id="5" w:name="_Toc243589165"/>
      <w:r w:rsidRPr="00D855B4">
        <w:t>3. Physical, Psychological and Social Impact</w:t>
      </w:r>
      <w:bookmarkEnd w:id="5"/>
    </w:p>
    <w:p w14:paraId="7FCDB874" w14:textId="77777777" w:rsidR="007A5E91" w:rsidRPr="00D855B4" w:rsidRDefault="00000000">
      <w:pPr>
        <w:pStyle w:val="Heading2"/>
        <w:spacing w:after="120"/>
        <w:rPr>
          <w:rFonts w:ascii="Times New Roman" w:hAnsi="Times New Roman" w:cs="Times New Roman"/>
          <w:sz w:val="28"/>
          <w:szCs w:val="28"/>
        </w:rPr>
      </w:pPr>
      <w:bookmarkStart w:id="6" w:name="_Toc243589166"/>
      <w:r w:rsidRPr="00D855B4">
        <w:rPr>
          <w:rFonts w:ascii="Arial" w:eastAsia="Arial" w:hAnsi="Arial" w:cs="Arial"/>
          <w:szCs w:val="22"/>
        </w:rPr>
        <w:t>3.1 Physical impact</w:t>
      </w:r>
      <w:bookmarkEnd w:id="6"/>
    </w:p>
    <w:p w14:paraId="2B03D4E4" w14:textId="77777777" w:rsidR="00BD4854" w:rsidRPr="00D855B4" w:rsidRDefault="00BD4854" w:rsidP="00BD4854">
      <w:pPr>
        <w:spacing w:after="120"/>
        <w:rPr>
          <w:rFonts w:cs="Arial"/>
        </w:rPr>
      </w:pPr>
      <w:r w:rsidRPr="00D855B4">
        <w:rPr>
          <w:rFonts w:cs="Arial"/>
        </w:rPr>
        <w:t xml:space="preserve">T2D can affect the cardiovascular, renal, neurological, visual and foot systems. Long-term high blood glucose is associated with these complications (WHO, 2024). A reduction in kidney functioning may signify increased risks of complication in the long term (Sartore et al., 2024). Prevention thus necessitates frequent </w:t>
      </w:r>
      <w:proofErr w:type="spellStart"/>
      <w:r w:rsidRPr="00D855B4">
        <w:rPr>
          <w:rFonts w:cs="Arial"/>
        </w:rPr>
        <w:t>check up</w:t>
      </w:r>
      <w:proofErr w:type="spellEnd"/>
      <w:r w:rsidRPr="00D855B4">
        <w:rPr>
          <w:rFonts w:cs="Arial"/>
        </w:rPr>
        <w:t xml:space="preserve"> and prompt treatment.</w:t>
      </w:r>
    </w:p>
    <w:p w14:paraId="77890519" w14:textId="4D0AF6FC" w:rsidR="007A5E91" w:rsidRPr="00D855B4" w:rsidRDefault="00BD4854" w:rsidP="00BD4854">
      <w:pPr>
        <w:spacing w:after="120"/>
        <w:rPr>
          <w:rFonts w:ascii="Times New Roman" w:hAnsi="Times New Roman" w:cs="Times New Roman"/>
          <w:sz w:val="24"/>
          <w:szCs w:val="24"/>
        </w:rPr>
      </w:pPr>
      <w:r w:rsidRPr="00D855B4">
        <w:rPr>
          <w:rFonts w:cs="Arial"/>
        </w:rPr>
        <w:t>In England, 3,713,155 individuals with T2D were registered in the National Diabetes Audit 202425. The proportion of 58.2% recorded all eight recommended care processes, with the achievement between 38.6% and 73.5% across ICBs (NHS England, 2025a). This difference indicates that guidance does not necessarily result in fair delivery.</w:t>
      </w:r>
    </w:p>
    <w:p w14:paraId="5E957CBA" w14:textId="77777777" w:rsidR="007A5E91" w:rsidRPr="00D855B4" w:rsidRDefault="00000000">
      <w:pPr>
        <w:pStyle w:val="Heading2"/>
        <w:spacing w:after="120"/>
        <w:rPr>
          <w:rFonts w:ascii="Times New Roman" w:hAnsi="Times New Roman" w:cs="Times New Roman"/>
          <w:sz w:val="28"/>
          <w:szCs w:val="28"/>
        </w:rPr>
      </w:pPr>
      <w:bookmarkStart w:id="7" w:name="_Toc243589167"/>
      <w:r w:rsidRPr="00D855B4">
        <w:rPr>
          <w:rFonts w:ascii="Arial" w:eastAsia="Arial" w:hAnsi="Arial" w:cs="Arial"/>
          <w:szCs w:val="22"/>
        </w:rPr>
        <w:t>3.2 Psychological impact</w:t>
      </w:r>
      <w:bookmarkEnd w:id="7"/>
    </w:p>
    <w:p w14:paraId="72434AC0" w14:textId="77777777" w:rsidR="00BD4854" w:rsidRPr="00D855B4" w:rsidRDefault="00BD4854" w:rsidP="00BD4854">
      <w:pPr>
        <w:spacing w:after="120"/>
        <w:rPr>
          <w:rFonts w:cs="Arial"/>
        </w:rPr>
      </w:pPr>
      <w:r w:rsidRPr="00D855B4">
        <w:rPr>
          <w:rFonts w:cs="Arial"/>
        </w:rPr>
        <w:t>Diabetes poses an ongoing burden of work in terms of medication, diet choices, activity, monitoring and appointments. This may lead to diabetes distress and impaired quality of life. Evaluation of depression and diabetes distress is not widely used (McMorrow et al., 2022). The psychological needs should be measured in conjunction with physical outcomes.</w:t>
      </w:r>
    </w:p>
    <w:p w14:paraId="2A7B8578" w14:textId="1A978C4E" w:rsidR="007A5E91" w:rsidRPr="00D855B4" w:rsidRDefault="00BD4854" w:rsidP="00BD4854">
      <w:pPr>
        <w:spacing w:after="120"/>
        <w:rPr>
          <w:rFonts w:ascii="Times New Roman" w:hAnsi="Times New Roman" w:cs="Times New Roman"/>
          <w:sz w:val="24"/>
          <w:szCs w:val="24"/>
        </w:rPr>
      </w:pPr>
      <w:r w:rsidRPr="00D855B4">
        <w:rPr>
          <w:rFonts w:cs="Arial"/>
        </w:rPr>
        <w:lastRenderedPageBreak/>
        <w:t xml:space="preserve">Disease factors, self-management requirements, family support and circumstances affect quality of life (Teli et al., 2023). Poor quality of life is also linked to sleep problems (Laverty et al., 2023). The management should hence </w:t>
      </w:r>
      <w:proofErr w:type="gramStart"/>
      <w:r w:rsidRPr="00D855B4">
        <w:rPr>
          <w:rFonts w:cs="Arial"/>
        </w:rPr>
        <w:t>take into account</w:t>
      </w:r>
      <w:proofErr w:type="gramEnd"/>
      <w:r w:rsidRPr="00D855B4">
        <w:rPr>
          <w:rFonts w:cs="Arial"/>
        </w:rPr>
        <w:t xml:space="preserve"> daily functioning and wellbeing and not blood glucose alone.</w:t>
      </w:r>
    </w:p>
    <w:p w14:paraId="5FBC23E2" w14:textId="77777777" w:rsidR="007A5E91" w:rsidRPr="00D855B4" w:rsidRDefault="00000000">
      <w:pPr>
        <w:pStyle w:val="Heading2"/>
        <w:spacing w:after="120"/>
        <w:rPr>
          <w:rFonts w:ascii="Times New Roman" w:hAnsi="Times New Roman" w:cs="Times New Roman"/>
          <w:sz w:val="28"/>
          <w:szCs w:val="28"/>
        </w:rPr>
      </w:pPr>
      <w:bookmarkStart w:id="8" w:name="_Toc243589168"/>
      <w:r w:rsidRPr="00D855B4">
        <w:rPr>
          <w:rFonts w:ascii="Arial" w:eastAsia="Arial" w:hAnsi="Arial" w:cs="Arial"/>
          <w:szCs w:val="22"/>
        </w:rPr>
        <w:t>3.3 Social and family impact</w:t>
      </w:r>
      <w:bookmarkEnd w:id="8"/>
    </w:p>
    <w:p w14:paraId="4FB98664" w14:textId="1DE518C5" w:rsidR="007A5E91" w:rsidRPr="00D855B4" w:rsidRDefault="00BD4854">
      <w:pPr>
        <w:spacing w:after="120"/>
        <w:rPr>
          <w:rFonts w:ascii="Times New Roman" w:hAnsi="Times New Roman" w:cs="Times New Roman"/>
          <w:sz w:val="24"/>
          <w:szCs w:val="24"/>
        </w:rPr>
      </w:pPr>
      <w:r w:rsidRPr="00D855B4">
        <w:rPr>
          <w:rFonts w:cs="Arial"/>
        </w:rPr>
        <w:t>T2D may influence work, family life, social activities and domestic habits. Autonomy can be diminished by excessive involvement of a family, whereas adherence can be enhanced through family support. Effects of family-based interventions are not consistent, but glycated haemoglobin, a blood test that presents average glucose levels, can be improved (Teli et al., 2024). Carers can also be subjected to emotional and practical pressure. According to Carers UK, 44% of working carers worked fewer hours and 25% took a lower-paying or less senior position (Carers UK, 2024). Person-centred care must thus be about the person and the people who back him or her.</w:t>
      </w:r>
    </w:p>
    <w:p w14:paraId="1B659CBF" w14:textId="77777777" w:rsidR="007A5E91" w:rsidRPr="00D855B4" w:rsidRDefault="00000000" w:rsidP="0061536E">
      <w:pPr>
        <w:pStyle w:val="Heading1"/>
        <w:rPr>
          <w:rFonts w:ascii="Times New Roman" w:hAnsi="Times New Roman" w:cs="Times New Roman"/>
          <w:sz w:val="32"/>
          <w:szCs w:val="32"/>
        </w:rPr>
      </w:pPr>
      <w:bookmarkStart w:id="9" w:name="_Toc243589169"/>
      <w:r w:rsidRPr="00D855B4">
        <w:t>4. Evidence-Based Treatment and Management</w:t>
      </w:r>
      <w:bookmarkEnd w:id="9"/>
    </w:p>
    <w:p w14:paraId="1D88E1C6" w14:textId="77777777" w:rsidR="00BD4854" w:rsidRPr="00D855B4" w:rsidRDefault="00BD4854" w:rsidP="00BD4854">
      <w:pPr>
        <w:spacing w:after="120"/>
        <w:rPr>
          <w:rFonts w:cs="Arial"/>
        </w:rPr>
      </w:pPr>
      <w:proofErr w:type="gramStart"/>
      <w:r w:rsidRPr="00D855B4">
        <w:rPr>
          <w:rFonts w:cs="Arial"/>
        </w:rPr>
        <w:t>NICE published</w:t>
      </w:r>
      <w:proofErr w:type="gramEnd"/>
      <w:r w:rsidRPr="00D855B4">
        <w:rPr>
          <w:rFonts w:cs="Arial"/>
        </w:rPr>
        <w:t xml:space="preserve"> guidance in 2026 focuses on the use of medicines that lower the risk of cardiovascular and kidney disease as well as glucose regulation. In adults without any comorbidities, modified-release metformin and an SGLT2 inhibitor should be considered as initial treatment but only when suitable (NICE, 2026). SGLT2 refers to sodium-glucose cotransporter-2; the medications enhance the amount of glucose that is excreted in the urine.</w:t>
      </w:r>
    </w:p>
    <w:p w14:paraId="274A233A" w14:textId="77777777" w:rsidR="00BD4854" w:rsidRPr="00D855B4" w:rsidRDefault="00BD4854" w:rsidP="00BD4854">
      <w:pPr>
        <w:spacing w:after="120"/>
        <w:rPr>
          <w:rFonts w:cs="Arial"/>
        </w:rPr>
      </w:pPr>
      <w:r w:rsidRPr="00D855B4">
        <w:rPr>
          <w:rFonts w:cs="Arial"/>
        </w:rPr>
        <w:t>The treatment should not be based on the HbA1c, the blood test that indicates the average glucose level during a period of approximately two to three months. SGLT 2 has shown kidney benefits (Siddique et al., 2025). GLP-1 receptor agonists have also been linked to a reduced number of major kidney events in T2D in chronic kidney disease (Felix et al., 2025). These advantages promote cardiorenal protection, i.e., the preservation of the health of the heart and kidneys.</w:t>
      </w:r>
    </w:p>
    <w:p w14:paraId="623627AF" w14:textId="77777777" w:rsidR="00BD4854" w:rsidRPr="00D855B4" w:rsidRDefault="00BD4854" w:rsidP="00BD4854">
      <w:pPr>
        <w:spacing w:after="120"/>
        <w:rPr>
          <w:rFonts w:cs="Arial"/>
        </w:rPr>
      </w:pPr>
      <w:r w:rsidRPr="00D855B4">
        <w:rPr>
          <w:rFonts w:cs="Arial"/>
        </w:rPr>
        <w:t>The choice of medicine should be individualised. Factors include cost, adverse effects, contraindications, treatment burden, preferences and self-management ability. Shared decision making is thus a necessity.</w:t>
      </w:r>
    </w:p>
    <w:p w14:paraId="529D4694" w14:textId="77777777" w:rsidR="00BD4854" w:rsidRPr="00D855B4" w:rsidRDefault="00BD4854" w:rsidP="00BD4854">
      <w:pPr>
        <w:spacing w:after="120"/>
        <w:rPr>
          <w:rFonts w:cs="Arial"/>
        </w:rPr>
      </w:pPr>
      <w:r w:rsidRPr="00D855B4">
        <w:rPr>
          <w:rFonts w:cs="Arial"/>
        </w:rPr>
        <w:t xml:space="preserve">Management of lifestyle is key. A meta-analysis identified benefits of energy limitation and </w:t>
      </w:r>
      <w:proofErr w:type="gramStart"/>
      <w:r w:rsidRPr="00D855B4">
        <w:rPr>
          <w:rFonts w:cs="Arial"/>
        </w:rPr>
        <w:t>a number of</w:t>
      </w:r>
      <w:proofErr w:type="gramEnd"/>
      <w:r w:rsidRPr="00D855B4">
        <w:rPr>
          <w:rFonts w:cs="Arial"/>
        </w:rPr>
        <w:t xml:space="preserve"> dietary patterns, with 77 percent of reviews of low or very low quality. This restricts the trust in the superiority of a single diet (Szczerba et al., 2023).</w:t>
      </w:r>
    </w:p>
    <w:p w14:paraId="76A98C15" w14:textId="77777777" w:rsidR="00BD4854" w:rsidRPr="00D855B4" w:rsidRDefault="00BD4854" w:rsidP="00BD4854">
      <w:pPr>
        <w:spacing w:after="120"/>
        <w:rPr>
          <w:rFonts w:cs="Arial"/>
        </w:rPr>
      </w:pPr>
      <w:r w:rsidRPr="00D855B4">
        <w:rPr>
          <w:rFonts w:cs="Arial"/>
        </w:rPr>
        <w:lastRenderedPageBreak/>
        <w:t>The NHS Type 2 Diabetes Path to Remission programme involves a low-calorie total diet replacement phase and support. Initial NHS statistics indicate remission in those who complete, but remission is not assured and maintenance is still significant (NHS England, 2025b).</w:t>
      </w:r>
    </w:p>
    <w:p w14:paraId="750D1341" w14:textId="616FE62E" w:rsidR="007A5E91" w:rsidRPr="00D855B4" w:rsidRDefault="00BD4854" w:rsidP="00BD4854">
      <w:pPr>
        <w:spacing w:after="120"/>
        <w:rPr>
          <w:rFonts w:cs="Arial"/>
        </w:rPr>
      </w:pPr>
      <w:r w:rsidRPr="00D855B4">
        <w:rPr>
          <w:rFonts w:cs="Arial"/>
        </w:rPr>
        <w:t>It is suggested that structured education should be used at diagnosis and the family or carers should be involved where necessary (NICE, 2021a). Self-management can also be facilitated by digital interventions in case of the availability of personalised professional coaching (Kerr et al., 2024).</w:t>
      </w:r>
    </w:p>
    <w:p w14:paraId="0E674861" w14:textId="77777777" w:rsidR="00C24408" w:rsidRPr="00D855B4" w:rsidRDefault="00C24408" w:rsidP="00BD4854">
      <w:pPr>
        <w:spacing w:after="120"/>
        <w:rPr>
          <w:rFonts w:ascii="Times New Roman" w:hAnsi="Times New Roman" w:cs="Times New Roman"/>
          <w:sz w:val="24"/>
          <w:szCs w:val="24"/>
        </w:rPr>
      </w:pPr>
    </w:p>
    <w:p w14:paraId="1296D28C" w14:textId="77623A66" w:rsidR="00C24408" w:rsidRPr="00D855B4" w:rsidRDefault="00C24408" w:rsidP="00BD4854">
      <w:pPr>
        <w:spacing w:after="120"/>
        <w:rPr>
          <w:rFonts w:ascii="Times New Roman" w:hAnsi="Times New Roman" w:cs="Times New Roman"/>
          <w:sz w:val="24"/>
          <w:szCs w:val="24"/>
        </w:rPr>
      </w:pPr>
      <w:r w:rsidRPr="00D855B4">
        <w:rPr>
          <w:rFonts w:ascii="Times New Roman" w:hAnsi="Times New Roman" w:cs="Times New Roman"/>
          <w:sz w:val="24"/>
          <w:szCs w:val="24"/>
        </w:rPr>
        <w:drawing>
          <wp:inline distT="0" distB="0" distL="0" distR="0" wp14:anchorId="71982014" wp14:editId="1AA8BEBB">
            <wp:extent cx="5191125" cy="3073400"/>
            <wp:effectExtent l="0" t="0" r="9525" b="0"/>
            <wp:docPr id="122527147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11193"/>
                    <a:stretch>
                      <a:fillRect/>
                    </a:stretch>
                  </pic:blipFill>
                  <pic:spPr bwMode="auto">
                    <a:xfrm>
                      <a:off x="0" y="0"/>
                      <a:ext cx="5191125" cy="3073400"/>
                    </a:xfrm>
                    <a:prstGeom prst="rect">
                      <a:avLst/>
                    </a:prstGeom>
                    <a:noFill/>
                    <a:ln>
                      <a:noFill/>
                    </a:ln>
                    <a:extLst>
                      <a:ext uri="{53640926-AAD7-44D8-BBD7-CCE9431645EC}">
                        <a14:shadowObscured xmlns:a14="http://schemas.microsoft.com/office/drawing/2010/main"/>
                      </a:ext>
                    </a:extLst>
                  </pic:spPr>
                </pic:pic>
              </a:graphicData>
            </a:graphic>
          </wp:inline>
        </w:drawing>
      </w:r>
    </w:p>
    <w:p w14:paraId="12E0E285" w14:textId="6311DF9B" w:rsidR="00C24408" w:rsidRPr="00D855B4" w:rsidRDefault="00C24408" w:rsidP="00BD4854">
      <w:pPr>
        <w:spacing w:after="120"/>
        <w:rPr>
          <w:rFonts w:ascii="Times New Roman" w:hAnsi="Times New Roman" w:cs="Times New Roman"/>
          <w:sz w:val="24"/>
          <w:szCs w:val="24"/>
        </w:rPr>
      </w:pPr>
      <w:r w:rsidRPr="00D855B4">
        <w:rPr>
          <w:rFonts w:ascii="Times New Roman" w:hAnsi="Times New Roman" w:cs="Times New Roman"/>
          <w:sz w:val="24"/>
          <w:szCs w:val="24"/>
        </w:rPr>
        <w:t>Figure 4. Key components of evidence-based treatment and management for Type 2 diabetes.</w:t>
      </w:r>
    </w:p>
    <w:p w14:paraId="11A89875" w14:textId="77777777" w:rsidR="007A5E91" w:rsidRPr="00D855B4" w:rsidRDefault="00000000">
      <w:pPr>
        <w:pStyle w:val="Heading2"/>
        <w:spacing w:after="120"/>
        <w:rPr>
          <w:rFonts w:ascii="Times New Roman" w:hAnsi="Times New Roman" w:cs="Times New Roman"/>
          <w:sz w:val="28"/>
          <w:szCs w:val="28"/>
        </w:rPr>
      </w:pPr>
      <w:bookmarkStart w:id="10" w:name="_Toc243589170"/>
      <w:r w:rsidRPr="00D855B4">
        <w:rPr>
          <w:rFonts w:ascii="Arial" w:eastAsia="Arial" w:hAnsi="Arial" w:cs="Arial"/>
          <w:szCs w:val="22"/>
        </w:rPr>
        <w:t>4.1 Critical appraisal of treatment choices</w:t>
      </w:r>
      <w:bookmarkEnd w:id="10"/>
    </w:p>
    <w:p w14:paraId="6F4A0733" w14:textId="77777777" w:rsidR="00BD4854" w:rsidRPr="00D855B4" w:rsidRDefault="00BD4854" w:rsidP="00BD4854">
      <w:pPr>
        <w:spacing w:after="120"/>
        <w:rPr>
          <w:rFonts w:cs="Arial"/>
        </w:rPr>
      </w:pPr>
      <w:r w:rsidRPr="00D855B4">
        <w:rPr>
          <w:rFonts w:cs="Arial"/>
        </w:rPr>
        <w:t>The best thing about existing NICE guidance is a more expansive definition of treatment success. Glycaemic control is still relevant, yet cardiovascular and renal protection now plays a role in the choice of medicine (NICE, 2026). Nevertheless, poverty, food insecurity, inactivity or treatment burden cannot be eliminated with medicines and choices must be comprehensive.</w:t>
      </w:r>
    </w:p>
    <w:p w14:paraId="06031BE1" w14:textId="77777777" w:rsidR="00BD4854" w:rsidRPr="00D855B4" w:rsidRDefault="00BD4854" w:rsidP="00BD4854">
      <w:pPr>
        <w:spacing w:after="120"/>
        <w:rPr>
          <w:rFonts w:cs="Arial"/>
        </w:rPr>
      </w:pPr>
      <w:r w:rsidRPr="00D855B4">
        <w:rPr>
          <w:rFonts w:cs="Arial"/>
        </w:rPr>
        <w:t>This broader strategy is exemplified by SGLT2 inhibitors. There is evidence of kidney benefits, and GLP-1 receptor agonists have benefits in T2D in the presence of chronic kidney disease (Siddique et al., 2025; Felix et al., 2025). Effectiveness, however, can be diminished by adherence, adverse effects, access and follow-up.</w:t>
      </w:r>
    </w:p>
    <w:p w14:paraId="40512D07" w14:textId="77777777" w:rsidR="00BD4854" w:rsidRPr="00D855B4" w:rsidRDefault="00BD4854" w:rsidP="00BD4854">
      <w:pPr>
        <w:spacing w:after="120"/>
        <w:rPr>
          <w:rFonts w:cs="Arial"/>
        </w:rPr>
      </w:pPr>
      <w:r w:rsidRPr="00D855B4">
        <w:rPr>
          <w:rFonts w:cs="Arial"/>
        </w:rPr>
        <w:lastRenderedPageBreak/>
        <w:t xml:space="preserve">Energy restriction and various dietary patterns are supported by dietary evidence, although some are not certain (Szczerba et al., 2023). Trial diet is not easy to keep as culture and family </w:t>
      </w:r>
      <w:proofErr w:type="gramStart"/>
      <w:r w:rsidRPr="00D855B4">
        <w:rPr>
          <w:rFonts w:cs="Arial"/>
        </w:rPr>
        <w:t>meals,</w:t>
      </w:r>
      <w:proofErr w:type="gramEnd"/>
      <w:r w:rsidRPr="00D855B4">
        <w:rPr>
          <w:rFonts w:cs="Arial"/>
        </w:rPr>
        <w:t xml:space="preserve"> cost and work patterns affect compliance. Services are supposed to focus on sustainable changes as opposed to hard and fast rules.</w:t>
      </w:r>
    </w:p>
    <w:p w14:paraId="40E0C4D9" w14:textId="0539386B" w:rsidR="007A5E91" w:rsidRPr="00D855B4" w:rsidRDefault="00BD4854" w:rsidP="00BD4854">
      <w:pPr>
        <w:spacing w:after="120"/>
        <w:rPr>
          <w:rFonts w:ascii="Times New Roman" w:hAnsi="Times New Roman" w:cs="Times New Roman"/>
          <w:sz w:val="24"/>
          <w:szCs w:val="24"/>
        </w:rPr>
      </w:pPr>
      <w:r w:rsidRPr="00D855B4">
        <w:rPr>
          <w:rFonts w:cs="Arial"/>
        </w:rPr>
        <w:t xml:space="preserve">Online interventions </w:t>
      </w:r>
      <w:proofErr w:type="gramStart"/>
      <w:r w:rsidRPr="00D855B4">
        <w:rPr>
          <w:rFonts w:cs="Arial"/>
        </w:rPr>
        <w:t>are able to</w:t>
      </w:r>
      <w:proofErr w:type="gramEnd"/>
      <w:r w:rsidRPr="00D855B4">
        <w:rPr>
          <w:rFonts w:cs="Arial"/>
        </w:rPr>
        <w:t xml:space="preserve"> enhance HbA1c, especially those that incorporate personalised coaching (Kerr et al., 2024). Technology can only be applied effectively in cases where it enhances relationships and not merely passing information. Human assistance must be there.</w:t>
      </w:r>
    </w:p>
    <w:p w14:paraId="09EC95AC" w14:textId="77777777" w:rsidR="007A5E91" w:rsidRPr="00D855B4" w:rsidRDefault="00000000" w:rsidP="0061536E">
      <w:pPr>
        <w:pStyle w:val="Heading1"/>
        <w:rPr>
          <w:rFonts w:ascii="Times New Roman" w:hAnsi="Times New Roman" w:cs="Times New Roman"/>
          <w:sz w:val="32"/>
          <w:szCs w:val="32"/>
        </w:rPr>
      </w:pPr>
      <w:bookmarkStart w:id="11" w:name="_Toc243589171"/>
      <w:r w:rsidRPr="00D855B4">
        <w:t>5. Models of Long-Term Condition Management</w:t>
      </w:r>
      <w:bookmarkEnd w:id="11"/>
    </w:p>
    <w:p w14:paraId="54369CFB" w14:textId="77777777" w:rsidR="007A5E91" w:rsidRPr="00D855B4" w:rsidRDefault="00000000">
      <w:pPr>
        <w:pStyle w:val="Heading2"/>
        <w:spacing w:after="120"/>
        <w:rPr>
          <w:rFonts w:ascii="Times New Roman" w:hAnsi="Times New Roman" w:cs="Times New Roman"/>
          <w:sz w:val="28"/>
          <w:szCs w:val="28"/>
        </w:rPr>
      </w:pPr>
      <w:bookmarkStart w:id="12" w:name="_Toc243589172"/>
      <w:r w:rsidRPr="00D855B4">
        <w:rPr>
          <w:rFonts w:ascii="Arial" w:eastAsia="Arial" w:hAnsi="Arial" w:cs="Arial"/>
          <w:szCs w:val="22"/>
        </w:rPr>
        <w:t>5.1 UK Model: Comprehensive Model of Personalised Care</w:t>
      </w:r>
      <w:bookmarkEnd w:id="12"/>
    </w:p>
    <w:p w14:paraId="7FB49D1F" w14:textId="77777777" w:rsidR="00BD4854" w:rsidRPr="00D855B4" w:rsidRDefault="00BD4854" w:rsidP="00BD4854">
      <w:pPr>
        <w:spacing w:after="120"/>
        <w:rPr>
          <w:rFonts w:cs="Arial"/>
        </w:rPr>
      </w:pPr>
      <w:r w:rsidRPr="00D855B4">
        <w:rPr>
          <w:rFonts w:cs="Arial"/>
        </w:rPr>
        <w:t>There are six interrelated components of the NHS Comprehensive Model of Personalised Care. They are shared decision making, personalised care and support planning, enabling choice, social prescribing, supported self-management and personal health budgets (NHS England, 2019).</w:t>
      </w:r>
    </w:p>
    <w:p w14:paraId="4EFC9E94" w14:textId="77777777" w:rsidR="00BD4854" w:rsidRPr="00D855B4" w:rsidRDefault="00BD4854" w:rsidP="00BD4854">
      <w:pPr>
        <w:spacing w:after="120"/>
        <w:rPr>
          <w:rFonts w:cs="Arial"/>
        </w:rPr>
      </w:pPr>
      <w:r w:rsidRPr="00D855B4">
        <w:rPr>
          <w:rFonts w:cs="Arial"/>
        </w:rPr>
        <w:t>Its key strength lies in its person-</w:t>
      </w:r>
      <w:proofErr w:type="spellStart"/>
      <w:r w:rsidRPr="00D855B4">
        <w:rPr>
          <w:rFonts w:cs="Arial"/>
        </w:rPr>
        <w:t>centered</w:t>
      </w:r>
      <w:proofErr w:type="spellEnd"/>
      <w:r w:rsidRPr="00D855B4">
        <w:rPr>
          <w:rFonts w:cs="Arial"/>
        </w:rPr>
        <w:t xml:space="preserve"> approach as opposed to diagnosis. It acknowledges objectives, connections, community resources and </w:t>
      </w:r>
      <w:proofErr w:type="gramStart"/>
      <w:r w:rsidRPr="00D855B4">
        <w:rPr>
          <w:rFonts w:cs="Arial"/>
        </w:rPr>
        <w:t>real world</w:t>
      </w:r>
      <w:proofErr w:type="gramEnd"/>
      <w:r w:rsidRPr="00D855B4">
        <w:rPr>
          <w:rFonts w:cs="Arial"/>
        </w:rPr>
        <w:t xml:space="preserve"> conditions. It is applicable since everyday decisions on diabetes are made outside the clinical context.</w:t>
      </w:r>
    </w:p>
    <w:p w14:paraId="3E1CE7E1" w14:textId="4C5C7865" w:rsidR="007A5E91" w:rsidRPr="00D855B4" w:rsidRDefault="00BD4854" w:rsidP="00BD4854">
      <w:pPr>
        <w:spacing w:after="120"/>
        <w:rPr>
          <w:rFonts w:cs="Arial"/>
        </w:rPr>
      </w:pPr>
      <w:r w:rsidRPr="00D855B4">
        <w:rPr>
          <w:rFonts w:cs="Arial"/>
        </w:rPr>
        <w:t>Implementation may be disproportionate. Personalised care needs the time of the staff, training and coordination and may turn into a paperwork exercise unless followed up. The model must consequently have quantifiable results and sustainability.</w:t>
      </w:r>
    </w:p>
    <w:p w14:paraId="641F9A86" w14:textId="77777777" w:rsidR="00C24408" w:rsidRPr="00D855B4" w:rsidRDefault="00C24408" w:rsidP="00C24408">
      <w:pPr>
        <w:jc w:val="center"/>
        <w:rPr>
          <w:rFonts w:ascii="Times New Roman" w:hAnsi="Times New Roman" w:cs="Times New Roman"/>
          <w:bCs/>
          <w:sz w:val="24"/>
          <w:szCs w:val="24"/>
        </w:rPr>
      </w:pPr>
      <w:r w:rsidRPr="00D855B4">
        <w:rPr>
          <w:bCs/>
        </w:rPr>
        <w:drawing>
          <wp:inline distT="0" distB="0" distL="0" distR="0" wp14:anchorId="342BDA9D" wp14:editId="116E90B4">
            <wp:extent cx="5172075" cy="3049905"/>
            <wp:effectExtent l="0" t="0" r="0"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4"/>
                    <pic:cNvPicPr>
                      <a:picLocks noChangeAspect="1" noChangeArrowheads="1"/>
                    </pic:cNvPicPr>
                  </pic:nvPicPr>
                  <pic:blipFill>
                    <a:blip r:embed="rId12"/>
                    <a:stretch>
                      <a:fillRect/>
                    </a:stretch>
                  </pic:blipFill>
                  <pic:spPr bwMode="auto">
                    <a:xfrm>
                      <a:off x="0" y="0"/>
                      <a:ext cx="5172075" cy="3049905"/>
                    </a:xfrm>
                    <a:prstGeom prst="rect">
                      <a:avLst/>
                    </a:prstGeom>
                    <a:noFill/>
                  </pic:spPr>
                </pic:pic>
              </a:graphicData>
            </a:graphic>
          </wp:inline>
        </w:drawing>
      </w:r>
    </w:p>
    <w:p w14:paraId="6493C64D" w14:textId="2B77F62D" w:rsidR="00C24408" w:rsidRPr="00D855B4" w:rsidRDefault="00C24408" w:rsidP="00C24408">
      <w:pPr>
        <w:spacing w:after="120"/>
        <w:jc w:val="center"/>
        <w:rPr>
          <w:rFonts w:ascii="Times New Roman" w:hAnsi="Times New Roman" w:cs="Times New Roman"/>
          <w:bCs/>
          <w:sz w:val="24"/>
          <w:szCs w:val="24"/>
        </w:rPr>
      </w:pPr>
      <w:r w:rsidRPr="00D855B4">
        <w:rPr>
          <w:rFonts w:cs="Arial"/>
          <w:bCs/>
        </w:rPr>
        <w:lastRenderedPageBreak/>
        <w:t>Figure 5. NHS Comprehensive Model of Personalised Care.</w:t>
      </w:r>
    </w:p>
    <w:p w14:paraId="67E6EA61" w14:textId="77777777" w:rsidR="007A5E91" w:rsidRPr="00D855B4" w:rsidRDefault="00000000">
      <w:pPr>
        <w:pStyle w:val="Heading2"/>
        <w:spacing w:after="120"/>
        <w:rPr>
          <w:rFonts w:ascii="Times New Roman" w:hAnsi="Times New Roman" w:cs="Times New Roman"/>
          <w:sz w:val="28"/>
          <w:szCs w:val="28"/>
        </w:rPr>
      </w:pPr>
      <w:bookmarkStart w:id="13" w:name="_Toc243589173"/>
      <w:r w:rsidRPr="00D855B4">
        <w:rPr>
          <w:rFonts w:ascii="Arial" w:eastAsia="Arial" w:hAnsi="Arial" w:cs="Arial"/>
          <w:szCs w:val="22"/>
        </w:rPr>
        <w:t>5.2 International Model: Chronic Care Model</w:t>
      </w:r>
      <w:bookmarkEnd w:id="13"/>
    </w:p>
    <w:p w14:paraId="06659DEE" w14:textId="77777777" w:rsidR="00BD4854" w:rsidRPr="00D855B4" w:rsidRDefault="00BD4854" w:rsidP="00BD4854">
      <w:pPr>
        <w:spacing w:after="120"/>
        <w:rPr>
          <w:rFonts w:cs="Arial"/>
        </w:rPr>
      </w:pPr>
      <w:r w:rsidRPr="00D855B4">
        <w:rPr>
          <w:rFonts w:cs="Arial"/>
        </w:rPr>
        <w:t>Chronic Care Model (CCM) is a global disease management model. It connects the design of the delivery system, self-management support, decision support, clinical information systems, community resources and constructive interaction between the patient and the professionals (Wagner, 1998).</w:t>
      </w:r>
    </w:p>
    <w:p w14:paraId="03685B1A" w14:textId="77777777" w:rsidR="00BD4854" w:rsidRPr="00D855B4" w:rsidRDefault="00BD4854" w:rsidP="00BD4854">
      <w:pPr>
        <w:spacing w:after="120"/>
        <w:rPr>
          <w:rFonts w:cs="Arial"/>
        </w:rPr>
      </w:pPr>
      <w:r w:rsidRPr="00D855B4">
        <w:rPr>
          <w:rFonts w:cs="Arial"/>
        </w:rPr>
        <w:t>A systematic review of 17 studies (16,485 participants) in 2022, identified CCM interventions to lower HbA1c by 0.21 percentage points relative to usual care. More significant effects were observed in cases where there were four or more elements (Goh et al., 2022).</w:t>
      </w:r>
    </w:p>
    <w:p w14:paraId="413B9645" w14:textId="557BAB4B" w:rsidR="007A5E91" w:rsidRPr="00D855B4" w:rsidRDefault="00BD4854" w:rsidP="00BD4854">
      <w:pPr>
        <w:spacing w:after="120"/>
        <w:rPr>
          <w:rFonts w:ascii="Times New Roman" w:hAnsi="Times New Roman" w:cs="Times New Roman"/>
          <w:sz w:val="24"/>
          <w:szCs w:val="24"/>
        </w:rPr>
      </w:pPr>
      <w:r w:rsidRPr="00D855B4">
        <w:rPr>
          <w:rFonts w:cs="Arial"/>
        </w:rPr>
        <w:t>The CCM helps in understanding the impact of the organisational design on results, yet complexity may be a constraint. Services can implement single aspects without the integrated system as provided by the model.</w:t>
      </w:r>
    </w:p>
    <w:p w14:paraId="2600B161" w14:textId="77777777" w:rsidR="007A5E91" w:rsidRPr="00D855B4" w:rsidRDefault="00000000">
      <w:pPr>
        <w:pStyle w:val="Heading2"/>
        <w:spacing w:after="120"/>
        <w:rPr>
          <w:rFonts w:ascii="Times New Roman" w:hAnsi="Times New Roman" w:cs="Times New Roman"/>
          <w:sz w:val="28"/>
          <w:szCs w:val="28"/>
        </w:rPr>
      </w:pPr>
      <w:bookmarkStart w:id="14" w:name="_Toc243589174"/>
      <w:r w:rsidRPr="00D855B4">
        <w:rPr>
          <w:rFonts w:ascii="Arial" w:eastAsia="Arial" w:hAnsi="Arial" w:cs="Arial"/>
          <w:szCs w:val="22"/>
        </w:rPr>
        <w:t>5.3 Critical Comparison</w:t>
      </w:r>
      <w:bookmarkEnd w:id="14"/>
    </w:p>
    <w:tbl>
      <w:tblPr>
        <w:tblStyle w:val="GridTable4-Accent6"/>
        <w:tblW w:w="9792" w:type="dxa"/>
        <w:jc w:val="center"/>
        <w:tblLayout w:type="fixed"/>
        <w:tblLook w:val="04A0" w:firstRow="1" w:lastRow="0" w:firstColumn="1" w:lastColumn="0" w:noHBand="0" w:noVBand="1"/>
      </w:tblPr>
      <w:tblGrid>
        <w:gridCol w:w="3264"/>
        <w:gridCol w:w="3264"/>
        <w:gridCol w:w="3264"/>
      </w:tblGrid>
      <w:tr w:rsidR="007A5E91" w:rsidRPr="00D855B4" w14:paraId="58FE355B" w14:textId="77777777" w:rsidTr="007A5E9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264" w:type="dxa"/>
            <w:tcBorders>
              <w:top w:val="single" w:sz="4" w:space="0" w:color="F79646"/>
              <w:left w:val="single" w:sz="4" w:space="0" w:color="F79646"/>
              <w:bottom w:val="single" w:sz="4" w:space="0" w:color="F79646"/>
              <w:right w:val="single" w:sz="4" w:space="0" w:color="F79646"/>
            </w:tcBorders>
          </w:tcPr>
          <w:p w14:paraId="03A1A7B0" w14:textId="77777777" w:rsidR="007A5E91" w:rsidRPr="00D855B4" w:rsidRDefault="00000000">
            <w:pPr>
              <w:rPr>
                <w:rFonts w:ascii="Times New Roman" w:hAnsi="Times New Roman" w:cs="Times New Roman"/>
                <w:sz w:val="24"/>
                <w:szCs w:val="24"/>
              </w:rPr>
            </w:pPr>
            <w:r w:rsidRPr="00D855B4">
              <w:rPr>
                <w:rFonts w:cs="Arial"/>
              </w:rPr>
              <w:t>Area</w:t>
            </w:r>
          </w:p>
        </w:tc>
        <w:tc>
          <w:tcPr>
            <w:tcW w:w="3264" w:type="dxa"/>
            <w:tcBorders>
              <w:top w:val="single" w:sz="4" w:space="0" w:color="F79646"/>
              <w:left w:val="single" w:sz="4" w:space="0" w:color="F79646"/>
              <w:bottom w:val="single" w:sz="4" w:space="0" w:color="F79646"/>
              <w:right w:val="single" w:sz="4" w:space="0" w:color="F79646"/>
            </w:tcBorders>
          </w:tcPr>
          <w:p w14:paraId="6BAACF6B" w14:textId="77777777" w:rsidR="007A5E91" w:rsidRPr="00D855B4" w:rsidRDefault="00000000">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855B4">
              <w:rPr>
                <w:rFonts w:cs="Arial"/>
              </w:rPr>
              <w:t>NHS Personalised Care</w:t>
            </w:r>
          </w:p>
        </w:tc>
        <w:tc>
          <w:tcPr>
            <w:tcW w:w="3264" w:type="dxa"/>
            <w:tcBorders>
              <w:top w:val="single" w:sz="4" w:space="0" w:color="F79646"/>
              <w:left w:val="single" w:sz="4" w:space="0" w:color="F79646"/>
              <w:bottom w:val="single" w:sz="4" w:space="0" w:color="F79646"/>
              <w:right w:val="single" w:sz="4" w:space="0" w:color="F79646"/>
            </w:tcBorders>
          </w:tcPr>
          <w:p w14:paraId="12E43CD3" w14:textId="77777777" w:rsidR="007A5E91" w:rsidRPr="00D855B4" w:rsidRDefault="00000000">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855B4">
              <w:rPr>
                <w:rFonts w:cs="Arial"/>
              </w:rPr>
              <w:t>Chronic Care Model</w:t>
            </w:r>
          </w:p>
        </w:tc>
      </w:tr>
      <w:tr w:rsidR="007A5E91" w:rsidRPr="00D855B4" w14:paraId="794EFB2D" w14:textId="77777777" w:rsidTr="007A5E9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264" w:type="dxa"/>
          </w:tcPr>
          <w:p w14:paraId="2B51C192" w14:textId="77777777" w:rsidR="007A5E91" w:rsidRPr="00D855B4" w:rsidRDefault="00000000">
            <w:pPr>
              <w:rPr>
                <w:rFonts w:ascii="Times New Roman" w:hAnsi="Times New Roman" w:cs="Times New Roman"/>
                <w:sz w:val="24"/>
                <w:szCs w:val="24"/>
              </w:rPr>
            </w:pPr>
            <w:proofErr w:type="gramStart"/>
            <w:r w:rsidRPr="00D855B4">
              <w:rPr>
                <w:rFonts w:cs="Arial"/>
              </w:rPr>
              <w:t>Main focus</w:t>
            </w:r>
            <w:proofErr w:type="gramEnd"/>
          </w:p>
        </w:tc>
        <w:tc>
          <w:tcPr>
            <w:tcW w:w="3264" w:type="dxa"/>
          </w:tcPr>
          <w:p w14:paraId="7A7BCBE3" w14:textId="77777777" w:rsidR="007A5E91" w:rsidRPr="00D855B4" w:rsidRDefault="0000000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855B4">
              <w:rPr>
                <w:rFonts w:cs="Arial"/>
              </w:rPr>
              <w:t>Person’s goals and choices</w:t>
            </w:r>
          </w:p>
        </w:tc>
        <w:tc>
          <w:tcPr>
            <w:tcW w:w="3264" w:type="dxa"/>
          </w:tcPr>
          <w:p w14:paraId="7A49B919" w14:textId="77777777" w:rsidR="007A5E91" w:rsidRPr="00D855B4" w:rsidRDefault="0000000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855B4">
              <w:rPr>
                <w:rFonts w:cs="Arial"/>
              </w:rPr>
              <w:t>System design and planned interactions</w:t>
            </w:r>
          </w:p>
        </w:tc>
      </w:tr>
      <w:tr w:rsidR="007A5E91" w:rsidRPr="00D855B4" w14:paraId="47133D56" w14:textId="77777777" w:rsidTr="007A5E91">
        <w:trPr>
          <w:jc w:val="center"/>
        </w:trPr>
        <w:tc>
          <w:tcPr>
            <w:cnfStyle w:val="001000000000" w:firstRow="0" w:lastRow="0" w:firstColumn="1" w:lastColumn="0" w:oddVBand="0" w:evenVBand="0" w:oddHBand="0" w:evenHBand="0" w:firstRowFirstColumn="0" w:firstRowLastColumn="0" w:lastRowFirstColumn="0" w:lastRowLastColumn="0"/>
            <w:tcW w:w="3264" w:type="dxa"/>
          </w:tcPr>
          <w:p w14:paraId="6606DA5E" w14:textId="77777777" w:rsidR="007A5E91" w:rsidRPr="00D855B4" w:rsidRDefault="00000000">
            <w:pPr>
              <w:rPr>
                <w:rFonts w:ascii="Times New Roman" w:hAnsi="Times New Roman" w:cs="Times New Roman"/>
                <w:sz w:val="24"/>
                <w:szCs w:val="24"/>
              </w:rPr>
            </w:pPr>
            <w:r w:rsidRPr="00D855B4">
              <w:rPr>
                <w:rFonts w:cs="Arial"/>
              </w:rPr>
              <w:t>Main strength</w:t>
            </w:r>
          </w:p>
        </w:tc>
        <w:tc>
          <w:tcPr>
            <w:tcW w:w="3264" w:type="dxa"/>
          </w:tcPr>
          <w:p w14:paraId="2FF42D14" w14:textId="77777777" w:rsidR="007A5E91" w:rsidRPr="00D855B4" w:rsidRDefault="0000000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855B4">
              <w:rPr>
                <w:rFonts w:cs="Arial"/>
              </w:rPr>
              <w:t>Supports autonomy and whole-life needs</w:t>
            </w:r>
          </w:p>
        </w:tc>
        <w:tc>
          <w:tcPr>
            <w:tcW w:w="3264" w:type="dxa"/>
          </w:tcPr>
          <w:p w14:paraId="45722571" w14:textId="77777777" w:rsidR="007A5E91" w:rsidRPr="00D855B4" w:rsidRDefault="0000000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855B4">
              <w:rPr>
                <w:rFonts w:cs="Arial"/>
              </w:rPr>
              <w:t>Strong organisational and clinical structure</w:t>
            </w:r>
          </w:p>
        </w:tc>
      </w:tr>
      <w:tr w:rsidR="007A5E91" w:rsidRPr="00D855B4" w14:paraId="22B800D0" w14:textId="77777777" w:rsidTr="007A5E9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264" w:type="dxa"/>
          </w:tcPr>
          <w:p w14:paraId="4824EB8D" w14:textId="77777777" w:rsidR="007A5E91" w:rsidRPr="00D855B4" w:rsidRDefault="00000000">
            <w:pPr>
              <w:rPr>
                <w:rFonts w:ascii="Times New Roman" w:hAnsi="Times New Roman" w:cs="Times New Roman"/>
                <w:sz w:val="24"/>
                <w:szCs w:val="24"/>
              </w:rPr>
            </w:pPr>
            <w:r w:rsidRPr="00D855B4">
              <w:rPr>
                <w:rFonts w:cs="Arial"/>
              </w:rPr>
              <w:t>Main limitation</w:t>
            </w:r>
          </w:p>
        </w:tc>
        <w:tc>
          <w:tcPr>
            <w:tcW w:w="3264" w:type="dxa"/>
          </w:tcPr>
          <w:p w14:paraId="4B6D5BDC" w14:textId="77777777" w:rsidR="007A5E91" w:rsidRPr="00D855B4" w:rsidRDefault="0000000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855B4">
              <w:rPr>
                <w:rFonts w:cs="Arial"/>
              </w:rPr>
              <w:t>Implementation can vary</w:t>
            </w:r>
          </w:p>
        </w:tc>
        <w:tc>
          <w:tcPr>
            <w:tcW w:w="3264" w:type="dxa"/>
          </w:tcPr>
          <w:p w14:paraId="3D69E662" w14:textId="77777777" w:rsidR="007A5E91" w:rsidRPr="00D855B4" w:rsidRDefault="0000000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855B4">
              <w:rPr>
                <w:rFonts w:cs="Arial"/>
              </w:rPr>
              <w:t>Complex to implement fully</w:t>
            </w:r>
          </w:p>
        </w:tc>
      </w:tr>
      <w:tr w:rsidR="007A5E91" w:rsidRPr="00D855B4" w14:paraId="76EFD783" w14:textId="77777777" w:rsidTr="007A5E91">
        <w:trPr>
          <w:jc w:val="center"/>
        </w:trPr>
        <w:tc>
          <w:tcPr>
            <w:cnfStyle w:val="001000000000" w:firstRow="0" w:lastRow="0" w:firstColumn="1" w:lastColumn="0" w:oddVBand="0" w:evenVBand="0" w:oddHBand="0" w:evenHBand="0" w:firstRowFirstColumn="0" w:firstRowLastColumn="0" w:lastRowFirstColumn="0" w:lastRowLastColumn="0"/>
            <w:tcW w:w="3264" w:type="dxa"/>
          </w:tcPr>
          <w:p w14:paraId="080402C8" w14:textId="77777777" w:rsidR="007A5E91" w:rsidRPr="00D855B4" w:rsidRDefault="00000000">
            <w:pPr>
              <w:rPr>
                <w:rFonts w:ascii="Times New Roman" w:hAnsi="Times New Roman" w:cs="Times New Roman"/>
                <w:sz w:val="24"/>
                <w:szCs w:val="24"/>
              </w:rPr>
            </w:pPr>
            <w:r w:rsidRPr="00D855B4">
              <w:rPr>
                <w:rFonts w:cs="Arial"/>
              </w:rPr>
              <w:t>Relevance to T2D</w:t>
            </w:r>
          </w:p>
        </w:tc>
        <w:tc>
          <w:tcPr>
            <w:tcW w:w="3264" w:type="dxa"/>
          </w:tcPr>
          <w:p w14:paraId="1CEB769E" w14:textId="77777777" w:rsidR="007A5E91" w:rsidRPr="00D855B4" w:rsidRDefault="0000000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855B4">
              <w:rPr>
                <w:rFonts w:cs="Arial"/>
              </w:rPr>
              <w:t>Supports daily self-management</w:t>
            </w:r>
          </w:p>
        </w:tc>
        <w:tc>
          <w:tcPr>
            <w:tcW w:w="3264" w:type="dxa"/>
          </w:tcPr>
          <w:p w14:paraId="10325B93" w14:textId="77777777" w:rsidR="007A5E91" w:rsidRPr="00D855B4" w:rsidRDefault="0000000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855B4">
              <w:rPr>
                <w:rFonts w:cs="Arial"/>
              </w:rPr>
              <w:t>Improves coordinated long-term care</w:t>
            </w:r>
          </w:p>
        </w:tc>
      </w:tr>
    </w:tbl>
    <w:p w14:paraId="06593E41" w14:textId="77777777" w:rsidR="00BD4854" w:rsidRPr="00D855B4" w:rsidRDefault="00BD4854">
      <w:pPr>
        <w:spacing w:after="120"/>
        <w:rPr>
          <w:rFonts w:cs="Arial"/>
        </w:rPr>
      </w:pPr>
    </w:p>
    <w:p w14:paraId="6A2BB6DF" w14:textId="00C6063F" w:rsidR="007A5E91" w:rsidRPr="00D855B4" w:rsidRDefault="00BD4854">
      <w:pPr>
        <w:spacing w:after="120"/>
        <w:rPr>
          <w:rFonts w:ascii="Times New Roman" w:hAnsi="Times New Roman" w:cs="Times New Roman"/>
          <w:sz w:val="24"/>
          <w:szCs w:val="24"/>
        </w:rPr>
      </w:pPr>
      <w:r w:rsidRPr="00D855B4">
        <w:rPr>
          <w:rFonts w:cs="Arial"/>
        </w:rPr>
        <w:t>The models complement each other. The NHS model is superior in terms of autonomy and whole-person planning whereas the Chronic Care Model is superior in terms of service design and coordination. Their combination associates individual objectives with dependable systems.</w:t>
      </w:r>
    </w:p>
    <w:p w14:paraId="2A1373A3" w14:textId="77777777" w:rsidR="007A5E91" w:rsidRPr="00D855B4" w:rsidRDefault="00000000" w:rsidP="0061536E">
      <w:pPr>
        <w:pStyle w:val="Heading1"/>
        <w:rPr>
          <w:rFonts w:ascii="Times New Roman" w:hAnsi="Times New Roman" w:cs="Times New Roman"/>
          <w:sz w:val="32"/>
          <w:szCs w:val="32"/>
        </w:rPr>
      </w:pPr>
      <w:bookmarkStart w:id="15" w:name="_Toc243589175"/>
      <w:r w:rsidRPr="00D855B4">
        <w:t>6. UK Policy and Health and Social Care Agenda</w:t>
      </w:r>
      <w:bookmarkEnd w:id="15"/>
    </w:p>
    <w:p w14:paraId="76DD2E2E" w14:textId="77777777" w:rsidR="00BD4854" w:rsidRPr="00D855B4" w:rsidRDefault="00BD4854" w:rsidP="00BD4854">
      <w:pPr>
        <w:spacing w:after="120"/>
        <w:rPr>
          <w:rFonts w:cs="Arial"/>
        </w:rPr>
      </w:pPr>
      <w:r w:rsidRPr="00D855B4">
        <w:rPr>
          <w:rFonts w:cs="Arial"/>
        </w:rPr>
        <w:t xml:space="preserve">The </w:t>
      </w:r>
      <w:proofErr w:type="gramStart"/>
      <w:r w:rsidRPr="00D855B4">
        <w:rPr>
          <w:rFonts w:cs="Arial"/>
        </w:rPr>
        <w:t>10 Year</w:t>
      </w:r>
      <w:proofErr w:type="gramEnd"/>
      <w:r w:rsidRPr="00D855B4">
        <w:rPr>
          <w:rFonts w:cs="Arial"/>
        </w:rPr>
        <w:t xml:space="preserve"> Health Plan of England focuses on three changes: hospital to community, analogue to digital and sickness to prevention (Department of Health and Social Care, 2025). In the case of </w:t>
      </w:r>
      <w:r w:rsidRPr="00D855B4">
        <w:rPr>
          <w:rFonts w:cs="Arial"/>
        </w:rPr>
        <w:lastRenderedPageBreak/>
        <w:t>T2D, this aids in earlier intervention, neighbourhood services and self-management but requires workforce, digital access and funding to implement.</w:t>
      </w:r>
    </w:p>
    <w:p w14:paraId="1E418CD4" w14:textId="77777777" w:rsidR="00BD4854" w:rsidRPr="00D855B4" w:rsidRDefault="00BD4854" w:rsidP="00BD4854">
      <w:pPr>
        <w:spacing w:after="120"/>
        <w:rPr>
          <w:rFonts w:cs="Arial"/>
        </w:rPr>
      </w:pPr>
      <w:r w:rsidRPr="00D855B4">
        <w:rPr>
          <w:rFonts w:cs="Arial"/>
        </w:rPr>
        <w:t xml:space="preserve">The NHS Diabetes Prevention Programme has recorded massive coverage. Independent assessment revealed a 37-percent relative decrease in cases of diabetes among completers and a 7-percent population-level decrease (McManus et al., 2022). This assists in prevention investment, yet access and completion are significant in </w:t>
      </w:r>
      <w:proofErr w:type="gramStart"/>
      <w:r w:rsidRPr="00D855B4">
        <w:rPr>
          <w:rFonts w:cs="Arial"/>
        </w:rPr>
        <w:t>equity..</w:t>
      </w:r>
      <w:proofErr w:type="gramEnd"/>
    </w:p>
    <w:p w14:paraId="53C46D11" w14:textId="77777777" w:rsidR="00BD4854" w:rsidRPr="00D855B4" w:rsidRDefault="00BD4854" w:rsidP="00BD4854">
      <w:pPr>
        <w:spacing w:after="120"/>
        <w:rPr>
          <w:rFonts w:cs="Arial"/>
        </w:rPr>
      </w:pPr>
      <w:r w:rsidRPr="00D855B4">
        <w:rPr>
          <w:rFonts w:cs="Arial"/>
        </w:rPr>
        <w:t>Nevertheless, the ambition of policy does not ensure fair results. There is local system variation in national audit data. As of 202425, integrated care boards had an all-eight-process achievement of between 38.6 and 73.5 (NHS England, 2025a).</w:t>
      </w:r>
    </w:p>
    <w:p w14:paraId="4BEA2B54" w14:textId="31990D07" w:rsidR="007A5E91" w:rsidRPr="00D855B4" w:rsidRDefault="00BD4854" w:rsidP="00BD4854">
      <w:pPr>
        <w:spacing w:after="120"/>
        <w:rPr>
          <w:rFonts w:ascii="Times New Roman" w:hAnsi="Times New Roman" w:cs="Times New Roman"/>
          <w:sz w:val="24"/>
          <w:szCs w:val="24"/>
        </w:rPr>
      </w:pPr>
      <w:r w:rsidRPr="00D855B4">
        <w:rPr>
          <w:rFonts w:cs="Arial"/>
        </w:rPr>
        <w:t>This difference is a vital implementation concern. The national standards require local capacity, workforce stability, data systems and available services. Equity and experience must be the measure of policy, not just volumes of activity.</w:t>
      </w:r>
    </w:p>
    <w:p w14:paraId="718D1BDD" w14:textId="77777777" w:rsidR="007A5E91" w:rsidRPr="00D855B4" w:rsidRDefault="00000000">
      <w:pPr>
        <w:pStyle w:val="Heading2"/>
        <w:spacing w:after="120"/>
        <w:rPr>
          <w:rFonts w:ascii="Times New Roman" w:hAnsi="Times New Roman" w:cs="Times New Roman"/>
          <w:sz w:val="28"/>
          <w:szCs w:val="28"/>
        </w:rPr>
      </w:pPr>
      <w:bookmarkStart w:id="16" w:name="_Toc243589176"/>
      <w:r w:rsidRPr="00D855B4">
        <w:rPr>
          <w:rFonts w:ascii="Arial" w:eastAsia="Arial" w:hAnsi="Arial" w:cs="Arial"/>
          <w:szCs w:val="22"/>
        </w:rPr>
        <w:t>6.1 Local commissioning and devolved policy context</w:t>
      </w:r>
      <w:bookmarkEnd w:id="16"/>
    </w:p>
    <w:p w14:paraId="5506D736" w14:textId="77777777" w:rsidR="00BD4854" w:rsidRPr="00D855B4" w:rsidRDefault="00BD4854" w:rsidP="00BD4854">
      <w:pPr>
        <w:spacing w:after="120"/>
        <w:rPr>
          <w:rFonts w:cs="Arial"/>
        </w:rPr>
      </w:pPr>
      <w:r w:rsidRPr="00D855B4">
        <w:rPr>
          <w:rFonts w:cs="Arial"/>
        </w:rPr>
        <w:t>ICBs have a strategic commissioning role and work with integrated care systems, local authorities and providers. Presently, the current practice is being reformed, and more commissioning duties will be shifted to ICBs since April 2027 (NHS England, 2026a; NHS England, 2026b).</w:t>
      </w:r>
    </w:p>
    <w:p w14:paraId="027B226A" w14:textId="77777777" w:rsidR="00BD4854" w:rsidRPr="00D855B4" w:rsidRDefault="00BD4854" w:rsidP="00BD4854">
      <w:pPr>
        <w:spacing w:after="120"/>
        <w:rPr>
          <w:rFonts w:cs="Arial"/>
        </w:rPr>
      </w:pPr>
      <w:r w:rsidRPr="00D855B4">
        <w:rPr>
          <w:rFonts w:cs="Arial"/>
        </w:rPr>
        <w:t xml:space="preserve">An example is the Wandsworth Health and Care Plan 202527. T2D is one of its 19 “Live Well” priorities. It reports 15,257 residents with diabetes; 45.4% had gone through all eight care processes and 49.3% had achieved three treatment targets. The plan also recognizes those who are at high risk and proposes NHS Health Checks, community-specific engagement, health and wellbeing workers, social prescribers and enhanced prevention and treatment assistance (NHS </w:t>
      </w:r>
      <w:proofErr w:type="gramStart"/>
      <w:r w:rsidRPr="00D855B4">
        <w:rPr>
          <w:rFonts w:cs="Arial"/>
        </w:rPr>
        <w:t>South West</w:t>
      </w:r>
      <w:proofErr w:type="gramEnd"/>
      <w:r w:rsidRPr="00D855B4">
        <w:rPr>
          <w:rFonts w:cs="Arial"/>
        </w:rPr>
        <w:t xml:space="preserve"> London Integrated Care Board, 2025). This demonstrates the way in which national priorities may turn into local acting when it comes to dealing with inequalities.</w:t>
      </w:r>
    </w:p>
    <w:p w14:paraId="54B9D21C" w14:textId="48E3FBBF" w:rsidR="007A5E91" w:rsidRPr="00D855B4" w:rsidRDefault="00BD4854" w:rsidP="00BD4854">
      <w:pPr>
        <w:spacing w:after="120"/>
        <w:rPr>
          <w:rFonts w:ascii="Times New Roman" w:hAnsi="Times New Roman" w:cs="Times New Roman"/>
          <w:sz w:val="24"/>
          <w:szCs w:val="24"/>
        </w:rPr>
      </w:pPr>
      <w:r w:rsidRPr="00D855B4">
        <w:rPr>
          <w:rFonts w:cs="Arial"/>
        </w:rPr>
        <w:t xml:space="preserve">Readers in Wales are also provided with a devolved context. Health boards are the structure adopted by NHS Wales instead of the English structure on ICB. Wales has an All-Wales Diabetes Prevention Programme and its Healthy Weight: Healthy Wales delivery plan is one where obesity prevention is linked to diabetes prevention. This demonstrates that governance influences policy and delivery </w:t>
      </w:r>
      <w:proofErr w:type="gramStart"/>
      <w:r w:rsidRPr="00D855B4">
        <w:rPr>
          <w:rFonts w:cs="Arial"/>
        </w:rPr>
        <w:t>remains</w:t>
      </w:r>
      <w:proofErr w:type="gramEnd"/>
      <w:r w:rsidRPr="00D855B4">
        <w:rPr>
          <w:rFonts w:cs="Arial"/>
        </w:rPr>
        <w:t xml:space="preserve"> reliant on local needs and capacity (Welsh Government, 2026).</w:t>
      </w:r>
    </w:p>
    <w:p w14:paraId="77BE5D80" w14:textId="77777777" w:rsidR="007A5E91" w:rsidRPr="00D855B4" w:rsidRDefault="00000000" w:rsidP="0061536E">
      <w:pPr>
        <w:pStyle w:val="Heading1"/>
        <w:rPr>
          <w:rFonts w:ascii="Times New Roman" w:hAnsi="Times New Roman" w:cs="Times New Roman"/>
          <w:sz w:val="32"/>
          <w:szCs w:val="32"/>
        </w:rPr>
      </w:pPr>
      <w:bookmarkStart w:id="17" w:name="_Toc243589177"/>
      <w:r w:rsidRPr="00D855B4">
        <w:t>7. Person-Centred Care and Self-Management</w:t>
      </w:r>
      <w:bookmarkEnd w:id="17"/>
    </w:p>
    <w:p w14:paraId="492D817F" w14:textId="77777777" w:rsidR="00BD4854" w:rsidRPr="00D855B4" w:rsidRDefault="00BD4854" w:rsidP="00BD4854">
      <w:pPr>
        <w:spacing w:after="120"/>
        <w:rPr>
          <w:rFonts w:cs="Arial"/>
        </w:rPr>
      </w:pPr>
      <w:r w:rsidRPr="00D855B4">
        <w:rPr>
          <w:rFonts w:cs="Arial"/>
        </w:rPr>
        <w:lastRenderedPageBreak/>
        <w:t xml:space="preserve">The self-management is necessary since </w:t>
      </w:r>
      <w:proofErr w:type="gramStart"/>
      <w:r w:rsidRPr="00D855B4">
        <w:rPr>
          <w:rFonts w:cs="Arial"/>
        </w:rPr>
        <w:t>the majority of</w:t>
      </w:r>
      <w:proofErr w:type="gramEnd"/>
      <w:r w:rsidRPr="00D855B4">
        <w:rPr>
          <w:rFonts w:cs="Arial"/>
        </w:rPr>
        <w:t xml:space="preserve"> the diabetes care is between appointments. Knowledge, confidence and practical skills should be established through effective </w:t>
      </w:r>
      <w:proofErr w:type="gramStart"/>
      <w:r w:rsidRPr="00D855B4">
        <w:rPr>
          <w:rFonts w:cs="Arial"/>
        </w:rPr>
        <w:t>support</w:t>
      </w:r>
      <w:proofErr w:type="gramEnd"/>
      <w:r w:rsidRPr="00D855B4">
        <w:rPr>
          <w:rFonts w:cs="Arial"/>
        </w:rPr>
        <w:t xml:space="preserve"> and treatment workload should be identified.</w:t>
      </w:r>
    </w:p>
    <w:p w14:paraId="71CDC8F0" w14:textId="77777777" w:rsidR="00BD4854" w:rsidRPr="00D855B4" w:rsidRDefault="00BD4854" w:rsidP="00BD4854">
      <w:pPr>
        <w:spacing w:after="120"/>
        <w:rPr>
          <w:rFonts w:cs="Arial"/>
        </w:rPr>
      </w:pPr>
      <w:r w:rsidRPr="00D855B4">
        <w:rPr>
          <w:rFonts w:cs="Arial"/>
        </w:rPr>
        <w:t>Shared decision making integrates evidence with patient preferences, values and circumstances (NICE, 2021b). When the person agrees, family members or carers can be involved.</w:t>
      </w:r>
    </w:p>
    <w:p w14:paraId="7EA29D4A" w14:textId="77777777" w:rsidR="00BD4854" w:rsidRPr="00D855B4" w:rsidRDefault="00BD4854" w:rsidP="00BD4854">
      <w:pPr>
        <w:spacing w:after="120"/>
        <w:rPr>
          <w:rFonts w:cs="Arial"/>
        </w:rPr>
      </w:pPr>
      <w:r w:rsidRPr="00D855B4">
        <w:rPr>
          <w:rFonts w:cs="Arial"/>
        </w:rPr>
        <w:t>Realistic goals that should be included in self-management plans are medication adherence, activity, food choices, foot care and monitoring. Goals ought to be revisited with change of circumstances.</w:t>
      </w:r>
    </w:p>
    <w:p w14:paraId="7494B0D3" w14:textId="3F7914B2" w:rsidR="007A5E91" w:rsidRPr="00D855B4" w:rsidRDefault="00BD4854" w:rsidP="00BD4854">
      <w:pPr>
        <w:spacing w:after="120"/>
        <w:rPr>
          <w:rFonts w:cs="Arial"/>
        </w:rPr>
      </w:pPr>
      <w:r w:rsidRPr="00D855B4">
        <w:rPr>
          <w:rFonts w:cs="Arial"/>
        </w:rPr>
        <w:t>Culturally responsive communication is also needed in person-centred care. Dietary advice should reflect cultural food practices and affordability because generic advice may be difficult to follow.</w:t>
      </w:r>
    </w:p>
    <w:p w14:paraId="4E20F035" w14:textId="77777777" w:rsidR="00C24408" w:rsidRPr="00D855B4" w:rsidRDefault="00C24408" w:rsidP="00C24408">
      <w:pPr>
        <w:jc w:val="center"/>
        <w:rPr>
          <w:rFonts w:ascii="Times New Roman" w:hAnsi="Times New Roman" w:cs="Times New Roman"/>
          <w:bCs/>
          <w:sz w:val="24"/>
          <w:szCs w:val="24"/>
        </w:rPr>
      </w:pPr>
      <w:r w:rsidRPr="00D855B4">
        <w:rPr>
          <w:bCs/>
        </w:rPr>
        <w:drawing>
          <wp:inline distT="0" distB="0" distL="0" distR="0" wp14:anchorId="3F346BC1" wp14:editId="5916AE3E">
            <wp:extent cx="3596147" cy="3286408"/>
            <wp:effectExtent l="0" t="0" r="4445" b="9525"/>
            <wp:docPr id="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6"/>
                    <pic:cNvPicPr>
                      <a:picLocks noChangeAspect="1" noChangeArrowheads="1"/>
                    </pic:cNvPicPr>
                  </pic:nvPicPr>
                  <pic:blipFill>
                    <a:blip r:embed="rId13"/>
                    <a:stretch>
                      <a:fillRect/>
                    </a:stretch>
                  </pic:blipFill>
                  <pic:spPr bwMode="auto">
                    <a:xfrm>
                      <a:off x="0" y="0"/>
                      <a:ext cx="3596727" cy="3286938"/>
                    </a:xfrm>
                    <a:prstGeom prst="rect">
                      <a:avLst/>
                    </a:prstGeom>
                    <a:noFill/>
                  </pic:spPr>
                </pic:pic>
              </a:graphicData>
            </a:graphic>
          </wp:inline>
        </w:drawing>
      </w:r>
    </w:p>
    <w:p w14:paraId="5E913744" w14:textId="194C2EB6" w:rsidR="00C24408" w:rsidRPr="00D855B4" w:rsidRDefault="00C24408" w:rsidP="00C24408">
      <w:pPr>
        <w:spacing w:after="120"/>
        <w:jc w:val="center"/>
        <w:rPr>
          <w:rFonts w:ascii="Times New Roman" w:hAnsi="Times New Roman" w:cs="Times New Roman"/>
          <w:bCs/>
          <w:sz w:val="24"/>
          <w:szCs w:val="24"/>
        </w:rPr>
      </w:pPr>
      <w:r w:rsidRPr="00D855B4">
        <w:rPr>
          <w:rFonts w:cs="Arial"/>
          <w:bCs/>
        </w:rPr>
        <w:t>Figure 6. Person-centred self-management cycle for type 2 diabetes.</w:t>
      </w:r>
    </w:p>
    <w:p w14:paraId="13CFA868" w14:textId="77777777" w:rsidR="007A5E91" w:rsidRPr="00D855B4" w:rsidRDefault="00000000">
      <w:pPr>
        <w:pStyle w:val="Heading2"/>
        <w:spacing w:after="120"/>
        <w:rPr>
          <w:rFonts w:ascii="Times New Roman" w:hAnsi="Times New Roman" w:cs="Times New Roman"/>
          <w:sz w:val="28"/>
          <w:szCs w:val="28"/>
        </w:rPr>
      </w:pPr>
      <w:bookmarkStart w:id="18" w:name="_Toc243589178"/>
      <w:r w:rsidRPr="00D855B4">
        <w:rPr>
          <w:rFonts w:ascii="Arial" w:eastAsia="Arial" w:hAnsi="Arial" w:cs="Arial"/>
          <w:szCs w:val="22"/>
        </w:rPr>
        <w:t>7.1 Implementation, equity and continuity</w:t>
      </w:r>
      <w:bookmarkEnd w:id="18"/>
    </w:p>
    <w:p w14:paraId="61565A83" w14:textId="77777777" w:rsidR="00BD4854" w:rsidRPr="00D855B4" w:rsidRDefault="00BD4854" w:rsidP="00BD4854">
      <w:pPr>
        <w:spacing w:after="120"/>
        <w:rPr>
          <w:rFonts w:cs="Arial"/>
        </w:rPr>
      </w:pPr>
      <w:r w:rsidRPr="00D855B4">
        <w:rPr>
          <w:rFonts w:cs="Arial"/>
        </w:rPr>
        <w:t>Long-term condition management is based on the gap between evidence and practice. According to national audit data, the full coverage of the care processes is not yet universal (NHS England, 2025a). Services must have the ability to provide evidence.</w:t>
      </w:r>
    </w:p>
    <w:p w14:paraId="48DB4BD9" w14:textId="77777777" w:rsidR="00BD4854" w:rsidRPr="00D855B4" w:rsidRDefault="00BD4854" w:rsidP="00BD4854">
      <w:pPr>
        <w:spacing w:after="120"/>
        <w:rPr>
          <w:rFonts w:cs="Arial"/>
        </w:rPr>
      </w:pPr>
      <w:r w:rsidRPr="00D855B4">
        <w:rPr>
          <w:rFonts w:cs="Arial"/>
        </w:rPr>
        <w:t xml:space="preserve">Continuity is important for people with complex needs. Fragmentation can be minimized by a named professional or coordinated team. The Chronic Care Model facilitates scheduled </w:t>
      </w:r>
      <w:r w:rsidRPr="00D855B4">
        <w:rPr>
          <w:rFonts w:cs="Arial"/>
        </w:rPr>
        <w:lastRenderedPageBreak/>
        <w:t>interactions and coordinated delivery, whereas personalised care involves better emphasis on individual goals (Goh et al., 2022).</w:t>
      </w:r>
    </w:p>
    <w:p w14:paraId="1759A777" w14:textId="1FF9B221" w:rsidR="007A5E91" w:rsidRPr="00D855B4" w:rsidRDefault="00BD4854" w:rsidP="00BD4854">
      <w:pPr>
        <w:spacing w:after="120"/>
        <w:rPr>
          <w:rFonts w:ascii="Times New Roman" w:hAnsi="Times New Roman" w:cs="Times New Roman"/>
          <w:sz w:val="24"/>
          <w:szCs w:val="24"/>
        </w:rPr>
      </w:pPr>
      <w:r w:rsidRPr="00D855B4">
        <w:rPr>
          <w:rFonts w:cs="Arial"/>
        </w:rPr>
        <w:t>Routine diabetes care should include psychological support since depression and diabetes distress can impact motivation, self-care and quality of life. The routine assessment is indicated to be inconsistent (McMorrow et al., 2022).</w:t>
      </w:r>
    </w:p>
    <w:p w14:paraId="657A3D72" w14:textId="77777777" w:rsidR="007A5E91" w:rsidRPr="00D855B4" w:rsidRDefault="00000000">
      <w:pPr>
        <w:pStyle w:val="Heading2"/>
        <w:spacing w:after="120"/>
        <w:rPr>
          <w:rFonts w:ascii="Times New Roman" w:hAnsi="Times New Roman" w:cs="Times New Roman"/>
          <w:sz w:val="28"/>
          <w:szCs w:val="28"/>
        </w:rPr>
      </w:pPr>
      <w:bookmarkStart w:id="19" w:name="_Toc243589179"/>
      <w:r w:rsidRPr="00D855B4">
        <w:rPr>
          <w:rFonts w:ascii="Arial" w:eastAsia="Arial" w:hAnsi="Arial" w:cs="Arial"/>
          <w:szCs w:val="22"/>
        </w:rPr>
        <w:t>7.2 Multidisciplinary and carer support</w:t>
      </w:r>
      <w:bookmarkEnd w:id="19"/>
    </w:p>
    <w:p w14:paraId="0105230E" w14:textId="77777777" w:rsidR="00BD4854" w:rsidRPr="00D855B4" w:rsidRDefault="00BD4854" w:rsidP="00BD4854">
      <w:pPr>
        <w:spacing w:after="120"/>
        <w:rPr>
          <w:rFonts w:cs="Arial"/>
        </w:rPr>
      </w:pPr>
      <w:r w:rsidRPr="00D855B4">
        <w:rPr>
          <w:rFonts w:cs="Arial"/>
        </w:rPr>
        <w:t>Multidisciplinary working is a key to long-term management of diabetes. It can be contributed by primary care clinicians, nurses, pharmacists, dietitians, podiatrists, retinal services and community professionals. Due to a common plan, duplication and conflicting advice may be minimized.</w:t>
      </w:r>
    </w:p>
    <w:p w14:paraId="3D1E8BA8" w14:textId="77777777" w:rsidR="00BD4854" w:rsidRPr="00D855B4" w:rsidRDefault="00BD4854" w:rsidP="00BD4854">
      <w:pPr>
        <w:spacing w:after="120"/>
        <w:rPr>
          <w:rFonts w:cs="Arial"/>
        </w:rPr>
      </w:pPr>
      <w:r w:rsidRPr="00D855B4">
        <w:rPr>
          <w:rFonts w:cs="Arial"/>
        </w:rPr>
        <w:t xml:space="preserve">Carers may be able to offer both practical and emotional support, although this must </w:t>
      </w:r>
      <w:proofErr w:type="gramStart"/>
      <w:r w:rsidRPr="00D855B4">
        <w:rPr>
          <w:rFonts w:cs="Arial"/>
        </w:rPr>
        <w:t>be in agreement</w:t>
      </w:r>
      <w:proofErr w:type="gramEnd"/>
      <w:r w:rsidRPr="00D855B4">
        <w:rPr>
          <w:rFonts w:cs="Arial"/>
        </w:rPr>
        <w:t xml:space="preserve"> with the person. NICE encourages the involvement of families or advocates where appropriate and agreed (NICE, 2021b).</w:t>
      </w:r>
    </w:p>
    <w:p w14:paraId="57E06F04" w14:textId="77777777" w:rsidR="00BD4854" w:rsidRPr="00D855B4" w:rsidRDefault="00BD4854" w:rsidP="00BD4854">
      <w:pPr>
        <w:spacing w:after="120"/>
        <w:rPr>
          <w:rFonts w:cs="Arial"/>
        </w:rPr>
      </w:pPr>
      <w:r w:rsidRPr="00D855B4">
        <w:rPr>
          <w:rFonts w:cs="Arial"/>
        </w:rPr>
        <w:t>The impact of carers should be taken into consideration as well. Drug regimes, visits, food alterations and tracking may be time and emotionally taxing. The qualitative research conducted in the UK revealed that caregivers talked of commitment and pressure (Newson, Brown and Dugdale, 2025).</w:t>
      </w:r>
    </w:p>
    <w:p w14:paraId="4AB3B670" w14:textId="580FE097" w:rsidR="007A5E91" w:rsidRPr="00D855B4" w:rsidRDefault="00BD4854" w:rsidP="00BD4854">
      <w:pPr>
        <w:spacing w:after="120"/>
        <w:rPr>
          <w:rFonts w:ascii="Times New Roman" w:hAnsi="Times New Roman" w:cs="Times New Roman"/>
          <w:sz w:val="24"/>
          <w:szCs w:val="24"/>
        </w:rPr>
      </w:pPr>
      <w:r w:rsidRPr="00D855B4">
        <w:rPr>
          <w:rFonts w:cs="Arial"/>
        </w:rPr>
        <w:t>Unpaid care may have an impact on employment, money and health. Carers UK discovered that 44 percent of employed carers decreased their working hours and 25 percent shifted to a lower-paid or lower-level position (Carers UK, 2024). Careers should be asked about their needs and signpost support by services (Welsh Government, 2025).</w:t>
      </w:r>
    </w:p>
    <w:p w14:paraId="6B6AB968" w14:textId="77777777" w:rsidR="007A5E91" w:rsidRPr="00D855B4" w:rsidRDefault="00000000" w:rsidP="0061536E">
      <w:pPr>
        <w:pStyle w:val="Heading1"/>
        <w:rPr>
          <w:rFonts w:ascii="Times New Roman" w:hAnsi="Times New Roman" w:cs="Times New Roman"/>
          <w:sz w:val="32"/>
          <w:szCs w:val="32"/>
        </w:rPr>
      </w:pPr>
      <w:bookmarkStart w:id="20" w:name="_Toc243589180"/>
      <w:r w:rsidRPr="00D855B4">
        <w:t>8. End-of-Life Care</w:t>
      </w:r>
      <w:bookmarkEnd w:id="20"/>
    </w:p>
    <w:p w14:paraId="3B7046A2" w14:textId="77777777" w:rsidR="00BD4854" w:rsidRPr="00D855B4" w:rsidRDefault="00BD4854" w:rsidP="00BD4854">
      <w:pPr>
        <w:spacing w:after="120"/>
        <w:rPr>
          <w:rFonts w:cs="Arial"/>
        </w:rPr>
      </w:pPr>
      <w:r w:rsidRPr="00D855B4">
        <w:rPr>
          <w:rFonts w:cs="Arial"/>
        </w:rPr>
        <w:t>The end-of-life care can also be reached in case diabetes is complexified with advanced disease, weakness or comorbidity. There should be a change in intensive targets to comfort, dignity and the priorities of the person when clinically appropriate.</w:t>
      </w:r>
    </w:p>
    <w:p w14:paraId="5D528852" w14:textId="77777777" w:rsidR="00BD4854" w:rsidRPr="00D855B4" w:rsidRDefault="00BD4854" w:rsidP="00BD4854">
      <w:pPr>
        <w:spacing w:after="120"/>
        <w:rPr>
          <w:rFonts w:cs="Arial"/>
        </w:rPr>
      </w:pPr>
      <w:r w:rsidRPr="00D855B4">
        <w:rPr>
          <w:rFonts w:cs="Arial"/>
        </w:rPr>
        <w:t>NICE suggests early detection and advance care planning, such as treatment and place of care preferences (NICE, 2019). The guidance by the American Diabetes Association is not UK policy but supplementary, and the diabetes-specific guidance should be applied to UK palliative and prescribing arrangements.</w:t>
      </w:r>
    </w:p>
    <w:p w14:paraId="424498F7" w14:textId="77777777" w:rsidR="00BD4854" w:rsidRPr="00D855B4" w:rsidRDefault="00BD4854" w:rsidP="00BD4854">
      <w:pPr>
        <w:spacing w:after="120"/>
        <w:rPr>
          <w:rFonts w:cs="Arial"/>
        </w:rPr>
      </w:pPr>
      <w:r w:rsidRPr="00D855B4">
        <w:rPr>
          <w:rFonts w:cs="Arial"/>
        </w:rPr>
        <w:t>There may be a need to simplify diabetes treatment. Hypoglycaemia risk, burden of treatment, prognosis and the wishes of the person should be taken into consideration. With consent, family and carers can be engaged.</w:t>
      </w:r>
    </w:p>
    <w:p w14:paraId="5CAD1A24" w14:textId="77777777" w:rsidR="00BD4854" w:rsidRPr="00D855B4" w:rsidRDefault="00BD4854" w:rsidP="00BD4854">
      <w:pPr>
        <w:spacing w:after="120"/>
        <w:rPr>
          <w:rFonts w:cs="Arial"/>
        </w:rPr>
      </w:pPr>
      <w:r w:rsidRPr="00D855B4">
        <w:rPr>
          <w:rFonts w:cs="Arial"/>
        </w:rPr>
        <w:lastRenderedPageBreak/>
        <w:t>Benefit and burden vary at the end of life. Close glycaemic objectives can be of little use whereas hypoglycaemia can be dangerous. Guidance helps streamline the treatment, minimize unwarranted monitoring, and prioritize comfort and dignity (American Diabetes Association Professional Practice Committee, 2026).</w:t>
      </w:r>
    </w:p>
    <w:p w14:paraId="6AF53BF7" w14:textId="77D0ABD2" w:rsidR="007A5E91" w:rsidRPr="00D855B4" w:rsidRDefault="00BD4854" w:rsidP="00BD4854">
      <w:pPr>
        <w:spacing w:after="120"/>
        <w:rPr>
          <w:rFonts w:ascii="Times New Roman" w:hAnsi="Times New Roman" w:cs="Times New Roman"/>
          <w:sz w:val="24"/>
          <w:szCs w:val="24"/>
        </w:rPr>
      </w:pPr>
      <w:r w:rsidRPr="00D855B4">
        <w:rPr>
          <w:rFonts w:cs="Arial"/>
        </w:rPr>
        <w:t xml:space="preserve">In an individual with extremely short life expectancy, clinicians can taper or discontinue treatment in cases where the risk and burden of treatment are greater than the potential benefit. Oral intake, hypoglycaemia risks and goals, and symptoms should be </w:t>
      </w:r>
      <w:proofErr w:type="gramStart"/>
      <w:r w:rsidRPr="00D855B4">
        <w:rPr>
          <w:rFonts w:cs="Arial"/>
        </w:rPr>
        <w:t>taken into account</w:t>
      </w:r>
      <w:proofErr w:type="gramEnd"/>
      <w:r w:rsidRPr="00D855B4">
        <w:rPr>
          <w:rFonts w:cs="Arial"/>
        </w:rPr>
        <w:t xml:space="preserve"> when making insulin decisions. The process of deprescribing is not to be considered withdrawal of care and must be planned and reviewed (Hickman et al., 2024).</w:t>
      </w:r>
    </w:p>
    <w:p w14:paraId="5D0A5E53" w14:textId="77777777" w:rsidR="007A5E91" w:rsidRPr="00D855B4" w:rsidRDefault="00000000" w:rsidP="0061536E">
      <w:pPr>
        <w:pStyle w:val="Heading1"/>
        <w:rPr>
          <w:rFonts w:ascii="Times New Roman" w:hAnsi="Times New Roman" w:cs="Times New Roman"/>
          <w:sz w:val="32"/>
          <w:szCs w:val="32"/>
        </w:rPr>
      </w:pPr>
      <w:bookmarkStart w:id="21" w:name="_Toc243589181"/>
      <w:r w:rsidRPr="00D855B4">
        <w:t>9. Recommendations</w:t>
      </w:r>
      <w:bookmarkEnd w:id="21"/>
    </w:p>
    <w:p w14:paraId="28E23913" w14:textId="77777777" w:rsidR="00BD4854" w:rsidRPr="00D855B4" w:rsidRDefault="00BD4854" w:rsidP="00BD4854">
      <w:pPr>
        <w:spacing w:after="120"/>
        <w:rPr>
          <w:rFonts w:cs="Arial"/>
        </w:rPr>
      </w:pPr>
      <w:r w:rsidRPr="00D855B4">
        <w:rPr>
          <w:rFonts w:cs="Arial"/>
        </w:rPr>
        <w:t>Enhance systematic learning at diagnosis. Incorporate follow up since single session education might not be able to maintain behaviour change.</w:t>
      </w:r>
    </w:p>
    <w:p w14:paraId="09B4529D" w14:textId="77777777" w:rsidR="00BD4854" w:rsidRPr="00D855B4" w:rsidRDefault="00BD4854" w:rsidP="00BD4854">
      <w:pPr>
        <w:spacing w:after="120"/>
        <w:rPr>
          <w:rFonts w:cs="Arial"/>
        </w:rPr>
      </w:pPr>
      <w:r w:rsidRPr="00D855B4">
        <w:rPr>
          <w:rFonts w:cs="Arial"/>
        </w:rPr>
        <w:t>Engage in individualised care plans that have quantifiable objectives. Review objectives during usual diabetes contacts and following significant changes.</w:t>
      </w:r>
    </w:p>
    <w:p w14:paraId="65D21A2A" w14:textId="77777777" w:rsidR="00BD4854" w:rsidRPr="00D855B4" w:rsidRDefault="00BD4854" w:rsidP="00BD4854">
      <w:pPr>
        <w:spacing w:after="120"/>
        <w:rPr>
          <w:rFonts w:cs="Arial"/>
        </w:rPr>
      </w:pPr>
      <w:r w:rsidRPr="00D855B4">
        <w:rPr>
          <w:rFonts w:cs="Arial"/>
        </w:rPr>
        <w:t>Enhance the accomplishment of all eight care processes. Local systems need to recognize gaps and apply focused outreach.</w:t>
      </w:r>
    </w:p>
    <w:p w14:paraId="4842A1E3" w14:textId="77777777" w:rsidR="00BD4854" w:rsidRPr="00D855B4" w:rsidRDefault="00BD4854" w:rsidP="00BD4854">
      <w:pPr>
        <w:spacing w:after="120"/>
        <w:rPr>
          <w:rFonts w:cs="Arial"/>
        </w:rPr>
      </w:pPr>
      <w:r w:rsidRPr="00D855B4">
        <w:rPr>
          <w:rFonts w:cs="Arial"/>
        </w:rPr>
        <w:t>Integrate non-digital and digital support. Provide telephone, face-to-face and accessible media as well as apps.</w:t>
      </w:r>
    </w:p>
    <w:p w14:paraId="3F495922" w14:textId="77777777" w:rsidR="00BD4854" w:rsidRPr="00D855B4" w:rsidRDefault="00BD4854" w:rsidP="00BD4854">
      <w:pPr>
        <w:spacing w:after="120"/>
        <w:rPr>
          <w:rFonts w:cs="Arial"/>
        </w:rPr>
      </w:pPr>
      <w:r w:rsidRPr="00D855B4">
        <w:rPr>
          <w:rFonts w:cs="Arial"/>
        </w:rPr>
        <w:t>Embed psychological assessment. Identify depression and diabetes distress and link people to appropriate support.</w:t>
      </w:r>
    </w:p>
    <w:p w14:paraId="7BED34C1" w14:textId="77777777" w:rsidR="00BD4854" w:rsidRPr="00D855B4" w:rsidRDefault="00BD4854" w:rsidP="00BD4854">
      <w:pPr>
        <w:spacing w:after="120"/>
        <w:rPr>
          <w:rFonts w:cs="Arial"/>
        </w:rPr>
      </w:pPr>
      <w:r w:rsidRPr="00D855B4">
        <w:rPr>
          <w:rFonts w:cs="Arial"/>
        </w:rPr>
        <w:t>Give culturally sensitive nutrition. Modify recommendations to cultural foods, domestic practices, cost and taste.</w:t>
      </w:r>
    </w:p>
    <w:p w14:paraId="560DD449" w14:textId="77777777" w:rsidR="00BD4854" w:rsidRPr="00D855B4" w:rsidRDefault="00BD4854" w:rsidP="00BD4854">
      <w:pPr>
        <w:spacing w:after="120"/>
        <w:rPr>
          <w:rFonts w:cs="Arial"/>
        </w:rPr>
      </w:pPr>
      <w:r w:rsidRPr="00D855B4">
        <w:rPr>
          <w:rFonts w:cs="Arial"/>
        </w:rPr>
        <w:t xml:space="preserve">Choose cardiorenal evidence in the choice of medicines. Benefit, safety and treatment burden should be </w:t>
      </w:r>
      <w:proofErr w:type="gramStart"/>
      <w:r w:rsidRPr="00D855B4">
        <w:rPr>
          <w:rFonts w:cs="Arial"/>
        </w:rPr>
        <w:t>taken into account</w:t>
      </w:r>
      <w:proofErr w:type="gramEnd"/>
      <w:r w:rsidRPr="00D855B4">
        <w:rPr>
          <w:rFonts w:cs="Arial"/>
        </w:rPr>
        <w:t xml:space="preserve"> in shared decisions.</w:t>
      </w:r>
    </w:p>
    <w:p w14:paraId="6B95DE3E" w14:textId="77777777" w:rsidR="00BD4854" w:rsidRPr="00D855B4" w:rsidRDefault="00BD4854" w:rsidP="00BD4854">
      <w:pPr>
        <w:spacing w:after="120"/>
        <w:rPr>
          <w:rFonts w:cs="Arial"/>
        </w:rPr>
      </w:pPr>
      <w:r w:rsidRPr="00D855B4">
        <w:rPr>
          <w:rFonts w:cs="Arial"/>
        </w:rPr>
        <w:t>Enhance family and carer engagement. Engage other people at the request of the individual and respect his/her autonomy.</w:t>
      </w:r>
    </w:p>
    <w:p w14:paraId="1C0834F3" w14:textId="6F7BD5AD" w:rsidR="007A5E91" w:rsidRPr="00D855B4" w:rsidRDefault="00BD4854" w:rsidP="00BD4854">
      <w:pPr>
        <w:spacing w:after="120"/>
        <w:rPr>
          <w:rFonts w:ascii="Times New Roman" w:hAnsi="Times New Roman" w:cs="Times New Roman"/>
          <w:sz w:val="24"/>
          <w:szCs w:val="24"/>
        </w:rPr>
      </w:pPr>
      <w:r w:rsidRPr="00D855B4">
        <w:rPr>
          <w:rFonts w:cs="Arial"/>
        </w:rPr>
        <w:t>Improve end-of-life planning. Talk about advance care planning at an early stage when the decision-making is difficult due to severe complications or frailty.</w:t>
      </w:r>
    </w:p>
    <w:p w14:paraId="01E40906" w14:textId="77777777" w:rsidR="007A5E91" w:rsidRPr="00D855B4" w:rsidRDefault="00000000">
      <w:pPr>
        <w:pStyle w:val="Heading2"/>
        <w:spacing w:after="120"/>
        <w:rPr>
          <w:rFonts w:ascii="Times New Roman" w:hAnsi="Times New Roman" w:cs="Times New Roman"/>
          <w:sz w:val="28"/>
          <w:szCs w:val="28"/>
        </w:rPr>
      </w:pPr>
      <w:bookmarkStart w:id="22" w:name="_Toc243589182"/>
      <w:r w:rsidRPr="00D855B4">
        <w:rPr>
          <w:rFonts w:ascii="Arial" w:eastAsia="Arial" w:hAnsi="Arial" w:cs="Arial"/>
          <w:szCs w:val="22"/>
        </w:rPr>
        <w:lastRenderedPageBreak/>
        <w:t>9.1 Implementation measures</w:t>
      </w:r>
      <w:bookmarkEnd w:id="22"/>
    </w:p>
    <w:tbl>
      <w:tblPr>
        <w:tblStyle w:val="GridTable4-Accent6"/>
        <w:tblW w:w="9792" w:type="dxa"/>
        <w:jc w:val="center"/>
        <w:tblLayout w:type="fixed"/>
        <w:tblLook w:val="04A0" w:firstRow="1" w:lastRow="0" w:firstColumn="1" w:lastColumn="0" w:noHBand="0" w:noVBand="1"/>
      </w:tblPr>
      <w:tblGrid>
        <w:gridCol w:w="3264"/>
        <w:gridCol w:w="3264"/>
        <w:gridCol w:w="3264"/>
      </w:tblGrid>
      <w:tr w:rsidR="007A5E91" w:rsidRPr="00D855B4" w14:paraId="1F32775B" w14:textId="77777777" w:rsidTr="007A5E9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264" w:type="dxa"/>
            <w:tcBorders>
              <w:top w:val="single" w:sz="4" w:space="0" w:color="F79646"/>
              <w:left w:val="single" w:sz="4" w:space="0" w:color="F79646"/>
              <w:bottom w:val="single" w:sz="4" w:space="0" w:color="F79646"/>
              <w:right w:val="single" w:sz="4" w:space="0" w:color="F79646"/>
            </w:tcBorders>
          </w:tcPr>
          <w:p w14:paraId="243AEE3E" w14:textId="77777777" w:rsidR="007A5E91" w:rsidRPr="00D855B4" w:rsidRDefault="00000000">
            <w:pPr>
              <w:rPr>
                <w:rFonts w:ascii="Times New Roman" w:hAnsi="Times New Roman" w:cs="Times New Roman"/>
                <w:sz w:val="24"/>
                <w:szCs w:val="24"/>
              </w:rPr>
            </w:pPr>
            <w:r w:rsidRPr="00D855B4">
              <w:rPr>
                <w:rFonts w:cs="Arial"/>
              </w:rPr>
              <w:t>Priority</w:t>
            </w:r>
          </w:p>
        </w:tc>
        <w:tc>
          <w:tcPr>
            <w:tcW w:w="3264" w:type="dxa"/>
            <w:tcBorders>
              <w:top w:val="single" w:sz="4" w:space="0" w:color="F79646"/>
              <w:left w:val="single" w:sz="4" w:space="0" w:color="F79646"/>
              <w:bottom w:val="single" w:sz="4" w:space="0" w:color="F79646"/>
              <w:right w:val="single" w:sz="4" w:space="0" w:color="F79646"/>
            </w:tcBorders>
          </w:tcPr>
          <w:p w14:paraId="03D289CF" w14:textId="77777777" w:rsidR="007A5E91" w:rsidRPr="00D855B4" w:rsidRDefault="00000000">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855B4">
              <w:rPr>
                <w:rFonts w:cs="Arial"/>
              </w:rPr>
              <w:t>Action</w:t>
            </w:r>
          </w:p>
        </w:tc>
        <w:tc>
          <w:tcPr>
            <w:tcW w:w="3264" w:type="dxa"/>
            <w:tcBorders>
              <w:top w:val="single" w:sz="4" w:space="0" w:color="F79646"/>
              <w:left w:val="single" w:sz="4" w:space="0" w:color="F79646"/>
              <w:bottom w:val="single" w:sz="4" w:space="0" w:color="F79646"/>
              <w:right w:val="single" w:sz="4" w:space="0" w:color="F79646"/>
            </w:tcBorders>
          </w:tcPr>
          <w:p w14:paraId="3EFD870B" w14:textId="77777777" w:rsidR="007A5E91" w:rsidRPr="00D855B4" w:rsidRDefault="00000000">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855B4">
              <w:rPr>
                <w:rFonts w:cs="Arial"/>
              </w:rPr>
              <w:t>Suggested measure</w:t>
            </w:r>
          </w:p>
        </w:tc>
      </w:tr>
      <w:tr w:rsidR="007A5E91" w:rsidRPr="00D855B4" w14:paraId="08DBE558" w14:textId="77777777" w:rsidTr="007A5E9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264" w:type="dxa"/>
          </w:tcPr>
          <w:p w14:paraId="6E19A709" w14:textId="77777777" w:rsidR="007A5E91" w:rsidRPr="00D855B4" w:rsidRDefault="00000000">
            <w:pPr>
              <w:rPr>
                <w:rFonts w:ascii="Times New Roman" w:hAnsi="Times New Roman" w:cs="Times New Roman"/>
                <w:sz w:val="24"/>
                <w:szCs w:val="24"/>
              </w:rPr>
            </w:pPr>
            <w:r w:rsidRPr="00D855B4">
              <w:rPr>
                <w:rFonts w:cs="Arial"/>
              </w:rPr>
              <w:t>Care processes</w:t>
            </w:r>
          </w:p>
        </w:tc>
        <w:tc>
          <w:tcPr>
            <w:tcW w:w="3264" w:type="dxa"/>
          </w:tcPr>
          <w:p w14:paraId="692A0153" w14:textId="77777777" w:rsidR="007A5E91" w:rsidRPr="00D855B4" w:rsidRDefault="0000000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855B4">
              <w:rPr>
                <w:rFonts w:cs="Arial"/>
              </w:rPr>
              <w:t>Target people missing annual checks.</w:t>
            </w:r>
          </w:p>
        </w:tc>
        <w:tc>
          <w:tcPr>
            <w:tcW w:w="3264" w:type="dxa"/>
          </w:tcPr>
          <w:p w14:paraId="0B81AD24" w14:textId="77777777" w:rsidR="007A5E91" w:rsidRPr="00D855B4" w:rsidRDefault="0000000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855B4">
              <w:rPr>
                <w:rFonts w:cs="Arial"/>
              </w:rPr>
              <w:t>Increase all-eight-process completion and reduce local variation.</w:t>
            </w:r>
          </w:p>
        </w:tc>
      </w:tr>
      <w:tr w:rsidR="007A5E91" w:rsidRPr="00D855B4" w14:paraId="6A71444C" w14:textId="77777777" w:rsidTr="007A5E91">
        <w:trPr>
          <w:jc w:val="center"/>
        </w:trPr>
        <w:tc>
          <w:tcPr>
            <w:cnfStyle w:val="001000000000" w:firstRow="0" w:lastRow="0" w:firstColumn="1" w:lastColumn="0" w:oddVBand="0" w:evenVBand="0" w:oddHBand="0" w:evenHBand="0" w:firstRowFirstColumn="0" w:firstRowLastColumn="0" w:lastRowFirstColumn="0" w:lastRowLastColumn="0"/>
            <w:tcW w:w="3264" w:type="dxa"/>
          </w:tcPr>
          <w:p w14:paraId="76FA1B56" w14:textId="77777777" w:rsidR="007A5E91" w:rsidRPr="00D855B4" w:rsidRDefault="00000000">
            <w:pPr>
              <w:rPr>
                <w:rFonts w:ascii="Times New Roman" w:hAnsi="Times New Roman" w:cs="Times New Roman"/>
                <w:sz w:val="24"/>
                <w:szCs w:val="24"/>
              </w:rPr>
            </w:pPr>
            <w:r w:rsidRPr="00D855B4">
              <w:rPr>
                <w:rFonts w:cs="Arial"/>
              </w:rPr>
              <w:t>Self-management</w:t>
            </w:r>
          </w:p>
        </w:tc>
        <w:tc>
          <w:tcPr>
            <w:tcW w:w="3264" w:type="dxa"/>
          </w:tcPr>
          <w:p w14:paraId="73F79F2F" w14:textId="77777777" w:rsidR="007A5E91" w:rsidRPr="00D855B4" w:rsidRDefault="0000000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855B4">
              <w:rPr>
                <w:rFonts w:cs="Arial"/>
              </w:rPr>
              <w:t>Offer structured education with follow-up.</w:t>
            </w:r>
          </w:p>
        </w:tc>
        <w:tc>
          <w:tcPr>
            <w:tcW w:w="3264" w:type="dxa"/>
          </w:tcPr>
          <w:p w14:paraId="7DA2D278" w14:textId="77777777" w:rsidR="007A5E91" w:rsidRPr="00D855B4" w:rsidRDefault="0000000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855B4">
              <w:rPr>
                <w:rFonts w:cs="Arial"/>
              </w:rPr>
              <w:t>Measure attendance, confidence and HbA1c change.</w:t>
            </w:r>
          </w:p>
        </w:tc>
      </w:tr>
      <w:tr w:rsidR="007A5E91" w:rsidRPr="00D855B4" w14:paraId="581EDB24" w14:textId="77777777" w:rsidTr="007A5E9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264" w:type="dxa"/>
          </w:tcPr>
          <w:p w14:paraId="1655F772" w14:textId="77777777" w:rsidR="007A5E91" w:rsidRPr="00D855B4" w:rsidRDefault="00000000">
            <w:pPr>
              <w:rPr>
                <w:rFonts w:ascii="Times New Roman" w:hAnsi="Times New Roman" w:cs="Times New Roman"/>
                <w:sz w:val="24"/>
                <w:szCs w:val="24"/>
              </w:rPr>
            </w:pPr>
            <w:r w:rsidRPr="00D855B4">
              <w:rPr>
                <w:rFonts w:cs="Arial"/>
              </w:rPr>
              <w:t>Equity</w:t>
            </w:r>
          </w:p>
        </w:tc>
        <w:tc>
          <w:tcPr>
            <w:tcW w:w="3264" w:type="dxa"/>
          </w:tcPr>
          <w:p w14:paraId="7B02901A" w14:textId="77777777" w:rsidR="007A5E91" w:rsidRPr="00D855B4" w:rsidRDefault="0000000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855B4">
              <w:rPr>
                <w:rFonts w:cs="Arial"/>
              </w:rPr>
              <w:t>Use outreach and accessible formats.</w:t>
            </w:r>
          </w:p>
        </w:tc>
        <w:tc>
          <w:tcPr>
            <w:tcW w:w="3264" w:type="dxa"/>
          </w:tcPr>
          <w:p w14:paraId="2C5F1E6C" w14:textId="77777777" w:rsidR="007A5E91" w:rsidRPr="00D855B4" w:rsidRDefault="0000000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855B4">
              <w:rPr>
                <w:rFonts w:cs="Arial"/>
              </w:rPr>
              <w:t>Compare uptake and outcomes across deprived and minority groups.</w:t>
            </w:r>
          </w:p>
        </w:tc>
      </w:tr>
      <w:tr w:rsidR="007A5E91" w:rsidRPr="00D855B4" w14:paraId="54865A0E" w14:textId="77777777" w:rsidTr="007A5E91">
        <w:trPr>
          <w:jc w:val="center"/>
        </w:trPr>
        <w:tc>
          <w:tcPr>
            <w:cnfStyle w:val="001000000000" w:firstRow="0" w:lastRow="0" w:firstColumn="1" w:lastColumn="0" w:oddVBand="0" w:evenVBand="0" w:oddHBand="0" w:evenHBand="0" w:firstRowFirstColumn="0" w:firstRowLastColumn="0" w:lastRowFirstColumn="0" w:lastRowLastColumn="0"/>
            <w:tcW w:w="3264" w:type="dxa"/>
          </w:tcPr>
          <w:p w14:paraId="32C9DFFA" w14:textId="77777777" w:rsidR="007A5E91" w:rsidRPr="00D855B4" w:rsidRDefault="00000000">
            <w:pPr>
              <w:rPr>
                <w:rFonts w:ascii="Times New Roman" w:hAnsi="Times New Roman" w:cs="Times New Roman"/>
                <w:sz w:val="24"/>
                <w:szCs w:val="24"/>
              </w:rPr>
            </w:pPr>
            <w:r w:rsidRPr="00D855B4">
              <w:rPr>
                <w:rFonts w:cs="Arial"/>
              </w:rPr>
              <w:t>Digital care</w:t>
            </w:r>
          </w:p>
        </w:tc>
        <w:tc>
          <w:tcPr>
            <w:tcW w:w="3264" w:type="dxa"/>
          </w:tcPr>
          <w:p w14:paraId="05A242E1" w14:textId="77777777" w:rsidR="007A5E91" w:rsidRPr="00D855B4" w:rsidRDefault="0000000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855B4">
              <w:rPr>
                <w:rFonts w:cs="Arial"/>
              </w:rPr>
              <w:t>Provide digital and non-digital routes.</w:t>
            </w:r>
          </w:p>
        </w:tc>
        <w:tc>
          <w:tcPr>
            <w:tcW w:w="3264" w:type="dxa"/>
          </w:tcPr>
          <w:p w14:paraId="3CEC6909" w14:textId="77777777" w:rsidR="007A5E91" w:rsidRPr="00D855B4" w:rsidRDefault="0000000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855B4">
              <w:rPr>
                <w:rFonts w:cs="Arial"/>
              </w:rPr>
              <w:t>Monitor engagement and identify digital exclusion.</w:t>
            </w:r>
          </w:p>
        </w:tc>
      </w:tr>
      <w:tr w:rsidR="007A5E91" w:rsidRPr="00D855B4" w14:paraId="0D4B6128" w14:textId="77777777" w:rsidTr="007A5E9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264" w:type="dxa"/>
          </w:tcPr>
          <w:p w14:paraId="4139B87B" w14:textId="77777777" w:rsidR="007A5E91" w:rsidRPr="00D855B4" w:rsidRDefault="00000000">
            <w:pPr>
              <w:rPr>
                <w:rFonts w:ascii="Times New Roman" w:hAnsi="Times New Roman" w:cs="Times New Roman"/>
                <w:sz w:val="24"/>
                <w:szCs w:val="24"/>
              </w:rPr>
            </w:pPr>
            <w:r w:rsidRPr="00D855B4">
              <w:rPr>
                <w:rFonts w:cs="Arial"/>
              </w:rPr>
              <w:t>Psychological care</w:t>
            </w:r>
          </w:p>
        </w:tc>
        <w:tc>
          <w:tcPr>
            <w:tcW w:w="3264" w:type="dxa"/>
          </w:tcPr>
          <w:p w14:paraId="5E672804" w14:textId="77777777" w:rsidR="007A5E91" w:rsidRPr="00D855B4" w:rsidRDefault="0000000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855B4">
              <w:rPr>
                <w:rFonts w:cs="Arial"/>
              </w:rPr>
              <w:t>Screen for distress and depression.</w:t>
            </w:r>
          </w:p>
        </w:tc>
        <w:tc>
          <w:tcPr>
            <w:tcW w:w="3264" w:type="dxa"/>
          </w:tcPr>
          <w:p w14:paraId="3676F96B" w14:textId="77777777" w:rsidR="007A5E91" w:rsidRPr="00D855B4" w:rsidRDefault="0000000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855B4">
              <w:rPr>
                <w:rFonts w:cs="Arial"/>
              </w:rPr>
              <w:t>Record assessment, referral and follow-up.</w:t>
            </w:r>
          </w:p>
        </w:tc>
      </w:tr>
      <w:tr w:rsidR="007A5E91" w:rsidRPr="00D855B4" w14:paraId="700B24C6" w14:textId="77777777" w:rsidTr="007A5E91">
        <w:trPr>
          <w:jc w:val="center"/>
        </w:trPr>
        <w:tc>
          <w:tcPr>
            <w:cnfStyle w:val="001000000000" w:firstRow="0" w:lastRow="0" w:firstColumn="1" w:lastColumn="0" w:oddVBand="0" w:evenVBand="0" w:oddHBand="0" w:evenHBand="0" w:firstRowFirstColumn="0" w:firstRowLastColumn="0" w:lastRowFirstColumn="0" w:lastRowLastColumn="0"/>
            <w:tcW w:w="3264" w:type="dxa"/>
          </w:tcPr>
          <w:p w14:paraId="1FDAE27F" w14:textId="77777777" w:rsidR="007A5E91" w:rsidRPr="00D855B4" w:rsidRDefault="00000000">
            <w:pPr>
              <w:rPr>
                <w:rFonts w:ascii="Times New Roman" w:hAnsi="Times New Roman" w:cs="Times New Roman"/>
                <w:sz w:val="24"/>
                <w:szCs w:val="24"/>
              </w:rPr>
            </w:pPr>
            <w:r w:rsidRPr="00D855B4">
              <w:rPr>
                <w:rFonts w:cs="Arial"/>
              </w:rPr>
              <w:t>End-of-life care</w:t>
            </w:r>
          </w:p>
        </w:tc>
        <w:tc>
          <w:tcPr>
            <w:tcW w:w="3264" w:type="dxa"/>
          </w:tcPr>
          <w:p w14:paraId="2B2FE6FF" w14:textId="77777777" w:rsidR="007A5E91" w:rsidRPr="00D855B4" w:rsidRDefault="0000000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855B4">
              <w:rPr>
                <w:rFonts w:cs="Arial"/>
              </w:rPr>
              <w:t>Introduce timely advance care planning.</w:t>
            </w:r>
          </w:p>
        </w:tc>
        <w:tc>
          <w:tcPr>
            <w:tcW w:w="3264" w:type="dxa"/>
          </w:tcPr>
          <w:p w14:paraId="67BD9BB4" w14:textId="77777777" w:rsidR="007A5E91" w:rsidRPr="00D855B4" w:rsidRDefault="0000000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855B4">
              <w:rPr>
                <w:rFonts w:cs="Arial"/>
              </w:rPr>
              <w:t>Record documented preferences and review them.</w:t>
            </w:r>
          </w:p>
        </w:tc>
      </w:tr>
    </w:tbl>
    <w:p w14:paraId="768EBEB5" w14:textId="77777777" w:rsidR="007A5E91" w:rsidRPr="00D855B4" w:rsidRDefault="00000000" w:rsidP="0061536E">
      <w:pPr>
        <w:pStyle w:val="Heading1"/>
        <w:rPr>
          <w:rFonts w:ascii="Times New Roman" w:hAnsi="Times New Roman" w:cs="Times New Roman"/>
          <w:sz w:val="32"/>
          <w:szCs w:val="32"/>
        </w:rPr>
      </w:pPr>
      <w:bookmarkStart w:id="23" w:name="_Toc243589183"/>
      <w:r w:rsidRPr="00D855B4">
        <w:t>10. Conclusion</w:t>
      </w:r>
      <w:bookmarkEnd w:id="23"/>
    </w:p>
    <w:p w14:paraId="64D898EE" w14:textId="77777777" w:rsidR="00BD4854" w:rsidRPr="00D855B4" w:rsidRDefault="00BD4854" w:rsidP="00BD4854">
      <w:pPr>
        <w:spacing w:after="120"/>
        <w:rPr>
          <w:rFonts w:cs="Arial"/>
        </w:rPr>
      </w:pPr>
      <w:r w:rsidRPr="00D855B4">
        <w:rPr>
          <w:rFonts w:cs="Arial"/>
        </w:rPr>
        <w:t>T2D is a complicated chronic illness, which has significant clinical, psychological and social outcomes. The UK data indicate that there is a high burden and incomplete provision of recommended care processes.</w:t>
      </w:r>
    </w:p>
    <w:p w14:paraId="646FCAFC" w14:textId="77777777" w:rsidR="00BD4854" w:rsidRPr="00D855B4" w:rsidRDefault="00BD4854" w:rsidP="00BD4854">
      <w:pPr>
        <w:spacing w:after="120"/>
        <w:rPr>
          <w:rFonts w:cs="Arial"/>
        </w:rPr>
      </w:pPr>
      <w:r w:rsidRPr="00D855B4">
        <w:rPr>
          <w:rFonts w:cs="Arial"/>
        </w:rPr>
        <w:t>Integrated treatment using a combination of medicines, lifestyle support, education and person-centred care is supported. The cardiorenal benefits can be offered by newer medicines, yet treatment remains to be individually assessed.</w:t>
      </w:r>
    </w:p>
    <w:p w14:paraId="62707848" w14:textId="2FCB0E4C" w:rsidR="007A5E91" w:rsidRPr="00D855B4" w:rsidRDefault="00BD4854" w:rsidP="00BD4854">
      <w:pPr>
        <w:spacing w:after="120"/>
        <w:rPr>
          <w:rFonts w:ascii="Times New Roman" w:hAnsi="Times New Roman" w:cs="Times New Roman"/>
          <w:sz w:val="24"/>
          <w:szCs w:val="24"/>
        </w:rPr>
      </w:pPr>
      <w:r w:rsidRPr="00D855B4">
        <w:rPr>
          <w:rFonts w:cs="Arial"/>
        </w:rPr>
        <w:t>The two care models are complementary: personalised care enhances autonomy and whole-life planning whereas the Chronic Care Model enhances coordination, information systems and reliable delivery. It should be improved with the emphasis on prevention, equity, continuity and self-management, and quantifying both the feeling of people being supported and the process of care being completed. This will enhance results, decrease disparities and make care more sustainable.</w:t>
      </w:r>
    </w:p>
    <w:p w14:paraId="0FC34657" w14:textId="77777777" w:rsidR="007A5E91" w:rsidRPr="00D855B4" w:rsidRDefault="007A5E91">
      <w:pPr>
        <w:spacing w:after="120"/>
        <w:rPr>
          <w:rFonts w:ascii="Times New Roman" w:hAnsi="Times New Roman" w:cs="Times New Roman"/>
          <w:sz w:val="24"/>
          <w:szCs w:val="24"/>
        </w:rPr>
      </w:pPr>
    </w:p>
    <w:p w14:paraId="6D5C78D8" w14:textId="77777777" w:rsidR="00BD4854" w:rsidRPr="00D855B4" w:rsidRDefault="00BD4854">
      <w:pPr>
        <w:spacing w:after="0" w:line="240" w:lineRule="auto"/>
        <w:jc w:val="left"/>
        <w:rPr>
          <w:rFonts w:cs="Arial"/>
          <w:b/>
          <w:bCs/>
        </w:rPr>
      </w:pPr>
      <w:r w:rsidRPr="00D855B4">
        <w:rPr>
          <w:rFonts w:cs="Arial"/>
        </w:rPr>
        <w:br w:type="page"/>
      </w:r>
    </w:p>
    <w:p w14:paraId="516E2576" w14:textId="1BF050E7" w:rsidR="007A5E91" w:rsidRPr="00D855B4" w:rsidRDefault="00000000" w:rsidP="0061536E">
      <w:pPr>
        <w:pStyle w:val="Heading1"/>
        <w:rPr>
          <w:rFonts w:ascii="Times New Roman" w:hAnsi="Times New Roman" w:cs="Times New Roman"/>
          <w:sz w:val="32"/>
          <w:szCs w:val="32"/>
        </w:rPr>
      </w:pPr>
      <w:bookmarkStart w:id="24" w:name="_Toc243589184"/>
      <w:r w:rsidRPr="00D855B4">
        <w:lastRenderedPageBreak/>
        <w:t>References</w:t>
      </w:r>
      <w:bookmarkEnd w:id="24"/>
    </w:p>
    <w:p w14:paraId="09A00001" w14:textId="77777777" w:rsidR="007A5E91" w:rsidRPr="00D855B4" w:rsidRDefault="00000000">
      <w:pPr>
        <w:rPr>
          <w:rFonts w:cs="Arial"/>
        </w:rPr>
      </w:pPr>
      <w:r w:rsidRPr="00D855B4">
        <w:rPr>
          <w:rFonts w:cs="Arial"/>
        </w:rPr>
        <w:t xml:space="preserve">American Diabetes Association Professional Practice Committee (2026) '13. Older adults: Standards of Care in Diabetes—2026', </w:t>
      </w:r>
      <w:r w:rsidRPr="00D855B4">
        <w:rPr>
          <w:rFonts w:cs="Arial"/>
          <w:i/>
        </w:rPr>
        <w:t>Diabetes Care</w:t>
      </w:r>
      <w:r w:rsidRPr="00D855B4">
        <w:rPr>
          <w:rFonts w:cs="Arial"/>
        </w:rPr>
        <w:t>, 49(Suppl. 1), pp. S277–S296. doi:</w:t>
      </w:r>
      <w:hyperlink r:id="rId14">
        <w:r w:rsidR="007A5E91" w:rsidRPr="00D855B4">
          <w:rPr>
            <w:rFonts w:cs="Arial"/>
            <w:color w:val="0563C1"/>
            <w:u w:val="single"/>
          </w:rPr>
          <w:t>10.2337/dc26-S013</w:t>
        </w:r>
      </w:hyperlink>
    </w:p>
    <w:p w14:paraId="5A2CDB90" w14:textId="77777777" w:rsidR="007A5E91" w:rsidRPr="00D855B4" w:rsidRDefault="00000000">
      <w:pPr>
        <w:rPr>
          <w:rFonts w:cs="Arial"/>
        </w:rPr>
      </w:pPr>
      <w:r w:rsidRPr="00D855B4">
        <w:rPr>
          <w:rFonts w:cs="Arial"/>
        </w:rPr>
        <w:t xml:space="preserve">Beulens, J.W.J., Reichelt, F., </w:t>
      </w:r>
      <w:proofErr w:type="spellStart"/>
      <w:r w:rsidRPr="00D855B4">
        <w:rPr>
          <w:rFonts w:cs="Arial"/>
        </w:rPr>
        <w:t>Remmelzwaal</w:t>
      </w:r>
      <w:proofErr w:type="spellEnd"/>
      <w:r w:rsidRPr="00D855B4">
        <w:rPr>
          <w:rFonts w:cs="Arial"/>
        </w:rPr>
        <w:t xml:space="preserve">, S., Rutters, F., </w:t>
      </w:r>
      <w:proofErr w:type="spellStart"/>
      <w:r w:rsidRPr="00D855B4">
        <w:rPr>
          <w:rFonts w:cs="Arial"/>
        </w:rPr>
        <w:t>Strooij</w:t>
      </w:r>
      <w:proofErr w:type="spellEnd"/>
      <w:r w:rsidRPr="00D855B4">
        <w:rPr>
          <w:rFonts w:cs="Arial"/>
        </w:rPr>
        <w:t xml:space="preserve">, B., Harms, P., de Vries, R., Blom, M.T., Stronks, K. and </w:t>
      </w:r>
      <w:proofErr w:type="spellStart"/>
      <w:r w:rsidRPr="00D855B4">
        <w:rPr>
          <w:rFonts w:cs="Arial"/>
        </w:rPr>
        <w:t>Muilwijk</w:t>
      </w:r>
      <w:proofErr w:type="spellEnd"/>
      <w:r w:rsidRPr="00D855B4">
        <w:rPr>
          <w:rFonts w:cs="Arial"/>
        </w:rPr>
        <w:t xml:space="preserve">, M. (2024) 'Type 2 diabetes complications in ethnic minority compared with European host populations: a systematic review and meta-analysis', </w:t>
      </w:r>
      <w:r w:rsidRPr="00D855B4">
        <w:rPr>
          <w:rFonts w:cs="Arial"/>
          <w:i/>
        </w:rPr>
        <w:t>BMJ Open Diabetes Research &amp; Care</w:t>
      </w:r>
      <w:r w:rsidRPr="00D855B4">
        <w:rPr>
          <w:rFonts w:cs="Arial"/>
        </w:rPr>
        <w:t>, 12(6), e004345. doi:</w:t>
      </w:r>
      <w:hyperlink r:id="rId15">
        <w:r w:rsidR="007A5E91" w:rsidRPr="00D855B4">
          <w:rPr>
            <w:rFonts w:cs="Arial"/>
            <w:color w:val="0563C1"/>
            <w:u w:val="single"/>
          </w:rPr>
          <w:t>10.1136/bmjdrc-2024-004345</w:t>
        </w:r>
      </w:hyperlink>
    </w:p>
    <w:p w14:paraId="05EFFBCF" w14:textId="77777777" w:rsidR="007A5E91" w:rsidRPr="00D855B4" w:rsidRDefault="00000000">
      <w:pPr>
        <w:rPr>
          <w:rFonts w:cs="Arial"/>
        </w:rPr>
      </w:pPr>
      <w:r w:rsidRPr="00D855B4">
        <w:rPr>
          <w:rFonts w:cs="Arial"/>
        </w:rPr>
        <w:t xml:space="preserve">Bolt, J., Carvalho, V., Lin, K., Lee, S.J. and Inglis, C. (2024) 'Systematic review of guideline recommendations for older and frail adults with type 2 diabetes mellitus', </w:t>
      </w:r>
      <w:r w:rsidRPr="00D855B4">
        <w:rPr>
          <w:rFonts w:cs="Arial"/>
          <w:i/>
        </w:rPr>
        <w:t>Age and Ageing</w:t>
      </w:r>
      <w:r w:rsidRPr="00D855B4">
        <w:rPr>
          <w:rFonts w:cs="Arial"/>
        </w:rPr>
        <w:t>, 53(11), afae259. doi:</w:t>
      </w:r>
      <w:hyperlink r:id="rId16">
        <w:r w:rsidR="007A5E91" w:rsidRPr="00D855B4">
          <w:rPr>
            <w:rFonts w:cs="Arial"/>
            <w:color w:val="0563C1"/>
            <w:u w:val="single"/>
          </w:rPr>
          <w:t>10.1093/ageing/afae259</w:t>
        </w:r>
      </w:hyperlink>
    </w:p>
    <w:p w14:paraId="629BD52A" w14:textId="77777777" w:rsidR="007A5E91" w:rsidRPr="00D855B4" w:rsidRDefault="00000000">
      <w:pPr>
        <w:rPr>
          <w:rFonts w:cs="Arial"/>
        </w:rPr>
      </w:pPr>
      <w:r w:rsidRPr="00D855B4">
        <w:rPr>
          <w:rFonts w:cs="Arial"/>
        </w:rPr>
        <w:t>Carers UK (2024) 'State of Caring 2024: the impact of caring on employment'. Available at:</w:t>
      </w:r>
      <w:hyperlink r:id="rId17">
        <w:r w:rsidR="007A5E91" w:rsidRPr="00D855B4">
          <w:rPr>
            <w:rFonts w:cs="Arial"/>
            <w:color w:val="0563C1"/>
            <w:u w:val="single"/>
          </w:rPr>
          <w:t>https://www.carersuk.org/reports/state-of-caring-2024-the-impact-of-unpaid-caring-on-employment</w:t>
        </w:r>
      </w:hyperlink>
      <w:r w:rsidRPr="00D855B4">
        <w:rPr>
          <w:rFonts w:cs="Arial"/>
        </w:rPr>
        <w:t>(Accessed: 21 October 2026).</w:t>
      </w:r>
    </w:p>
    <w:p w14:paraId="0F4DA977" w14:textId="77777777" w:rsidR="007A5E91" w:rsidRPr="00D855B4" w:rsidRDefault="00000000">
      <w:pPr>
        <w:rPr>
          <w:rFonts w:cs="Arial"/>
        </w:rPr>
      </w:pPr>
      <w:r w:rsidRPr="00D855B4">
        <w:rPr>
          <w:rFonts w:cs="Arial"/>
        </w:rPr>
        <w:t>Chaudhry, U.A.R., Fortescue, R., Bowen, L., Woolford, S.J., Knights, F., Cook, D.G., Harris, T. and Critchley, J. (2025) 'Comparison of mortality in people with type 2 diabetes between different ethnic groups: systematic review and meta-analysis of longitudinal studies', PLOS ONE, 20(1), e0314318. doi:</w:t>
      </w:r>
      <w:hyperlink r:id="rId18">
        <w:r w:rsidR="007A5E91" w:rsidRPr="00D855B4">
          <w:rPr>
            <w:rFonts w:cs="Arial"/>
            <w:color w:val="0563C1"/>
            <w:u w:val="single"/>
          </w:rPr>
          <w:t>10.1371/journal.pone.0314318</w:t>
        </w:r>
      </w:hyperlink>
    </w:p>
    <w:p w14:paraId="316B01B7" w14:textId="77777777" w:rsidR="007A5E91" w:rsidRPr="00D855B4" w:rsidRDefault="00000000">
      <w:pPr>
        <w:rPr>
          <w:rFonts w:cs="Arial"/>
        </w:rPr>
      </w:pPr>
      <w:r w:rsidRPr="00D855B4">
        <w:rPr>
          <w:rFonts w:cs="Arial"/>
        </w:rPr>
        <w:t>Diabetes UK (2025) 'Diabetes facts and figures'. Available at:</w:t>
      </w:r>
      <w:hyperlink r:id="rId19">
        <w:r w:rsidR="007A5E91" w:rsidRPr="00D855B4">
          <w:rPr>
            <w:rFonts w:cs="Arial"/>
            <w:color w:val="0563C1"/>
            <w:u w:val="single"/>
          </w:rPr>
          <w:t>https://www.diabetes.org.uk/about-diabetes/diabetes-facts-and-figures</w:t>
        </w:r>
      </w:hyperlink>
      <w:r w:rsidRPr="00D855B4">
        <w:rPr>
          <w:rFonts w:cs="Arial"/>
        </w:rPr>
        <w:t>(Accessed: 21 October 2026).</w:t>
      </w:r>
    </w:p>
    <w:p w14:paraId="712D87E5" w14:textId="77777777" w:rsidR="007A5E91" w:rsidRPr="00D855B4" w:rsidRDefault="00000000">
      <w:pPr>
        <w:rPr>
          <w:rFonts w:cs="Arial"/>
        </w:rPr>
      </w:pPr>
      <w:r w:rsidRPr="00D855B4">
        <w:rPr>
          <w:rFonts w:cs="Arial"/>
        </w:rPr>
        <w:t xml:space="preserve">Felix, N., </w:t>
      </w:r>
      <w:proofErr w:type="spellStart"/>
      <w:r w:rsidRPr="00D855B4">
        <w:rPr>
          <w:rFonts w:cs="Arial"/>
        </w:rPr>
        <w:t>Gauza</w:t>
      </w:r>
      <w:proofErr w:type="spellEnd"/>
      <w:r w:rsidRPr="00D855B4">
        <w:rPr>
          <w:rFonts w:cs="Arial"/>
        </w:rPr>
        <w:t xml:space="preserve">, M.M., Bittar, V., Nogueira, A., Costa, T.A., Godoi, A., de Lucena, L.A., Gonçalves, O.R., Pinto, L.C.S., </w:t>
      </w:r>
      <w:proofErr w:type="spellStart"/>
      <w:r w:rsidRPr="00D855B4">
        <w:rPr>
          <w:rFonts w:cs="Arial"/>
        </w:rPr>
        <w:t>Tramujas</w:t>
      </w:r>
      <w:proofErr w:type="spellEnd"/>
      <w:r w:rsidRPr="00D855B4">
        <w:rPr>
          <w:rFonts w:cs="Arial"/>
        </w:rPr>
        <w:t xml:space="preserve">, L., Moura-Neto, J.A. and Guimarães, M.G. (2025) 'Cardiovascular and kidney outcomes of glucagon-like peptide 1 receptor agonist therapy in type 2 diabetes mellitus and chronic kidney disease: a systematic review and meta-analysis', </w:t>
      </w:r>
      <w:r w:rsidRPr="00D855B4">
        <w:rPr>
          <w:rFonts w:cs="Arial"/>
          <w:i/>
        </w:rPr>
        <w:t>Cardiorenal Medicine</w:t>
      </w:r>
      <w:r w:rsidRPr="00D855B4">
        <w:rPr>
          <w:rFonts w:cs="Arial"/>
        </w:rPr>
        <w:t>, 15(1), pp. 98–107. doi:</w:t>
      </w:r>
      <w:hyperlink r:id="rId20">
        <w:r w:rsidR="007A5E91" w:rsidRPr="00D855B4">
          <w:rPr>
            <w:rFonts w:cs="Arial"/>
            <w:color w:val="0563C1"/>
            <w:u w:val="single"/>
          </w:rPr>
          <w:t>10.1159/000543149</w:t>
        </w:r>
      </w:hyperlink>
    </w:p>
    <w:p w14:paraId="7AC341CA" w14:textId="77777777" w:rsidR="007A5E91" w:rsidRPr="00D855B4" w:rsidRDefault="00000000">
      <w:pPr>
        <w:rPr>
          <w:rFonts w:cs="Arial"/>
        </w:rPr>
      </w:pPr>
      <w:proofErr w:type="spellStart"/>
      <w:r w:rsidRPr="00D855B4">
        <w:rPr>
          <w:rFonts w:cs="Arial"/>
        </w:rPr>
        <w:t>Genitsaridi</w:t>
      </w:r>
      <w:proofErr w:type="spellEnd"/>
      <w:r w:rsidRPr="00D855B4">
        <w:rPr>
          <w:rFonts w:cs="Arial"/>
        </w:rPr>
        <w:t xml:space="preserve">, I., </w:t>
      </w:r>
      <w:proofErr w:type="spellStart"/>
      <w:r w:rsidRPr="00D855B4">
        <w:rPr>
          <w:rFonts w:cs="Arial"/>
        </w:rPr>
        <w:t>Salpea</w:t>
      </w:r>
      <w:proofErr w:type="spellEnd"/>
      <w:r w:rsidRPr="00D855B4">
        <w:rPr>
          <w:rFonts w:cs="Arial"/>
        </w:rPr>
        <w:t xml:space="preserve">, P., Salim, A., Sajjadi, S.F., Tomic, D., James, S., Thirunavukkarasu, S., Issaka, A., Chen, L., Basit, A., Luk, A.O.Y., Ma, R.C.W., </w:t>
      </w:r>
      <w:proofErr w:type="spellStart"/>
      <w:r w:rsidRPr="00D855B4">
        <w:rPr>
          <w:rFonts w:cs="Arial"/>
        </w:rPr>
        <w:t>Mbanya</w:t>
      </w:r>
      <w:proofErr w:type="spellEnd"/>
      <w:r w:rsidRPr="00D855B4">
        <w:rPr>
          <w:rFonts w:cs="Arial"/>
        </w:rPr>
        <w:t xml:space="preserve">, J.-C., Ramachandran, A., Wild, S.H., Duncan, B.B., Boyko, E.J. and Magliano, D.J. (2026) '11th edition of the IDF Diabetes Atlas: global, regional, and national diabetes prevalence estimates for 2024 and projections for 2050', </w:t>
      </w:r>
      <w:r w:rsidRPr="00D855B4">
        <w:rPr>
          <w:rFonts w:cs="Arial"/>
          <w:i/>
        </w:rPr>
        <w:t>The Lancet Diabetes &amp; Endocrinology</w:t>
      </w:r>
      <w:r w:rsidRPr="00D855B4">
        <w:rPr>
          <w:rFonts w:cs="Arial"/>
        </w:rPr>
        <w:t>, 14(2), pp. 149–156. doi:</w:t>
      </w:r>
      <w:hyperlink r:id="rId21">
        <w:r w:rsidR="007A5E91" w:rsidRPr="00D855B4">
          <w:rPr>
            <w:rFonts w:cs="Arial"/>
            <w:color w:val="0563C1"/>
            <w:u w:val="single"/>
          </w:rPr>
          <w:t>10.1016/S2213-8587(25)00299-2</w:t>
        </w:r>
      </w:hyperlink>
    </w:p>
    <w:p w14:paraId="2FBFEE46" w14:textId="77777777" w:rsidR="007A5E91" w:rsidRPr="00D855B4" w:rsidRDefault="00000000">
      <w:pPr>
        <w:rPr>
          <w:rFonts w:cs="Arial"/>
        </w:rPr>
      </w:pPr>
      <w:r w:rsidRPr="00D855B4">
        <w:rPr>
          <w:rFonts w:cs="Arial"/>
        </w:rPr>
        <w:lastRenderedPageBreak/>
        <w:t xml:space="preserve">Goh, L.H., Siah, C.J.R., Tam, W.W.S., Tai, E.S. and Young, D.Y.L. (2022) 'Effectiveness of the chronic care model for adults with type 2 diabetes in primary care: a systematic review and meta-analysis', </w:t>
      </w:r>
      <w:r w:rsidRPr="00D855B4">
        <w:rPr>
          <w:rFonts w:cs="Arial"/>
          <w:i/>
        </w:rPr>
        <w:t>Systematic Reviews</w:t>
      </w:r>
      <w:r w:rsidRPr="00D855B4">
        <w:rPr>
          <w:rFonts w:cs="Arial"/>
        </w:rPr>
        <w:t>, 11, 273. doi:</w:t>
      </w:r>
      <w:hyperlink r:id="rId22">
        <w:r w:rsidR="007A5E91" w:rsidRPr="00D855B4">
          <w:rPr>
            <w:rFonts w:cs="Arial"/>
            <w:color w:val="0563C1"/>
            <w:u w:val="single"/>
          </w:rPr>
          <w:t>10.1186/s13643-022-02117-w</w:t>
        </w:r>
      </w:hyperlink>
    </w:p>
    <w:p w14:paraId="7124D210" w14:textId="77777777" w:rsidR="007A5E91" w:rsidRPr="00D855B4" w:rsidRDefault="00000000">
      <w:pPr>
        <w:rPr>
          <w:rFonts w:cs="Arial"/>
        </w:rPr>
      </w:pPr>
      <w:r w:rsidRPr="00D855B4">
        <w:rPr>
          <w:rFonts w:cs="Arial"/>
        </w:rPr>
        <w:t xml:space="preserve">Hickman, E., </w:t>
      </w:r>
      <w:proofErr w:type="spellStart"/>
      <w:r w:rsidRPr="00D855B4">
        <w:rPr>
          <w:rFonts w:cs="Arial"/>
        </w:rPr>
        <w:t>Almaqhawi</w:t>
      </w:r>
      <w:proofErr w:type="spellEnd"/>
      <w:r w:rsidRPr="00D855B4">
        <w:rPr>
          <w:rFonts w:cs="Arial"/>
        </w:rPr>
        <w:t xml:space="preserve">, A., Gillies, C., Khunti, K. and Seidu, S. (2024) 'Beliefs, practices, perceptions and motivations of healthcare professionals on medication deprescribing during end-of-life care: a systematic review', </w:t>
      </w:r>
      <w:r w:rsidRPr="00D855B4">
        <w:rPr>
          <w:rFonts w:cs="Arial"/>
          <w:i/>
        </w:rPr>
        <w:t>Primary Care Diabetes</w:t>
      </w:r>
      <w:r w:rsidRPr="00D855B4">
        <w:rPr>
          <w:rFonts w:cs="Arial"/>
        </w:rPr>
        <w:t>, 18(3), pp. 249–256. doi:</w:t>
      </w:r>
      <w:hyperlink r:id="rId23">
        <w:r w:rsidR="007A5E91" w:rsidRPr="00D855B4">
          <w:rPr>
            <w:rFonts w:cs="Arial"/>
            <w:color w:val="0563C1"/>
            <w:u w:val="single"/>
          </w:rPr>
          <w:t>10.1016/j.pcd.2024.02.006</w:t>
        </w:r>
      </w:hyperlink>
    </w:p>
    <w:p w14:paraId="2C9B9977" w14:textId="77777777" w:rsidR="007A5E91" w:rsidRPr="00D855B4" w:rsidRDefault="00000000">
      <w:pPr>
        <w:rPr>
          <w:rFonts w:cs="Arial"/>
        </w:rPr>
      </w:pPr>
      <w:r w:rsidRPr="00D855B4">
        <w:rPr>
          <w:rFonts w:cs="Arial"/>
        </w:rPr>
        <w:t xml:space="preserve">Kerr, D., Ahn, D., Waki, K., Wang, J., </w:t>
      </w:r>
      <w:proofErr w:type="spellStart"/>
      <w:r w:rsidRPr="00D855B4">
        <w:rPr>
          <w:rFonts w:cs="Arial"/>
        </w:rPr>
        <w:t>Breznen</w:t>
      </w:r>
      <w:proofErr w:type="spellEnd"/>
      <w:r w:rsidRPr="00D855B4">
        <w:rPr>
          <w:rFonts w:cs="Arial"/>
        </w:rPr>
        <w:t xml:space="preserve">, B. and </w:t>
      </w:r>
      <w:proofErr w:type="spellStart"/>
      <w:r w:rsidRPr="00D855B4">
        <w:rPr>
          <w:rFonts w:cs="Arial"/>
        </w:rPr>
        <w:t>Klonoff</w:t>
      </w:r>
      <w:proofErr w:type="spellEnd"/>
      <w:r w:rsidRPr="00D855B4">
        <w:rPr>
          <w:rFonts w:cs="Arial"/>
        </w:rPr>
        <w:t xml:space="preserve">, D.C. (2024) 'Digital interventions for self-management of type 2 diabetes mellitus: systematic literature review and meta-analysis', </w:t>
      </w:r>
      <w:r w:rsidRPr="00D855B4">
        <w:rPr>
          <w:rFonts w:cs="Arial"/>
          <w:i/>
        </w:rPr>
        <w:t>Journal of Medical Internet Research</w:t>
      </w:r>
      <w:r w:rsidRPr="00D855B4">
        <w:rPr>
          <w:rFonts w:cs="Arial"/>
        </w:rPr>
        <w:t>, 26, e55757. doi:</w:t>
      </w:r>
      <w:hyperlink r:id="rId24">
        <w:r w:rsidR="007A5E91" w:rsidRPr="00D855B4">
          <w:rPr>
            <w:rFonts w:cs="Arial"/>
            <w:color w:val="0563C1"/>
            <w:u w:val="single"/>
          </w:rPr>
          <w:t>10.2196/55757</w:t>
        </w:r>
      </w:hyperlink>
    </w:p>
    <w:p w14:paraId="685B2233" w14:textId="77777777" w:rsidR="007A5E91" w:rsidRPr="00D855B4" w:rsidRDefault="00000000">
      <w:pPr>
        <w:rPr>
          <w:rFonts w:cs="Arial"/>
        </w:rPr>
      </w:pPr>
      <w:r w:rsidRPr="00D855B4">
        <w:rPr>
          <w:rFonts w:cs="Arial"/>
        </w:rPr>
        <w:t xml:space="preserve">Laverty, B., </w:t>
      </w:r>
      <w:proofErr w:type="spellStart"/>
      <w:r w:rsidRPr="00D855B4">
        <w:rPr>
          <w:rFonts w:cs="Arial"/>
        </w:rPr>
        <w:t>Jayanandan</w:t>
      </w:r>
      <w:proofErr w:type="spellEnd"/>
      <w:r w:rsidRPr="00D855B4">
        <w:rPr>
          <w:rFonts w:cs="Arial"/>
        </w:rPr>
        <w:t xml:space="preserve">, S.P. and Smyth, S. (2023) 'Understanding the relationship between sleep and quality of life in type 2 diabetes: a systematic review of the literature', </w:t>
      </w:r>
      <w:r w:rsidRPr="00D855B4">
        <w:rPr>
          <w:rFonts w:cs="Arial"/>
          <w:i/>
        </w:rPr>
        <w:t>Journal of Health Psychology</w:t>
      </w:r>
      <w:r w:rsidRPr="00D855B4">
        <w:rPr>
          <w:rFonts w:cs="Arial"/>
        </w:rPr>
        <w:t>, 28(8), pp. 693–710. doi:</w:t>
      </w:r>
      <w:hyperlink r:id="rId25">
        <w:r w:rsidR="007A5E91" w:rsidRPr="00D855B4">
          <w:rPr>
            <w:rFonts w:cs="Arial"/>
            <w:color w:val="0563C1"/>
            <w:u w:val="single"/>
          </w:rPr>
          <w:t>10.1177/13591053221140805</w:t>
        </w:r>
      </w:hyperlink>
    </w:p>
    <w:p w14:paraId="0B3BF2AB" w14:textId="77777777" w:rsidR="007A5E91" w:rsidRPr="00D855B4" w:rsidRDefault="00000000">
      <w:pPr>
        <w:rPr>
          <w:rFonts w:cs="Arial"/>
        </w:rPr>
      </w:pPr>
      <w:r w:rsidRPr="00D855B4">
        <w:rPr>
          <w:rFonts w:cs="Arial"/>
        </w:rPr>
        <w:t xml:space="preserve">McManus, E., Meacock, R., Parkinson, B. and Sutton, M. (2022) 'Population level impact of the NHS Diabetes Prevention Programme on incidence of type 2 diabetes in England: an observational study', </w:t>
      </w:r>
      <w:r w:rsidRPr="00D855B4">
        <w:rPr>
          <w:rFonts w:cs="Arial"/>
          <w:i/>
        </w:rPr>
        <w:t>The Lancet Regional Health – Europe</w:t>
      </w:r>
      <w:r w:rsidRPr="00D855B4">
        <w:rPr>
          <w:rFonts w:cs="Arial"/>
        </w:rPr>
        <w:t>, 19, 100420. doi:</w:t>
      </w:r>
      <w:hyperlink r:id="rId26">
        <w:r w:rsidR="007A5E91" w:rsidRPr="00D855B4">
          <w:rPr>
            <w:rFonts w:cs="Arial"/>
            <w:color w:val="0563C1"/>
            <w:u w:val="single"/>
          </w:rPr>
          <w:t>10.1016/j.lanepe.2022.100420</w:t>
        </w:r>
      </w:hyperlink>
    </w:p>
    <w:p w14:paraId="15D9526E" w14:textId="77777777" w:rsidR="007A5E91" w:rsidRPr="00D855B4" w:rsidRDefault="00000000">
      <w:pPr>
        <w:rPr>
          <w:rFonts w:cs="Arial"/>
        </w:rPr>
      </w:pPr>
      <w:r w:rsidRPr="00D855B4">
        <w:rPr>
          <w:rFonts w:cs="Arial"/>
        </w:rPr>
        <w:t xml:space="preserve">McMorrow, R., Hunter, B., Hendrieckx, C., </w:t>
      </w:r>
      <w:proofErr w:type="spellStart"/>
      <w:r w:rsidRPr="00D855B4">
        <w:rPr>
          <w:rFonts w:cs="Arial"/>
        </w:rPr>
        <w:t>Kwasnicka</w:t>
      </w:r>
      <w:proofErr w:type="spellEnd"/>
      <w:r w:rsidRPr="00D855B4">
        <w:rPr>
          <w:rFonts w:cs="Arial"/>
        </w:rPr>
        <w:t xml:space="preserve">, D., Speight, J., Cussen, L., Ho, F.C.S., Emery, J. and Manski-Nankervis, J.-A. (2022) 'Effect of routinely assessing and addressing depression and diabetes distress on clinical outcomes among adults with type 2 diabetes: a systematic review', </w:t>
      </w:r>
      <w:r w:rsidRPr="00D855B4">
        <w:rPr>
          <w:rFonts w:cs="Arial"/>
          <w:i/>
        </w:rPr>
        <w:t>BMJ Open</w:t>
      </w:r>
      <w:r w:rsidRPr="00D855B4">
        <w:rPr>
          <w:rFonts w:cs="Arial"/>
        </w:rPr>
        <w:t>, 12(5), e054650. doi:</w:t>
      </w:r>
      <w:hyperlink r:id="rId27">
        <w:r w:rsidR="007A5E91" w:rsidRPr="00D855B4">
          <w:rPr>
            <w:rFonts w:cs="Arial"/>
            <w:color w:val="0563C1"/>
            <w:u w:val="single"/>
          </w:rPr>
          <w:t>10.1136/bmjopen-2021-054650</w:t>
        </w:r>
      </w:hyperlink>
    </w:p>
    <w:p w14:paraId="4D3C044D" w14:textId="77777777" w:rsidR="007A5E91" w:rsidRPr="00D855B4" w:rsidRDefault="00000000">
      <w:pPr>
        <w:rPr>
          <w:rFonts w:cs="Arial"/>
        </w:rPr>
      </w:pPr>
      <w:r w:rsidRPr="00D855B4">
        <w:rPr>
          <w:rFonts w:cs="Arial"/>
        </w:rPr>
        <w:t xml:space="preserve">Newson, L., Brown, J.E. and Dugdale, S. (2025) 'Being the supporter: an interpretative phenomenological analysis of the role of caregivers in the self-management of type 2 diabetes', </w:t>
      </w:r>
      <w:r w:rsidRPr="00D855B4">
        <w:rPr>
          <w:rFonts w:cs="Arial"/>
          <w:i/>
        </w:rPr>
        <w:t>Psychology &amp; Health</w:t>
      </w:r>
      <w:r w:rsidRPr="00D855B4">
        <w:rPr>
          <w:rFonts w:cs="Arial"/>
        </w:rPr>
        <w:t>, 40(3), pp. 377–393. doi:</w:t>
      </w:r>
      <w:hyperlink r:id="rId28">
        <w:r w:rsidR="007A5E91" w:rsidRPr="00D855B4">
          <w:rPr>
            <w:rFonts w:cs="Arial"/>
            <w:color w:val="0563C1"/>
            <w:u w:val="single"/>
          </w:rPr>
          <w:t>10.1080/08870446.2023.2231004</w:t>
        </w:r>
      </w:hyperlink>
    </w:p>
    <w:p w14:paraId="127DDC9C" w14:textId="77777777" w:rsidR="007A5E91" w:rsidRPr="00D855B4" w:rsidRDefault="00000000">
      <w:pPr>
        <w:rPr>
          <w:rFonts w:cs="Arial"/>
        </w:rPr>
      </w:pPr>
      <w:r w:rsidRPr="00D855B4">
        <w:rPr>
          <w:rFonts w:cs="Arial"/>
        </w:rPr>
        <w:t>NHS England (2019) 'Comprehensive model of personalised care'. Available at:</w:t>
      </w:r>
      <w:hyperlink r:id="rId29">
        <w:r w:rsidR="007A5E91" w:rsidRPr="00D855B4">
          <w:rPr>
            <w:rFonts w:cs="Arial"/>
            <w:color w:val="0563C1"/>
            <w:u w:val="single"/>
          </w:rPr>
          <w:t>https://www.england.nhs.uk/personalisedcare/comprehensive-model-of-personalised-care/</w:t>
        </w:r>
      </w:hyperlink>
      <w:r w:rsidRPr="00D855B4">
        <w:rPr>
          <w:rFonts w:cs="Arial"/>
        </w:rPr>
        <w:t>(Accessed: 21 October 2026).</w:t>
      </w:r>
    </w:p>
    <w:p w14:paraId="01850FF6" w14:textId="77777777" w:rsidR="007A5E91" w:rsidRPr="00D855B4" w:rsidRDefault="00000000">
      <w:pPr>
        <w:rPr>
          <w:rFonts w:cs="Arial"/>
        </w:rPr>
      </w:pPr>
      <w:r w:rsidRPr="00D855B4">
        <w:rPr>
          <w:rFonts w:cs="Arial"/>
        </w:rPr>
        <w:t>NHS England (2025a) 'National Diabetes Audit annual report 2024–25'. Available at:</w:t>
      </w:r>
      <w:hyperlink r:id="rId30">
        <w:r w:rsidR="007A5E91" w:rsidRPr="00D855B4">
          <w:rPr>
            <w:rFonts w:cs="Arial"/>
            <w:color w:val="0563C1"/>
            <w:u w:val="single"/>
          </w:rPr>
          <w:t>https://digital.nhs.uk/data-and-information/publications/statistical/national-diabetes-audit/report-1-cp-and-tt-data-release-2024-25/nda-report-1-cp-and-tt-data-release-2024-25</w:t>
        </w:r>
      </w:hyperlink>
      <w:r w:rsidRPr="00D855B4">
        <w:rPr>
          <w:rFonts w:cs="Arial"/>
        </w:rPr>
        <w:t>(Accessed: 21 October 2026).</w:t>
      </w:r>
    </w:p>
    <w:p w14:paraId="68C20830" w14:textId="77777777" w:rsidR="007A5E91" w:rsidRPr="00D855B4" w:rsidRDefault="00000000">
      <w:pPr>
        <w:rPr>
          <w:rFonts w:cs="Arial"/>
        </w:rPr>
      </w:pPr>
      <w:r w:rsidRPr="00D855B4">
        <w:rPr>
          <w:rFonts w:cs="Arial"/>
        </w:rPr>
        <w:lastRenderedPageBreak/>
        <w:t>NHS England (2025b) 'Type 2 Diabetes Path to Remission Programme'. Available at:</w:t>
      </w:r>
      <w:hyperlink r:id="rId31">
        <w:r w:rsidR="007A5E91" w:rsidRPr="00D855B4">
          <w:rPr>
            <w:rFonts w:cs="Arial"/>
            <w:color w:val="0563C1"/>
            <w:u w:val="single"/>
          </w:rPr>
          <w:t>https://www.england.nhs.uk/diabetes/treatment-care/type-2-diabetes-path-to-remission/</w:t>
        </w:r>
      </w:hyperlink>
      <w:r w:rsidRPr="00D855B4">
        <w:rPr>
          <w:rFonts w:cs="Arial"/>
        </w:rPr>
        <w:t>(Accessed: 21 October 2026).</w:t>
      </w:r>
    </w:p>
    <w:p w14:paraId="76C0FFA3" w14:textId="77777777" w:rsidR="007A5E91" w:rsidRPr="00D855B4" w:rsidRDefault="00000000">
      <w:pPr>
        <w:rPr>
          <w:rFonts w:cs="Arial"/>
        </w:rPr>
      </w:pPr>
      <w:r w:rsidRPr="00D855B4">
        <w:rPr>
          <w:rFonts w:cs="Arial"/>
        </w:rPr>
        <w:t>NHS England (2025c) 'Strategic commissioning framework'. Available at:</w:t>
      </w:r>
      <w:hyperlink r:id="rId32">
        <w:r w:rsidR="007A5E91" w:rsidRPr="00D855B4">
          <w:rPr>
            <w:rFonts w:cs="Arial"/>
            <w:color w:val="0563C1"/>
            <w:u w:val="single"/>
          </w:rPr>
          <w:t>https://www.england.nhs.uk/long-read/strategic-commissioning-framework/</w:t>
        </w:r>
      </w:hyperlink>
      <w:r w:rsidRPr="00D855B4">
        <w:rPr>
          <w:rFonts w:cs="Arial"/>
        </w:rPr>
        <w:t>(Accessed: 21 October 2026).</w:t>
      </w:r>
    </w:p>
    <w:p w14:paraId="651C1297" w14:textId="77777777" w:rsidR="007A5E91" w:rsidRPr="00D855B4" w:rsidRDefault="00000000">
      <w:pPr>
        <w:rPr>
          <w:rFonts w:cs="Arial"/>
        </w:rPr>
      </w:pPr>
      <w:r w:rsidRPr="00D855B4">
        <w:rPr>
          <w:rFonts w:cs="Arial"/>
        </w:rPr>
        <w:t>Department of Health and Social Care (2025) '10 Year Health Plan for England: Fit for the Future'. Available at: https://www.gov.uk/government/publications/10-year-health-plan-for-england-fit-for-the-future (Accessed: 21 October 2026).</w:t>
      </w:r>
    </w:p>
    <w:p w14:paraId="010206CC" w14:textId="77777777" w:rsidR="007A5E91" w:rsidRPr="00D855B4" w:rsidRDefault="00000000">
      <w:pPr>
        <w:rPr>
          <w:rFonts w:cs="Arial"/>
        </w:rPr>
      </w:pPr>
      <w:r w:rsidRPr="00D855B4">
        <w:rPr>
          <w:rFonts w:cs="Arial"/>
        </w:rPr>
        <w:t>NHS England (2026a) 'Integrated care boards in England'. Available at:</w:t>
      </w:r>
      <w:hyperlink r:id="rId33">
        <w:r w:rsidR="007A5E91" w:rsidRPr="00D855B4">
          <w:rPr>
            <w:rFonts w:cs="Arial"/>
            <w:color w:val="0563C1"/>
            <w:u w:val="single"/>
          </w:rPr>
          <w:t>https://www.england.nhs.uk/publication/integrated-care-boards-in-england/</w:t>
        </w:r>
      </w:hyperlink>
      <w:r w:rsidRPr="00D855B4">
        <w:rPr>
          <w:rFonts w:cs="Arial"/>
        </w:rPr>
        <w:t>(Accessed: 21 October 2026).</w:t>
      </w:r>
    </w:p>
    <w:p w14:paraId="45CB6EB7" w14:textId="77777777" w:rsidR="007A5E91" w:rsidRPr="00D855B4" w:rsidRDefault="00000000">
      <w:pPr>
        <w:rPr>
          <w:rFonts w:cs="Arial"/>
        </w:rPr>
      </w:pPr>
      <w:r w:rsidRPr="00D855B4">
        <w:rPr>
          <w:rFonts w:cs="Arial"/>
        </w:rPr>
        <w:t>NHS England (2026b) 'How commissioning is changing'. Available at:</w:t>
      </w:r>
      <w:hyperlink r:id="rId34">
        <w:r w:rsidR="007A5E91" w:rsidRPr="00D855B4">
          <w:rPr>
            <w:rFonts w:cs="Arial"/>
            <w:color w:val="0563C1"/>
            <w:u w:val="single"/>
          </w:rPr>
          <w:t>https://www.england.nhs.uk/commissioning/how-commissioning-is-changing/</w:t>
        </w:r>
      </w:hyperlink>
      <w:r w:rsidRPr="00D855B4">
        <w:rPr>
          <w:rFonts w:cs="Arial"/>
        </w:rPr>
        <w:t>(Accessed: 21 October 2026).</w:t>
      </w:r>
    </w:p>
    <w:p w14:paraId="28633B93" w14:textId="77777777" w:rsidR="007A5E91" w:rsidRPr="00D855B4" w:rsidRDefault="00000000">
      <w:pPr>
        <w:rPr>
          <w:rFonts w:cs="Arial"/>
        </w:rPr>
      </w:pPr>
      <w:r w:rsidRPr="00D855B4">
        <w:rPr>
          <w:rFonts w:cs="Arial"/>
        </w:rPr>
        <w:t xml:space="preserve">NHS </w:t>
      </w:r>
      <w:proofErr w:type="gramStart"/>
      <w:r w:rsidRPr="00D855B4">
        <w:rPr>
          <w:rFonts w:cs="Arial"/>
        </w:rPr>
        <w:t>South West</w:t>
      </w:r>
      <w:proofErr w:type="gramEnd"/>
      <w:r w:rsidRPr="00D855B4">
        <w:rPr>
          <w:rFonts w:cs="Arial"/>
        </w:rPr>
        <w:t xml:space="preserve"> London Integrated Care Board (2025) 'Wandsworth Health &amp; Care Plan 2025–27'. Available at:</w:t>
      </w:r>
      <w:hyperlink r:id="rId35">
        <w:r w:rsidR="007A5E91" w:rsidRPr="00D855B4">
          <w:rPr>
            <w:rFonts w:cs="Arial"/>
            <w:color w:val="0563C1"/>
            <w:u w:val="single"/>
          </w:rPr>
          <w:t>https://www.southwestlondon.icb.nhs.uk/publications/wandsworth-health-care-plan-2025-27/</w:t>
        </w:r>
      </w:hyperlink>
      <w:r w:rsidRPr="00D855B4">
        <w:rPr>
          <w:rFonts w:cs="Arial"/>
        </w:rPr>
        <w:t>(Accessed: 21 October 2026).</w:t>
      </w:r>
    </w:p>
    <w:p w14:paraId="01F13439" w14:textId="77777777" w:rsidR="007A5E91" w:rsidRPr="00D855B4" w:rsidRDefault="00000000">
      <w:pPr>
        <w:rPr>
          <w:rFonts w:cs="Arial"/>
        </w:rPr>
      </w:pPr>
      <w:r w:rsidRPr="00D855B4">
        <w:rPr>
          <w:rFonts w:cs="Arial"/>
        </w:rPr>
        <w:t xml:space="preserve">NICE (2019) 'End of life care for adults: service delivery (NG142)'. Available </w:t>
      </w:r>
      <w:proofErr w:type="spellStart"/>
      <w:r w:rsidRPr="00D855B4">
        <w:rPr>
          <w:rFonts w:cs="Arial"/>
        </w:rPr>
        <w:t>at:</w:t>
      </w:r>
      <w:hyperlink r:id="rId36">
        <w:r w:rsidR="007A5E91" w:rsidRPr="00D855B4">
          <w:rPr>
            <w:rFonts w:cs="Arial"/>
            <w:color w:val="0563C1"/>
            <w:u w:val="single"/>
          </w:rPr>
          <w:t>https</w:t>
        </w:r>
        <w:proofErr w:type="spellEnd"/>
        <w:r w:rsidR="007A5E91" w:rsidRPr="00D855B4">
          <w:rPr>
            <w:rFonts w:cs="Arial"/>
            <w:color w:val="0563C1"/>
            <w:u w:val="single"/>
          </w:rPr>
          <w:t>://www.nice.org.uk/guidance/ng142</w:t>
        </w:r>
      </w:hyperlink>
      <w:r w:rsidRPr="00D855B4">
        <w:rPr>
          <w:rFonts w:cs="Arial"/>
        </w:rPr>
        <w:t>(Accessed: 21 October 2026).</w:t>
      </w:r>
    </w:p>
    <w:p w14:paraId="1D6D1C91" w14:textId="77777777" w:rsidR="007A5E91" w:rsidRPr="00D855B4" w:rsidRDefault="00000000">
      <w:pPr>
        <w:rPr>
          <w:rFonts w:cs="Arial"/>
        </w:rPr>
      </w:pPr>
      <w:r w:rsidRPr="00D855B4">
        <w:rPr>
          <w:rFonts w:cs="Arial"/>
        </w:rPr>
        <w:t xml:space="preserve">NICE (2021a) 'Type 2 diabetes in adults: quality standard (QS209)'. Available </w:t>
      </w:r>
      <w:proofErr w:type="spellStart"/>
      <w:r w:rsidRPr="00D855B4">
        <w:rPr>
          <w:rFonts w:cs="Arial"/>
        </w:rPr>
        <w:t>at:</w:t>
      </w:r>
      <w:hyperlink r:id="rId37">
        <w:r w:rsidR="007A5E91" w:rsidRPr="00D855B4">
          <w:rPr>
            <w:rFonts w:cs="Arial"/>
            <w:color w:val="0563C1"/>
            <w:u w:val="single"/>
          </w:rPr>
          <w:t>https</w:t>
        </w:r>
        <w:proofErr w:type="spellEnd"/>
        <w:r w:rsidR="007A5E91" w:rsidRPr="00D855B4">
          <w:rPr>
            <w:rFonts w:cs="Arial"/>
            <w:color w:val="0563C1"/>
            <w:u w:val="single"/>
          </w:rPr>
          <w:t>://www.nice.org.uk/guidance/qs209</w:t>
        </w:r>
      </w:hyperlink>
      <w:r w:rsidRPr="00D855B4">
        <w:rPr>
          <w:rFonts w:cs="Arial"/>
        </w:rPr>
        <w:t>(Accessed: 21 October 2026).</w:t>
      </w:r>
    </w:p>
    <w:p w14:paraId="7DEDA072" w14:textId="77777777" w:rsidR="007A5E91" w:rsidRPr="00D855B4" w:rsidRDefault="00000000">
      <w:pPr>
        <w:rPr>
          <w:rFonts w:cs="Arial"/>
        </w:rPr>
      </w:pPr>
      <w:r w:rsidRPr="00D855B4">
        <w:rPr>
          <w:rFonts w:cs="Arial"/>
        </w:rPr>
        <w:t xml:space="preserve">NICE (2021b) 'Shared decision making (NG197)'. Available </w:t>
      </w:r>
      <w:proofErr w:type="spellStart"/>
      <w:r w:rsidRPr="00D855B4">
        <w:rPr>
          <w:rFonts w:cs="Arial"/>
        </w:rPr>
        <w:t>at:</w:t>
      </w:r>
      <w:hyperlink r:id="rId38">
        <w:r w:rsidR="007A5E91" w:rsidRPr="00D855B4">
          <w:rPr>
            <w:rFonts w:cs="Arial"/>
            <w:color w:val="0563C1"/>
            <w:u w:val="single"/>
          </w:rPr>
          <w:t>https</w:t>
        </w:r>
        <w:proofErr w:type="spellEnd"/>
        <w:r w:rsidR="007A5E91" w:rsidRPr="00D855B4">
          <w:rPr>
            <w:rFonts w:cs="Arial"/>
            <w:color w:val="0563C1"/>
            <w:u w:val="single"/>
          </w:rPr>
          <w:t>://www.nice.org.uk/guidance/ng197</w:t>
        </w:r>
      </w:hyperlink>
      <w:r w:rsidRPr="00D855B4">
        <w:rPr>
          <w:rFonts w:cs="Arial"/>
        </w:rPr>
        <w:t>(Accessed: 21 October 2026).</w:t>
      </w:r>
    </w:p>
    <w:p w14:paraId="203127FB" w14:textId="77777777" w:rsidR="007A5E91" w:rsidRPr="00D855B4" w:rsidRDefault="00000000">
      <w:pPr>
        <w:rPr>
          <w:rFonts w:cs="Arial"/>
        </w:rPr>
      </w:pPr>
      <w:r w:rsidRPr="00D855B4">
        <w:rPr>
          <w:rFonts w:cs="Arial"/>
        </w:rPr>
        <w:t xml:space="preserve">NICE (2026) 'Type 2 diabetes in adults: management (NG28)'. Available </w:t>
      </w:r>
      <w:proofErr w:type="spellStart"/>
      <w:r w:rsidRPr="00D855B4">
        <w:rPr>
          <w:rFonts w:cs="Arial"/>
        </w:rPr>
        <w:t>at:</w:t>
      </w:r>
      <w:hyperlink r:id="rId39">
        <w:r w:rsidR="007A5E91" w:rsidRPr="00D855B4">
          <w:rPr>
            <w:rFonts w:cs="Arial"/>
            <w:color w:val="0563C1"/>
            <w:u w:val="single"/>
          </w:rPr>
          <w:t>https</w:t>
        </w:r>
        <w:proofErr w:type="spellEnd"/>
        <w:r w:rsidR="007A5E91" w:rsidRPr="00D855B4">
          <w:rPr>
            <w:rFonts w:cs="Arial"/>
            <w:color w:val="0563C1"/>
            <w:u w:val="single"/>
          </w:rPr>
          <w:t>://www.nice.org.uk/guidance/ng28</w:t>
        </w:r>
      </w:hyperlink>
      <w:r w:rsidRPr="00D855B4">
        <w:rPr>
          <w:rFonts w:cs="Arial"/>
        </w:rPr>
        <w:t>(Accessed: 21 October 2026).</w:t>
      </w:r>
    </w:p>
    <w:p w14:paraId="18D797AF" w14:textId="77777777" w:rsidR="007A5E91" w:rsidRPr="00D855B4" w:rsidRDefault="00000000">
      <w:pPr>
        <w:rPr>
          <w:rFonts w:cs="Arial"/>
        </w:rPr>
      </w:pPr>
      <w:r w:rsidRPr="00D855B4">
        <w:rPr>
          <w:rFonts w:cs="Arial"/>
        </w:rPr>
        <w:t xml:space="preserve">Office for Health Improvement and Disparities (OHID) (2026) 'Diabetes profile'. Fingertips Public Health Profiles. Available </w:t>
      </w:r>
      <w:proofErr w:type="spellStart"/>
      <w:r w:rsidRPr="00D855B4">
        <w:rPr>
          <w:rFonts w:cs="Arial"/>
        </w:rPr>
        <w:t>at:</w:t>
      </w:r>
      <w:hyperlink r:id="rId40">
        <w:r w:rsidR="007A5E91" w:rsidRPr="00D855B4">
          <w:rPr>
            <w:rFonts w:cs="Arial"/>
            <w:color w:val="0563C1"/>
            <w:u w:val="single"/>
          </w:rPr>
          <w:t>https</w:t>
        </w:r>
        <w:proofErr w:type="spellEnd"/>
        <w:r w:rsidR="007A5E91" w:rsidRPr="00D855B4">
          <w:rPr>
            <w:rFonts w:cs="Arial"/>
            <w:color w:val="0563C1"/>
            <w:u w:val="single"/>
          </w:rPr>
          <w:t>://fingertips.phe.org.uk/profile/diabetes</w:t>
        </w:r>
      </w:hyperlink>
      <w:r w:rsidRPr="00D855B4">
        <w:rPr>
          <w:rFonts w:cs="Arial"/>
        </w:rPr>
        <w:t>(Accessed: 21 October 2026).</w:t>
      </w:r>
    </w:p>
    <w:p w14:paraId="21E2E3B3" w14:textId="77777777" w:rsidR="007A5E91" w:rsidRPr="00D855B4" w:rsidRDefault="00000000">
      <w:pPr>
        <w:rPr>
          <w:rFonts w:cs="Arial"/>
        </w:rPr>
      </w:pPr>
      <w:r w:rsidRPr="00D855B4">
        <w:rPr>
          <w:rFonts w:cs="Arial"/>
        </w:rPr>
        <w:lastRenderedPageBreak/>
        <w:t xml:space="preserve">Sartore, G., Ragazzi, E., </w:t>
      </w:r>
      <w:proofErr w:type="spellStart"/>
      <w:r w:rsidRPr="00D855B4">
        <w:rPr>
          <w:rFonts w:cs="Arial"/>
        </w:rPr>
        <w:t>Deppieri</w:t>
      </w:r>
      <w:proofErr w:type="spellEnd"/>
      <w:r w:rsidRPr="00D855B4">
        <w:rPr>
          <w:rFonts w:cs="Arial"/>
        </w:rPr>
        <w:t xml:space="preserve">, E. and Lapolla, A. (2024) 'Is eGFR slope a novel predictor of chronic complications of type 2 diabetes mellitus? A systematic review and meta-analysis', </w:t>
      </w:r>
      <w:r w:rsidRPr="00D855B4">
        <w:rPr>
          <w:rFonts w:cs="Arial"/>
          <w:i/>
        </w:rPr>
        <w:t>Journal of Diabetes Research</w:t>
      </w:r>
      <w:r w:rsidRPr="00D855B4">
        <w:rPr>
          <w:rFonts w:cs="Arial"/>
        </w:rPr>
        <w:t>, 2024, 8859678. doi:</w:t>
      </w:r>
      <w:hyperlink r:id="rId41">
        <w:r w:rsidR="007A5E91" w:rsidRPr="00D855B4">
          <w:rPr>
            <w:rFonts w:cs="Arial"/>
            <w:color w:val="0563C1"/>
            <w:u w:val="single"/>
          </w:rPr>
          <w:t>10.1155/2024/8859678</w:t>
        </w:r>
      </w:hyperlink>
    </w:p>
    <w:p w14:paraId="18461CAD" w14:textId="77777777" w:rsidR="007A5E91" w:rsidRPr="00D855B4" w:rsidRDefault="00000000">
      <w:pPr>
        <w:rPr>
          <w:rFonts w:cs="Arial"/>
        </w:rPr>
      </w:pPr>
      <w:r w:rsidRPr="00D855B4">
        <w:rPr>
          <w:rFonts w:cs="Arial"/>
        </w:rPr>
        <w:t xml:space="preserve">Siddiqi, T.J., Cherney, D., Siddiqui, H.F., Jafar, T.H., Januzzi, J.L., Khan, M.S., Levin, A., Marx, N., Rangaswami, J., Testani, J., Usman, M.S., Wanner, C., </w:t>
      </w:r>
      <w:proofErr w:type="spellStart"/>
      <w:r w:rsidRPr="00D855B4">
        <w:rPr>
          <w:rFonts w:cs="Arial"/>
        </w:rPr>
        <w:t>Zannad</w:t>
      </w:r>
      <w:proofErr w:type="spellEnd"/>
      <w:r w:rsidRPr="00D855B4">
        <w:rPr>
          <w:rFonts w:cs="Arial"/>
        </w:rPr>
        <w:t xml:space="preserve">, F. and Butler, J. (2025) 'Effects of sodium-glucose cotransporter-2 inhibitors on kidney outcomes across baseline cardiovascular-kidney-metabolic conditions: a systematic review and meta-analyses', </w:t>
      </w:r>
      <w:r w:rsidRPr="00D855B4">
        <w:rPr>
          <w:rFonts w:cs="Arial"/>
          <w:i/>
        </w:rPr>
        <w:t>Journal of the American Society of Nephrology</w:t>
      </w:r>
      <w:r w:rsidRPr="00D855B4">
        <w:rPr>
          <w:rFonts w:cs="Arial"/>
        </w:rPr>
        <w:t>, 36(2), pp. 242–255. doi:</w:t>
      </w:r>
      <w:hyperlink r:id="rId42">
        <w:r w:rsidR="007A5E91" w:rsidRPr="00D855B4">
          <w:rPr>
            <w:rFonts w:cs="Arial"/>
            <w:color w:val="0563C1"/>
            <w:u w:val="single"/>
          </w:rPr>
          <w:t>10.1681/ASN.0000000000000491</w:t>
        </w:r>
      </w:hyperlink>
    </w:p>
    <w:p w14:paraId="54C6D9BC" w14:textId="77777777" w:rsidR="007A5E91" w:rsidRPr="00D855B4" w:rsidRDefault="00000000">
      <w:pPr>
        <w:rPr>
          <w:rFonts w:cs="Arial"/>
        </w:rPr>
      </w:pPr>
      <w:r w:rsidRPr="00D855B4">
        <w:rPr>
          <w:rFonts w:cs="Arial"/>
        </w:rPr>
        <w:t xml:space="preserve">Szczerba, E., </w:t>
      </w:r>
      <w:proofErr w:type="spellStart"/>
      <w:r w:rsidRPr="00D855B4">
        <w:rPr>
          <w:rFonts w:cs="Arial"/>
        </w:rPr>
        <w:t>Barbaresko</w:t>
      </w:r>
      <w:proofErr w:type="spellEnd"/>
      <w:r w:rsidRPr="00D855B4">
        <w:rPr>
          <w:rFonts w:cs="Arial"/>
        </w:rPr>
        <w:t xml:space="preserve">, J., Schiemann, T., Stahl-Pehe, A., Schwingshackl, L. and Schlesinger, S. (2023) 'Diet in the management of type 2 diabetes: umbrella review of systematic reviews with meta-analyses of randomised controlled trials', </w:t>
      </w:r>
      <w:r w:rsidRPr="00D855B4">
        <w:rPr>
          <w:rFonts w:cs="Arial"/>
          <w:i/>
        </w:rPr>
        <w:t>BMJ Medicine</w:t>
      </w:r>
      <w:r w:rsidRPr="00D855B4">
        <w:rPr>
          <w:rFonts w:cs="Arial"/>
        </w:rPr>
        <w:t>, 2(1), e000664. doi:</w:t>
      </w:r>
      <w:hyperlink r:id="rId43">
        <w:r w:rsidR="007A5E91" w:rsidRPr="00D855B4">
          <w:rPr>
            <w:rFonts w:cs="Arial"/>
            <w:color w:val="0563C1"/>
            <w:u w:val="single"/>
          </w:rPr>
          <w:t>10.1136/bmjmed-2023-000664</w:t>
        </w:r>
      </w:hyperlink>
    </w:p>
    <w:p w14:paraId="6B9BE6AC" w14:textId="77777777" w:rsidR="007A5E91" w:rsidRPr="00D855B4" w:rsidRDefault="00000000">
      <w:pPr>
        <w:rPr>
          <w:rFonts w:cs="Arial"/>
        </w:rPr>
      </w:pPr>
      <w:r w:rsidRPr="00D855B4">
        <w:rPr>
          <w:rFonts w:cs="Arial"/>
        </w:rPr>
        <w:t xml:space="preserve">Teli, M., Thato, R. and Rias, Y.A. (2023) 'Predicting factors of health-related quality of life among adults with type 2 diabetes: a systematic review', </w:t>
      </w:r>
      <w:r w:rsidRPr="00D855B4">
        <w:rPr>
          <w:rFonts w:cs="Arial"/>
          <w:i/>
        </w:rPr>
        <w:t>SAGE Open Nursing</w:t>
      </w:r>
      <w:r w:rsidRPr="00D855B4">
        <w:rPr>
          <w:rFonts w:cs="Arial"/>
        </w:rPr>
        <w:t>, 9, 23779608231185921. doi:</w:t>
      </w:r>
      <w:hyperlink r:id="rId44">
        <w:r w:rsidR="007A5E91" w:rsidRPr="00D855B4">
          <w:rPr>
            <w:rFonts w:cs="Arial"/>
            <w:color w:val="0563C1"/>
            <w:u w:val="single"/>
          </w:rPr>
          <w:t>10.1177/23779608231185921</w:t>
        </w:r>
      </w:hyperlink>
    </w:p>
    <w:p w14:paraId="56ED4B78" w14:textId="77777777" w:rsidR="007A5E91" w:rsidRPr="00D855B4" w:rsidRDefault="00000000">
      <w:pPr>
        <w:rPr>
          <w:rFonts w:cs="Arial"/>
        </w:rPr>
      </w:pPr>
      <w:r w:rsidRPr="00D855B4">
        <w:rPr>
          <w:rFonts w:cs="Arial"/>
        </w:rPr>
        <w:t xml:space="preserve">Teli, M., Thato, R., Hasan, F. and Rias, Y.A. (2024) 'Effectiveness of family-based diabetes management intervention on glycated haemoglobin among adults with type 2 diabetes: a systematic review and meta-analysis of randomized controlled trials', </w:t>
      </w:r>
      <w:r w:rsidRPr="00D855B4">
        <w:rPr>
          <w:rFonts w:cs="Arial"/>
          <w:i/>
        </w:rPr>
        <w:t>Biological Research for Nursing</w:t>
      </w:r>
      <w:r w:rsidRPr="00D855B4">
        <w:rPr>
          <w:rFonts w:cs="Arial"/>
        </w:rPr>
        <w:t>, 26(2), pp. 315–333. doi:</w:t>
      </w:r>
      <w:hyperlink r:id="rId45">
        <w:r w:rsidR="007A5E91" w:rsidRPr="00D855B4">
          <w:rPr>
            <w:rFonts w:cs="Arial"/>
            <w:color w:val="0563C1"/>
            <w:u w:val="single"/>
          </w:rPr>
          <w:t>10.1177/10998004231218887</w:t>
        </w:r>
      </w:hyperlink>
    </w:p>
    <w:p w14:paraId="68752584" w14:textId="77777777" w:rsidR="007A5E91" w:rsidRPr="00D855B4" w:rsidRDefault="00000000">
      <w:pPr>
        <w:rPr>
          <w:rFonts w:cs="Arial"/>
        </w:rPr>
      </w:pPr>
      <w:r w:rsidRPr="00D855B4">
        <w:rPr>
          <w:rFonts w:cs="Arial"/>
        </w:rPr>
        <w:t xml:space="preserve">Wagner, E.H. (1998) 'Chronic disease management: what will it take to improve care for chronic illness?', </w:t>
      </w:r>
      <w:r w:rsidRPr="00D855B4">
        <w:rPr>
          <w:rFonts w:cs="Arial"/>
          <w:i/>
        </w:rPr>
        <w:t>Effective Clinical Practice</w:t>
      </w:r>
      <w:r w:rsidRPr="00D855B4">
        <w:rPr>
          <w:rFonts w:cs="Arial"/>
        </w:rPr>
        <w:t>, 1(1), pp. 2–4.</w:t>
      </w:r>
    </w:p>
    <w:p w14:paraId="712D1A82" w14:textId="77777777" w:rsidR="007A5E91" w:rsidRPr="00D855B4" w:rsidRDefault="00000000">
      <w:pPr>
        <w:rPr>
          <w:rFonts w:cs="Arial"/>
        </w:rPr>
      </w:pPr>
      <w:r w:rsidRPr="00D855B4">
        <w:rPr>
          <w:rFonts w:cs="Arial"/>
        </w:rPr>
        <w:t>Welsh Government (2025) 'Strategy for unpaid carers: delivery plan 2025 to 2026'. Available at:</w:t>
      </w:r>
      <w:hyperlink r:id="rId46">
        <w:r w:rsidR="007A5E91" w:rsidRPr="00D855B4">
          <w:rPr>
            <w:rFonts w:cs="Arial"/>
            <w:color w:val="0563C1"/>
            <w:u w:val="single"/>
          </w:rPr>
          <w:t>https://www.gov.wales/strategy-unpaid-carers-delivery-plan-2025-2026</w:t>
        </w:r>
      </w:hyperlink>
      <w:r w:rsidRPr="00D855B4">
        <w:rPr>
          <w:rFonts w:cs="Arial"/>
        </w:rPr>
        <w:t>(Accessed: 21 October 2026).</w:t>
      </w:r>
    </w:p>
    <w:p w14:paraId="6A5EDA18" w14:textId="77777777" w:rsidR="007A5E91" w:rsidRPr="00D855B4" w:rsidRDefault="00000000">
      <w:pPr>
        <w:rPr>
          <w:rFonts w:cs="Arial"/>
        </w:rPr>
      </w:pPr>
      <w:r w:rsidRPr="00D855B4">
        <w:rPr>
          <w:rFonts w:cs="Arial"/>
        </w:rPr>
        <w:t>Welsh Government (2026) 'Healthy Weight: Healthy Wales delivery plan 2025 to 2027'. Available at:</w:t>
      </w:r>
      <w:hyperlink r:id="rId47">
        <w:r w:rsidR="007A5E91" w:rsidRPr="00D855B4">
          <w:rPr>
            <w:rFonts w:cs="Arial"/>
            <w:color w:val="0563C1"/>
            <w:u w:val="single"/>
          </w:rPr>
          <w:t>https://www.gov.wales/healthy-weight-healthy-wales-delivery-plan-2025-2027-html</w:t>
        </w:r>
      </w:hyperlink>
      <w:r w:rsidRPr="00D855B4">
        <w:rPr>
          <w:rFonts w:cs="Arial"/>
        </w:rPr>
        <w:t>(Accessed: 21 October 2026).</w:t>
      </w:r>
    </w:p>
    <w:p w14:paraId="53E1C813" w14:textId="77777777" w:rsidR="007A5E91" w:rsidRPr="00D855B4" w:rsidRDefault="00000000">
      <w:pPr>
        <w:rPr>
          <w:rFonts w:cs="Arial"/>
        </w:rPr>
      </w:pPr>
      <w:r w:rsidRPr="00D855B4">
        <w:rPr>
          <w:rFonts w:cs="Arial"/>
        </w:rPr>
        <w:t>World Health Organization (2024) 'Diabetes: fact sheet'. Available at:</w:t>
      </w:r>
      <w:hyperlink r:id="rId48">
        <w:r w:rsidR="007A5E91" w:rsidRPr="00D855B4">
          <w:rPr>
            <w:rFonts w:cs="Arial"/>
            <w:color w:val="0563C1"/>
            <w:u w:val="single"/>
          </w:rPr>
          <w:t>https://www.who.int/news-room/fact-sheets/detail/diabetes</w:t>
        </w:r>
      </w:hyperlink>
      <w:r w:rsidRPr="00D855B4">
        <w:rPr>
          <w:rFonts w:cs="Arial"/>
        </w:rPr>
        <w:t>(Accessed: 21 October 2026).</w:t>
      </w:r>
    </w:p>
    <w:p w14:paraId="17C55653" w14:textId="77777777" w:rsidR="007A5E91" w:rsidRPr="00D855B4" w:rsidRDefault="00000000">
      <w:pPr>
        <w:rPr>
          <w:rFonts w:cs="Arial"/>
        </w:rPr>
      </w:pPr>
      <w:r w:rsidRPr="00D855B4">
        <w:rPr>
          <w:rFonts w:cs="Arial"/>
        </w:rPr>
        <w:lastRenderedPageBreak/>
        <w:t>World Health Organization Regional Office for Europe (2024) 'Integrated care models: lessons from WHO Europe'. Available at:</w:t>
      </w:r>
      <w:hyperlink r:id="rId49">
        <w:r w:rsidR="007A5E91" w:rsidRPr="00D855B4">
          <w:rPr>
            <w:rFonts w:cs="Arial"/>
            <w:color w:val="0563C1"/>
            <w:u w:val="single"/>
          </w:rPr>
          <w:t>https://www.who.int/europe/publications/i/item/9789289060927</w:t>
        </w:r>
      </w:hyperlink>
      <w:r w:rsidRPr="00D855B4">
        <w:rPr>
          <w:rFonts w:cs="Arial"/>
        </w:rPr>
        <w:t>(Accessed: 21 October 2026).</w:t>
      </w:r>
    </w:p>
    <w:p w14:paraId="088D6454" w14:textId="77777777" w:rsidR="007A5E91" w:rsidRPr="00D855B4" w:rsidRDefault="007A5E91">
      <w:pPr>
        <w:spacing w:after="120"/>
        <w:rPr>
          <w:rFonts w:ascii="Times New Roman" w:hAnsi="Times New Roman" w:cs="Times New Roman"/>
        </w:rPr>
      </w:pPr>
      <w:bookmarkStart w:id="25" w:name="__RefHeading___Toc519_184744411"/>
      <w:bookmarkEnd w:id="25"/>
    </w:p>
    <w:p w14:paraId="6BEFF558" w14:textId="0F94E8E3" w:rsidR="007A5E91" w:rsidRDefault="007A5E91"/>
    <w:sectPr w:rsidR="007A5E91">
      <w:headerReference w:type="even" r:id="rId50"/>
      <w:headerReference w:type="default" r:id="rId51"/>
      <w:footerReference w:type="even" r:id="rId52"/>
      <w:footerReference w:type="default" r:id="rId53"/>
      <w:headerReference w:type="first" r:id="rId54"/>
      <w:footerReference w:type="first" r:id="rId55"/>
      <w:pgSz w:w="12240" w:h="15840"/>
      <w:pgMar w:top="1152" w:right="1296" w:bottom="1152" w:left="1296" w:header="720" w:footer="720" w:gutter="0"/>
      <w:pgNumType w:start="1"/>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84CAF8" w14:textId="77777777" w:rsidR="001E67D3" w:rsidRPr="00D855B4" w:rsidRDefault="001E67D3">
      <w:pPr>
        <w:spacing w:after="0" w:line="240" w:lineRule="auto"/>
      </w:pPr>
      <w:r w:rsidRPr="00D855B4">
        <w:separator/>
      </w:r>
    </w:p>
  </w:endnote>
  <w:endnote w:type="continuationSeparator" w:id="0">
    <w:p w14:paraId="423E8105" w14:textId="77777777" w:rsidR="001E67D3" w:rsidRPr="00D855B4" w:rsidRDefault="001E67D3">
      <w:pPr>
        <w:spacing w:after="0" w:line="240" w:lineRule="auto"/>
      </w:pPr>
      <w:r w:rsidRPr="00D855B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roman"/>
    <w:pitch w:val="variable"/>
  </w:font>
  <w:font w:name="Liberation Sans">
    <w:altName w:val="Arial"/>
    <w:charset w:val="00"/>
    <w:family w:val="swiss"/>
    <w:pitch w:val="variable"/>
  </w:font>
  <w:font w:name="Noto Sans CJK SC">
    <w:panose1 w:val="00000000000000000000"/>
    <w:charset w:val="00"/>
    <w:family w:val="roman"/>
    <w:notTrueType/>
    <w:pitch w:val="default"/>
  </w:font>
  <w:font w:name="Lohit Devanagar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5E9F55" w14:textId="77777777" w:rsidR="007A5E91" w:rsidRPr="00D855B4" w:rsidRDefault="007A5E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1D2EB5" w14:textId="77777777" w:rsidR="007A5E91" w:rsidRPr="00D855B4" w:rsidRDefault="00000000">
    <w:pPr>
      <w:jc w:val="center"/>
    </w:pPr>
    <w:r w:rsidRPr="00D855B4">
      <w:t xml:space="preserve">Page </w:t>
    </w:r>
    <w:r w:rsidRPr="00D855B4">
      <w:fldChar w:fldCharType="begin"/>
    </w:r>
    <w:r w:rsidRPr="00D855B4">
      <w:instrText xml:space="preserve"> PAGE </w:instrText>
    </w:r>
    <w:r w:rsidRPr="00D855B4">
      <w:fldChar w:fldCharType="separate"/>
    </w:r>
    <w:r w:rsidRPr="00D855B4">
      <w:t>16</w:t>
    </w:r>
    <w:r w:rsidRPr="00D855B4">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71A662" w14:textId="77777777" w:rsidR="007A5E91" w:rsidRPr="00D855B4" w:rsidRDefault="00000000">
    <w:pPr>
      <w:jc w:val="center"/>
    </w:pPr>
    <w:r w:rsidRPr="00D855B4">
      <w:t xml:space="preserve">Page </w:t>
    </w:r>
    <w:r w:rsidRPr="00D855B4">
      <w:fldChar w:fldCharType="begin"/>
    </w:r>
    <w:r w:rsidRPr="00D855B4">
      <w:instrText xml:space="preserve"> PAGE </w:instrText>
    </w:r>
    <w:r w:rsidRPr="00D855B4">
      <w:fldChar w:fldCharType="separate"/>
    </w:r>
    <w:r w:rsidRPr="00D855B4">
      <w:t>16</w:t>
    </w:r>
    <w:r w:rsidRPr="00D855B4">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940939" w14:textId="77777777" w:rsidR="001E67D3" w:rsidRPr="00D855B4" w:rsidRDefault="001E67D3">
      <w:pPr>
        <w:spacing w:after="0" w:line="240" w:lineRule="auto"/>
      </w:pPr>
      <w:r w:rsidRPr="00D855B4">
        <w:separator/>
      </w:r>
    </w:p>
  </w:footnote>
  <w:footnote w:type="continuationSeparator" w:id="0">
    <w:p w14:paraId="2E5F9D5C" w14:textId="77777777" w:rsidR="001E67D3" w:rsidRPr="00D855B4" w:rsidRDefault="001E67D3">
      <w:pPr>
        <w:spacing w:after="0" w:line="240" w:lineRule="auto"/>
      </w:pPr>
      <w:r w:rsidRPr="00D855B4">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3E17E5" w14:textId="77777777" w:rsidR="007A5E91" w:rsidRPr="00D855B4" w:rsidRDefault="007A5E9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2723C4" w14:textId="77777777" w:rsidR="007A5E91" w:rsidRPr="00D855B4" w:rsidRDefault="007A5E91">
    <w:pPr>
      <w:pStyle w:val="Header"/>
      <w:jc w:val="lef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F96F50" w14:textId="77777777" w:rsidR="007A5E91" w:rsidRPr="00D855B4" w:rsidRDefault="007A5E91">
    <w:pPr>
      <w:pStyle w:val="Header"/>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6B643A"/>
    <w:multiLevelType w:val="multilevel"/>
    <w:tmpl w:val="BFFA68FA"/>
    <w:lvl w:ilvl="0">
      <w:start w:val="1"/>
      <w:numFmt w:val="bullet"/>
      <w:pStyle w:val="ListBullet3"/>
      <w:lvlText w:val=""/>
      <w:lvlJc w:val="left"/>
      <w:pPr>
        <w:tabs>
          <w:tab w:val="num" w:pos="1080"/>
        </w:tabs>
        <w:ind w:left="1080" w:hanging="360"/>
      </w:pPr>
      <w:rPr>
        <w:rFonts w:ascii="Symbol" w:hAnsi="Symbol" w:cs="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1" w15:restartNumberingAfterBreak="0">
    <w:nsid w:val="2E193A3E"/>
    <w:multiLevelType w:val="multilevel"/>
    <w:tmpl w:val="13BA147E"/>
    <w:lvl w:ilvl="0">
      <w:start w:val="1"/>
      <w:numFmt w:val="bullet"/>
      <w:pStyle w:val="ListBullet2"/>
      <w:lvlText w:val=""/>
      <w:lvlJc w:val="left"/>
      <w:pPr>
        <w:tabs>
          <w:tab w:val="num" w:pos="720"/>
        </w:tabs>
        <w:ind w:left="720" w:hanging="360"/>
      </w:pPr>
      <w:rPr>
        <w:rFonts w:ascii="Symbol" w:hAnsi="Symbol" w:cs="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 w15:restartNumberingAfterBreak="0">
    <w:nsid w:val="32F22202"/>
    <w:multiLevelType w:val="multilevel"/>
    <w:tmpl w:val="929E2C80"/>
    <w:lvl w:ilvl="0">
      <w:start w:val="1"/>
      <w:numFmt w:val="bullet"/>
      <w:pStyle w:val="ListBullet"/>
      <w:lvlText w:val=""/>
      <w:lvlJc w:val="left"/>
      <w:pPr>
        <w:tabs>
          <w:tab w:val="num" w:pos="360"/>
        </w:tabs>
        <w:ind w:left="360" w:hanging="360"/>
      </w:pPr>
      <w:rPr>
        <w:rFonts w:ascii="Symbol" w:hAnsi="Symbol" w:cs="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3" w15:restartNumberingAfterBreak="0">
    <w:nsid w:val="3BE3249E"/>
    <w:multiLevelType w:val="multilevel"/>
    <w:tmpl w:val="031CC34E"/>
    <w:lvl w:ilvl="0">
      <w:start w:val="1"/>
      <w:numFmt w:val="decimal"/>
      <w:pStyle w:val="ListNumber2"/>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4" w15:restartNumberingAfterBreak="0">
    <w:nsid w:val="52431A7C"/>
    <w:multiLevelType w:val="multilevel"/>
    <w:tmpl w:val="5590E826"/>
    <w:lvl w:ilvl="0">
      <w:start w:val="1"/>
      <w:numFmt w:val="decimal"/>
      <w:pStyle w:val="ListNumber3"/>
      <w:lvlText w:val="%1."/>
      <w:lvlJc w:val="left"/>
      <w:pPr>
        <w:tabs>
          <w:tab w:val="num" w:pos="1080"/>
        </w:tabs>
        <w:ind w:left="108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5" w15:restartNumberingAfterBreak="0">
    <w:nsid w:val="5FD00517"/>
    <w:multiLevelType w:val="multilevel"/>
    <w:tmpl w:val="EB0E39A4"/>
    <w:lvl w:ilvl="0">
      <w:start w:val="1"/>
      <w:numFmt w:val="decimal"/>
      <w:pStyle w:val="ListNumber"/>
      <w:lvlText w:val="%1."/>
      <w:lvlJc w:val="left"/>
      <w:pPr>
        <w:tabs>
          <w:tab w:val="num" w:pos="360"/>
        </w:tabs>
        <w:ind w:left="36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6" w15:restartNumberingAfterBreak="0">
    <w:nsid w:val="70E725A9"/>
    <w:multiLevelType w:val="multilevel"/>
    <w:tmpl w:val="E14E2D80"/>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num w:numId="1" w16cid:durableId="2125613851">
    <w:abstractNumId w:val="2"/>
  </w:num>
  <w:num w:numId="2" w16cid:durableId="363749447">
    <w:abstractNumId w:val="1"/>
  </w:num>
  <w:num w:numId="3" w16cid:durableId="238830289">
    <w:abstractNumId w:val="0"/>
  </w:num>
  <w:num w:numId="4" w16cid:durableId="1491749509">
    <w:abstractNumId w:val="5"/>
  </w:num>
  <w:num w:numId="5" w16cid:durableId="657004811">
    <w:abstractNumId w:val="3"/>
  </w:num>
  <w:num w:numId="6" w16cid:durableId="588127142">
    <w:abstractNumId w:val="4"/>
  </w:num>
  <w:num w:numId="7" w16cid:durableId="137291985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autoHyphenation/>
  <w:hyphenationZone w:val="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A5E91"/>
    <w:rsid w:val="001E67D3"/>
    <w:rsid w:val="00416219"/>
    <w:rsid w:val="005B2286"/>
    <w:rsid w:val="0061536E"/>
    <w:rsid w:val="007A5E91"/>
    <w:rsid w:val="0089687D"/>
    <w:rsid w:val="008D16A2"/>
    <w:rsid w:val="00A51802"/>
    <w:rsid w:val="00BB6327"/>
    <w:rsid w:val="00BD4854"/>
    <w:rsid w:val="00C00EF0"/>
    <w:rsid w:val="00C24408"/>
    <w:rsid w:val="00D40158"/>
    <w:rsid w:val="00D855B4"/>
    <w:rsid w:val="00DD798A"/>
    <w:rsid w:val="00E87E20"/>
    <w:rsid w:val="00E96323"/>
    <w:rsid w:val="00F037AC"/>
    <w:rsid w:val="00F6399F"/>
  </w:rsids>
  <m:mathPr>
    <m:mathFont m:val="Cambria Math"/>
    <m:brkBin m:val="before"/>
    <m:brkBinSub m:val="--"/>
    <m:smallFrac m:val="0"/>
    <m:dispDef/>
    <m:lMargin m:val="0"/>
    <m:rMargin m:val="0"/>
    <m:defJc m:val="centerGroup"/>
    <m:wrapIndent m:val="1440"/>
    <m:intLim m:val="subSup"/>
    <m:naryLim m:val="undOvr"/>
  </m:mathPr>
  <w:themeFontLang w:val="en-US" w:eastAsia="ja-JP"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ED6F6"/>
  <w15:docId w15:val="{39DAC8C1-669E-4AE2-8D41-E9080AD4A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200" w:line="360" w:lineRule="auto"/>
      <w:jc w:val="both"/>
    </w:pPr>
    <w:rPr>
      <w:rFonts w:ascii="Arial" w:eastAsia="Arial" w:hAnsi="Arial"/>
      <w:lang w:val="en-GB"/>
    </w:rPr>
  </w:style>
  <w:style w:type="paragraph" w:styleId="Heading1">
    <w:name w:val="heading 1"/>
    <w:basedOn w:val="IntenseQuote"/>
    <w:next w:val="Normal"/>
    <w:link w:val="Heading1Char"/>
    <w:uiPriority w:val="9"/>
    <w:qFormat/>
    <w:rsid w:val="0061536E"/>
    <w:pPr>
      <w:ind w:left="0"/>
      <w:outlineLvl w:val="0"/>
    </w:pPr>
  </w:style>
  <w:style w:type="paragraph" w:styleId="Heading2">
    <w:name w:val="heading 2"/>
    <w:basedOn w:val="Normal"/>
    <w:next w:val="Normal"/>
    <w:link w:val="Heading2Char"/>
    <w:uiPriority w:val="9"/>
    <w:unhideWhenUsed/>
    <w:qFormat/>
    <w:rsid w:val="00FC693F"/>
    <w:pPr>
      <w:keepNext/>
      <w:keepLines/>
      <w:spacing w:before="200" w:after="100"/>
      <w:outlineLvl w:val="1"/>
    </w:pPr>
    <w:rPr>
      <w:rFonts w:asciiTheme="majorHAnsi" w:eastAsiaTheme="majorEastAsia" w:hAnsiTheme="majorHAnsi" w:cstheme="majorBidi"/>
      <w:b/>
      <w:bCs/>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000000"/>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uiPriority w:val="99"/>
    <w:qFormat/>
    <w:rsid w:val="00E618BF"/>
  </w:style>
  <w:style w:type="character" w:customStyle="1" w:styleId="FooterChar">
    <w:name w:val="Footer Char"/>
    <w:basedOn w:val="DefaultParagraphFont"/>
    <w:link w:val="Footer"/>
    <w:uiPriority w:val="99"/>
    <w:qFormat/>
    <w:rsid w:val="00E618BF"/>
  </w:style>
  <w:style w:type="character" w:customStyle="1" w:styleId="Heading1Char">
    <w:name w:val="Heading 1 Char"/>
    <w:basedOn w:val="DefaultParagraphFont"/>
    <w:link w:val="Heading1"/>
    <w:uiPriority w:val="9"/>
    <w:qFormat/>
    <w:rsid w:val="0061536E"/>
    <w:rPr>
      <w:rFonts w:ascii="Arial" w:eastAsia="Arial" w:hAnsi="Arial"/>
      <w:b/>
      <w:bCs/>
      <w:i/>
      <w:iCs/>
      <w:color w:val="4F81BD" w:themeColor="accent1"/>
    </w:rPr>
  </w:style>
  <w:style w:type="character" w:customStyle="1" w:styleId="Heading2Char">
    <w:name w:val="Heading 2 Char"/>
    <w:basedOn w:val="DefaultParagraphFont"/>
    <w:link w:val="Heading2"/>
    <w:uiPriority w:val="9"/>
    <w:qFormat/>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qFormat/>
    <w:rsid w:val="00FC693F"/>
    <w:rPr>
      <w:rFonts w:asciiTheme="majorHAnsi" w:eastAsiaTheme="majorEastAsia" w:hAnsiTheme="majorHAnsi" w:cstheme="majorBidi"/>
      <w:b/>
      <w:bCs/>
      <w:color w:val="4F81BD" w:themeColor="accent1"/>
    </w:rPr>
  </w:style>
  <w:style w:type="character" w:customStyle="1" w:styleId="TitleChar">
    <w:name w:val="Title Char"/>
    <w:basedOn w:val="DefaultParagraphFont"/>
    <w:link w:val="Title"/>
    <w:uiPriority w:val="10"/>
    <w:qFormat/>
    <w:rsid w:val="00FC693F"/>
    <w:rPr>
      <w:rFonts w:asciiTheme="majorHAnsi" w:eastAsiaTheme="majorEastAsia" w:hAnsiTheme="majorHAnsi" w:cstheme="majorBidi"/>
      <w:color w:val="17365D" w:themeColor="text2" w:themeShade="BF"/>
      <w:spacing w:val="5"/>
      <w:kern w:val="2"/>
      <w:sz w:val="52"/>
      <w:szCs w:val="52"/>
    </w:rPr>
  </w:style>
  <w:style w:type="character" w:customStyle="1" w:styleId="SubtitleChar">
    <w:name w:val="Subtitle Char"/>
    <w:basedOn w:val="DefaultParagraphFont"/>
    <w:link w:val="Subtitle"/>
    <w:uiPriority w:val="11"/>
    <w:qFormat/>
    <w:rsid w:val="00FC693F"/>
    <w:rPr>
      <w:rFonts w:asciiTheme="majorHAnsi" w:eastAsiaTheme="majorEastAsia" w:hAnsiTheme="majorHAnsi" w:cstheme="majorBidi"/>
      <w:i/>
      <w:iCs/>
      <w:color w:val="4F81BD" w:themeColor="accent1"/>
      <w:spacing w:val="15"/>
      <w:sz w:val="24"/>
      <w:szCs w:val="24"/>
    </w:rPr>
  </w:style>
  <w:style w:type="character" w:customStyle="1" w:styleId="BodyTextChar">
    <w:name w:val="Body Text Char"/>
    <w:basedOn w:val="DefaultParagraphFont"/>
    <w:link w:val="BodyText"/>
    <w:uiPriority w:val="99"/>
    <w:qFormat/>
    <w:rsid w:val="00AA1D8D"/>
  </w:style>
  <w:style w:type="character" w:customStyle="1" w:styleId="BodyText2Char">
    <w:name w:val="Body Text 2 Char"/>
    <w:basedOn w:val="DefaultParagraphFont"/>
    <w:link w:val="BodyText2"/>
    <w:uiPriority w:val="99"/>
    <w:qFormat/>
    <w:rsid w:val="00AA1D8D"/>
  </w:style>
  <w:style w:type="character" w:customStyle="1" w:styleId="BodyText3Char">
    <w:name w:val="Body Text 3 Char"/>
    <w:basedOn w:val="DefaultParagraphFont"/>
    <w:link w:val="BodyText3"/>
    <w:uiPriority w:val="99"/>
    <w:qFormat/>
    <w:rsid w:val="00AA1D8D"/>
    <w:rPr>
      <w:sz w:val="16"/>
      <w:szCs w:val="16"/>
    </w:rPr>
  </w:style>
  <w:style w:type="character" w:customStyle="1" w:styleId="MacroTextChar">
    <w:name w:val="Macro Text Char"/>
    <w:basedOn w:val="DefaultParagraphFont"/>
    <w:link w:val="MacroText"/>
    <w:uiPriority w:val="99"/>
    <w:qFormat/>
    <w:rsid w:val="0029639D"/>
    <w:rPr>
      <w:rFonts w:ascii="Courier" w:hAnsi="Courier"/>
      <w:sz w:val="20"/>
      <w:szCs w:val="20"/>
    </w:rPr>
  </w:style>
  <w:style w:type="character" w:customStyle="1" w:styleId="QuoteChar">
    <w:name w:val="Quote Char"/>
    <w:basedOn w:val="DefaultParagraphFont"/>
    <w:link w:val="Quote"/>
    <w:uiPriority w:val="29"/>
    <w:qFormat/>
    <w:rsid w:val="00FC693F"/>
    <w:rPr>
      <w:i/>
      <w:iCs/>
      <w:color w:val="000000" w:themeColor="text1"/>
    </w:rPr>
  </w:style>
  <w:style w:type="character" w:customStyle="1" w:styleId="Heading4Char">
    <w:name w:val="Heading 4 Char"/>
    <w:basedOn w:val="DefaultParagraphFont"/>
    <w:link w:val="Heading4"/>
    <w:uiPriority w:val="9"/>
    <w:semiHidden/>
    <w:qFormat/>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qFormat/>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qFormat/>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qFormat/>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qFormat/>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qFormat/>
    <w:rsid w:val="00FC693F"/>
    <w:rPr>
      <w:rFonts w:asciiTheme="majorHAnsi" w:eastAsiaTheme="majorEastAsia" w:hAnsiTheme="majorHAnsi" w:cstheme="majorBidi"/>
      <w:i/>
      <w:iCs/>
      <w:color w:val="404040" w:themeColor="text1" w:themeTint="BF"/>
      <w:sz w:val="20"/>
      <w:szCs w:val="20"/>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character" w:customStyle="1" w:styleId="IntenseQuoteChar">
    <w:name w:val="Intense Quote Char"/>
    <w:basedOn w:val="DefaultParagraphFont"/>
    <w:link w:val="IntenseQuote"/>
    <w:uiPriority w:val="30"/>
    <w:qFormat/>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character" w:styleId="Hyperlink">
    <w:name w:val="Hyperlink"/>
    <w:uiPriority w:val="99"/>
    <w:rPr>
      <w:color w:val="000080"/>
      <w:u w:val="single"/>
    </w:rPr>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eastAsia="Noto Sans CJK SC" w:hAnsi="Liberation Sans" w:cs="Lohit Devanagari"/>
      <w:sz w:val="28"/>
      <w:szCs w:val="28"/>
    </w:rPr>
  </w:style>
  <w:style w:type="paragraph" w:styleId="BodyText">
    <w:name w:val="Body Text"/>
    <w:basedOn w:val="Normal"/>
    <w:link w:val="BodyTextChar"/>
    <w:uiPriority w:val="99"/>
    <w:unhideWhenUsed/>
    <w:rsid w:val="00AA1D8D"/>
    <w:pPr>
      <w:spacing w:after="120"/>
    </w:pPr>
  </w:style>
  <w:style w:type="paragraph" w:styleId="List">
    <w:name w:val="List"/>
    <w:basedOn w:val="Normal"/>
    <w:uiPriority w:val="99"/>
    <w:unhideWhenUsed/>
    <w:rsid w:val="00AA1D8D"/>
    <w:pPr>
      <w:ind w:left="360" w:hanging="360"/>
      <w:contextualSpacing/>
    </w:p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paragraph" w:customStyle="1" w:styleId="Index">
    <w:name w:val="Index"/>
    <w:basedOn w:val="Normal"/>
    <w:qFormat/>
    <w:pPr>
      <w:suppressLineNumbers/>
    </w:pPr>
    <w:rPr>
      <w:rFonts w:cs="Lohit Devanagari"/>
    </w:rPr>
  </w:style>
  <w:style w:type="paragraph" w:customStyle="1" w:styleId="HeaderandFooter">
    <w:name w:val="Header and Footer"/>
    <w:basedOn w:val="Normal"/>
    <w:qFormat/>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paragraph" w:styleId="NoSpacing">
    <w:name w:val="No Spacing"/>
    <w:uiPriority w:val="1"/>
    <w:qFormat/>
    <w:rsid w:val="00FC693F"/>
  </w:style>
  <w:style w:type="paragraph" w:styleId="Title">
    <w:name w:val="Title"/>
    <w:basedOn w:val="Normal"/>
    <w:next w:val="Normal"/>
    <w:link w:val="TitleChar"/>
    <w:uiPriority w:val="10"/>
    <w:qFormat/>
    <w:rsid w:val="00FC693F"/>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
      <w:szCs w:val="52"/>
    </w:rPr>
  </w:style>
  <w:style w:type="paragraph" w:styleId="Subtitle">
    <w:name w:val="Subtitle"/>
    <w:basedOn w:val="Normal"/>
    <w:next w:val="Normal"/>
    <w:link w:val="SubtitleChar"/>
    <w:uiPriority w:val="11"/>
    <w:qFormat/>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2">
    <w:name w:val="Body Text 2"/>
    <w:basedOn w:val="Normal"/>
    <w:link w:val="BodyText2Char"/>
    <w:uiPriority w:val="99"/>
    <w:unhideWhenUsed/>
    <w:qFormat/>
    <w:rsid w:val="00AA1D8D"/>
    <w:pPr>
      <w:spacing w:after="120" w:line="480" w:lineRule="auto"/>
    </w:pPr>
  </w:style>
  <w:style w:type="paragraph" w:styleId="BodyText3">
    <w:name w:val="Body Text 3"/>
    <w:basedOn w:val="Normal"/>
    <w:link w:val="BodyText3Char"/>
    <w:uiPriority w:val="99"/>
    <w:unhideWhenUsed/>
    <w:qFormat/>
    <w:rsid w:val="00AA1D8D"/>
    <w:pPr>
      <w:spacing w:after="120"/>
    </w:pPr>
    <w:rPr>
      <w:sz w:val="16"/>
      <w:szCs w:val="16"/>
    </w:rPr>
  </w:style>
  <w:style w:type="paragraph" w:styleId="List2">
    <w:name w:val="List 2"/>
    <w:basedOn w:val="Normal"/>
    <w:uiPriority w:val="99"/>
    <w:unhideWhenUsed/>
    <w:qFormat/>
    <w:rsid w:val="00326F90"/>
    <w:pPr>
      <w:ind w:left="720" w:hanging="360"/>
      <w:contextualSpacing/>
    </w:pPr>
  </w:style>
  <w:style w:type="paragraph" w:styleId="List3">
    <w:name w:val="List 3"/>
    <w:basedOn w:val="Normal"/>
    <w:uiPriority w:val="99"/>
    <w:unhideWhenUsed/>
    <w:qFormat/>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4"/>
      </w:numPr>
      <w:contextualSpacing/>
    </w:pPr>
  </w:style>
  <w:style w:type="paragraph" w:styleId="ListNumber2">
    <w:name w:val="List Number 2"/>
    <w:basedOn w:val="Normal"/>
    <w:uiPriority w:val="99"/>
    <w:unhideWhenUsed/>
    <w:rsid w:val="0029639D"/>
    <w:pPr>
      <w:numPr>
        <w:numId w:val="5"/>
      </w:numPr>
      <w:contextualSpacing/>
    </w:pPr>
  </w:style>
  <w:style w:type="paragraph" w:styleId="ListNumber3">
    <w:name w:val="List Number 3"/>
    <w:basedOn w:val="Normal"/>
    <w:uiPriority w:val="99"/>
    <w:unhideWhenUsed/>
    <w:rsid w:val="0029639D"/>
    <w:pPr>
      <w:numPr>
        <w:numId w:val="6"/>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qFormat/>
    <w:rsid w:val="0029639D"/>
    <w:pPr>
      <w:tabs>
        <w:tab w:val="left" w:pos="576"/>
        <w:tab w:val="left" w:pos="1152"/>
        <w:tab w:val="left" w:pos="1728"/>
        <w:tab w:val="left" w:pos="2304"/>
        <w:tab w:val="left" w:pos="2880"/>
        <w:tab w:val="left" w:pos="3456"/>
        <w:tab w:val="left" w:pos="4032"/>
      </w:tabs>
      <w:spacing w:after="200" w:line="276" w:lineRule="auto"/>
    </w:pPr>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paragraph" w:styleId="IndexHeading">
    <w:name w:val="index heading"/>
    <w:basedOn w:val="Heading"/>
  </w:style>
  <w:style w:type="paragraph" w:styleId="TOCHeading">
    <w:name w:val="TOC Heading"/>
    <w:basedOn w:val="Heading1"/>
    <w:next w:val="Normal"/>
    <w:uiPriority w:val="39"/>
    <w:semiHidden/>
    <w:unhideWhenUsed/>
    <w:qFormat/>
    <w:rsid w:val="00FC693F"/>
    <w:pPr>
      <w:outlineLvl w:val="9"/>
    </w:pPr>
  </w:style>
  <w:style w:type="paragraph" w:styleId="TOC1">
    <w:name w:val="toc 1"/>
    <w:basedOn w:val="Index"/>
    <w:uiPriority w:val="39"/>
    <w:pPr>
      <w:tabs>
        <w:tab w:val="right" w:leader="dot" w:pos="9648"/>
      </w:tabs>
    </w:pPr>
  </w:style>
  <w:style w:type="paragraph" w:styleId="TOC2">
    <w:name w:val="toc 2"/>
    <w:basedOn w:val="Index"/>
    <w:uiPriority w:val="39"/>
    <w:pPr>
      <w:tabs>
        <w:tab w:val="right" w:leader="dot" w:pos="9365"/>
      </w:tabs>
      <w:ind w:left="283"/>
    </w:pPr>
  </w:style>
  <w:style w:type="table" w:styleId="TableGrid">
    <w:name w:val="Table Grid"/>
    <w:basedOn w:val="TableNormal"/>
    <w:uiPriority w:val="59"/>
    <w:rsid w:val="00FC693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000000" w:themeColor="text1"/>
          <w:left w:val="single" w:sz="8" w:space="0" w:color="000000" w:themeColor="text1"/>
          <w:bottom w:val="single" w:sz="8" w:space="0" w:color="000000" w:themeColor="text1"/>
          <w:right w:val="single" w:sz="8" w:space="0" w:color="000000" w:themeColor="text1"/>
          <w:insideH w:val="nil"/>
          <w:insideV w:val="nil"/>
        </w:tcBorders>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000000" w:themeColor="text1"/>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4F81BD" w:themeColor="accent1"/>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0504D" w:themeColor="accent2"/>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9BBB59" w:themeColor="accent3"/>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8064A2" w:themeColor="accent4"/>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4BACC6" w:themeColor="accent5"/>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79646" w:themeColor="accent6"/>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4F81BD" w:themeColor="accent1"/>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C0504D" w:themeColor="accent2"/>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9BBB59" w:themeColor="accent3"/>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8064A2" w:themeColor="accent4"/>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4BACC6" w:themeColor="accent5"/>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F79646" w:themeColor="accent6"/>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GridTable4-Accent6">
    <w:name w:val="Grid Table 4 Accent 6"/>
    <w:basedOn w:val="TableNormal"/>
    <w:uiPriority w:val="49"/>
    <w:rsid w:val="00B95404"/>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1371/journal.pone.0314318." TargetMode="External"/><Relationship Id="rId26" Type="http://schemas.openxmlformats.org/officeDocument/2006/relationships/hyperlink" Target="https://doi.org/10.1016/j.lanepe.2022.100420." TargetMode="External"/><Relationship Id="rId39" Type="http://schemas.openxmlformats.org/officeDocument/2006/relationships/hyperlink" Target="https://www.nice.org.uk/guidance/ng28" TargetMode="External"/><Relationship Id="rId21" Type="http://schemas.openxmlformats.org/officeDocument/2006/relationships/hyperlink" Target="https://doi.org/10.1016/S2213-8587(25)00299-2." TargetMode="External"/><Relationship Id="rId34" Type="http://schemas.openxmlformats.org/officeDocument/2006/relationships/hyperlink" Target="https://www.england.nhs.uk/commissioning/how-commissioning-is-changing/" TargetMode="External"/><Relationship Id="rId42" Type="http://schemas.openxmlformats.org/officeDocument/2006/relationships/hyperlink" Target="https://doi.org/10.1681/ASN.0000000000000491." TargetMode="External"/><Relationship Id="rId47" Type="http://schemas.openxmlformats.org/officeDocument/2006/relationships/hyperlink" Target="https://www.gov.wales/healthy-weight-healthy-wales-delivery-plan-2025-2027-html" TargetMode="External"/><Relationship Id="rId50" Type="http://schemas.openxmlformats.org/officeDocument/2006/relationships/header" Target="header1.xml"/><Relationship Id="rId55"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93/ageing/afae259." TargetMode="External"/><Relationship Id="rId29" Type="http://schemas.openxmlformats.org/officeDocument/2006/relationships/hyperlink" Target="https://www.england.nhs.uk/personalisedcare/comprehensive-model-of-personalised-care/" TargetMode="External"/><Relationship Id="rId11" Type="http://schemas.openxmlformats.org/officeDocument/2006/relationships/image" Target="media/image4.png"/><Relationship Id="rId24" Type="http://schemas.openxmlformats.org/officeDocument/2006/relationships/hyperlink" Target="https://doi.org/10.2196/55757." TargetMode="External"/><Relationship Id="rId32" Type="http://schemas.openxmlformats.org/officeDocument/2006/relationships/hyperlink" Target="https://www.england.nhs.uk/long-read/strategic-commissioning-framework/" TargetMode="External"/><Relationship Id="rId37" Type="http://schemas.openxmlformats.org/officeDocument/2006/relationships/hyperlink" Target="https://www.nice.org.uk/guidance/qs209" TargetMode="External"/><Relationship Id="rId40" Type="http://schemas.openxmlformats.org/officeDocument/2006/relationships/hyperlink" Target="https://fingertips.phe.org.uk/profile/diabetes" TargetMode="External"/><Relationship Id="rId45" Type="http://schemas.openxmlformats.org/officeDocument/2006/relationships/hyperlink" Target="https://doi.org/10.1177/10998004231218887." TargetMode="External"/><Relationship Id="rId53" Type="http://schemas.openxmlformats.org/officeDocument/2006/relationships/footer" Target="footer2.xml"/><Relationship Id="rId5" Type="http://schemas.openxmlformats.org/officeDocument/2006/relationships/webSettings" Target="webSettings.xml"/><Relationship Id="rId19" Type="http://schemas.openxmlformats.org/officeDocument/2006/relationships/hyperlink" Target="https://www.diabetes.org.uk/about-diabetes/diabetes-facts-and-figur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2337/dc26-S013." TargetMode="External"/><Relationship Id="rId22" Type="http://schemas.openxmlformats.org/officeDocument/2006/relationships/hyperlink" Target="https://doi.org/10.1186/s13643-022-02117-w." TargetMode="External"/><Relationship Id="rId27" Type="http://schemas.openxmlformats.org/officeDocument/2006/relationships/hyperlink" Target="https://doi.org/10.1136/bmjopen-2021-054650." TargetMode="External"/><Relationship Id="rId30" Type="http://schemas.openxmlformats.org/officeDocument/2006/relationships/hyperlink" Target="https://digital.nhs.uk/data-and-information/publications/statistical/national-diabetes-audit/report-1-cp-and-tt-data-release-2024-25/nda-report-1-cp-and-tt-data-release-2024-25" TargetMode="External"/><Relationship Id="rId35" Type="http://schemas.openxmlformats.org/officeDocument/2006/relationships/hyperlink" Target="https://www.southwestlondon.icb.nhs.uk/publications/wandsworth-health-care-plan-2025-27/" TargetMode="External"/><Relationship Id="rId43" Type="http://schemas.openxmlformats.org/officeDocument/2006/relationships/hyperlink" Target="https://doi.org/10.1136/bmjmed-2023-000664." TargetMode="External"/><Relationship Id="rId48" Type="http://schemas.openxmlformats.org/officeDocument/2006/relationships/hyperlink" Target="https://www.who.int/news-room/fact-sheets/detail/diabetes" TargetMode="External"/><Relationship Id="rId56"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eader" Target="header2.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carersuk.org/reports/state-of-caring-2024-the-impact-of-unpaid-caring-on-employment" TargetMode="External"/><Relationship Id="rId25" Type="http://schemas.openxmlformats.org/officeDocument/2006/relationships/hyperlink" Target="https://doi.org/10.1177/13591053221140805." TargetMode="External"/><Relationship Id="rId33" Type="http://schemas.openxmlformats.org/officeDocument/2006/relationships/hyperlink" Target="https://www.england.nhs.uk/publication/integrated-care-boards-in-england/" TargetMode="External"/><Relationship Id="rId38" Type="http://schemas.openxmlformats.org/officeDocument/2006/relationships/hyperlink" Target="https://www.nice.org.uk/guidance/ng197" TargetMode="External"/><Relationship Id="rId46" Type="http://schemas.openxmlformats.org/officeDocument/2006/relationships/hyperlink" Target="https://www.gov.wales/strategy-unpaid-carers-delivery-plan-2025-2026" TargetMode="External"/><Relationship Id="rId20" Type="http://schemas.openxmlformats.org/officeDocument/2006/relationships/hyperlink" Target="https://doi.org/10.1159/000543149." TargetMode="External"/><Relationship Id="rId41" Type="http://schemas.openxmlformats.org/officeDocument/2006/relationships/hyperlink" Target="https://doi.org/10.1155/2024/8859678." TargetMode="External"/><Relationship Id="rId54"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36/bmjdrc-2024-004345." TargetMode="External"/><Relationship Id="rId23" Type="http://schemas.openxmlformats.org/officeDocument/2006/relationships/hyperlink" Target="https://doi.org/10.1016/j.pcd.2024.02.006." TargetMode="External"/><Relationship Id="rId28" Type="http://schemas.openxmlformats.org/officeDocument/2006/relationships/hyperlink" Target="https://doi.org/10.1080/08870446.2023.2231004." TargetMode="External"/><Relationship Id="rId36" Type="http://schemas.openxmlformats.org/officeDocument/2006/relationships/hyperlink" Target="https://www.nice.org.uk/guidance/ng142" TargetMode="External"/><Relationship Id="rId49" Type="http://schemas.openxmlformats.org/officeDocument/2006/relationships/hyperlink" Target="https://www.who.int/europe/publications/i/item/9789289060927" TargetMode="External"/><Relationship Id="rId57"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hyperlink" Target="https://www.england.nhs.uk/diabetes/treatment-care/type-2-diabetes-path-to-remission/" TargetMode="External"/><Relationship Id="rId44" Type="http://schemas.openxmlformats.org/officeDocument/2006/relationships/hyperlink" Target="https://doi.org/10.1177/23779608231185921." TargetMode="External"/><Relationship Id="rId5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majorFont>
      <a:minorFont>
        <a:latin typeface="Cambria"/>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a:gradFill>
        <a:gradFill>
          <a:gsLst>
            <a:gs pos="0">
              <a:schemeClr val="phClr">
                <a:tint val="100000"/>
                <a:shade val="100000"/>
              </a:schemeClr>
            </a:gs>
            <a:gs pos="100000">
              <a:schemeClr val="phClr">
                <a:tint val="50000"/>
                <a:shade val="100000"/>
              </a:schemeClr>
            </a:gs>
          </a:gsLst>
          <a:lin ang="16200000" scaled="0"/>
          <a:tileRect/>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a:gradFill>
        <a:gradFill>
          <a:gsLst>
            <a:gs pos="0">
              <a:schemeClr val="phClr">
                <a:tint val="80000"/>
              </a:schemeClr>
            </a:gs>
            <a:gs pos="100000">
              <a:schemeClr val="phClr">
                <a:shade val="30000"/>
              </a:schemeClr>
            </a:gs>
          </a:gsLst>
          <a:path path="circle">
            <a:fillToRect l="50000" t="50000" r="50000" b="50000"/>
          </a:path>
          <a:tileRect/>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20</Pages>
  <Words>5401</Words>
  <Characters>30792</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TIYA PATEL</dc:creator>
  <cp:lastModifiedBy>raj hirpara</cp:lastModifiedBy>
  <cp:revision>4</cp:revision>
  <dcterms:created xsi:type="dcterms:W3CDTF">2026-10-21T08:59:00Z</dcterms:created>
  <dcterms:modified xsi:type="dcterms:W3CDTF">2026-10-22T18:53:00Z</dcterms:modified>
</cp:coreProperties>
</file>

<file path=docProps/core0.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2013-12-23T23:15:00Z</dcterms:created>
  <dc:creator>python-docx</dc:creator>
  <dc:description>generated by python-docx</dc:description>
  <dc:language>en-US</dc:language>
  <cp:lastModifiedBy/>
  <dcterms:modified xsi:type="dcterms:W3CDTF">2026-10-21T08:51:32Z</dcterms:modified>
  <cp:revision>6</cp:revision>
  <dc:subject>Community Care and Management of Longer-term Conditions</dc:subject>
  <dc:title>LCHS7003 – Type 2 Diabetes Information Booklet</dc:title>
</cp:coreProperties>
</file>