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2D34E" w14:textId="1404CE2E" w:rsidR="002B7C36" w:rsidRDefault="001904DC" w:rsidP="001904DC">
      <w:pPr>
        <w:jc w:val="center"/>
        <w:rPr>
          <w:rFonts w:ascii="Arial" w:hAnsi="Arial" w:cs="Arial"/>
          <w:sz w:val="28"/>
          <w:szCs w:val="28"/>
        </w:rPr>
      </w:pPr>
      <w:bookmarkStart w:id="0" w:name="_Hlk133324346"/>
      <w:r>
        <w:rPr>
          <w:rFonts w:ascii="Arial" w:hAnsi="Arial" w:cs="Arial"/>
          <w:sz w:val="28"/>
          <w:szCs w:val="28"/>
        </w:rPr>
        <w:t>To examine the existence of the Stroop Effect</w:t>
      </w:r>
    </w:p>
    <w:bookmarkEnd w:id="0"/>
    <w:p w14:paraId="17666845" w14:textId="2277355C" w:rsidR="001904DC" w:rsidRPr="00E75C9B" w:rsidRDefault="001904DC" w:rsidP="001904DC">
      <w:pPr>
        <w:rPr>
          <w:rFonts w:ascii="Arial" w:hAnsi="Arial" w:cs="Arial"/>
          <w:sz w:val="28"/>
          <w:szCs w:val="28"/>
        </w:rPr>
      </w:pPr>
      <w:r w:rsidRPr="00E75C9B">
        <w:rPr>
          <w:rFonts w:ascii="Arial" w:hAnsi="Arial" w:cs="Arial"/>
          <w:sz w:val="28"/>
          <w:szCs w:val="28"/>
        </w:rPr>
        <w:t>Abstract</w:t>
      </w:r>
    </w:p>
    <w:p w14:paraId="363D2F5D" w14:textId="77777777" w:rsidR="001B0CCD" w:rsidRPr="00C10247" w:rsidRDefault="00857DAD" w:rsidP="001B0CCD">
      <w:pPr>
        <w:pStyle w:val="BodyText"/>
        <w:rPr>
          <w:rFonts w:ascii="Arial" w:hAnsi="Arial" w:cs="Arial"/>
          <w:bCs/>
          <w:i w:val="0"/>
          <w:sz w:val="24"/>
        </w:rPr>
      </w:pPr>
      <w:r w:rsidRPr="00202358">
        <w:rPr>
          <w:rFonts w:ascii="Arial" w:hAnsi="Arial" w:cs="Arial"/>
          <w:i w:val="0"/>
          <w:iCs/>
          <w:sz w:val="24"/>
          <w:szCs w:val="24"/>
        </w:rPr>
        <w:t>This study was a partial replication of the John Ridley Stroop study (1935). The aim of this study was to examine if the congruency of words and their colours (IV) had an impact on the time taken to name colours (DV). The</w:t>
      </w:r>
      <w:r w:rsidRPr="00D65CF2">
        <w:rPr>
          <w:rFonts w:ascii="Arial" w:hAnsi="Arial" w:cs="Arial"/>
          <w:i w:val="0"/>
          <w:iCs/>
          <w:sz w:val="24"/>
          <w:szCs w:val="24"/>
        </w:rPr>
        <w:t xml:space="preserve"> hypothesis predicts that participants colour naming times will be significantly longer in the incongruent condition. An opportunity sample of 23 (2 males and 21 female) students between the ages of 18-49 was</w:t>
      </w:r>
      <w:r w:rsidR="0076271E" w:rsidRPr="00D65CF2">
        <w:rPr>
          <w:rFonts w:ascii="Arial" w:hAnsi="Arial" w:cs="Arial"/>
          <w:i w:val="0"/>
          <w:iCs/>
          <w:sz w:val="24"/>
          <w:szCs w:val="24"/>
        </w:rPr>
        <w:t xml:space="preserve"> recruited. A related-study design was used. All participants completed</w:t>
      </w:r>
      <w:r w:rsidR="00F574AE" w:rsidRPr="00D65CF2">
        <w:rPr>
          <w:rFonts w:ascii="Arial" w:hAnsi="Arial" w:cs="Arial"/>
          <w:i w:val="0"/>
          <w:iCs/>
          <w:sz w:val="24"/>
          <w:szCs w:val="24"/>
        </w:rPr>
        <w:t xml:space="preserve"> both congruent and incongruent conditions and were timed for both conditions. A T-test was carried out and revealed that there was a significant difference between the two conditions. Thus, supporting the original hypothesis. </w:t>
      </w:r>
      <w:r w:rsidR="001B0CCD" w:rsidRPr="00D65CF2">
        <w:rPr>
          <w:rFonts w:ascii="Arial" w:hAnsi="Arial" w:cs="Arial"/>
          <w:bCs/>
          <w:i w:val="0"/>
          <w:iCs/>
          <w:sz w:val="24"/>
        </w:rPr>
        <w:t>A related t-test indicated that the difference in time taken to state the colour between the congruent and incongruent conditions was statistically significant (t = 22) = 10.03, p &lt; .001, Cohen’s d = 2.09), with a medium</w:t>
      </w:r>
      <w:r w:rsidR="001B0CCD" w:rsidRPr="00C10247">
        <w:rPr>
          <w:rFonts w:ascii="Arial" w:hAnsi="Arial" w:cs="Arial"/>
          <w:bCs/>
          <w:i w:val="0"/>
          <w:sz w:val="24"/>
        </w:rPr>
        <w:t xml:space="preserve"> effect size (Cohen, 1988).</w:t>
      </w:r>
    </w:p>
    <w:p w14:paraId="5246BC66" w14:textId="09468F10" w:rsidR="001904DC" w:rsidRPr="00AD6587" w:rsidRDefault="00F574AE" w:rsidP="001904DC">
      <w:pPr>
        <w:rPr>
          <w:rFonts w:ascii="Arial" w:hAnsi="Arial" w:cs="Arial"/>
          <w:sz w:val="24"/>
          <w:szCs w:val="24"/>
        </w:rPr>
      </w:pPr>
      <w:r>
        <w:rPr>
          <w:rFonts w:ascii="Arial" w:hAnsi="Arial" w:cs="Arial"/>
          <w:sz w:val="24"/>
          <w:szCs w:val="24"/>
        </w:rPr>
        <w:t>The results indicate that incongruent words take longer for an induvial to recal</w:t>
      </w:r>
      <w:r w:rsidR="007D7842">
        <w:rPr>
          <w:rFonts w:ascii="Arial" w:hAnsi="Arial" w:cs="Arial"/>
          <w:sz w:val="24"/>
          <w:szCs w:val="24"/>
        </w:rPr>
        <w:t xml:space="preserve">l which also backs up that cognitively, reading is more of an automated process than recognising </w:t>
      </w:r>
      <w:r w:rsidR="007D7842" w:rsidRPr="00AD6587">
        <w:rPr>
          <w:rFonts w:ascii="Arial" w:hAnsi="Arial" w:cs="Arial"/>
          <w:sz w:val="24"/>
          <w:szCs w:val="24"/>
        </w:rPr>
        <w:t xml:space="preserve">colours. The </w:t>
      </w:r>
      <w:r w:rsidR="00D65CF2" w:rsidRPr="00AD6587">
        <w:rPr>
          <w:rFonts w:ascii="Arial" w:hAnsi="Arial" w:cs="Arial"/>
          <w:sz w:val="24"/>
          <w:szCs w:val="24"/>
        </w:rPr>
        <w:t>limitation</w:t>
      </w:r>
      <w:r w:rsidR="007D7842" w:rsidRPr="00AD6587">
        <w:rPr>
          <w:rFonts w:ascii="Arial" w:hAnsi="Arial" w:cs="Arial"/>
          <w:sz w:val="24"/>
          <w:szCs w:val="24"/>
        </w:rPr>
        <w:t xml:space="preserve"> to this study is that it cannot be accessed by all; young people/people who cannot read and colour-blinded people would not be able to partake in this study. </w:t>
      </w:r>
    </w:p>
    <w:p w14:paraId="7255EE30" w14:textId="77777777" w:rsidR="001B0CCD" w:rsidRPr="00AD6587" w:rsidRDefault="001B0CCD" w:rsidP="001904DC">
      <w:pPr>
        <w:rPr>
          <w:rFonts w:ascii="Arial" w:hAnsi="Arial" w:cs="Arial"/>
          <w:sz w:val="24"/>
          <w:szCs w:val="24"/>
        </w:rPr>
      </w:pPr>
    </w:p>
    <w:p w14:paraId="5BDD83C1" w14:textId="353E47DB" w:rsidR="00857DAD" w:rsidRPr="006E3A23" w:rsidRDefault="00E75C9B" w:rsidP="001904DC">
      <w:pPr>
        <w:rPr>
          <w:rFonts w:ascii="Arial" w:hAnsi="Arial" w:cs="Arial"/>
          <w:sz w:val="28"/>
          <w:szCs w:val="28"/>
        </w:rPr>
      </w:pPr>
      <w:r w:rsidRPr="006E3A23">
        <w:rPr>
          <w:rFonts w:ascii="Arial" w:hAnsi="Arial" w:cs="Arial"/>
          <w:sz w:val="28"/>
          <w:szCs w:val="28"/>
        </w:rPr>
        <w:t>Introduction</w:t>
      </w:r>
    </w:p>
    <w:p w14:paraId="31CADBE9" w14:textId="77777777" w:rsidR="00FF709F" w:rsidRDefault="00FF709F" w:rsidP="00FF709F">
      <w:pPr>
        <w:rPr>
          <w:rFonts w:ascii="Arial" w:hAnsi="Arial" w:cs="Arial"/>
          <w:sz w:val="24"/>
          <w:szCs w:val="24"/>
        </w:rPr>
      </w:pPr>
      <w:r>
        <w:rPr>
          <w:rFonts w:ascii="Arial" w:hAnsi="Arial" w:cs="Arial"/>
          <w:sz w:val="24"/>
          <w:szCs w:val="24"/>
        </w:rPr>
        <w:t>This report will provide an overview of the Stroop effect, including its history, theoretical underpinnings, and practical applications. In addition, this report will also discuss some of the controversies surrounding the Stroop effect and its limitations as a tool for investigating cognitive processes.</w:t>
      </w:r>
    </w:p>
    <w:p w14:paraId="2C03BC47" w14:textId="7866EBF3" w:rsidR="00DD2868" w:rsidRDefault="00925129" w:rsidP="001904DC">
      <w:pPr>
        <w:rPr>
          <w:rFonts w:ascii="Arial" w:hAnsi="Arial" w:cs="Arial"/>
          <w:sz w:val="24"/>
          <w:szCs w:val="24"/>
        </w:rPr>
      </w:pPr>
      <w:r w:rsidRPr="00AD6587">
        <w:rPr>
          <w:rFonts w:ascii="Arial" w:hAnsi="Arial" w:cs="Arial"/>
          <w:sz w:val="24"/>
          <w:szCs w:val="24"/>
        </w:rPr>
        <w:t xml:space="preserve">The Stroop Effect became </w:t>
      </w:r>
      <w:r w:rsidR="00B53DE4" w:rsidRPr="00AD6587">
        <w:rPr>
          <w:rFonts w:ascii="Arial" w:hAnsi="Arial" w:cs="Arial"/>
          <w:sz w:val="24"/>
          <w:szCs w:val="24"/>
        </w:rPr>
        <w:t xml:space="preserve">an area of interest </w:t>
      </w:r>
      <w:r w:rsidR="00AD6587" w:rsidRPr="00AD6587">
        <w:rPr>
          <w:rFonts w:ascii="Arial" w:hAnsi="Arial" w:cs="Arial"/>
          <w:sz w:val="24"/>
          <w:szCs w:val="24"/>
        </w:rPr>
        <w:t>after primary research on focused attention. Focused attention is “</w:t>
      </w:r>
      <w:r w:rsidR="00AD6587" w:rsidRPr="00AD6587">
        <w:rPr>
          <w:rFonts w:ascii="Arial" w:hAnsi="Arial" w:cs="Arial"/>
          <w:color w:val="333333"/>
          <w:sz w:val="24"/>
          <w:szCs w:val="24"/>
          <w:shd w:val="clear" w:color="auto" w:fill="FFFFFF"/>
        </w:rPr>
        <w:t>the </w:t>
      </w:r>
      <w:r w:rsidR="00AD6587" w:rsidRPr="00AD6587">
        <w:rPr>
          <w:rStyle w:val="Strong"/>
          <w:rFonts w:ascii="Arial" w:hAnsi="Arial" w:cs="Arial"/>
          <w:b w:val="0"/>
          <w:bCs w:val="0"/>
          <w:color w:val="333333"/>
          <w:sz w:val="24"/>
          <w:szCs w:val="24"/>
          <w:bdr w:val="none" w:sz="0" w:space="0" w:color="auto" w:frame="1"/>
          <w:shd w:val="clear" w:color="auto" w:fill="FFFFFF"/>
        </w:rPr>
        <w:t>brain's ability to concentrate its attention on a target stimulus for any period of time</w:t>
      </w:r>
      <w:r w:rsidR="00AD6587" w:rsidRPr="00AD6587">
        <w:rPr>
          <w:rFonts w:ascii="Arial" w:hAnsi="Arial" w:cs="Arial"/>
          <w:color w:val="333333"/>
          <w:sz w:val="24"/>
          <w:szCs w:val="24"/>
          <w:shd w:val="clear" w:color="auto" w:fill="FFFFFF"/>
        </w:rPr>
        <w:t>” (</w:t>
      </w:r>
      <w:r w:rsidR="00AD6587" w:rsidRPr="00AD6587">
        <w:rPr>
          <w:rFonts w:ascii="Arial" w:hAnsi="Arial" w:cs="Arial"/>
          <w:i/>
          <w:iCs/>
          <w:sz w:val="24"/>
          <w:szCs w:val="24"/>
        </w:rPr>
        <w:t>CogniFit</w:t>
      </w:r>
      <w:r w:rsidR="00AD6587" w:rsidRPr="00AD6587">
        <w:rPr>
          <w:rFonts w:ascii="Arial" w:hAnsi="Arial" w:cs="Arial"/>
          <w:sz w:val="24"/>
          <w:szCs w:val="24"/>
        </w:rPr>
        <w:t>, n.d.)</w:t>
      </w:r>
      <w:r w:rsidR="00AD6587">
        <w:rPr>
          <w:rFonts w:ascii="Arial" w:hAnsi="Arial" w:cs="Arial"/>
          <w:sz w:val="24"/>
          <w:szCs w:val="24"/>
        </w:rPr>
        <w:t>.</w:t>
      </w:r>
      <w:r w:rsidR="006E3A23">
        <w:rPr>
          <w:rFonts w:ascii="Arial" w:hAnsi="Arial" w:cs="Arial"/>
          <w:sz w:val="24"/>
          <w:szCs w:val="24"/>
        </w:rPr>
        <w:t xml:space="preserve"> </w:t>
      </w:r>
      <w:r w:rsidR="006B3AC2">
        <w:rPr>
          <w:rFonts w:ascii="Arial" w:hAnsi="Arial" w:cs="Arial"/>
          <w:sz w:val="24"/>
          <w:szCs w:val="24"/>
        </w:rPr>
        <w:t xml:space="preserve">Focused attention is an important component of many cognitive tasks, including reading, driving, and problem-solving. An example of how to study focused attention is through the use of attentional tasks such as the </w:t>
      </w:r>
      <w:r w:rsidR="00FF709F">
        <w:rPr>
          <w:rFonts w:ascii="Arial" w:hAnsi="Arial" w:cs="Arial"/>
          <w:sz w:val="24"/>
          <w:szCs w:val="24"/>
        </w:rPr>
        <w:t>S</w:t>
      </w:r>
      <w:r w:rsidR="006B3AC2">
        <w:rPr>
          <w:rFonts w:ascii="Arial" w:hAnsi="Arial" w:cs="Arial"/>
          <w:sz w:val="24"/>
          <w:szCs w:val="24"/>
        </w:rPr>
        <w:t>troop effect. Research has shown that focused attention is a limited source, and that it can be depleted over time. This can lead to reduced performance on cognitive tasks and can also have negative effects on mood and well-being. Focused attention, however, can be improved through practice and training. Through cognitive-behavioural therapy (CBT), focused attention can be improved upon.</w:t>
      </w:r>
      <w:r w:rsidR="00E66CF6">
        <w:rPr>
          <w:rFonts w:ascii="Arial" w:hAnsi="Arial" w:cs="Arial"/>
          <w:sz w:val="24"/>
          <w:szCs w:val="24"/>
        </w:rPr>
        <w:t xml:space="preserve"> An example of focused attention in practice in Cherry’s cocktail theory party. It refers to the idea that in a crowded room, people are able to selectively attend to a particular conversation whilst ignoring others. This is possible because the brain is able to filter out irrelevant information. Cherry’s theory was based on experiments in which participants were presented with two different auditory streams and asked to selectively attend to one whilst ignoring the other. The results showed that participants were able to selectively attend to the target stream and ignore the distractor stream. This study has now been used to investigate a wide range of cognitive processes, including attention, perception, and memory.</w:t>
      </w:r>
    </w:p>
    <w:p w14:paraId="2E06692F" w14:textId="758BAB7D" w:rsidR="00DD2868" w:rsidRDefault="00DD2868" w:rsidP="001904DC">
      <w:pPr>
        <w:rPr>
          <w:rFonts w:ascii="Arial" w:hAnsi="Arial" w:cs="Arial"/>
          <w:sz w:val="24"/>
          <w:szCs w:val="24"/>
        </w:rPr>
      </w:pPr>
      <w:r>
        <w:rPr>
          <w:rFonts w:ascii="Arial" w:hAnsi="Arial" w:cs="Arial"/>
          <w:sz w:val="24"/>
          <w:szCs w:val="24"/>
        </w:rPr>
        <w:lastRenderedPageBreak/>
        <w:t>The Stroop effect is a well-known phenomenon in cognitive psychology that has been studied extensively over the last century. The effect refers to the finding that people have difficulty naming the colour of the word when the word itself is the name of a different colour. For example, if the word “red” is written in blue ink, people have difficulty saying “blue” instead of “red”. This effect has been shown to be remarkably robust across a wide range of experimental conditions and has been used to study a wide range of cognitive processes.</w:t>
      </w:r>
    </w:p>
    <w:p w14:paraId="52C5C896" w14:textId="3933C088" w:rsidR="00DD2868" w:rsidRDefault="00DD2868" w:rsidP="001904DC">
      <w:pPr>
        <w:rPr>
          <w:rFonts w:ascii="Arial" w:hAnsi="Arial" w:cs="Arial"/>
          <w:sz w:val="24"/>
          <w:szCs w:val="24"/>
        </w:rPr>
      </w:pPr>
      <w:r>
        <w:rPr>
          <w:rFonts w:ascii="Arial" w:hAnsi="Arial" w:cs="Arial"/>
          <w:sz w:val="24"/>
          <w:szCs w:val="24"/>
        </w:rPr>
        <w:t>Many researchers have conducted studies on the Stroop effect since its discovery. Some of the most influential researchers in this area include John Ridley Stroop himself, who published the original paper in 1935, and J. Richard Davidson, who conducted</w:t>
      </w:r>
      <w:r w:rsidR="00857F0C">
        <w:rPr>
          <w:rFonts w:ascii="Arial" w:hAnsi="Arial" w:cs="Arial"/>
          <w:sz w:val="24"/>
          <w:szCs w:val="24"/>
        </w:rPr>
        <w:t xml:space="preserve"> </w:t>
      </w:r>
      <w:r>
        <w:rPr>
          <w:rFonts w:ascii="Arial" w:hAnsi="Arial" w:cs="Arial"/>
          <w:sz w:val="24"/>
          <w:szCs w:val="24"/>
        </w:rPr>
        <w:t>a series of studies in the 1980s and 1990s on the neural basis of the Stroop effect. Donald Broadbent was a cognitive psychologist who conducted his research on the Stroop effect in the 1950s. In one of his studies, the used the Stroop task to investigate the role of focused attention in perception. His findings suggested that people have limited capacity for processing information, and that attentional resources are allocated selectively to different aspects of a stimulus. Broadbent found that people have difficulty selectively attending</w:t>
      </w:r>
      <w:r w:rsidR="00857F0C">
        <w:rPr>
          <w:rFonts w:ascii="Arial" w:hAnsi="Arial" w:cs="Arial"/>
          <w:sz w:val="24"/>
          <w:szCs w:val="24"/>
        </w:rPr>
        <w:t xml:space="preserve"> to one aspect of a stimulus (e.g., the colour of a word) while ignoring another aspect (e.g., the meaning of the word) when the two aspects are in conflict.</w:t>
      </w:r>
      <w:r w:rsidR="001204BA">
        <w:rPr>
          <w:rFonts w:ascii="Arial" w:hAnsi="Arial" w:cs="Arial"/>
          <w:sz w:val="24"/>
          <w:szCs w:val="24"/>
        </w:rPr>
        <w:t xml:space="preserve"> This conflict results in slower response times and increased errors, which is the Stroop effect. Broadbent’s research helped establish the Stroop effect as an important tool for studying attention and perception.</w:t>
      </w:r>
    </w:p>
    <w:p w14:paraId="7444B238" w14:textId="3F2F4ACA" w:rsidR="0002128E" w:rsidRDefault="0002128E" w:rsidP="001904DC">
      <w:pPr>
        <w:rPr>
          <w:rFonts w:ascii="Arial" w:hAnsi="Arial" w:cs="Arial"/>
          <w:sz w:val="24"/>
          <w:szCs w:val="24"/>
        </w:rPr>
      </w:pPr>
      <w:r>
        <w:rPr>
          <w:rFonts w:ascii="Arial" w:hAnsi="Arial" w:cs="Arial"/>
          <w:sz w:val="24"/>
          <w:szCs w:val="24"/>
        </w:rPr>
        <w:t>The hypothesis for this experiment is that colour naming times will be significantly longer in the incongruent condition.</w:t>
      </w:r>
    </w:p>
    <w:p w14:paraId="51BBDB3C" w14:textId="77777777" w:rsidR="006E3A23" w:rsidRPr="00AD6587" w:rsidRDefault="006E3A23" w:rsidP="001904DC">
      <w:pPr>
        <w:rPr>
          <w:rFonts w:ascii="Arial" w:hAnsi="Arial" w:cs="Arial"/>
          <w:sz w:val="24"/>
          <w:szCs w:val="24"/>
        </w:rPr>
      </w:pPr>
    </w:p>
    <w:p w14:paraId="25CD3C14" w14:textId="18107D82" w:rsidR="00E75C9B" w:rsidRPr="006E3A23" w:rsidRDefault="00E75C9B" w:rsidP="001904DC">
      <w:pPr>
        <w:rPr>
          <w:rFonts w:ascii="Arial" w:hAnsi="Arial" w:cs="Arial"/>
          <w:sz w:val="28"/>
          <w:szCs w:val="28"/>
        </w:rPr>
      </w:pPr>
      <w:r w:rsidRPr="006E3A23">
        <w:rPr>
          <w:rFonts w:ascii="Arial" w:hAnsi="Arial" w:cs="Arial"/>
          <w:sz w:val="28"/>
          <w:szCs w:val="28"/>
        </w:rPr>
        <w:t>Methodology</w:t>
      </w:r>
    </w:p>
    <w:p w14:paraId="4BAB9E85" w14:textId="28D10083" w:rsidR="00E75C9B" w:rsidRDefault="00AE543A" w:rsidP="001904DC">
      <w:pPr>
        <w:rPr>
          <w:rFonts w:ascii="Arial" w:hAnsi="Arial" w:cs="Arial"/>
          <w:sz w:val="24"/>
          <w:szCs w:val="24"/>
        </w:rPr>
      </w:pPr>
      <w:r w:rsidRPr="00AD6587">
        <w:rPr>
          <w:rFonts w:ascii="Arial" w:hAnsi="Arial" w:cs="Arial"/>
          <w:sz w:val="24"/>
          <w:szCs w:val="24"/>
        </w:rPr>
        <w:t xml:space="preserve">Design – A related-subjects design was used. There was one independent variable (IV) with two </w:t>
      </w:r>
      <w:r w:rsidR="00F40A95" w:rsidRPr="00AD6587">
        <w:rPr>
          <w:rFonts w:ascii="Arial" w:hAnsi="Arial" w:cs="Arial"/>
          <w:sz w:val="24"/>
          <w:szCs w:val="24"/>
        </w:rPr>
        <w:t>conditions:</w:t>
      </w:r>
      <w:r w:rsidRPr="00AD6587">
        <w:rPr>
          <w:rFonts w:ascii="Arial" w:hAnsi="Arial" w:cs="Arial"/>
          <w:sz w:val="24"/>
          <w:szCs w:val="24"/>
        </w:rPr>
        <w:t xml:space="preserve"> congruent and incongruent words. There was one dependent variable (DV): the time taken to recall</w:t>
      </w:r>
      <w:r>
        <w:rPr>
          <w:rFonts w:ascii="Arial" w:hAnsi="Arial" w:cs="Arial"/>
          <w:sz w:val="24"/>
          <w:szCs w:val="24"/>
        </w:rPr>
        <w:t xml:space="preserve"> the colours of the words. Participants took part in both conditions of this experiment.</w:t>
      </w:r>
    </w:p>
    <w:p w14:paraId="31D0B205" w14:textId="1D736960" w:rsidR="008915A5" w:rsidRDefault="00AE543A" w:rsidP="001904DC">
      <w:pPr>
        <w:rPr>
          <w:rFonts w:ascii="Arial" w:hAnsi="Arial" w:cs="Arial"/>
          <w:sz w:val="24"/>
          <w:szCs w:val="24"/>
        </w:rPr>
      </w:pPr>
      <w:r>
        <w:rPr>
          <w:rFonts w:ascii="Arial" w:hAnsi="Arial" w:cs="Arial"/>
          <w:sz w:val="24"/>
          <w:szCs w:val="24"/>
        </w:rPr>
        <w:t xml:space="preserve">Participants – An opportunity sample of twenty-three participants completed both conditions of this experiment: two were male and twenty-one were females. Ages ranged from eighteen to forty-nine years. </w:t>
      </w:r>
      <w:r w:rsidR="008915A5">
        <w:rPr>
          <w:rFonts w:ascii="Arial" w:hAnsi="Arial" w:cs="Arial"/>
          <w:sz w:val="24"/>
          <w:szCs w:val="24"/>
        </w:rPr>
        <w:t xml:space="preserve">The median of ages is 25.36. Standard deviation (SD) = </w:t>
      </w:r>
      <w:r w:rsidR="002D2376">
        <w:rPr>
          <w:rFonts w:ascii="Arial" w:hAnsi="Arial" w:cs="Arial"/>
          <w:sz w:val="24"/>
          <w:szCs w:val="24"/>
        </w:rPr>
        <w:t>Congruent = 1.25. Incongruent = 3.18.</w:t>
      </w:r>
      <w:r w:rsidR="008915A5">
        <w:rPr>
          <w:rFonts w:ascii="Arial" w:hAnsi="Arial" w:cs="Arial"/>
          <w:sz w:val="24"/>
          <w:szCs w:val="24"/>
        </w:rPr>
        <w:t xml:space="preserve"> Participants were all undergraduate students from West Wales. All participants were naïve to this experiment.</w:t>
      </w:r>
    </w:p>
    <w:p w14:paraId="59D097EB" w14:textId="7717FDB3" w:rsidR="008915A5" w:rsidRDefault="008915A5" w:rsidP="001904DC">
      <w:pPr>
        <w:rPr>
          <w:rFonts w:ascii="Arial" w:hAnsi="Arial" w:cs="Arial"/>
          <w:sz w:val="24"/>
          <w:szCs w:val="24"/>
        </w:rPr>
      </w:pPr>
      <w:r>
        <w:rPr>
          <w:rFonts w:ascii="Arial" w:hAnsi="Arial" w:cs="Arial"/>
          <w:sz w:val="24"/>
          <w:szCs w:val="24"/>
        </w:rPr>
        <w:t xml:space="preserve">Materials – </w:t>
      </w:r>
    </w:p>
    <w:p w14:paraId="329045A7" w14:textId="116CF8F9" w:rsidR="008915A5" w:rsidRPr="008915A5" w:rsidRDefault="008915A5" w:rsidP="008915A5">
      <w:pPr>
        <w:pStyle w:val="ListParagraph"/>
        <w:numPr>
          <w:ilvl w:val="0"/>
          <w:numId w:val="2"/>
        </w:numPr>
        <w:rPr>
          <w:rFonts w:ascii="Arial" w:hAnsi="Arial" w:cs="Arial"/>
          <w:sz w:val="24"/>
          <w:szCs w:val="24"/>
        </w:rPr>
      </w:pPr>
      <w:r>
        <w:rPr>
          <w:rFonts w:ascii="Arial" w:hAnsi="Arial" w:cs="Arial"/>
          <w:sz w:val="24"/>
          <w:szCs w:val="24"/>
        </w:rPr>
        <w:t xml:space="preserve">15 congruent words, for example </w:t>
      </w:r>
      <w:r>
        <w:rPr>
          <w:rFonts w:ascii="Arial" w:hAnsi="Arial" w:cs="Arial"/>
          <w:color w:val="FF0000"/>
          <w:sz w:val="24"/>
          <w:szCs w:val="24"/>
        </w:rPr>
        <w:t xml:space="preserve">Red, </w:t>
      </w:r>
      <w:r>
        <w:rPr>
          <w:rFonts w:ascii="Arial" w:hAnsi="Arial" w:cs="Arial"/>
          <w:color w:val="2F5496" w:themeColor="accent1" w:themeShade="BF"/>
          <w:sz w:val="24"/>
          <w:szCs w:val="24"/>
        </w:rPr>
        <w:t xml:space="preserve">Blue. </w:t>
      </w:r>
      <w:r>
        <w:rPr>
          <w:rFonts w:ascii="Arial" w:hAnsi="Arial" w:cs="Arial"/>
          <w:sz w:val="24"/>
          <w:szCs w:val="24"/>
        </w:rPr>
        <w:t>(See Appendix 1 Word List).</w:t>
      </w:r>
    </w:p>
    <w:p w14:paraId="5E5E6255" w14:textId="1E9615DC" w:rsidR="008915A5" w:rsidRDefault="008915A5" w:rsidP="008915A5">
      <w:pPr>
        <w:pStyle w:val="ListParagraph"/>
        <w:numPr>
          <w:ilvl w:val="0"/>
          <w:numId w:val="2"/>
        </w:numPr>
        <w:rPr>
          <w:rFonts w:ascii="Arial" w:hAnsi="Arial" w:cs="Arial"/>
          <w:sz w:val="24"/>
          <w:szCs w:val="24"/>
        </w:rPr>
      </w:pPr>
      <w:r>
        <w:rPr>
          <w:rFonts w:ascii="Arial" w:hAnsi="Arial" w:cs="Arial"/>
          <w:sz w:val="24"/>
          <w:szCs w:val="24"/>
        </w:rPr>
        <w:t xml:space="preserve">15 incongruent words, for example Yellow, </w:t>
      </w:r>
      <w:r>
        <w:rPr>
          <w:rFonts w:ascii="Arial" w:hAnsi="Arial" w:cs="Arial"/>
          <w:color w:val="7030A0"/>
          <w:sz w:val="24"/>
          <w:szCs w:val="24"/>
        </w:rPr>
        <w:t xml:space="preserve">Red. </w:t>
      </w:r>
      <w:r w:rsidR="00843536">
        <w:rPr>
          <w:rFonts w:ascii="Arial" w:hAnsi="Arial" w:cs="Arial"/>
          <w:color w:val="7030A0"/>
          <w:sz w:val="24"/>
          <w:szCs w:val="24"/>
        </w:rPr>
        <w:t>(</w:t>
      </w:r>
      <w:r>
        <w:rPr>
          <w:rFonts w:ascii="Arial" w:hAnsi="Arial" w:cs="Arial"/>
          <w:sz w:val="24"/>
          <w:szCs w:val="24"/>
        </w:rPr>
        <w:t>See Appendix 1.1 Word List).</w:t>
      </w:r>
    </w:p>
    <w:p w14:paraId="385314B8" w14:textId="6C4E0A85" w:rsidR="008915A5" w:rsidRDefault="008915A5" w:rsidP="008915A5">
      <w:pPr>
        <w:pStyle w:val="ListParagraph"/>
        <w:numPr>
          <w:ilvl w:val="0"/>
          <w:numId w:val="2"/>
        </w:numPr>
        <w:rPr>
          <w:rFonts w:ascii="Arial" w:hAnsi="Arial" w:cs="Arial"/>
          <w:sz w:val="24"/>
          <w:szCs w:val="24"/>
        </w:rPr>
      </w:pPr>
      <w:r>
        <w:rPr>
          <w:rFonts w:ascii="Arial" w:hAnsi="Arial" w:cs="Arial"/>
          <w:sz w:val="24"/>
          <w:szCs w:val="24"/>
        </w:rPr>
        <w:t>Stopwatch/timer.</w:t>
      </w:r>
    </w:p>
    <w:p w14:paraId="03133BC5" w14:textId="6FED0367" w:rsidR="008915A5" w:rsidRDefault="008915A5" w:rsidP="001904DC">
      <w:pPr>
        <w:pStyle w:val="ListParagraph"/>
        <w:numPr>
          <w:ilvl w:val="0"/>
          <w:numId w:val="2"/>
        </w:numPr>
        <w:rPr>
          <w:rFonts w:ascii="Arial" w:hAnsi="Arial" w:cs="Arial"/>
          <w:sz w:val="24"/>
          <w:szCs w:val="24"/>
        </w:rPr>
      </w:pPr>
      <w:r w:rsidRPr="008915A5">
        <w:rPr>
          <w:rFonts w:ascii="Arial" w:hAnsi="Arial" w:cs="Arial"/>
          <w:sz w:val="24"/>
          <w:szCs w:val="24"/>
        </w:rPr>
        <w:t>Material</w:t>
      </w:r>
      <w:r>
        <w:rPr>
          <w:rFonts w:ascii="Arial" w:hAnsi="Arial" w:cs="Arial"/>
          <w:sz w:val="24"/>
          <w:szCs w:val="24"/>
        </w:rPr>
        <w:t xml:space="preserve"> was printed </w:t>
      </w:r>
      <w:r w:rsidR="0042331B">
        <w:rPr>
          <w:rFonts w:ascii="Arial" w:hAnsi="Arial" w:cs="Arial"/>
          <w:sz w:val="24"/>
          <w:szCs w:val="24"/>
        </w:rPr>
        <w:t xml:space="preserve">in size 26 font </w:t>
      </w:r>
      <w:r>
        <w:rPr>
          <w:rFonts w:ascii="Arial" w:hAnsi="Arial" w:cs="Arial"/>
          <w:sz w:val="24"/>
          <w:szCs w:val="24"/>
        </w:rPr>
        <w:t>on white A4 paper folded in half.</w:t>
      </w:r>
    </w:p>
    <w:p w14:paraId="4EEF639A" w14:textId="1898930E" w:rsidR="008915A5" w:rsidRDefault="008915A5" w:rsidP="001904DC">
      <w:pPr>
        <w:pStyle w:val="ListParagraph"/>
        <w:numPr>
          <w:ilvl w:val="0"/>
          <w:numId w:val="2"/>
        </w:numPr>
        <w:rPr>
          <w:rFonts w:ascii="Arial" w:hAnsi="Arial" w:cs="Arial"/>
          <w:sz w:val="24"/>
          <w:szCs w:val="24"/>
        </w:rPr>
      </w:pPr>
      <w:r>
        <w:rPr>
          <w:rFonts w:ascii="Arial" w:hAnsi="Arial" w:cs="Arial"/>
          <w:sz w:val="24"/>
          <w:szCs w:val="24"/>
        </w:rPr>
        <w:t>Pens.</w:t>
      </w:r>
    </w:p>
    <w:p w14:paraId="304E470B" w14:textId="78411969" w:rsidR="008915A5" w:rsidRPr="008915A5" w:rsidRDefault="008915A5" w:rsidP="001904DC">
      <w:pPr>
        <w:pStyle w:val="ListParagraph"/>
        <w:numPr>
          <w:ilvl w:val="0"/>
          <w:numId w:val="2"/>
        </w:numPr>
        <w:rPr>
          <w:rFonts w:ascii="Arial" w:hAnsi="Arial" w:cs="Arial"/>
          <w:sz w:val="24"/>
          <w:szCs w:val="24"/>
        </w:rPr>
      </w:pPr>
      <w:r>
        <w:rPr>
          <w:rFonts w:ascii="Arial" w:hAnsi="Arial" w:cs="Arial"/>
          <w:sz w:val="24"/>
          <w:szCs w:val="24"/>
        </w:rPr>
        <w:lastRenderedPageBreak/>
        <w:t>Paper.</w:t>
      </w:r>
    </w:p>
    <w:p w14:paraId="59C04B08" w14:textId="60411DD8" w:rsidR="001B0CCD" w:rsidRDefault="00625A34" w:rsidP="001904DC">
      <w:pPr>
        <w:rPr>
          <w:rFonts w:ascii="Arial" w:hAnsi="Arial" w:cs="Arial"/>
          <w:sz w:val="24"/>
          <w:szCs w:val="24"/>
        </w:rPr>
      </w:pPr>
      <w:r>
        <w:rPr>
          <w:rFonts w:ascii="Arial" w:hAnsi="Arial" w:cs="Arial"/>
          <w:sz w:val="24"/>
          <w:szCs w:val="24"/>
        </w:rPr>
        <w:t>Procedure</w:t>
      </w:r>
      <w:r w:rsidR="00E510F7">
        <w:rPr>
          <w:rFonts w:ascii="Arial" w:hAnsi="Arial" w:cs="Arial"/>
          <w:sz w:val="24"/>
          <w:szCs w:val="24"/>
        </w:rPr>
        <w:t xml:space="preserve"> – See Appendi</w:t>
      </w:r>
      <w:r w:rsidR="002E4E68">
        <w:rPr>
          <w:rFonts w:ascii="Arial" w:hAnsi="Arial" w:cs="Arial"/>
          <w:sz w:val="24"/>
          <w:szCs w:val="24"/>
        </w:rPr>
        <w:t>x 2.</w:t>
      </w:r>
    </w:p>
    <w:p w14:paraId="4FDA6481" w14:textId="09038DDC" w:rsidR="00D713AA" w:rsidRDefault="00D713AA" w:rsidP="001904DC">
      <w:pPr>
        <w:rPr>
          <w:rFonts w:ascii="Arial" w:hAnsi="Arial" w:cs="Arial"/>
          <w:sz w:val="24"/>
          <w:szCs w:val="24"/>
        </w:rPr>
      </w:pPr>
      <w:r w:rsidRPr="00D713AA">
        <w:rPr>
          <w:rFonts w:ascii="Arial" w:hAnsi="Arial" w:cs="Arial"/>
          <w:sz w:val="28"/>
          <w:szCs w:val="28"/>
        </w:rPr>
        <w:t xml:space="preserve">Results </w:t>
      </w:r>
      <w:r>
        <w:rPr>
          <w:rFonts w:ascii="Arial" w:hAnsi="Arial" w:cs="Arial"/>
          <w:sz w:val="24"/>
          <w:szCs w:val="24"/>
        </w:rPr>
        <w:t xml:space="preserve">– </w:t>
      </w:r>
      <w:bookmarkStart w:id="1" w:name="_Hlk133328500"/>
    </w:p>
    <w:p w14:paraId="3DA66B0D"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bl>
      <w:tblPr>
        <w:tblW w:w="6994" w:type="dxa"/>
        <w:tblLayout w:type="fixed"/>
        <w:tblCellMar>
          <w:left w:w="0" w:type="dxa"/>
          <w:right w:w="0" w:type="dxa"/>
        </w:tblCellMar>
        <w:tblLook w:val="0000" w:firstRow="0" w:lastRow="0" w:firstColumn="0" w:lastColumn="0" w:noHBand="0" w:noVBand="0"/>
      </w:tblPr>
      <w:tblGrid>
        <w:gridCol w:w="754"/>
        <w:gridCol w:w="1656"/>
        <w:gridCol w:w="1134"/>
        <w:gridCol w:w="576"/>
        <w:gridCol w:w="1368"/>
        <w:gridCol w:w="1506"/>
      </w:tblGrid>
      <w:tr w:rsidR="00D713AA" w:rsidRPr="00D713AA" w14:paraId="39E6D6D5" w14:textId="77777777" w:rsidTr="00D713AA">
        <w:trPr>
          <w:cantSplit/>
        </w:trPr>
        <w:tc>
          <w:tcPr>
            <w:tcW w:w="6994" w:type="dxa"/>
            <w:gridSpan w:val="6"/>
            <w:tcBorders>
              <w:top w:val="nil"/>
              <w:left w:val="nil"/>
              <w:bottom w:val="nil"/>
              <w:right w:val="nil"/>
            </w:tcBorders>
            <w:shd w:val="clear" w:color="auto" w:fill="FFFFFF"/>
            <w:vAlign w:val="center"/>
          </w:tcPr>
          <w:p w14:paraId="3465A139"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010205"/>
                <w:kern w:val="0"/>
                <w:sz w:val="28"/>
                <w:szCs w:val="28"/>
              </w:rPr>
            </w:pPr>
            <w:r w:rsidRPr="00D713AA">
              <w:rPr>
                <w:rFonts w:ascii="Arial" w:hAnsi="Arial" w:cs="Arial"/>
                <w:b/>
                <w:bCs/>
                <w:color w:val="010205"/>
                <w:kern w:val="0"/>
                <w:sz w:val="28"/>
                <w:szCs w:val="28"/>
              </w:rPr>
              <w:t>Paired Samples Statistics</w:t>
            </w:r>
          </w:p>
        </w:tc>
      </w:tr>
      <w:tr w:rsidR="00D713AA" w:rsidRPr="00D713AA" w14:paraId="67C578D4" w14:textId="77777777" w:rsidTr="00D713AA">
        <w:trPr>
          <w:cantSplit/>
        </w:trPr>
        <w:tc>
          <w:tcPr>
            <w:tcW w:w="2410" w:type="dxa"/>
            <w:gridSpan w:val="2"/>
            <w:tcBorders>
              <w:top w:val="nil"/>
              <w:left w:val="nil"/>
              <w:bottom w:val="single" w:sz="8" w:space="0" w:color="152935"/>
              <w:right w:val="nil"/>
            </w:tcBorders>
            <w:shd w:val="clear" w:color="auto" w:fill="FFFFFF"/>
            <w:vAlign w:val="bottom"/>
          </w:tcPr>
          <w:p w14:paraId="67CC7C06"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c>
        <w:tc>
          <w:tcPr>
            <w:tcW w:w="1134" w:type="dxa"/>
            <w:tcBorders>
              <w:top w:val="nil"/>
              <w:left w:val="nil"/>
              <w:bottom w:val="single" w:sz="8" w:space="0" w:color="152935"/>
              <w:right w:val="single" w:sz="8" w:space="0" w:color="E0E0E0"/>
            </w:tcBorders>
            <w:shd w:val="clear" w:color="auto" w:fill="FFFFFF"/>
            <w:vAlign w:val="bottom"/>
          </w:tcPr>
          <w:p w14:paraId="2ABED96F"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Mean</w:t>
            </w:r>
          </w:p>
        </w:tc>
        <w:tc>
          <w:tcPr>
            <w:tcW w:w="576" w:type="dxa"/>
            <w:tcBorders>
              <w:top w:val="nil"/>
              <w:left w:val="single" w:sz="8" w:space="0" w:color="E0E0E0"/>
              <w:bottom w:val="single" w:sz="8" w:space="0" w:color="152935"/>
              <w:right w:val="single" w:sz="8" w:space="0" w:color="E0E0E0"/>
            </w:tcBorders>
            <w:shd w:val="clear" w:color="auto" w:fill="FFFFFF"/>
            <w:vAlign w:val="bottom"/>
          </w:tcPr>
          <w:p w14:paraId="76A83656"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N</w:t>
            </w: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2E39783B"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Std. Deviation</w:t>
            </w:r>
          </w:p>
        </w:tc>
        <w:tc>
          <w:tcPr>
            <w:tcW w:w="1506" w:type="dxa"/>
            <w:tcBorders>
              <w:top w:val="nil"/>
              <w:left w:val="single" w:sz="8" w:space="0" w:color="E0E0E0"/>
              <w:bottom w:val="single" w:sz="8" w:space="0" w:color="152935"/>
              <w:right w:val="nil"/>
            </w:tcBorders>
            <w:shd w:val="clear" w:color="auto" w:fill="FFFFFF"/>
            <w:vAlign w:val="bottom"/>
          </w:tcPr>
          <w:p w14:paraId="6DC633FE"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Std. Error Mean</w:t>
            </w:r>
          </w:p>
        </w:tc>
      </w:tr>
      <w:tr w:rsidR="00D713AA" w:rsidRPr="00D713AA" w14:paraId="28027B2D" w14:textId="77777777" w:rsidTr="00D713AA">
        <w:trPr>
          <w:cantSplit/>
        </w:trPr>
        <w:tc>
          <w:tcPr>
            <w:tcW w:w="754" w:type="dxa"/>
            <w:vMerge w:val="restart"/>
            <w:tcBorders>
              <w:top w:val="single" w:sz="8" w:space="0" w:color="152935"/>
              <w:left w:val="nil"/>
              <w:bottom w:val="single" w:sz="8" w:space="0" w:color="152935"/>
              <w:right w:val="nil"/>
            </w:tcBorders>
            <w:shd w:val="clear" w:color="auto" w:fill="E0E0E0"/>
          </w:tcPr>
          <w:p w14:paraId="1DB94A0A"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Pair 1</w:t>
            </w:r>
          </w:p>
        </w:tc>
        <w:tc>
          <w:tcPr>
            <w:tcW w:w="1656" w:type="dxa"/>
            <w:tcBorders>
              <w:top w:val="single" w:sz="8" w:space="0" w:color="152935"/>
              <w:left w:val="nil"/>
              <w:bottom w:val="single" w:sz="8" w:space="0" w:color="AEAEAE"/>
              <w:right w:val="nil"/>
            </w:tcBorders>
            <w:shd w:val="clear" w:color="auto" w:fill="E0E0E0"/>
          </w:tcPr>
          <w:p w14:paraId="685A201F"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Congruent</w:t>
            </w:r>
          </w:p>
        </w:tc>
        <w:tc>
          <w:tcPr>
            <w:tcW w:w="1134" w:type="dxa"/>
            <w:tcBorders>
              <w:top w:val="single" w:sz="8" w:space="0" w:color="152935"/>
              <w:left w:val="nil"/>
              <w:bottom w:val="single" w:sz="8" w:space="0" w:color="AEAEAE"/>
              <w:right w:val="single" w:sz="8" w:space="0" w:color="E0E0E0"/>
            </w:tcBorders>
            <w:shd w:val="clear" w:color="auto" w:fill="F9F9FB"/>
          </w:tcPr>
          <w:p w14:paraId="648F31D5"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6.6378</w:t>
            </w:r>
          </w:p>
        </w:tc>
        <w:tc>
          <w:tcPr>
            <w:tcW w:w="576" w:type="dxa"/>
            <w:tcBorders>
              <w:top w:val="single" w:sz="8" w:space="0" w:color="152935"/>
              <w:left w:val="single" w:sz="8" w:space="0" w:color="E0E0E0"/>
              <w:bottom w:val="single" w:sz="8" w:space="0" w:color="AEAEAE"/>
              <w:right w:val="single" w:sz="8" w:space="0" w:color="E0E0E0"/>
            </w:tcBorders>
            <w:shd w:val="clear" w:color="auto" w:fill="F9F9FB"/>
          </w:tcPr>
          <w:p w14:paraId="647799C9"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23</w:t>
            </w:r>
          </w:p>
        </w:tc>
        <w:tc>
          <w:tcPr>
            <w:tcW w:w="1368" w:type="dxa"/>
            <w:tcBorders>
              <w:top w:val="single" w:sz="8" w:space="0" w:color="152935"/>
              <w:left w:val="single" w:sz="8" w:space="0" w:color="E0E0E0"/>
              <w:bottom w:val="single" w:sz="8" w:space="0" w:color="AEAEAE"/>
              <w:right w:val="single" w:sz="8" w:space="0" w:color="E0E0E0"/>
            </w:tcBorders>
            <w:shd w:val="clear" w:color="auto" w:fill="F9F9FB"/>
          </w:tcPr>
          <w:p w14:paraId="5B5392F4"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1.25409</w:t>
            </w:r>
          </w:p>
        </w:tc>
        <w:tc>
          <w:tcPr>
            <w:tcW w:w="1506" w:type="dxa"/>
            <w:tcBorders>
              <w:top w:val="single" w:sz="8" w:space="0" w:color="152935"/>
              <w:left w:val="single" w:sz="8" w:space="0" w:color="E0E0E0"/>
              <w:bottom w:val="single" w:sz="8" w:space="0" w:color="AEAEAE"/>
              <w:right w:val="nil"/>
            </w:tcBorders>
            <w:shd w:val="clear" w:color="auto" w:fill="F9F9FB"/>
          </w:tcPr>
          <w:p w14:paraId="303979CD"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.26150</w:t>
            </w:r>
          </w:p>
        </w:tc>
      </w:tr>
      <w:tr w:rsidR="00D713AA" w:rsidRPr="00D713AA" w14:paraId="567FB7AD" w14:textId="77777777" w:rsidTr="00D713AA">
        <w:trPr>
          <w:cantSplit/>
        </w:trPr>
        <w:tc>
          <w:tcPr>
            <w:tcW w:w="754" w:type="dxa"/>
            <w:vMerge/>
            <w:tcBorders>
              <w:top w:val="single" w:sz="8" w:space="0" w:color="152935"/>
              <w:left w:val="nil"/>
              <w:bottom w:val="single" w:sz="8" w:space="0" w:color="152935"/>
              <w:right w:val="nil"/>
            </w:tcBorders>
            <w:shd w:val="clear" w:color="auto" w:fill="E0E0E0"/>
          </w:tcPr>
          <w:p w14:paraId="023C2EB0" w14:textId="77777777" w:rsidR="00D713AA" w:rsidRPr="00D713AA" w:rsidRDefault="00D713AA" w:rsidP="00D713AA">
            <w:pPr>
              <w:autoSpaceDE w:val="0"/>
              <w:autoSpaceDN w:val="0"/>
              <w:adjustRightInd w:val="0"/>
              <w:spacing w:after="0" w:line="240" w:lineRule="auto"/>
              <w:rPr>
                <w:rFonts w:ascii="Arial" w:hAnsi="Arial" w:cs="Arial"/>
                <w:color w:val="010205"/>
                <w:kern w:val="0"/>
                <w:sz w:val="24"/>
                <w:szCs w:val="24"/>
              </w:rPr>
            </w:pPr>
          </w:p>
        </w:tc>
        <w:tc>
          <w:tcPr>
            <w:tcW w:w="1656" w:type="dxa"/>
            <w:tcBorders>
              <w:top w:val="single" w:sz="8" w:space="0" w:color="AEAEAE"/>
              <w:left w:val="nil"/>
              <w:bottom w:val="single" w:sz="8" w:space="0" w:color="152935"/>
              <w:right w:val="nil"/>
            </w:tcBorders>
            <w:shd w:val="clear" w:color="auto" w:fill="E0E0E0"/>
          </w:tcPr>
          <w:p w14:paraId="59D7D866" w14:textId="08B888BC"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Inc</w:t>
            </w:r>
            <w:r>
              <w:rPr>
                <w:rFonts w:ascii="Arial" w:hAnsi="Arial" w:cs="Arial"/>
                <w:color w:val="264A60"/>
                <w:kern w:val="0"/>
                <w:sz w:val="24"/>
                <w:szCs w:val="24"/>
              </w:rPr>
              <w:t>o</w:t>
            </w:r>
            <w:r w:rsidRPr="00D713AA">
              <w:rPr>
                <w:rFonts w:ascii="Arial" w:hAnsi="Arial" w:cs="Arial"/>
                <w:color w:val="264A60"/>
                <w:kern w:val="0"/>
                <w:sz w:val="24"/>
                <w:szCs w:val="24"/>
              </w:rPr>
              <w:t>ngruent</w:t>
            </w:r>
          </w:p>
        </w:tc>
        <w:tc>
          <w:tcPr>
            <w:tcW w:w="1134" w:type="dxa"/>
            <w:tcBorders>
              <w:top w:val="single" w:sz="8" w:space="0" w:color="AEAEAE"/>
              <w:left w:val="nil"/>
              <w:bottom w:val="single" w:sz="8" w:space="0" w:color="152935"/>
              <w:right w:val="single" w:sz="8" w:space="0" w:color="E0E0E0"/>
            </w:tcBorders>
            <w:shd w:val="clear" w:color="auto" w:fill="F9F9FB"/>
          </w:tcPr>
          <w:p w14:paraId="48959F51"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13.4674</w:t>
            </w:r>
          </w:p>
        </w:tc>
        <w:tc>
          <w:tcPr>
            <w:tcW w:w="576" w:type="dxa"/>
            <w:tcBorders>
              <w:top w:val="single" w:sz="8" w:space="0" w:color="AEAEAE"/>
              <w:left w:val="single" w:sz="8" w:space="0" w:color="E0E0E0"/>
              <w:bottom w:val="single" w:sz="8" w:space="0" w:color="152935"/>
              <w:right w:val="single" w:sz="8" w:space="0" w:color="E0E0E0"/>
            </w:tcBorders>
            <w:shd w:val="clear" w:color="auto" w:fill="F9F9FB"/>
          </w:tcPr>
          <w:p w14:paraId="2F0DC43D"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23</w:t>
            </w:r>
          </w:p>
        </w:tc>
        <w:tc>
          <w:tcPr>
            <w:tcW w:w="1368" w:type="dxa"/>
            <w:tcBorders>
              <w:top w:val="single" w:sz="8" w:space="0" w:color="AEAEAE"/>
              <w:left w:val="single" w:sz="8" w:space="0" w:color="E0E0E0"/>
              <w:bottom w:val="single" w:sz="8" w:space="0" w:color="152935"/>
              <w:right w:val="single" w:sz="8" w:space="0" w:color="E0E0E0"/>
            </w:tcBorders>
            <w:shd w:val="clear" w:color="auto" w:fill="F9F9FB"/>
          </w:tcPr>
          <w:p w14:paraId="3E2E1B85"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3.18329</w:t>
            </w:r>
          </w:p>
        </w:tc>
        <w:tc>
          <w:tcPr>
            <w:tcW w:w="1506" w:type="dxa"/>
            <w:tcBorders>
              <w:top w:val="single" w:sz="8" w:space="0" w:color="AEAEAE"/>
              <w:left w:val="single" w:sz="8" w:space="0" w:color="E0E0E0"/>
              <w:bottom w:val="single" w:sz="8" w:space="0" w:color="152935"/>
              <w:right w:val="nil"/>
            </w:tcBorders>
            <w:shd w:val="clear" w:color="auto" w:fill="F9F9FB"/>
          </w:tcPr>
          <w:p w14:paraId="09E2A279"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.66376</w:t>
            </w:r>
          </w:p>
        </w:tc>
      </w:tr>
    </w:tbl>
    <w:p w14:paraId="7CB638C4" w14:textId="77777777" w:rsidR="00D713AA" w:rsidRPr="00D713AA" w:rsidRDefault="00D713AA" w:rsidP="00D713AA">
      <w:pPr>
        <w:autoSpaceDE w:val="0"/>
        <w:autoSpaceDN w:val="0"/>
        <w:adjustRightInd w:val="0"/>
        <w:spacing w:after="0" w:line="400" w:lineRule="atLeast"/>
        <w:rPr>
          <w:rFonts w:ascii="Times New Roman" w:hAnsi="Times New Roman" w:cs="Times New Roman"/>
          <w:kern w:val="0"/>
          <w:sz w:val="24"/>
          <w:szCs w:val="24"/>
        </w:rPr>
      </w:pPr>
    </w:p>
    <w:p w14:paraId="0791BEC7"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bl>
      <w:tblPr>
        <w:tblW w:w="5000" w:type="pct"/>
        <w:tblCellMar>
          <w:left w:w="0" w:type="dxa"/>
          <w:right w:w="0" w:type="dxa"/>
        </w:tblCellMar>
        <w:tblLook w:val="0000" w:firstRow="0" w:lastRow="0" w:firstColumn="0" w:lastColumn="0" w:noHBand="0" w:noVBand="0"/>
      </w:tblPr>
      <w:tblGrid>
        <w:gridCol w:w="548"/>
        <w:gridCol w:w="1388"/>
        <w:gridCol w:w="397"/>
        <w:gridCol w:w="1314"/>
        <w:gridCol w:w="2166"/>
        <w:gridCol w:w="3213"/>
      </w:tblGrid>
      <w:tr w:rsidR="00D713AA" w:rsidRPr="00D713AA" w14:paraId="149C06ED" w14:textId="77777777" w:rsidTr="00D713AA">
        <w:trPr>
          <w:cantSplit/>
        </w:trPr>
        <w:tc>
          <w:tcPr>
            <w:tcW w:w="5000" w:type="pct"/>
            <w:gridSpan w:val="6"/>
            <w:tcBorders>
              <w:top w:val="nil"/>
              <w:left w:val="nil"/>
              <w:bottom w:val="nil"/>
              <w:right w:val="nil"/>
            </w:tcBorders>
            <w:shd w:val="clear" w:color="auto" w:fill="FFFFFF"/>
            <w:vAlign w:val="center"/>
          </w:tcPr>
          <w:p w14:paraId="7D508219"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010205"/>
                <w:kern w:val="0"/>
                <w:sz w:val="28"/>
                <w:szCs w:val="28"/>
              </w:rPr>
            </w:pPr>
            <w:r w:rsidRPr="00D713AA">
              <w:rPr>
                <w:rFonts w:ascii="Arial" w:hAnsi="Arial" w:cs="Arial"/>
                <w:b/>
                <w:bCs/>
                <w:color w:val="010205"/>
                <w:kern w:val="0"/>
                <w:sz w:val="28"/>
                <w:szCs w:val="28"/>
              </w:rPr>
              <w:t>Paired Samples Correlations</w:t>
            </w:r>
          </w:p>
        </w:tc>
      </w:tr>
      <w:tr w:rsidR="00D713AA" w:rsidRPr="00D713AA" w14:paraId="74C8A1CC" w14:textId="77777777" w:rsidTr="00D713AA">
        <w:trPr>
          <w:cantSplit/>
        </w:trPr>
        <w:tc>
          <w:tcPr>
            <w:tcW w:w="1072" w:type="pct"/>
            <w:gridSpan w:val="2"/>
            <w:vMerge w:val="restart"/>
            <w:tcBorders>
              <w:top w:val="nil"/>
              <w:left w:val="nil"/>
              <w:bottom w:val="nil"/>
              <w:right w:val="nil"/>
            </w:tcBorders>
            <w:shd w:val="clear" w:color="auto" w:fill="FFFFFF"/>
            <w:vAlign w:val="bottom"/>
          </w:tcPr>
          <w:p w14:paraId="40C25FBB"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c>
        <w:tc>
          <w:tcPr>
            <w:tcW w:w="220" w:type="pct"/>
            <w:vMerge w:val="restart"/>
            <w:tcBorders>
              <w:top w:val="nil"/>
              <w:left w:val="nil"/>
              <w:bottom w:val="nil"/>
              <w:right w:val="single" w:sz="8" w:space="0" w:color="E0E0E0"/>
            </w:tcBorders>
            <w:shd w:val="clear" w:color="auto" w:fill="FFFFFF"/>
            <w:vAlign w:val="bottom"/>
          </w:tcPr>
          <w:p w14:paraId="7BDF5429"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N</w:t>
            </w:r>
          </w:p>
        </w:tc>
        <w:tc>
          <w:tcPr>
            <w:tcW w:w="728" w:type="pct"/>
            <w:vMerge w:val="restart"/>
            <w:tcBorders>
              <w:top w:val="nil"/>
              <w:left w:val="single" w:sz="8" w:space="0" w:color="E0E0E0"/>
              <w:bottom w:val="nil"/>
              <w:right w:val="single" w:sz="8" w:space="0" w:color="E0E0E0"/>
            </w:tcBorders>
            <w:shd w:val="clear" w:color="auto" w:fill="FFFFFF"/>
            <w:vAlign w:val="bottom"/>
          </w:tcPr>
          <w:p w14:paraId="41AC90D2"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Correlation</w:t>
            </w:r>
          </w:p>
        </w:tc>
        <w:tc>
          <w:tcPr>
            <w:tcW w:w="2980" w:type="pct"/>
            <w:gridSpan w:val="2"/>
            <w:tcBorders>
              <w:top w:val="nil"/>
              <w:left w:val="single" w:sz="8" w:space="0" w:color="E0E0E0"/>
              <w:bottom w:val="nil"/>
              <w:right w:val="nil"/>
            </w:tcBorders>
            <w:shd w:val="clear" w:color="auto" w:fill="FFFFFF"/>
            <w:vAlign w:val="bottom"/>
          </w:tcPr>
          <w:p w14:paraId="143C9FBC"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Significance</w:t>
            </w:r>
          </w:p>
        </w:tc>
      </w:tr>
      <w:tr w:rsidR="00D713AA" w:rsidRPr="00D713AA" w14:paraId="371CE2F2" w14:textId="77777777" w:rsidTr="00D713AA">
        <w:trPr>
          <w:cantSplit/>
        </w:trPr>
        <w:tc>
          <w:tcPr>
            <w:tcW w:w="1072" w:type="pct"/>
            <w:gridSpan w:val="2"/>
            <w:vMerge/>
            <w:tcBorders>
              <w:top w:val="nil"/>
              <w:left w:val="nil"/>
              <w:bottom w:val="nil"/>
              <w:right w:val="nil"/>
            </w:tcBorders>
            <w:shd w:val="clear" w:color="auto" w:fill="FFFFFF"/>
            <w:vAlign w:val="bottom"/>
          </w:tcPr>
          <w:p w14:paraId="4FF3F948"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220" w:type="pct"/>
            <w:vMerge/>
            <w:tcBorders>
              <w:top w:val="nil"/>
              <w:left w:val="nil"/>
              <w:bottom w:val="nil"/>
              <w:right w:val="single" w:sz="8" w:space="0" w:color="E0E0E0"/>
            </w:tcBorders>
            <w:shd w:val="clear" w:color="auto" w:fill="FFFFFF"/>
            <w:vAlign w:val="bottom"/>
          </w:tcPr>
          <w:p w14:paraId="5DAF27D4"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728" w:type="pct"/>
            <w:vMerge/>
            <w:tcBorders>
              <w:top w:val="nil"/>
              <w:left w:val="single" w:sz="8" w:space="0" w:color="E0E0E0"/>
              <w:bottom w:val="nil"/>
              <w:right w:val="single" w:sz="8" w:space="0" w:color="E0E0E0"/>
            </w:tcBorders>
            <w:shd w:val="clear" w:color="auto" w:fill="FFFFFF"/>
            <w:vAlign w:val="bottom"/>
          </w:tcPr>
          <w:p w14:paraId="2397E6B4"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1200" w:type="pct"/>
            <w:tcBorders>
              <w:top w:val="nil"/>
              <w:left w:val="single" w:sz="8" w:space="0" w:color="E0E0E0"/>
              <w:bottom w:val="single" w:sz="8" w:space="0" w:color="152935"/>
              <w:right w:val="single" w:sz="8" w:space="0" w:color="E0E0E0"/>
            </w:tcBorders>
            <w:shd w:val="clear" w:color="auto" w:fill="FFFFFF"/>
            <w:vAlign w:val="bottom"/>
          </w:tcPr>
          <w:p w14:paraId="157A5671"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One-Sided p</w:t>
            </w:r>
          </w:p>
        </w:tc>
        <w:tc>
          <w:tcPr>
            <w:tcW w:w="1780" w:type="pct"/>
            <w:tcBorders>
              <w:top w:val="nil"/>
              <w:left w:val="single" w:sz="8" w:space="0" w:color="E0E0E0"/>
              <w:bottom w:val="single" w:sz="8" w:space="0" w:color="152935"/>
              <w:right w:val="nil"/>
            </w:tcBorders>
            <w:shd w:val="clear" w:color="auto" w:fill="FFFFFF"/>
            <w:vAlign w:val="bottom"/>
          </w:tcPr>
          <w:p w14:paraId="1152F8BB"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Two-Sided p</w:t>
            </w:r>
          </w:p>
        </w:tc>
      </w:tr>
      <w:tr w:rsidR="00D713AA" w:rsidRPr="00D713AA" w14:paraId="5AA2BC31" w14:textId="77777777" w:rsidTr="00D713AA">
        <w:trPr>
          <w:cantSplit/>
        </w:trPr>
        <w:tc>
          <w:tcPr>
            <w:tcW w:w="303" w:type="pct"/>
            <w:tcBorders>
              <w:top w:val="single" w:sz="8" w:space="0" w:color="152935"/>
              <w:left w:val="nil"/>
              <w:bottom w:val="single" w:sz="8" w:space="0" w:color="152935"/>
              <w:right w:val="nil"/>
            </w:tcBorders>
            <w:shd w:val="clear" w:color="auto" w:fill="E0E0E0"/>
          </w:tcPr>
          <w:p w14:paraId="6A3B1C8D"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Pair 1</w:t>
            </w:r>
          </w:p>
        </w:tc>
        <w:tc>
          <w:tcPr>
            <w:tcW w:w="769" w:type="pct"/>
            <w:tcBorders>
              <w:top w:val="single" w:sz="8" w:space="0" w:color="152935"/>
              <w:left w:val="nil"/>
              <w:bottom w:val="single" w:sz="8" w:space="0" w:color="152935"/>
              <w:right w:val="nil"/>
            </w:tcBorders>
            <w:shd w:val="clear" w:color="auto" w:fill="E0E0E0"/>
          </w:tcPr>
          <w:p w14:paraId="78C347BA" w14:textId="16386DC3"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Congruent &amp; Incongruent</w:t>
            </w:r>
          </w:p>
        </w:tc>
        <w:tc>
          <w:tcPr>
            <w:tcW w:w="220" w:type="pct"/>
            <w:tcBorders>
              <w:top w:val="single" w:sz="8" w:space="0" w:color="152935"/>
              <w:left w:val="nil"/>
              <w:bottom w:val="single" w:sz="8" w:space="0" w:color="152935"/>
              <w:right w:val="single" w:sz="8" w:space="0" w:color="E0E0E0"/>
            </w:tcBorders>
            <w:shd w:val="clear" w:color="auto" w:fill="F9F9FB"/>
          </w:tcPr>
          <w:p w14:paraId="76A3AA18"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23</w:t>
            </w:r>
          </w:p>
        </w:tc>
        <w:tc>
          <w:tcPr>
            <w:tcW w:w="728" w:type="pct"/>
            <w:tcBorders>
              <w:top w:val="single" w:sz="8" w:space="0" w:color="152935"/>
              <w:left w:val="single" w:sz="8" w:space="0" w:color="E0E0E0"/>
              <w:bottom w:val="single" w:sz="8" w:space="0" w:color="152935"/>
              <w:right w:val="single" w:sz="8" w:space="0" w:color="E0E0E0"/>
            </w:tcBorders>
            <w:shd w:val="clear" w:color="auto" w:fill="F9F9FB"/>
          </w:tcPr>
          <w:p w14:paraId="7FC160E9"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.129</w:t>
            </w:r>
          </w:p>
        </w:tc>
        <w:tc>
          <w:tcPr>
            <w:tcW w:w="1200" w:type="pct"/>
            <w:tcBorders>
              <w:top w:val="single" w:sz="8" w:space="0" w:color="152935"/>
              <w:left w:val="single" w:sz="8" w:space="0" w:color="E0E0E0"/>
              <w:bottom w:val="single" w:sz="8" w:space="0" w:color="152935"/>
              <w:right w:val="single" w:sz="8" w:space="0" w:color="E0E0E0"/>
            </w:tcBorders>
            <w:shd w:val="clear" w:color="auto" w:fill="F9F9FB"/>
          </w:tcPr>
          <w:p w14:paraId="38AFD723"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.278</w:t>
            </w:r>
          </w:p>
        </w:tc>
        <w:tc>
          <w:tcPr>
            <w:tcW w:w="1780" w:type="pct"/>
            <w:tcBorders>
              <w:top w:val="single" w:sz="8" w:space="0" w:color="152935"/>
              <w:left w:val="single" w:sz="8" w:space="0" w:color="E0E0E0"/>
              <w:bottom w:val="single" w:sz="8" w:space="0" w:color="152935"/>
              <w:right w:val="nil"/>
            </w:tcBorders>
            <w:shd w:val="clear" w:color="auto" w:fill="F9F9FB"/>
          </w:tcPr>
          <w:p w14:paraId="4CDD235E"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.557</w:t>
            </w:r>
          </w:p>
        </w:tc>
      </w:tr>
      <w:tr w:rsidR="00D713AA" w:rsidRPr="00D713AA" w14:paraId="7BAEB603" w14:textId="77777777" w:rsidTr="00D713AA">
        <w:trPr>
          <w:cantSplit/>
        </w:trPr>
        <w:tc>
          <w:tcPr>
            <w:tcW w:w="303" w:type="pct"/>
            <w:tcBorders>
              <w:top w:val="single" w:sz="8" w:space="0" w:color="152935"/>
              <w:left w:val="nil"/>
              <w:bottom w:val="single" w:sz="8" w:space="0" w:color="152935"/>
              <w:right w:val="nil"/>
            </w:tcBorders>
            <w:shd w:val="clear" w:color="auto" w:fill="E0E0E0"/>
          </w:tcPr>
          <w:p w14:paraId="711B5B51"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p>
        </w:tc>
        <w:tc>
          <w:tcPr>
            <w:tcW w:w="769" w:type="pct"/>
            <w:tcBorders>
              <w:top w:val="single" w:sz="8" w:space="0" w:color="152935"/>
              <w:left w:val="nil"/>
              <w:bottom w:val="single" w:sz="8" w:space="0" w:color="152935"/>
              <w:right w:val="nil"/>
            </w:tcBorders>
            <w:shd w:val="clear" w:color="auto" w:fill="E0E0E0"/>
          </w:tcPr>
          <w:p w14:paraId="418B340D"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p>
        </w:tc>
        <w:tc>
          <w:tcPr>
            <w:tcW w:w="220" w:type="pct"/>
            <w:tcBorders>
              <w:top w:val="single" w:sz="8" w:space="0" w:color="152935"/>
              <w:left w:val="nil"/>
              <w:bottom w:val="single" w:sz="8" w:space="0" w:color="152935"/>
              <w:right w:val="single" w:sz="8" w:space="0" w:color="E0E0E0"/>
            </w:tcBorders>
            <w:shd w:val="clear" w:color="auto" w:fill="F9F9FB"/>
          </w:tcPr>
          <w:p w14:paraId="1458B9DB"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p>
        </w:tc>
        <w:tc>
          <w:tcPr>
            <w:tcW w:w="728" w:type="pct"/>
            <w:tcBorders>
              <w:top w:val="single" w:sz="8" w:space="0" w:color="152935"/>
              <w:left w:val="single" w:sz="8" w:space="0" w:color="E0E0E0"/>
              <w:bottom w:val="single" w:sz="8" w:space="0" w:color="152935"/>
              <w:right w:val="single" w:sz="8" w:space="0" w:color="E0E0E0"/>
            </w:tcBorders>
            <w:shd w:val="clear" w:color="auto" w:fill="F9F9FB"/>
          </w:tcPr>
          <w:p w14:paraId="2ADEC5F3"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p>
        </w:tc>
        <w:tc>
          <w:tcPr>
            <w:tcW w:w="1200" w:type="pct"/>
            <w:tcBorders>
              <w:top w:val="single" w:sz="8" w:space="0" w:color="152935"/>
              <w:left w:val="single" w:sz="8" w:space="0" w:color="E0E0E0"/>
              <w:bottom w:val="single" w:sz="8" w:space="0" w:color="152935"/>
              <w:right w:val="single" w:sz="8" w:space="0" w:color="E0E0E0"/>
            </w:tcBorders>
            <w:shd w:val="clear" w:color="auto" w:fill="F9F9FB"/>
          </w:tcPr>
          <w:p w14:paraId="3F5CC861"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p>
        </w:tc>
        <w:tc>
          <w:tcPr>
            <w:tcW w:w="1780" w:type="pct"/>
            <w:tcBorders>
              <w:top w:val="single" w:sz="8" w:space="0" w:color="152935"/>
              <w:left w:val="single" w:sz="8" w:space="0" w:color="E0E0E0"/>
              <w:bottom w:val="single" w:sz="8" w:space="0" w:color="152935"/>
              <w:right w:val="nil"/>
            </w:tcBorders>
            <w:shd w:val="clear" w:color="auto" w:fill="F9F9FB"/>
          </w:tcPr>
          <w:p w14:paraId="6580078E"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p>
        </w:tc>
      </w:tr>
    </w:tbl>
    <w:tbl>
      <w:tblPr>
        <w:tblpPr w:leftFromText="180" w:rightFromText="180" w:vertAnchor="text" w:horzAnchor="margin" w:tblpY="378"/>
        <w:tblW w:w="5277" w:type="pct"/>
        <w:tblCellMar>
          <w:left w:w="0" w:type="dxa"/>
          <w:right w:w="0" w:type="dxa"/>
        </w:tblCellMar>
        <w:tblLook w:val="0000" w:firstRow="0" w:lastRow="0" w:firstColumn="0" w:lastColumn="0" w:noHBand="0" w:noVBand="0"/>
      </w:tblPr>
      <w:tblGrid>
        <w:gridCol w:w="547"/>
        <w:gridCol w:w="1388"/>
        <w:gridCol w:w="998"/>
        <w:gridCol w:w="1141"/>
        <w:gridCol w:w="875"/>
        <w:gridCol w:w="1008"/>
        <w:gridCol w:w="1008"/>
        <w:gridCol w:w="875"/>
        <w:gridCol w:w="407"/>
        <w:gridCol w:w="754"/>
        <w:gridCol w:w="744"/>
      </w:tblGrid>
      <w:tr w:rsidR="00D713AA" w:rsidRPr="00D713AA" w14:paraId="2B0198C4" w14:textId="77777777" w:rsidTr="00D713AA">
        <w:trPr>
          <w:cantSplit/>
          <w:trHeight w:val="357"/>
        </w:trPr>
        <w:tc>
          <w:tcPr>
            <w:tcW w:w="5000" w:type="pct"/>
            <w:gridSpan w:val="11"/>
            <w:tcBorders>
              <w:top w:val="nil"/>
              <w:left w:val="nil"/>
              <w:bottom w:val="nil"/>
              <w:right w:val="nil"/>
            </w:tcBorders>
            <w:shd w:val="clear" w:color="auto" w:fill="FFFFFF"/>
            <w:vAlign w:val="center"/>
          </w:tcPr>
          <w:p w14:paraId="3C5FEB54" w14:textId="77777777" w:rsidR="00D713AA" w:rsidRDefault="00D713AA" w:rsidP="00D713AA">
            <w:pPr>
              <w:autoSpaceDE w:val="0"/>
              <w:autoSpaceDN w:val="0"/>
              <w:adjustRightInd w:val="0"/>
              <w:spacing w:after="0" w:line="320" w:lineRule="atLeast"/>
              <w:ind w:left="60" w:right="60"/>
              <w:jc w:val="center"/>
              <w:rPr>
                <w:rFonts w:ascii="Arial" w:hAnsi="Arial" w:cs="Arial"/>
                <w:b/>
                <w:bCs/>
                <w:color w:val="010205"/>
                <w:kern w:val="0"/>
                <w:sz w:val="28"/>
                <w:szCs w:val="28"/>
              </w:rPr>
            </w:pPr>
            <w:r w:rsidRPr="00D713AA">
              <w:rPr>
                <w:rFonts w:ascii="Arial" w:hAnsi="Arial" w:cs="Arial"/>
                <w:b/>
                <w:bCs/>
                <w:color w:val="010205"/>
                <w:kern w:val="0"/>
                <w:sz w:val="28"/>
                <w:szCs w:val="28"/>
              </w:rPr>
              <w:t>Paired Samples Test</w:t>
            </w:r>
          </w:p>
          <w:p w14:paraId="5C365256" w14:textId="1F8E97BD" w:rsidR="00D713AA" w:rsidRPr="00D713AA" w:rsidRDefault="00D713AA" w:rsidP="00D713AA">
            <w:pPr>
              <w:autoSpaceDE w:val="0"/>
              <w:autoSpaceDN w:val="0"/>
              <w:adjustRightInd w:val="0"/>
              <w:spacing w:after="0" w:line="320" w:lineRule="atLeast"/>
              <w:ind w:left="60" w:right="60"/>
              <w:jc w:val="center"/>
              <w:rPr>
                <w:rFonts w:ascii="Arial" w:hAnsi="Arial" w:cs="Arial"/>
                <w:color w:val="010205"/>
                <w:kern w:val="0"/>
                <w:sz w:val="28"/>
                <w:szCs w:val="28"/>
              </w:rPr>
            </w:pPr>
          </w:p>
        </w:tc>
      </w:tr>
      <w:tr w:rsidR="00D713AA" w:rsidRPr="00D713AA" w14:paraId="0110BDF5" w14:textId="77777777" w:rsidTr="00D713AA">
        <w:trPr>
          <w:cantSplit/>
          <w:trHeight w:val="714"/>
        </w:trPr>
        <w:tc>
          <w:tcPr>
            <w:tcW w:w="991" w:type="pct"/>
            <w:gridSpan w:val="2"/>
            <w:vMerge w:val="restart"/>
            <w:tcBorders>
              <w:top w:val="nil"/>
              <w:left w:val="nil"/>
              <w:bottom w:val="nil"/>
              <w:right w:val="nil"/>
            </w:tcBorders>
            <w:shd w:val="clear" w:color="auto" w:fill="FFFFFF"/>
            <w:vAlign w:val="bottom"/>
          </w:tcPr>
          <w:p w14:paraId="774E63C7"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c>
        <w:tc>
          <w:tcPr>
            <w:tcW w:w="2581" w:type="pct"/>
            <w:gridSpan w:val="5"/>
            <w:tcBorders>
              <w:top w:val="nil"/>
              <w:left w:val="nil"/>
              <w:bottom w:val="nil"/>
              <w:right w:val="single" w:sz="8" w:space="0" w:color="E0E0E0"/>
            </w:tcBorders>
            <w:shd w:val="clear" w:color="auto" w:fill="FFFFFF"/>
            <w:vAlign w:val="bottom"/>
          </w:tcPr>
          <w:p w14:paraId="1556BB90"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Paired Differences</w:t>
            </w:r>
          </w:p>
        </w:tc>
        <w:tc>
          <w:tcPr>
            <w:tcW w:w="449" w:type="pct"/>
            <w:vMerge w:val="restart"/>
            <w:tcBorders>
              <w:top w:val="nil"/>
              <w:left w:val="single" w:sz="8" w:space="0" w:color="E0E0E0"/>
              <w:bottom w:val="nil"/>
              <w:right w:val="single" w:sz="8" w:space="0" w:color="E0E0E0"/>
            </w:tcBorders>
            <w:shd w:val="clear" w:color="auto" w:fill="FFFFFF"/>
            <w:vAlign w:val="bottom"/>
          </w:tcPr>
          <w:p w14:paraId="3B6636F0"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t</w:t>
            </w:r>
          </w:p>
        </w:tc>
        <w:tc>
          <w:tcPr>
            <w:tcW w:w="209" w:type="pct"/>
            <w:vMerge w:val="restart"/>
            <w:tcBorders>
              <w:top w:val="nil"/>
              <w:left w:val="single" w:sz="8" w:space="0" w:color="E0E0E0"/>
              <w:bottom w:val="nil"/>
              <w:right w:val="single" w:sz="8" w:space="0" w:color="E0E0E0"/>
            </w:tcBorders>
            <w:shd w:val="clear" w:color="auto" w:fill="FFFFFF"/>
            <w:vAlign w:val="bottom"/>
          </w:tcPr>
          <w:p w14:paraId="5B5674CB"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df</w:t>
            </w:r>
          </w:p>
        </w:tc>
        <w:tc>
          <w:tcPr>
            <w:tcW w:w="768" w:type="pct"/>
            <w:gridSpan w:val="2"/>
            <w:tcBorders>
              <w:top w:val="nil"/>
              <w:left w:val="single" w:sz="8" w:space="0" w:color="E0E0E0"/>
              <w:bottom w:val="nil"/>
              <w:right w:val="nil"/>
            </w:tcBorders>
            <w:shd w:val="clear" w:color="auto" w:fill="FFFFFF"/>
            <w:vAlign w:val="bottom"/>
          </w:tcPr>
          <w:p w14:paraId="1ECB8742"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Significance</w:t>
            </w:r>
          </w:p>
        </w:tc>
      </w:tr>
      <w:tr w:rsidR="00D713AA" w:rsidRPr="00D713AA" w14:paraId="2436E41B" w14:textId="77777777" w:rsidTr="00D713AA">
        <w:trPr>
          <w:cantSplit/>
          <w:trHeight w:val="160"/>
        </w:trPr>
        <w:tc>
          <w:tcPr>
            <w:tcW w:w="991" w:type="pct"/>
            <w:gridSpan w:val="2"/>
            <w:vMerge/>
            <w:tcBorders>
              <w:top w:val="nil"/>
              <w:left w:val="nil"/>
              <w:bottom w:val="nil"/>
              <w:right w:val="nil"/>
            </w:tcBorders>
            <w:shd w:val="clear" w:color="auto" w:fill="FFFFFF"/>
            <w:vAlign w:val="bottom"/>
          </w:tcPr>
          <w:p w14:paraId="7A53FE59"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512" w:type="pct"/>
            <w:vMerge w:val="restart"/>
            <w:tcBorders>
              <w:top w:val="nil"/>
              <w:left w:val="nil"/>
              <w:bottom w:val="nil"/>
              <w:right w:val="single" w:sz="8" w:space="0" w:color="E0E0E0"/>
            </w:tcBorders>
            <w:shd w:val="clear" w:color="auto" w:fill="FFFFFF"/>
            <w:vAlign w:val="bottom"/>
          </w:tcPr>
          <w:p w14:paraId="03518BD5"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Mean</w:t>
            </w:r>
          </w:p>
        </w:tc>
        <w:tc>
          <w:tcPr>
            <w:tcW w:w="585" w:type="pct"/>
            <w:vMerge w:val="restart"/>
            <w:tcBorders>
              <w:top w:val="nil"/>
              <w:left w:val="single" w:sz="8" w:space="0" w:color="E0E0E0"/>
              <w:bottom w:val="nil"/>
              <w:right w:val="single" w:sz="8" w:space="0" w:color="E0E0E0"/>
            </w:tcBorders>
            <w:shd w:val="clear" w:color="auto" w:fill="FFFFFF"/>
            <w:vAlign w:val="bottom"/>
          </w:tcPr>
          <w:p w14:paraId="6A6E0DD1"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Std. Deviation</w:t>
            </w:r>
          </w:p>
        </w:tc>
        <w:tc>
          <w:tcPr>
            <w:tcW w:w="449" w:type="pct"/>
            <w:vMerge w:val="restart"/>
            <w:tcBorders>
              <w:top w:val="nil"/>
              <w:left w:val="single" w:sz="8" w:space="0" w:color="E0E0E0"/>
              <w:bottom w:val="nil"/>
              <w:right w:val="single" w:sz="8" w:space="0" w:color="E0E0E0"/>
            </w:tcBorders>
            <w:shd w:val="clear" w:color="auto" w:fill="FFFFFF"/>
            <w:vAlign w:val="bottom"/>
          </w:tcPr>
          <w:p w14:paraId="1B1507E9"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Std. Error Mean</w:t>
            </w:r>
          </w:p>
        </w:tc>
        <w:tc>
          <w:tcPr>
            <w:tcW w:w="1035" w:type="pct"/>
            <w:gridSpan w:val="2"/>
            <w:tcBorders>
              <w:top w:val="nil"/>
              <w:left w:val="single" w:sz="8" w:space="0" w:color="E0E0E0"/>
              <w:bottom w:val="nil"/>
              <w:right w:val="single" w:sz="8" w:space="0" w:color="E0E0E0"/>
            </w:tcBorders>
            <w:shd w:val="clear" w:color="auto" w:fill="FFFFFF"/>
            <w:vAlign w:val="bottom"/>
          </w:tcPr>
          <w:p w14:paraId="10DD3F3A"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95% Confidence Interval of the Difference</w:t>
            </w:r>
          </w:p>
        </w:tc>
        <w:tc>
          <w:tcPr>
            <w:tcW w:w="449" w:type="pct"/>
            <w:vMerge/>
            <w:tcBorders>
              <w:top w:val="nil"/>
              <w:left w:val="single" w:sz="8" w:space="0" w:color="E0E0E0"/>
              <w:bottom w:val="nil"/>
              <w:right w:val="single" w:sz="8" w:space="0" w:color="E0E0E0"/>
            </w:tcBorders>
            <w:shd w:val="clear" w:color="auto" w:fill="FFFFFF"/>
            <w:vAlign w:val="bottom"/>
          </w:tcPr>
          <w:p w14:paraId="12CF55C9"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209" w:type="pct"/>
            <w:vMerge/>
            <w:tcBorders>
              <w:top w:val="nil"/>
              <w:left w:val="single" w:sz="8" w:space="0" w:color="E0E0E0"/>
              <w:bottom w:val="nil"/>
              <w:right w:val="single" w:sz="8" w:space="0" w:color="E0E0E0"/>
            </w:tcBorders>
            <w:shd w:val="clear" w:color="auto" w:fill="FFFFFF"/>
            <w:vAlign w:val="bottom"/>
          </w:tcPr>
          <w:p w14:paraId="371ABEF6"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387" w:type="pct"/>
            <w:vMerge w:val="restart"/>
            <w:tcBorders>
              <w:top w:val="nil"/>
              <w:left w:val="single" w:sz="8" w:space="0" w:color="E0E0E0"/>
              <w:bottom w:val="nil"/>
              <w:right w:val="single" w:sz="8" w:space="0" w:color="E0E0E0"/>
            </w:tcBorders>
            <w:shd w:val="clear" w:color="auto" w:fill="FFFFFF"/>
            <w:vAlign w:val="bottom"/>
          </w:tcPr>
          <w:p w14:paraId="181CAD06"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One-Sided p</w:t>
            </w:r>
          </w:p>
        </w:tc>
        <w:tc>
          <w:tcPr>
            <w:tcW w:w="382" w:type="pct"/>
            <w:vMerge w:val="restart"/>
            <w:tcBorders>
              <w:top w:val="nil"/>
              <w:left w:val="single" w:sz="8" w:space="0" w:color="E0E0E0"/>
              <w:bottom w:val="nil"/>
              <w:right w:val="nil"/>
            </w:tcBorders>
            <w:shd w:val="clear" w:color="auto" w:fill="FFFFFF"/>
            <w:vAlign w:val="bottom"/>
          </w:tcPr>
          <w:p w14:paraId="1F2687DD"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Two-Sided p</w:t>
            </w:r>
          </w:p>
        </w:tc>
      </w:tr>
      <w:tr w:rsidR="00D713AA" w:rsidRPr="00D713AA" w14:paraId="32D3099C" w14:textId="77777777" w:rsidTr="00D713AA">
        <w:trPr>
          <w:cantSplit/>
          <w:trHeight w:val="160"/>
        </w:trPr>
        <w:tc>
          <w:tcPr>
            <w:tcW w:w="991" w:type="pct"/>
            <w:gridSpan w:val="2"/>
            <w:vMerge/>
            <w:tcBorders>
              <w:top w:val="nil"/>
              <w:left w:val="nil"/>
              <w:bottom w:val="nil"/>
              <w:right w:val="nil"/>
            </w:tcBorders>
            <w:shd w:val="clear" w:color="auto" w:fill="FFFFFF"/>
            <w:vAlign w:val="bottom"/>
          </w:tcPr>
          <w:p w14:paraId="68D9A9D6"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512" w:type="pct"/>
            <w:vMerge/>
            <w:tcBorders>
              <w:top w:val="nil"/>
              <w:left w:val="nil"/>
              <w:bottom w:val="nil"/>
              <w:right w:val="single" w:sz="8" w:space="0" w:color="E0E0E0"/>
            </w:tcBorders>
            <w:shd w:val="clear" w:color="auto" w:fill="FFFFFF"/>
            <w:vAlign w:val="bottom"/>
          </w:tcPr>
          <w:p w14:paraId="01556245"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585" w:type="pct"/>
            <w:vMerge/>
            <w:tcBorders>
              <w:top w:val="nil"/>
              <w:left w:val="single" w:sz="8" w:space="0" w:color="E0E0E0"/>
              <w:bottom w:val="nil"/>
              <w:right w:val="single" w:sz="8" w:space="0" w:color="E0E0E0"/>
            </w:tcBorders>
            <w:shd w:val="clear" w:color="auto" w:fill="FFFFFF"/>
            <w:vAlign w:val="bottom"/>
          </w:tcPr>
          <w:p w14:paraId="43A79748"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449" w:type="pct"/>
            <w:vMerge/>
            <w:tcBorders>
              <w:top w:val="nil"/>
              <w:left w:val="single" w:sz="8" w:space="0" w:color="E0E0E0"/>
              <w:bottom w:val="nil"/>
              <w:right w:val="single" w:sz="8" w:space="0" w:color="E0E0E0"/>
            </w:tcBorders>
            <w:shd w:val="clear" w:color="auto" w:fill="FFFFFF"/>
            <w:vAlign w:val="bottom"/>
          </w:tcPr>
          <w:p w14:paraId="0F637110"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517" w:type="pct"/>
            <w:tcBorders>
              <w:top w:val="nil"/>
              <w:left w:val="single" w:sz="8" w:space="0" w:color="E0E0E0"/>
              <w:bottom w:val="single" w:sz="8" w:space="0" w:color="152935"/>
              <w:right w:val="single" w:sz="8" w:space="0" w:color="E0E0E0"/>
            </w:tcBorders>
            <w:shd w:val="clear" w:color="auto" w:fill="FFFFFF"/>
            <w:vAlign w:val="bottom"/>
          </w:tcPr>
          <w:p w14:paraId="74F531D3"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Lower</w:t>
            </w:r>
          </w:p>
        </w:tc>
        <w:tc>
          <w:tcPr>
            <w:tcW w:w="517" w:type="pct"/>
            <w:tcBorders>
              <w:top w:val="nil"/>
              <w:left w:val="single" w:sz="8" w:space="0" w:color="E0E0E0"/>
              <w:bottom w:val="single" w:sz="8" w:space="0" w:color="152935"/>
              <w:right w:val="single" w:sz="8" w:space="0" w:color="E0E0E0"/>
            </w:tcBorders>
            <w:shd w:val="clear" w:color="auto" w:fill="FFFFFF"/>
            <w:vAlign w:val="bottom"/>
          </w:tcPr>
          <w:p w14:paraId="7D8562A3"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Upper</w:t>
            </w:r>
          </w:p>
        </w:tc>
        <w:tc>
          <w:tcPr>
            <w:tcW w:w="449" w:type="pct"/>
            <w:vMerge/>
            <w:tcBorders>
              <w:top w:val="nil"/>
              <w:left w:val="single" w:sz="8" w:space="0" w:color="E0E0E0"/>
              <w:bottom w:val="nil"/>
              <w:right w:val="single" w:sz="8" w:space="0" w:color="E0E0E0"/>
            </w:tcBorders>
            <w:shd w:val="clear" w:color="auto" w:fill="FFFFFF"/>
            <w:vAlign w:val="bottom"/>
          </w:tcPr>
          <w:p w14:paraId="0125F224"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209" w:type="pct"/>
            <w:vMerge/>
            <w:tcBorders>
              <w:top w:val="nil"/>
              <w:left w:val="single" w:sz="8" w:space="0" w:color="E0E0E0"/>
              <w:bottom w:val="nil"/>
              <w:right w:val="single" w:sz="8" w:space="0" w:color="E0E0E0"/>
            </w:tcBorders>
            <w:shd w:val="clear" w:color="auto" w:fill="FFFFFF"/>
            <w:vAlign w:val="bottom"/>
          </w:tcPr>
          <w:p w14:paraId="27C70A59"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387" w:type="pct"/>
            <w:vMerge/>
            <w:tcBorders>
              <w:top w:val="nil"/>
              <w:left w:val="single" w:sz="8" w:space="0" w:color="E0E0E0"/>
              <w:bottom w:val="nil"/>
              <w:right w:val="single" w:sz="8" w:space="0" w:color="E0E0E0"/>
            </w:tcBorders>
            <w:shd w:val="clear" w:color="auto" w:fill="FFFFFF"/>
            <w:vAlign w:val="bottom"/>
          </w:tcPr>
          <w:p w14:paraId="19E4C5D0"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382" w:type="pct"/>
            <w:vMerge/>
            <w:tcBorders>
              <w:top w:val="nil"/>
              <w:left w:val="single" w:sz="8" w:space="0" w:color="E0E0E0"/>
              <w:bottom w:val="nil"/>
              <w:right w:val="nil"/>
            </w:tcBorders>
            <w:shd w:val="clear" w:color="auto" w:fill="FFFFFF"/>
            <w:vAlign w:val="bottom"/>
          </w:tcPr>
          <w:p w14:paraId="7885747E"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r>
      <w:tr w:rsidR="00D713AA" w:rsidRPr="00D713AA" w14:paraId="1FBB85FF" w14:textId="77777777" w:rsidTr="00D713AA">
        <w:trPr>
          <w:cantSplit/>
          <w:trHeight w:val="1428"/>
        </w:trPr>
        <w:tc>
          <w:tcPr>
            <w:tcW w:w="279" w:type="pct"/>
            <w:tcBorders>
              <w:top w:val="single" w:sz="8" w:space="0" w:color="152935"/>
              <w:left w:val="nil"/>
              <w:bottom w:val="single" w:sz="8" w:space="0" w:color="152935"/>
              <w:right w:val="nil"/>
            </w:tcBorders>
            <w:shd w:val="clear" w:color="auto" w:fill="E0E0E0"/>
          </w:tcPr>
          <w:p w14:paraId="65248341"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Pair 1</w:t>
            </w:r>
          </w:p>
        </w:tc>
        <w:tc>
          <w:tcPr>
            <w:tcW w:w="711" w:type="pct"/>
            <w:tcBorders>
              <w:top w:val="single" w:sz="8" w:space="0" w:color="152935"/>
              <w:left w:val="nil"/>
              <w:bottom w:val="single" w:sz="8" w:space="0" w:color="152935"/>
              <w:right w:val="nil"/>
            </w:tcBorders>
            <w:shd w:val="clear" w:color="auto" w:fill="E0E0E0"/>
          </w:tcPr>
          <w:p w14:paraId="44CC4FCC"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Congruent - Incongruent</w:t>
            </w:r>
          </w:p>
        </w:tc>
        <w:tc>
          <w:tcPr>
            <w:tcW w:w="512" w:type="pct"/>
            <w:tcBorders>
              <w:top w:val="single" w:sz="8" w:space="0" w:color="152935"/>
              <w:left w:val="nil"/>
              <w:bottom w:val="single" w:sz="8" w:space="0" w:color="152935"/>
              <w:right w:val="single" w:sz="8" w:space="0" w:color="E0E0E0"/>
            </w:tcBorders>
            <w:shd w:val="clear" w:color="auto" w:fill="F9F9FB"/>
          </w:tcPr>
          <w:p w14:paraId="6D1E1043"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-6.82957</w:t>
            </w:r>
          </w:p>
        </w:tc>
        <w:tc>
          <w:tcPr>
            <w:tcW w:w="585" w:type="pct"/>
            <w:tcBorders>
              <w:top w:val="single" w:sz="8" w:space="0" w:color="152935"/>
              <w:left w:val="single" w:sz="8" w:space="0" w:color="E0E0E0"/>
              <w:bottom w:val="single" w:sz="8" w:space="0" w:color="152935"/>
              <w:right w:val="single" w:sz="8" w:space="0" w:color="E0E0E0"/>
            </w:tcBorders>
            <w:shd w:val="clear" w:color="auto" w:fill="F9F9FB"/>
          </w:tcPr>
          <w:p w14:paraId="3562BB4C"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3.26708</w:t>
            </w:r>
          </w:p>
        </w:tc>
        <w:tc>
          <w:tcPr>
            <w:tcW w:w="449" w:type="pct"/>
            <w:tcBorders>
              <w:top w:val="single" w:sz="8" w:space="0" w:color="152935"/>
              <w:left w:val="single" w:sz="8" w:space="0" w:color="E0E0E0"/>
              <w:bottom w:val="single" w:sz="8" w:space="0" w:color="152935"/>
              <w:right w:val="single" w:sz="8" w:space="0" w:color="E0E0E0"/>
            </w:tcBorders>
            <w:shd w:val="clear" w:color="auto" w:fill="F9F9FB"/>
          </w:tcPr>
          <w:p w14:paraId="27B82E40"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.68123</w:t>
            </w:r>
          </w:p>
        </w:tc>
        <w:tc>
          <w:tcPr>
            <w:tcW w:w="517" w:type="pct"/>
            <w:tcBorders>
              <w:top w:val="single" w:sz="8" w:space="0" w:color="152935"/>
              <w:left w:val="single" w:sz="8" w:space="0" w:color="E0E0E0"/>
              <w:bottom w:val="single" w:sz="8" w:space="0" w:color="152935"/>
              <w:right w:val="single" w:sz="8" w:space="0" w:color="E0E0E0"/>
            </w:tcBorders>
            <w:shd w:val="clear" w:color="auto" w:fill="F9F9FB"/>
          </w:tcPr>
          <w:p w14:paraId="5FD30658"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-8.24236</w:t>
            </w:r>
          </w:p>
        </w:tc>
        <w:tc>
          <w:tcPr>
            <w:tcW w:w="517" w:type="pct"/>
            <w:tcBorders>
              <w:top w:val="single" w:sz="8" w:space="0" w:color="152935"/>
              <w:left w:val="single" w:sz="8" w:space="0" w:color="E0E0E0"/>
              <w:bottom w:val="single" w:sz="8" w:space="0" w:color="152935"/>
              <w:right w:val="single" w:sz="8" w:space="0" w:color="E0E0E0"/>
            </w:tcBorders>
            <w:shd w:val="clear" w:color="auto" w:fill="F9F9FB"/>
          </w:tcPr>
          <w:p w14:paraId="3DA7478B"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-5.41677</w:t>
            </w:r>
          </w:p>
        </w:tc>
        <w:tc>
          <w:tcPr>
            <w:tcW w:w="449" w:type="pct"/>
            <w:tcBorders>
              <w:top w:val="single" w:sz="8" w:space="0" w:color="152935"/>
              <w:left w:val="single" w:sz="8" w:space="0" w:color="E0E0E0"/>
              <w:bottom w:val="single" w:sz="8" w:space="0" w:color="152935"/>
              <w:right w:val="single" w:sz="8" w:space="0" w:color="E0E0E0"/>
            </w:tcBorders>
            <w:shd w:val="clear" w:color="auto" w:fill="F9F9FB"/>
          </w:tcPr>
          <w:p w14:paraId="557076B6"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-10.025</w:t>
            </w:r>
          </w:p>
        </w:tc>
        <w:tc>
          <w:tcPr>
            <w:tcW w:w="209" w:type="pct"/>
            <w:tcBorders>
              <w:top w:val="single" w:sz="8" w:space="0" w:color="152935"/>
              <w:left w:val="single" w:sz="8" w:space="0" w:color="E0E0E0"/>
              <w:bottom w:val="single" w:sz="8" w:space="0" w:color="152935"/>
              <w:right w:val="single" w:sz="8" w:space="0" w:color="E0E0E0"/>
            </w:tcBorders>
            <w:shd w:val="clear" w:color="auto" w:fill="F9F9FB"/>
          </w:tcPr>
          <w:p w14:paraId="56870E70"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22</w:t>
            </w:r>
          </w:p>
        </w:tc>
        <w:tc>
          <w:tcPr>
            <w:tcW w:w="387" w:type="pct"/>
            <w:tcBorders>
              <w:top w:val="single" w:sz="8" w:space="0" w:color="152935"/>
              <w:left w:val="single" w:sz="8" w:space="0" w:color="E0E0E0"/>
              <w:bottom w:val="single" w:sz="8" w:space="0" w:color="152935"/>
              <w:right w:val="single" w:sz="8" w:space="0" w:color="E0E0E0"/>
            </w:tcBorders>
            <w:shd w:val="clear" w:color="auto" w:fill="F9F9FB"/>
          </w:tcPr>
          <w:p w14:paraId="1641D53A"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&lt;.001</w:t>
            </w:r>
          </w:p>
        </w:tc>
        <w:tc>
          <w:tcPr>
            <w:tcW w:w="382" w:type="pct"/>
            <w:tcBorders>
              <w:top w:val="single" w:sz="8" w:space="0" w:color="152935"/>
              <w:left w:val="single" w:sz="8" w:space="0" w:color="E0E0E0"/>
              <w:bottom w:val="single" w:sz="8" w:space="0" w:color="152935"/>
              <w:right w:val="nil"/>
            </w:tcBorders>
            <w:shd w:val="clear" w:color="auto" w:fill="F9F9FB"/>
          </w:tcPr>
          <w:p w14:paraId="769DD32E"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&lt;.001</w:t>
            </w:r>
          </w:p>
        </w:tc>
      </w:tr>
    </w:tbl>
    <w:p w14:paraId="5894B7BB"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p w14:paraId="49835FD9" w14:textId="17509B81" w:rsidR="00D713AA" w:rsidRDefault="00D713AA" w:rsidP="001904DC">
      <w:pPr>
        <w:rPr>
          <w:rFonts w:ascii="Arial" w:hAnsi="Arial" w:cs="Arial"/>
          <w:sz w:val="28"/>
          <w:szCs w:val="28"/>
        </w:rPr>
      </w:pPr>
    </w:p>
    <w:p w14:paraId="5F7FCAB6"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bl>
      <w:tblPr>
        <w:tblW w:w="5000" w:type="pct"/>
        <w:tblCellMar>
          <w:left w:w="0" w:type="dxa"/>
          <w:right w:w="0" w:type="dxa"/>
        </w:tblCellMar>
        <w:tblLook w:val="0000" w:firstRow="0" w:lastRow="0" w:firstColumn="0" w:lastColumn="0" w:noHBand="0" w:noVBand="0"/>
      </w:tblPr>
      <w:tblGrid>
        <w:gridCol w:w="625"/>
        <w:gridCol w:w="2046"/>
        <w:gridCol w:w="1573"/>
        <w:gridCol w:w="1580"/>
        <w:gridCol w:w="1252"/>
        <w:gridCol w:w="975"/>
        <w:gridCol w:w="975"/>
      </w:tblGrid>
      <w:tr w:rsidR="00D713AA" w:rsidRPr="00D713AA" w14:paraId="7923AB29" w14:textId="77777777" w:rsidTr="00D713AA">
        <w:trPr>
          <w:cantSplit/>
        </w:trPr>
        <w:tc>
          <w:tcPr>
            <w:tcW w:w="5000" w:type="pct"/>
            <w:gridSpan w:val="7"/>
            <w:tcBorders>
              <w:top w:val="nil"/>
              <w:left w:val="nil"/>
              <w:bottom w:val="nil"/>
              <w:right w:val="nil"/>
            </w:tcBorders>
            <w:shd w:val="clear" w:color="auto" w:fill="FFFFFF"/>
            <w:vAlign w:val="center"/>
          </w:tcPr>
          <w:p w14:paraId="44909151"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010205"/>
                <w:kern w:val="0"/>
                <w:sz w:val="28"/>
                <w:szCs w:val="28"/>
              </w:rPr>
            </w:pPr>
            <w:r w:rsidRPr="00D713AA">
              <w:rPr>
                <w:rFonts w:ascii="Arial" w:hAnsi="Arial" w:cs="Arial"/>
                <w:b/>
                <w:bCs/>
                <w:color w:val="010205"/>
                <w:kern w:val="0"/>
                <w:sz w:val="28"/>
                <w:szCs w:val="28"/>
              </w:rPr>
              <w:t>Paired Samples Effect Sizes</w:t>
            </w:r>
          </w:p>
        </w:tc>
      </w:tr>
      <w:tr w:rsidR="00D713AA" w:rsidRPr="00D713AA" w14:paraId="1E06493E" w14:textId="77777777" w:rsidTr="00D713AA">
        <w:trPr>
          <w:cantSplit/>
        </w:trPr>
        <w:tc>
          <w:tcPr>
            <w:tcW w:w="2446" w:type="pct"/>
            <w:gridSpan w:val="3"/>
            <w:vMerge w:val="restart"/>
            <w:tcBorders>
              <w:top w:val="nil"/>
              <w:left w:val="nil"/>
              <w:bottom w:val="nil"/>
              <w:right w:val="nil"/>
            </w:tcBorders>
            <w:shd w:val="clear" w:color="auto" w:fill="FFFFFF"/>
            <w:vAlign w:val="bottom"/>
          </w:tcPr>
          <w:p w14:paraId="686A42D2"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c>
        <w:tc>
          <w:tcPr>
            <w:tcW w:w="687" w:type="pct"/>
            <w:vMerge w:val="restart"/>
            <w:tcBorders>
              <w:top w:val="nil"/>
              <w:left w:val="nil"/>
              <w:bottom w:val="nil"/>
              <w:right w:val="single" w:sz="8" w:space="0" w:color="E0E0E0"/>
            </w:tcBorders>
            <w:shd w:val="clear" w:color="auto" w:fill="FFFFFF"/>
            <w:vAlign w:val="bottom"/>
          </w:tcPr>
          <w:p w14:paraId="4F92671A"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Standardizer</w:t>
            </w:r>
            <w:r w:rsidRPr="00D713AA">
              <w:rPr>
                <w:rFonts w:ascii="Arial" w:hAnsi="Arial" w:cs="Arial"/>
                <w:color w:val="264A60"/>
                <w:kern w:val="0"/>
                <w:sz w:val="24"/>
                <w:szCs w:val="24"/>
                <w:vertAlign w:val="superscript"/>
              </w:rPr>
              <w:t>a</w:t>
            </w:r>
          </w:p>
        </w:tc>
        <w:tc>
          <w:tcPr>
            <w:tcW w:w="725" w:type="pct"/>
            <w:vMerge w:val="restart"/>
            <w:tcBorders>
              <w:top w:val="nil"/>
              <w:left w:val="single" w:sz="8" w:space="0" w:color="E0E0E0"/>
              <w:bottom w:val="nil"/>
              <w:right w:val="single" w:sz="8" w:space="0" w:color="E0E0E0"/>
            </w:tcBorders>
            <w:shd w:val="clear" w:color="auto" w:fill="FFFFFF"/>
            <w:vAlign w:val="bottom"/>
          </w:tcPr>
          <w:p w14:paraId="3E8A311A"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Point Estimate</w:t>
            </w:r>
          </w:p>
        </w:tc>
        <w:tc>
          <w:tcPr>
            <w:tcW w:w="1142" w:type="pct"/>
            <w:gridSpan w:val="2"/>
            <w:tcBorders>
              <w:top w:val="nil"/>
              <w:left w:val="single" w:sz="8" w:space="0" w:color="E0E0E0"/>
              <w:bottom w:val="nil"/>
              <w:right w:val="nil"/>
            </w:tcBorders>
            <w:shd w:val="clear" w:color="auto" w:fill="FFFFFF"/>
            <w:vAlign w:val="bottom"/>
          </w:tcPr>
          <w:p w14:paraId="568A986C"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95% Confidence Interval</w:t>
            </w:r>
          </w:p>
        </w:tc>
      </w:tr>
      <w:tr w:rsidR="00D713AA" w:rsidRPr="00D713AA" w14:paraId="109C446C" w14:textId="77777777" w:rsidTr="00D713AA">
        <w:trPr>
          <w:cantSplit/>
        </w:trPr>
        <w:tc>
          <w:tcPr>
            <w:tcW w:w="2446" w:type="pct"/>
            <w:gridSpan w:val="3"/>
            <w:vMerge/>
            <w:tcBorders>
              <w:top w:val="nil"/>
              <w:left w:val="nil"/>
              <w:bottom w:val="nil"/>
              <w:right w:val="nil"/>
            </w:tcBorders>
            <w:shd w:val="clear" w:color="auto" w:fill="FFFFFF"/>
            <w:vAlign w:val="bottom"/>
          </w:tcPr>
          <w:p w14:paraId="7234997A"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687" w:type="pct"/>
            <w:vMerge/>
            <w:tcBorders>
              <w:top w:val="nil"/>
              <w:left w:val="nil"/>
              <w:bottom w:val="nil"/>
              <w:right w:val="single" w:sz="8" w:space="0" w:color="E0E0E0"/>
            </w:tcBorders>
            <w:shd w:val="clear" w:color="auto" w:fill="FFFFFF"/>
            <w:vAlign w:val="bottom"/>
          </w:tcPr>
          <w:p w14:paraId="66F0C1DF"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725" w:type="pct"/>
            <w:vMerge/>
            <w:tcBorders>
              <w:top w:val="nil"/>
              <w:left w:val="single" w:sz="8" w:space="0" w:color="E0E0E0"/>
              <w:bottom w:val="nil"/>
              <w:right w:val="single" w:sz="8" w:space="0" w:color="E0E0E0"/>
            </w:tcBorders>
            <w:shd w:val="clear" w:color="auto" w:fill="FFFFFF"/>
            <w:vAlign w:val="bottom"/>
          </w:tcPr>
          <w:p w14:paraId="3D4A7F39"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571" w:type="pct"/>
            <w:tcBorders>
              <w:top w:val="nil"/>
              <w:left w:val="single" w:sz="8" w:space="0" w:color="E0E0E0"/>
              <w:bottom w:val="single" w:sz="8" w:space="0" w:color="152935"/>
              <w:right w:val="single" w:sz="8" w:space="0" w:color="E0E0E0"/>
            </w:tcBorders>
            <w:shd w:val="clear" w:color="auto" w:fill="FFFFFF"/>
            <w:vAlign w:val="bottom"/>
          </w:tcPr>
          <w:p w14:paraId="6DFF872B"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Lower</w:t>
            </w:r>
          </w:p>
        </w:tc>
        <w:tc>
          <w:tcPr>
            <w:tcW w:w="571" w:type="pct"/>
            <w:tcBorders>
              <w:top w:val="nil"/>
              <w:left w:val="single" w:sz="8" w:space="0" w:color="E0E0E0"/>
              <w:bottom w:val="single" w:sz="8" w:space="0" w:color="152935"/>
              <w:right w:val="nil"/>
            </w:tcBorders>
            <w:shd w:val="clear" w:color="auto" w:fill="FFFFFF"/>
            <w:vAlign w:val="bottom"/>
          </w:tcPr>
          <w:p w14:paraId="7EF1782D"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Upper</w:t>
            </w:r>
          </w:p>
        </w:tc>
      </w:tr>
      <w:tr w:rsidR="00D713AA" w:rsidRPr="00D713AA" w14:paraId="36A79CF3" w14:textId="77777777" w:rsidTr="00D713AA">
        <w:trPr>
          <w:cantSplit/>
        </w:trPr>
        <w:tc>
          <w:tcPr>
            <w:tcW w:w="378" w:type="pct"/>
            <w:vMerge w:val="restart"/>
            <w:tcBorders>
              <w:top w:val="single" w:sz="8" w:space="0" w:color="152935"/>
              <w:left w:val="nil"/>
              <w:bottom w:val="single" w:sz="8" w:space="0" w:color="152935"/>
              <w:right w:val="nil"/>
            </w:tcBorders>
            <w:shd w:val="clear" w:color="auto" w:fill="E0E0E0"/>
          </w:tcPr>
          <w:p w14:paraId="55F99044"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Pair 1</w:t>
            </w:r>
          </w:p>
        </w:tc>
        <w:tc>
          <w:tcPr>
            <w:tcW w:w="1165" w:type="pct"/>
            <w:vMerge w:val="restart"/>
            <w:tcBorders>
              <w:top w:val="single" w:sz="8" w:space="0" w:color="152935"/>
              <w:left w:val="nil"/>
              <w:bottom w:val="single" w:sz="8" w:space="0" w:color="152935"/>
              <w:right w:val="nil"/>
            </w:tcBorders>
            <w:shd w:val="clear" w:color="auto" w:fill="E0E0E0"/>
          </w:tcPr>
          <w:p w14:paraId="622060E9" w14:textId="53EB4E41"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Congruent - Incongruent</w:t>
            </w:r>
          </w:p>
        </w:tc>
        <w:tc>
          <w:tcPr>
            <w:tcW w:w="903" w:type="pct"/>
            <w:tcBorders>
              <w:top w:val="single" w:sz="8" w:space="0" w:color="152935"/>
              <w:left w:val="nil"/>
              <w:bottom w:val="single" w:sz="8" w:space="0" w:color="AEAEAE"/>
              <w:right w:val="nil"/>
            </w:tcBorders>
            <w:shd w:val="clear" w:color="auto" w:fill="E0E0E0"/>
          </w:tcPr>
          <w:p w14:paraId="0F32AD2E"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Cohen's d</w:t>
            </w:r>
          </w:p>
        </w:tc>
        <w:tc>
          <w:tcPr>
            <w:tcW w:w="687" w:type="pct"/>
            <w:tcBorders>
              <w:top w:val="single" w:sz="8" w:space="0" w:color="152935"/>
              <w:left w:val="nil"/>
              <w:bottom w:val="single" w:sz="8" w:space="0" w:color="AEAEAE"/>
              <w:right w:val="single" w:sz="8" w:space="0" w:color="E0E0E0"/>
            </w:tcBorders>
            <w:shd w:val="clear" w:color="auto" w:fill="F9F9FB"/>
          </w:tcPr>
          <w:p w14:paraId="262A6BB8"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3.26708</w:t>
            </w:r>
          </w:p>
        </w:tc>
        <w:tc>
          <w:tcPr>
            <w:tcW w:w="725" w:type="pct"/>
            <w:tcBorders>
              <w:top w:val="single" w:sz="8" w:space="0" w:color="152935"/>
              <w:left w:val="single" w:sz="8" w:space="0" w:color="E0E0E0"/>
              <w:bottom w:val="single" w:sz="8" w:space="0" w:color="AEAEAE"/>
              <w:right w:val="single" w:sz="8" w:space="0" w:color="E0E0E0"/>
            </w:tcBorders>
            <w:shd w:val="clear" w:color="auto" w:fill="F9F9FB"/>
          </w:tcPr>
          <w:p w14:paraId="4473398D"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-2.090</w:t>
            </w:r>
          </w:p>
        </w:tc>
        <w:tc>
          <w:tcPr>
            <w:tcW w:w="571" w:type="pct"/>
            <w:tcBorders>
              <w:top w:val="single" w:sz="8" w:space="0" w:color="152935"/>
              <w:left w:val="single" w:sz="8" w:space="0" w:color="E0E0E0"/>
              <w:bottom w:val="single" w:sz="8" w:space="0" w:color="AEAEAE"/>
              <w:right w:val="single" w:sz="8" w:space="0" w:color="E0E0E0"/>
            </w:tcBorders>
            <w:shd w:val="clear" w:color="auto" w:fill="F9F9FB"/>
          </w:tcPr>
          <w:p w14:paraId="1373A98C"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-2.820</w:t>
            </w:r>
          </w:p>
        </w:tc>
        <w:tc>
          <w:tcPr>
            <w:tcW w:w="571" w:type="pct"/>
            <w:tcBorders>
              <w:top w:val="single" w:sz="8" w:space="0" w:color="152935"/>
              <w:left w:val="single" w:sz="8" w:space="0" w:color="E0E0E0"/>
              <w:bottom w:val="single" w:sz="8" w:space="0" w:color="AEAEAE"/>
              <w:right w:val="nil"/>
            </w:tcBorders>
            <w:shd w:val="clear" w:color="auto" w:fill="F9F9FB"/>
          </w:tcPr>
          <w:p w14:paraId="573C12BC"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-1.346</w:t>
            </w:r>
          </w:p>
        </w:tc>
      </w:tr>
      <w:tr w:rsidR="00D713AA" w:rsidRPr="00D713AA" w14:paraId="43217C29" w14:textId="77777777" w:rsidTr="00D713AA">
        <w:trPr>
          <w:cantSplit/>
        </w:trPr>
        <w:tc>
          <w:tcPr>
            <w:tcW w:w="378" w:type="pct"/>
            <w:vMerge/>
            <w:tcBorders>
              <w:top w:val="single" w:sz="8" w:space="0" w:color="152935"/>
              <w:left w:val="nil"/>
              <w:bottom w:val="single" w:sz="8" w:space="0" w:color="152935"/>
              <w:right w:val="nil"/>
            </w:tcBorders>
            <w:shd w:val="clear" w:color="auto" w:fill="E0E0E0"/>
          </w:tcPr>
          <w:p w14:paraId="573CEA45" w14:textId="77777777" w:rsidR="00D713AA" w:rsidRPr="00D713AA" w:rsidRDefault="00D713AA" w:rsidP="00D713AA">
            <w:pPr>
              <w:autoSpaceDE w:val="0"/>
              <w:autoSpaceDN w:val="0"/>
              <w:adjustRightInd w:val="0"/>
              <w:spacing w:after="0" w:line="240" w:lineRule="auto"/>
              <w:rPr>
                <w:rFonts w:ascii="Arial" w:hAnsi="Arial" w:cs="Arial"/>
                <w:color w:val="010205"/>
                <w:kern w:val="0"/>
                <w:sz w:val="24"/>
                <w:szCs w:val="24"/>
              </w:rPr>
            </w:pPr>
          </w:p>
        </w:tc>
        <w:tc>
          <w:tcPr>
            <w:tcW w:w="1165" w:type="pct"/>
            <w:vMerge/>
            <w:tcBorders>
              <w:top w:val="single" w:sz="8" w:space="0" w:color="152935"/>
              <w:left w:val="nil"/>
              <w:bottom w:val="single" w:sz="8" w:space="0" w:color="152935"/>
              <w:right w:val="nil"/>
            </w:tcBorders>
            <w:shd w:val="clear" w:color="auto" w:fill="E0E0E0"/>
          </w:tcPr>
          <w:p w14:paraId="56F44AA8" w14:textId="77777777" w:rsidR="00D713AA" w:rsidRPr="00D713AA" w:rsidRDefault="00D713AA" w:rsidP="00D713AA">
            <w:pPr>
              <w:autoSpaceDE w:val="0"/>
              <w:autoSpaceDN w:val="0"/>
              <w:adjustRightInd w:val="0"/>
              <w:spacing w:after="0" w:line="240" w:lineRule="auto"/>
              <w:rPr>
                <w:rFonts w:ascii="Arial" w:hAnsi="Arial" w:cs="Arial"/>
                <w:color w:val="010205"/>
                <w:kern w:val="0"/>
                <w:sz w:val="24"/>
                <w:szCs w:val="24"/>
              </w:rPr>
            </w:pPr>
          </w:p>
        </w:tc>
        <w:tc>
          <w:tcPr>
            <w:tcW w:w="903" w:type="pct"/>
            <w:tcBorders>
              <w:top w:val="single" w:sz="8" w:space="0" w:color="AEAEAE"/>
              <w:left w:val="nil"/>
              <w:bottom w:val="single" w:sz="8" w:space="0" w:color="152935"/>
              <w:right w:val="nil"/>
            </w:tcBorders>
            <w:shd w:val="clear" w:color="auto" w:fill="E0E0E0"/>
          </w:tcPr>
          <w:p w14:paraId="74E0F6F4"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Hedges' correction</w:t>
            </w:r>
          </w:p>
        </w:tc>
        <w:tc>
          <w:tcPr>
            <w:tcW w:w="687" w:type="pct"/>
            <w:tcBorders>
              <w:top w:val="single" w:sz="8" w:space="0" w:color="AEAEAE"/>
              <w:left w:val="nil"/>
              <w:bottom w:val="single" w:sz="8" w:space="0" w:color="152935"/>
              <w:right w:val="single" w:sz="8" w:space="0" w:color="E0E0E0"/>
            </w:tcBorders>
            <w:shd w:val="clear" w:color="auto" w:fill="F9F9FB"/>
          </w:tcPr>
          <w:p w14:paraId="756EEC5E"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3.38400</w:t>
            </w:r>
          </w:p>
        </w:tc>
        <w:tc>
          <w:tcPr>
            <w:tcW w:w="725" w:type="pct"/>
            <w:tcBorders>
              <w:top w:val="single" w:sz="8" w:space="0" w:color="AEAEAE"/>
              <w:left w:val="single" w:sz="8" w:space="0" w:color="E0E0E0"/>
              <w:bottom w:val="single" w:sz="8" w:space="0" w:color="152935"/>
              <w:right w:val="single" w:sz="8" w:space="0" w:color="E0E0E0"/>
            </w:tcBorders>
            <w:shd w:val="clear" w:color="auto" w:fill="F9F9FB"/>
          </w:tcPr>
          <w:p w14:paraId="3B6ECA8F"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-2.018</w:t>
            </w:r>
          </w:p>
        </w:tc>
        <w:tc>
          <w:tcPr>
            <w:tcW w:w="571" w:type="pct"/>
            <w:tcBorders>
              <w:top w:val="single" w:sz="8" w:space="0" w:color="AEAEAE"/>
              <w:left w:val="single" w:sz="8" w:space="0" w:color="E0E0E0"/>
              <w:bottom w:val="single" w:sz="8" w:space="0" w:color="152935"/>
              <w:right w:val="single" w:sz="8" w:space="0" w:color="E0E0E0"/>
            </w:tcBorders>
            <w:shd w:val="clear" w:color="auto" w:fill="F9F9FB"/>
          </w:tcPr>
          <w:p w14:paraId="245DA5E5"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-2.723</w:t>
            </w:r>
          </w:p>
        </w:tc>
        <w:tc>
          <w:tcPr>
            <w:tcW w:w="571" w:type="pct"/>
            <w:tcBorders>
              <w:top w:val="single" w:sz="8" w:space="0" w:color="AEAEAE"/>
              <w:left w:val="single" w:sz="8" w:space="0" w:color="E0E0E0"/>
              <w:bottom w:val="single" w:sz="8" w:space="0" w:color="152935"/>
              <w:right w:val="nil"/>
            </w:tcBorders>
            <w:shd w:val="clear" w:color="auto" w:fill="F9F9FB"/>
          </w:tcPr>
          <w:p w14:paraId="37B202C8"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-1.299</w:t>
            </w:r>
          </w:p>
        </w:tc>
      </w:tr>
      <w:bookmarkEnd w:id="1"/>
      <w:tr w:rsidR="00D713AA" w:rsidRPr="00D713AA" w14:paraId="00AA94D1" w14:textId="77777777" w:rsidTr="00D713AA">
        <w:trPr>
          <w:cantSplit/>
        </w:trPr>
        <w:tc>
          <w:tcPr>
            <w:tcW w:w="5000" w:type="pct"/>
            <w:gridSpan w:val="7"/>
            <w:tcBorders>
              <w:top w:val="nil"/>
              <w:left w:val="nil"/>
              <w:bottom w:val="nil"/>
              <w:right w:val="nil"/>
            </w:tcBorders>
            <w:shd w:val="clear" w:color="auto" w:fill="FFFFFF"/>
          </w:tcPr>
          <w:p w14:paraId="76A51200" w14:textId="77777777" w:rsidR="00D713AA" w:rsidRPr="00D713AA" w:rsidRDefault="00D713AA" w:rsidP="00D713AA">
            <w:pPr>
              <w:autoSpaceDE w:val="0"/>
              <w:autoSpaceDN w:val="0"/>
              <w:adjustRightInd w:val="0"/>
              <w:spacing w:after="0" w:line="320" w:lineRule="atLeast"/>
              <w:ind w:left="60" w:right="60"/>
              <w:rPr>
                <w:rFonts w:ascii="Arial" w:hAnsi="Arial" w:cs="Arial"/>
                <w:color w:val="010205"/>
                <w:kern w:val="0"/>
                <w:sz w:val="24"/>
                <w:szCs w:val="24"/>
              </w:rPr>
            </w:pPr>
            <w:r w:rsidRPr="00D713AA">
              <w:rPr>
                <w:rFonts w:ascii="Arial" w:hAnsi="Arial" w:cs="Arial"/>
                <w:color w:val="010205"/>
                <w:kern w:val="0"/>
                <w:sz w:val="24"/>
                <w:szCs w:val="24"/>
              </w:rPr>
              <w:lastRenderedPageBreak/>
              <w:t xml:space="preserve">a. The denominator used in estimating the effect sizes. </w:t>
            </w:r>
          </w:p>
          <w:p w14:paraId="35B0736D" w14:textId="77777777" w:rsidR="00D713AA" w:rsidRPr="00D713AA" w:rsidRDefault="00D713AA" w:rsidP="00D713AA">
            <w:pPr>
              <w:autoSpaceDE w:val="0"/>
              <w:autoSpaceDN w:val="0"/>
              <w:adjustRightInd w:val="0"/>
              <w:spacing w:after="0" w:line="320" w:lineRule="atLeast"/>
              <w:ind w:left="60" w:right="60"/>
              <w:rPr>
                <w:rFonts w:ascii="Arial" w:hAnsi="Arial" w:cs="Arial"/>
                <w:color w:val="010205"/>
                <w:kern w:val="0"/>
                <w:sz w:val="24"/>
                <w:szCs w:val="24"/>
              </w:rPr>
            </w:pPr>
            <w:r w:rsidRPr="00D713AA">
              <w:rPr>
                <w:rFonts w:ascii="Arial" w:hAnsi="Arial" w:cs="Arial"/>
                <w:color w:val="010205"/>
                <w:kern w:val="0"/>
                <w:sz w:val="24"/>
                <w:szCs w:val="24"/>
              </w:rPr>
              <w:t xml:space="preserve">Cohen's d uses the sample standard deviation of the mean difference. </w:t>
            </w:r>
          </w:p>
          <w:p w14:paraId="4D48E5F4" w14:textId="77777777" w:rsidR="00D713AA" w:rsidRPr="00D713AA" w:rsidRDefault="00D713AA" w:rsidP="00D713AA">
            <w:pPr>
              <w:autoSpaceDE w:val="0"/>
              <w:autoSpaceDN w:val="0"/>
              <w:adjustRightInd w:val="0"/>
              <w:spacing w:after="0" w:line="320" w:lineRule="atLeast"/>
              <w:ind w:left="60" w:right="60"/>
              <w:rPr>
                <w:rFonts w:ascii="Arial" w:hAnsi="Arial" w:cs="Arial"/>
                <w:color w:val="010205"/>
                <w:kern w:val="0"/>
                <w:sz w:val="24"/>
                <w:szCs w:val="24"/>
              </w:rPr>
            </w:pPr>
            <w:r w:rsidRPr="00D713AA">
              <w:rPr>
                <w:rFonts w:ascii="Arial" w:hAnsi="Arial" w:cs="Arial"/>
                <w:color w:val="010205"/>
                <w:kern w:val="0"/>
                <w:sz w:val="24"/>
                <w:szCs w:val="24"/>
              </w:rPr>
              <w:t>Hedges' correction uses the sample standard deviation of the mean difference, plus a correction factor.</w:t>
            </w:r>
          </w:p>
        </w:tc>
      </w:tr>
    </w:tbl>
    <w:p w14:paraId="0A6A5193" w14:textId="77777777" w:rsidR="00D713AA" w:rsidRPr="00D713AA" w:rsidRDefault="00D713AA" w:rsidP="001904DC">
      <w:pPr>
        <w:rPr>
          <w:rFonts w:ascii="Arial" w:hAnsi="Arial" w:cs="Arial"/>
          <w:sz w:val="28"/>
          <w:szCs w:val="28"/>
        </w:rPr>
      </w:pPr>
    </w:p>
    <w:p w14:paraId="2D5BA0D7" w14:textId="50CE599C" w:rsidR="005B1BB8" w:rsidRPr="00D713AA" w:rsidRDefault="005B1BB8" w:rsidP="001904DC">
      <w:pPr>
        <w:rPr>
          <w:rFonts w:ascii="Arial" w:hAnsi="Arial" w:cs="Arial"/>
          <w:sz w:val="28"/>
          <w:szCs w:val="28"/>
        </w:rPr>
      </w:pPr>
      <w:r w:rsidRPr="00D713AA">
        <w:rPr>
          <w:rFonts w:ascii="Arial" w:hAnsi="Arial" w:cs="Arial"/>
          <w:sz w:val="28"/>
          <w:szCs w:val="28"/>
        </w:rPr>
        <w:t xml:space="preserve">Discussion </w:t>
      </w:r>
      <w:r w:rsidR="00D713AA" w:rsidRPr="00D713AA">
        <w:rPr>
          <w:rFonts w:ascii="Arial" w:hAnsi="Arial" w:cs="Arial"/>
          <w:sz w:val="28"/>
          <w:szCs w:val="28"/>
        </w:rPr>
        <w:t xml:space="preserve">- </w:t>
      </w:r>
    </w:p>
    <w:p w14:paraId="44D58617" w14:textId="77777777" w:rsidR="00563152" w:rsidRPr="00563152" w:rsidRDefault="00563152" w:rsidP="00563152">
      <w:pPr>
        <w:rPr>
          <w:rFonts w:ascii="Arial" w:hAnsi="Arial" w:cs="Arial"/>
          <w:sz w:val="24"/>
          <w:szCs w:val="24"/>
        </w:rPr>
      </w:pPr>
      <w:r w:rsidRPr="00563152">
        <w:rPr>
          <w:rFonts w:ascii="Arial" w:hAnsi="Arial" w:cs="Arial"/>
          <w:sz w:val="24"/>
          <w:szCs w:val="24"/>
        </w:rPr>
        <w:t xml:space="preserve">Kendra Cherry states that </w:t>
      </w:r>
      <w:r>
        <w:rPr>
          <w:rFonts w:ascii="Arial" w:hAnsi="Arial" w:cs="Arial"/>
          <w:sz w:val="24"/>
          <w:szCs w:val="24"/>
        </w:rPr>
        <w:t>“s</w:t>
      </w:r>
      <w:r w:rsidRPr="00563152">
        <w:rPr>
          <w:rFonts w:ascii="Arial" w:hAnsi="Arial" w:cs="Arial"/>
          <w:color w:val="212121"/>
          <w:sz w:val="24"/>
          <w:szCs w:val="24"/>
          <w:shd w:val="clear" w:color="auto" w:fill="FFFFFF"/>
        </w:rPr>
        <w:t>elective attention is the process of </w:t>
      </w:r>
      <w:r w:rsidRPr="00563152">
        <w:rPr>
          <w:rFonts w:ascii="Arial" w:hAnsi="Arial" w:cs="Arial"/>
          <w:sz w:val="24"/>
          <w:szCs w:val="24"/>
          <w:shd w:val="clear" w:color="auto" w:fill="FFFFFF"/>
        </w:rPr>
        <w:t>focusing</w:t>
      </w:r>
      <w:r w:rsidRPr="00563152">
        <w:rPr>
          <w:rFonts w:ascii="Arial" w:hAnsi="Arial" w:cs="Arial"/>
          <w:color w:val="212121"/>
          <w:sz w:val="24"/>
          <w:szCs w:val="24"/>
          <w:shd w:val="clear" w:color="auto" w:fill="FFFFFF"/>
        </w:rPr>
        <w:t> on a particular object in the environment for a certain period of time. Attention is a limited resource, so selective attention allows us to tune out unimportant details and focus on what matters</w:t>
      </w:r>
      <w:r>
        <w:rPr>
          <w:rFonts w:ascii="Arial" w:hAnsi="Arial" w:cs="Arial"/>
          <w:color w:val="212121"/>
          <w:sz w:val="24"/>
          <w:szCs w:val="24"/>
          <w:shd w:val="clear" w:color="auto" w:fill="FFFFFF"/>
        </w:rPr>
        <w:t xml:space="preserve"> (Cherry, K, 2015).</w:t>
      </w:r>
    </w:p>
    <w:p w14:paraId="688F0FF7" w14:textId="50CEED04" w:rsidR="00D713AA" w:rsidRDefault="005B1BB8" w:rsidP="00363E46">
      <w:pPr>
        <w:spacing w:before="240"/>
        <w:rPr>
          <w:rFonts w:ascii="Arial" w:hAnsi="Arial" w:cs="Arial"/>
          <w:sz w:val="24"/>
          <w:szCs w:val="24"/>
        </w:rPr>
      </w:pPr>
      <w:r>
        <w:rPr>
          <w:rFonts w:ascii="Arial" w:hAnsi="Arial" w:cs="Arial"/>
          <w:sz w:val="24"/>
          <w:szCs w:val="24"/>
        </w:rPr>
        <w:t>This study was important to replicate and test if there was a significant difference within the two conditions</w:t>
      </w:r>
      <w:r w:rsidR="00563152">
        <w:rPr>
          <w:rFonts w:ascii="Arial" w:hAnsi="Arial" w:cs="Arial"/>
          <w:sz w:val="24"/>
          <w:szCs w:val="24"/>
        </w:rPr>
        <w:t xml:space="preserve"> and see how </w:t>
      </w:r>
      <w:r w:rsidR="00927316">
        <w:rPr>
          <w:rFonts w:ascii="Arial" w:hAnsi="Arial" w:cs="Arial"/>
          <w:sz w:val="24"/>
          <w:szCs w:val="24"/>
        </w:rPr>
        <w:t xml:space="preserve">there </w:t>
      </w:r>
      <w:r w:rsidR="00563152">
        <w:rPr>
          <w:rFonts w:ascii="Arial" w:hAnsi="Arial" w:cs="Arial"/>
          <w:sz w:val="24"/>
          <w:szCs w:val="24"/>
        </w:rPr>
        <w:t>is a change within various language processes</w:t>
      </w:r>
      <w:r>
        <w:rPr>
          <w:rFonts w:ascii="Arial" w:hAnsi="Arial" w:cs="Arial"/>
          <w:sz w:val="24"/>
          <w:szCs w:val="24"/>
        </w:rPr>
        <w:t xml:space="preserve">. After completion and evaluation of this study, there was a significant difference of &lt;0.01 between the two conditions. Personally, I found that this study was reliable, accurate and showed high level of participation honesty. This study backed up previous research and experiments completed on the </w:t>
      </w:r>
      <w:r w:rsidR="00FF709F">
        <w:rPr>
          <w:rFonts w:ascii="Arial" w:hAnsi="Arial" w:cs="Arial"/>
          <w:sz w:val="24"/>
          <w:szCs w:val="24"/>
        </w:rPr>
        <w:t>S</w:t>
      </w:r>
      <w:r>
        <w:rPr>
          <w:rFonts w:ascii="Arial" w:hAnsi="Arial" w:cs="Arial"/>
          <w:sz w:val="24"/>
          <w:szCs w:val="24"/>
        </w:rPr>
        <w:t>troop effect which was as expected in the hypothesis. This study furthermore backs up an unprotested theory within cognitive processing</w:t>
      </w:r>
      <w:r w:rsidR="00D713AA">
        <w:rPr>
          <w:rFonts w:ascii="Arial" w:hAnsi="Arial" w:cs="Arial"/>
          <w:sz w:val="24"/>
          <w:szCs w:val="24"/>
        </w:rPr>
        <w:t xml:space="preserve">, more specifically learning, attention and memory within language processing. </w:t>
      </w:r>
    </w:p>
    <w:p w14:paraId="021D6C30" w14:textId="3C4C880F" w:rsidR="002E1111" w:rsidRDefault="00FF709F" w:rsidP="00363E46">
      <w:pPr>
        <w:spacing w:before="240"/>
        <w:rPr>
          <w:rFonts w:ascii="Arial" w:hAnsi="Arial" w:cs="Arial"/>
          <w:sz w:val="24"/>
          <w:szCs w:val="24"/>
        </w:rPr>
      </w:pPr>
      <w:r>
        <w:rPr>
          <w:rFonts w:ascii="Arial" w:hAnsi="Arial" w:cs="Arial"/>
          <w:sz w:val="24"/>
          <w:szCs w:val="24"/>
        </w:rPr>
        <w:t xml:space="preserve">There are several controversies and limitations associated with the Stroop effect. One of the main controversies is related to the interpretation of the effect. Some researchers have argued that the Stroop effect is due to interference between the different processing pathways involved in reading and colour naming, whilst others suggest that it is due to response competition between the two pathways. Another controversy is related to the reliability of the effect, as some studies have failed to replicate the Stroop effect under certain conditions. A limitation of the Stroop effect is that it is not limited to colour naming, as it can also be observed with other types of stimuli, such as shapes and pictures. Despite these controversies and limitations, the Stroop effect remains an important tool for investigating cognitive processes and has been contributed greatly to the current understanding psychologists have on attention, perception, and automaticity. </w:t>
      </w:r>
    </w:p>
    <w:p w14:paraId="012B3C6B" w14:textId="05563AE6" w:rsidR="00AB4F08" w:rsidRDefault="00AB4F08" w:rsidP="00363E46">
      <w:pPr>
        <w:spacing w:before="240"/>
        <w:rPr>
          <w:rFonts w:ascii="Arial" w:hAnsi="Arial" w:cs="Arial"/>
          <w:sz w:val="24"/>
          <w:szCs w:val="24"/>
        </w:rPr>
      </w:pPr>
      <w:r>
        <w:rPr>
          <w:rFonts w:ascii="Arial" w:hAnsi="Arial" w:cs="Arial"/>
          <w:sz w:val="24"/>
          <w:szCs w:val="24"/>
        </w:rPr>
        <w:t>The Stroop effect has also been used in clinical and neuropsychological assessments to measure cognitive functioning in individuals with various disorders. Overall, the Stroop effect has been a valuable tool for understanding the complexities of human cognition and continues to be an important area of research in psychology today.</w:t>
      </w:r>
    </w:p>
    <w:p w14:paraId="58AC0B92" w14:textId="77777777" w:rsidR="00794BB3" w:rsidRDefault="00794BB3" w:rsidP="001904DC">
      <w:pPr>
        <w:rPr>
          <w:rFonts w:ascii="Arial" w:hAnsi="Arial" w:cs="Arial"/>
          <w:sz w:val="24"/>
          <w:szCs w:val="24"/>
        </w:rPr>
      </w:pPr>
    </w:p>
    <w:p w14:paraId="347266D5" w14:textId="77777777" w:rsidR="00794BB3" w:rsidRDefault="00794BB3" w:rsidP="001904DC">
      <w:pPr>
        <w:rPr>
          <w:rFonts w:ascii="Arial" w:hAnsi="Arial" w:cs="Arial"/>
          <w:sz w:val="24"/>
          <w:szCs w:val="24"/>
        </w:rPr>
      </w:pPr>
    </w:p>
    <w:p w14:paraId="54FC2C5C" w14:textId="11E2CCBF" w:rsidR="009F7490" w:rsidRPr="00563152" w:rsidRDefault="009F7490" w:rsidP="001904DC">
      <w:pPr>
        <w:rPr>
          <w:rFonts w:ascii="Arial" w:hAnsi="Arial" w:cs="Arial"/>
          <w:sz w:val="24"/>
          <w:szCs w:val="24"/>
        </w:rPr>
      </w:pPr>
    </w:p>
    <w:sectPr w:rsidR="009F7490" w:rsidRPr="005631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73836"/>
    <w:multiLevelType w:val="hybridMultilevel"/>
    <w:tmpl w:val="430CAE3C"/>
    <w:lvl w:ilvl="0" w:tplc="1C7287D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1A5805"/>
    <w:multiLevelType w:val="hybridMultilevel"/>
    <w:tmpl w:val="C7E2DF24"/>
    <w:lvl w:ilvl="0" w:tplc="2CFAF7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7158934">
    <w:abstractNumId w:val="0"/>
  </w:num>
  <w:num w:numId="2" w16cid:durableId="541329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4DC"/>
    <w:rsid w:val="0002128E"/>
    <w:rsid w:val="001204BA"/>
    <w:rsid w:val="001904DC"/>
    <w:rsid w:val="00191D2F"/>
    <w:rsid w:val="001B0CCD"/>
    <w:rsid w:val="00202358"/>
    <w:rsid w:val="00280D5C"/>
    <w:rsid w:val="002B7C36"/>
    <w:rsid w:val="002D2376"/>
    <w:rsid w:val="002E1111"/>
    <w:rsid w:val="002E4E68"/>
    <w:rsid w:val="00363E46"/>
    <w:rsid w:val="0042331B"/>
    <w:rsid w:val="00563152"/>
    <w:rsid w:val="005B1BB8"/>
    <w:rsid w:val="00625A34"/>
    <w:rsid w:val="0068605C"/>
    <w:rsid w:val="006B3AC2"/>
    <w:rsid w:val="006E3A23"/>
    <w:rsid w:val="0076271E"/>
    <w:rsid w:val="00794BB3"/>
    <w:rsid w:val="007D7842"/>
    <w:rsid w:val="00820074"/>
    <w:rsid w:val="00843536"/>
    <w:rsid w:val="00857DAD"/>
    <w:rsid w:val="00857F0C"/>
    <w:rsid w:val="008915A5"/>
    <w:rsid w:val="008D135D"/>
    <w:rsid w:val="00925129"/>
    <w:rsid w:val="00927316"/>
    <w:rsid w:val="0099108D"/>
    <w:rsid w:val="009F7490"/>
    <w:rsid w:val="00AB4F08"/>
    <w:rsid w:val="00AD6587"/>
    <w:rsid w:val="00AE543A"/>
    <w:rsid w:val="00B53DE4"/>
    <w:rsid w:val="00D65CF2"/>
    <w:rsid w:val="00D713AA"/>
    <w:rsid w:val="00DD2868"/>
    <w:rsid w:val="00DD3746"/>
    <w:rsid w:val="00E1416D"/>
    <w:rsid w:val="00E510F7"/>
    <w:rsid w:val="00E66CF6"/>
    <w:rsid w:val="00E75C9B"/>
    <w:rsid w:val="00F40A95"/>
    <w:rsid w:val="00F574AE"/>
    <w:rsid w:val="00F81414"/>
    <w:rsid w:val="00FF6E77"/>
    <w:rsid w:val="00FF7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9EF03"/>
  <w15:chartTrackingRefBased/>
  <w15:docId w15:val="{0AF7607C-51F2-4A0D-B066-1AFDF256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5A5"/>
    <w:pPr>
      <w:ind w:left="720"/>
      <w:contextualSpacing/>
    </w:pPr>
    <w:rPr>
      <w:rFonts w:eastAsiaTheme="minorEastAsia"/>
      <w:kern w:val="0"/>
      <w:lang w:eastAsia="zh-CN"/>
      <w14:ligatures w14:val="none"/>
    </w:rPr>
  </w:style>
  <w:style w:type="paragraph" w:styleId="BodyText">
    <w:name w:val="Body Text"/>
    <w:basedOn w:val="Normal"/>
    <w:link w:val="BodyTextChar"/>
    <w:semiHidden/>
    <w:unhideWhenUsed/>
    <w:rsid w:val="001B0CCD"/>
    <w:pPr>
      <w:spacing w:after="0" w:line="240" w:lineRule="auto"/>
    </w:pPr>
    <w:rPr>
      <w:rFonts w:ascii="Times New Roman" w:eastAsia="Times New Roman" w:hAnsi="Times New Roman" w:cs="Times New Roman"/>
      <w:i/>
      <w:kern w:val="0"/>
      <w:sz w:val="20"/>
      <w:szCs w:val="20"/>
      <w:lang w:eastAsia="en-GB"/>
      <w14:ligatures w14:val="none"/>
    </w:rPr>
  </w:style>
  <w:style w:type="character" w:customStyle="1" w:styleId="BodyTextChar">
    <w:name w:val="Body Text Char"/>
    <w:basedOn w:val="DefaultParagraphFont"/>
    <w:link w:val="BodyText"/>
    <w:semiHidden/>
    <w:rsid w:val="001B0CCD"/>
    <w:rPr>
      <w:rFonts w:ascii="Times New Roman" w:eastAsia="Times New Roman" w:hAnsi="Times New Roman" w:cs="Times New Roman"/>
      <w:i/>
      <w:kern w:val="0"/>
      <w:sz w:val="20"/>
      <w:szCs w:val="20"/>
      <w:lang w:eastAsia="en-GB"/>
      <w14:ligatures w14:val="none"/>
    </w:rPr>
  </w:style>
  <w:style w:type="character" w:styleId="Hyperlink">
    <w:name w:val="Hyperlink"/>
    <w:basedOn w:val="DefaultParagraphFont"/>
    <w:uiPriority w:val="99"/>
    <w:semiHidden/>
    <w:unhideWhenUsed/>
    <w:rsid w:val="00563152"/>
    <w:rPr>
      <w:color w:val="0000FF"/>
      <w:u w:val="single"/>
    </w:rPr>
  </w:style>
  <w:style w:type="character" w:styleId="Strong">
    <w:name w:val="Strong"/>
    <w:basedOn w:val="DefaultParagraphFont"/>
    <w:uiPriority w:val="22"/>
    <w:qFormat/>
    <w:rsid w:val="00AD65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21833</TotalTime>
  <Pages>4</Pages>
  <Words>1410</Words>
  <Characters>8040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Monk (2220232)</dc:creator>
  <cp:keywords/>
  <dc:description/>
  <cp:lastModifiedBy>Katy</cp:lastModifiedBy>
  <cp:revision>45</cp:revision>
  <dcterms:created xsi:type="dcterms:W3CDTF">2023-03-22T14:02:00Z</dcterms:created>
  <dcterms:modified xsi:type="dcterms:W3CDTF">2023-04-25T20:55:00Z</dcterms:modified>
</cp:coreProperties>
</file>