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D3C1D0" w14:textId="77777777" w:rsidR="00CC742A" w:rsidRDefault="00CC742A" w:rsidP="00CC742A">
      <w:r>
        <w:t>1. Introduction</w:t>
      </w:r>
    </w:p>
    <w:p w14:paraId="47BF0B06" w14:textId="77777777" w:rsidR="00CC742A" w:rsidRDefault="00CC742A" w:rsidP="00CC742A"/>
    <w:p w14:paraId="0716C371" w14:textId="77777777" w:rsidR="00CC742A" w:rsidRDefault="00CC742A" w:rsidP="00CC742A">
      <w:r>
        <w:t>The Cash Conversion Cycle (CCC) measures the time (in days) it takes for a company to convert its investments in inventory and other resources into cash flows from sales. It is calculated as:</w:t>
      </w:r>
    </w:p>
    <w:p w14:paraId="0F548CDC" w14:textId="77777777" w:rsidR="00CC742A" w:rsidRDefault="00CC742A" w:rsidP="00CC742A"/>
    <w:p w14:paraId="39ACA059" w14:textId="77777777" w:rsidR="00CC742A" w:rsidRDefault="00CC742A" w:rsidP="00CC742A">
      <w:r>
        <w:t>CCC = Inventory Days (DIO) + Receivable Days (DSO) – Payable Days (DPO)</w:t>
      </w:r>
    </w:p>
    <w:p w14:paraId="2E905AAA" w14:textId="77777777" w:rsidR="00CC742A" w:rsidRDefault="00CC742A" w:rsidP="00CC742A"/>
    <w:p w14:paraId="72F2E78C" w14:textId="77777777" w:rsidR="00CC742A" w:rsidRDefault="00CC742A" w:rsidP="00CC742A">
      <w:r>
        <w:t>· A positive CCC means the company uses its own cash to fund operations.</w:t>
      </w:r>
    </w:p>
    <w:p w14:paraId="6BA9E41C" w14:textId="77777777" w:rsidR="00CC742A" w:rsidRDefault="00CC742A" w:rsidP="00CC742A">
      <w:r>
        <w:t>· A negative CCC means the company uses suppliers' money to fund operations (a sign of strong working capital management).</w:t>
      </w:r>
    </w:p>
    <w:p w14:paraId="6FA108EB" w14:textId="77777777" w:rsidR="00CC742A" w:rsidRDefault="00CC742A" w:rsidP="00CC742A"/>
    <w:p w14:paraId="6BDF8179" w14:textId="1ABD8375" w:rsidR="00CC742A" w:rsidRDefault="00CC742A" w:rsidP="00CC742A">
      <w:r>
        <w:t xml:space="preserve">This report </w:t>
      </w:r>
      <w:proofErr w:type="spellStart"/>
      <w:r>
        <w:t>analyzes</w:t>
      </w:r>
      <w:proofErr w:type="spellEnd"/>
      <w:r>
        <w:t xml:space="preserve"> Hilton's CCC for the five years from 2021 to 2025, based on data extracted from the company's annual 10-K filings.</w:t>
      </w:r>
    </w:p>
    <w:p w14:paraId="7876F4BE" w14:textId="77777777" w:rsidR="00CC742A" w:rsidRDefault="00CC742A" w:rsidP="00CC742A"/>
    <w:p w14:paraId="06980B8C" w14:textId="1961229D" w:rsidR="00CC742A" w:rsidRDefault="00CC742A" w:rsidP="00CC742A">
      <w:r>
        <w:t>2</w:t>
      </w:r>
      <w:r>
        <w:t>. Year-on-Year Analysis &amp; Interpretation</w:t>
      </w:r>
    </w:p>
    <w:p w14:paraId="11FFAA57" w14:textId="77777777" w:rsidR="00CC742A" w:rsidRDefault="00CC742A" w:rsidP="00CC742A"/>
    <w:p w14:paraId="18369317" w14:textId="77777777" w:rsidR="00CC742A" w:rsidRDefault="00CC742A" w:rsidP="00CC742A">
      <w:r>
        <w:t>2021 (CCC: -761.9 days)</w:t>
      </w:r>
    </w:p>
    <w:p w14:paraId="00B597C6" w14:textId="77777777" w:rsidR="00CC742A" w:rsidRDefault="00CC742A" w:rsidP="00CC742A"/>
    <w:p w14:paraId="518C462B" w14:textId="77777777" w:rsidR="00CC742A" w:rsidRDefault="00CC742A" w:rsidP="00CC742A">
      <w:r>
        <w:t>· Highest negative CCC in the five-year period.</w:t>
      </w:r>
    </w:p>
    <w:p w14:paraId="0D6CC527" w14:textId="77777777" w:rsidR="00CC742A" w:rsidRDefault="00CC742A" w:rsidP="00CC742A">
      <w:r>
        <w:t>· DPO was extremely high (842.6 days</w:t>
      </w:r>
      <w:proofErr w:type="gramStart"/>
      <w:r>
        <w:t>) ,</w:t>
      </w:r>
      <w:proofErr w:type="gramEnd"/>
      <w:r>
        <w:t xml:space="preserve"> indicating that Hilton significantly delayed supplier payments during the post-COVID recovery phase to preserve cash.</w:t>
      </w:r>
    </w:p>
    <w:p w14:paraId="20D42CD5" w14:textId="77777777" w:rsidR="00CC742A" w:rsidRDefault="00CC742A" w:rsidP="00CC742A">
      <w:r>
        <w:t>· DSO was also high (67.3 days) due to slower collections as the hospitality industry was still recovering.</w:t>
      </w:r>
    </w:p>
    <w:p w14:paraId="06C89BAF" w14:textId="77777777" w:rsidR="00CC742A" w:rsidRDefault="00CC742A" w:rsidP="00CC742A">
      <w:r>
        <w:t>· Key Insight: The company strategically used supplier financing to survive the downturn.</w:t>
      </w:r>
    </w:p>
    <w:p w14:paraId="590933CF" w14:textId="77777777" w:rsidR="00CC742A" w:rsidRDefault="00CC742A" w:rsidP="00CC742A"/>
    <w:p w14:paraId="51155E9F" w14:textId="77777777" w:rsidR="00CC742A" w:rsidRDefault="00CC742A" w:rsidP="00CC742A">
      <w:r>
        <w:t>---</w:t>
      </w:r>
    </w:p>
    <w:p w14:paraId="3BDBCC1C" w14:textId="77777777" w:rsidR="00CC742A" w:rsidRDefault="00CC742A" w:rsidP="00CC742A"/>
    <w:p w14:paraId="7A32198C" w14:textId="77777777" w:rsidR="00CC742A" w:rsidRDefault="00CC742A" w:rsidP="00CC742A">
      <w:r>
        <w:t>2022 (CCC: -588.1 days)</w:t>
      </w:r>
    </w:p>
    <w:p w14:paraId="6F0B05B8" w14:textId="77777777" w:rsidR="00CC742A" w:rsidRDefault="00CC742A" w:rsidP="00CC742A"/>
    <w:p w14:paraId="14E75969" w14:textId="77777777" w:rsidR="00CC742A" w:rsidRDefault="00CC742A" w:rsidP="00CC742A">
      <w:r>
        <w:lastRenderedPageBreak/>
        <w:t>· Significant improvement of ~174 days (CCC became less negative).</w:t>
      </w:r>
    </w:p>
    <w:p w14:paraId="0A5DC479" w14:textId="77777777" w:rsidR="00CC742A" w:rsidRDefault="00CC742A" w:rsidP="00CC742A">
      <w:r>
        <w:t>· DPO dropped to 654.3 days – suppliers were paid faster as business normalized.</w:t>
      </w:r>
    </w:p>
    <w:p w14:paraId="4A4719B1" w14:textId="77777777" w:rsidR="00CC742A" w:rsidRDefault="00CC742A" w:rsidP="00CC742A">
      <w:r>
        <w:t>· DSO improved to 55.2 days – faster collections as travel demand recovered.</w:t>
      </w:r>
    </w:p>
    <w:p w14:paraId="24B17CEF" w14:textId="77777777" w:rsidR="00CC742A" w:rsidRDefault="00CC742A" w:rsidP="00CC742A">
      <w:r>
        <w:t>· Key Insight: Working capital management improved as operations stabilized.</w:t>
      </w:r>
    </w:p>
    <w:p w14:paraId="4812AA4D" w14:textId="77777777" w:rsidR="00CC742A" w:rsidRDefault="00CC742A" w:rsidP="00CC742A"/>
    <w:p w14:paraId="0F1C1EC6" w14:textId="77777777" w:rsidR="00CC742A" w:rsidRDefault="00CC742A" w:rsidP="00CC742A">
      <w:r>
        <w:t>---</w:t>
      </w:r>
    </w:p>
    <w:p w14:paraId="44D53A64" w14:textId="77777777" w:rsidR="00CC742A" w:rsidRDefault="00CC742A" w:rsidP="00CC742A"/>
    <w:p w14:paraId="432DEB77" w14:textId="77777777" w:rsidR="00CC742A" w:rsidRDefault="00CC742A" w:rsidP="00CC742A">
      <w:r>
        <w:t>2023 (CCC: -568.7 days)</w:t>
      </w:r>
    </w:p>
    <w:p w14:paraId="53AF059A" w14:textId="77777777" w:rsidR="00CC742A" w:rsidRDefault="00CC742A" w:rsidP="00CC742A"/>
    <w:p w14:paraId="7C76C8D2" w14:textId="77777777" w:rsidR="00CC742A" w:rsidRDefault="00CC742A" w:rsidP="00CC742A">
      <w:r>
        <w:t>· Further marginal improvement (CCC increased by ~19 days).</w:t>
      </w:r>
    </w:p>
    <w:p w14:paraId="7403255C" w14:textId="77777777" w:rsidR="00CC742A" w:rsidRDefault="00CC742A" w:rsidP="00CC742A">
      <w:r>
        <w:t>· DPO decreased to 632.9 days – continued optimization of payment cycles.</w:t>
      </w:r>
    </w:p>
    <w:p w14:paraId="37BD2B0A" w14:textId="77777777" w:rsidR="00CC742A" w:rsidRDefault="00CC742A" w:rsidP="00CC742A">
      <w:r>
        <w:t>· DSO remained stable at 53.0 days.</w:t>
      </w:r>
    </w:p>
    <w:p w14:paraId="6F28F8C5" w14:textId="77777777" w:rsidR="00CC742A" w:rsidRDefault="00CC742A" w:rsidP="00CC742A">
      <w:r>
        <w:t>· Key Insight: Hilton maintained a disciplined approach to working capital.</w:t>
      </w:r>
    </w:p>
    <w:p w14:paraId="11DC8B1D" w14:textId="77777777" w:rsidR="00CC742A" w:rsidRDefault="00CC742A" w:rsidP="00CC742A"/>
    <w:p w14:paraId="54D1A097" w14:textId="77777777" w:rsidR="00CC742A" w:rsidRDefault="00CC742A" w:rsidP="00CC742A">
      <w:r>
        <w:t>---</w:t>
      </w:r>
    </w:p>
    <w:p w14:paraId="090A9E85" w14:textId="77777777" w:rsidR="00CC742A" w:rsidRDefault="00CC742A" w:rsidP="00CC742A"/>
    <w:p w14:paraId="777009BD" w14:textId="77777777" w:rsidR="00CC742A" w:rsidRDefault="00CC742A" w:rsidP="00CC742A">
      <w:r>
        <w:t>2024 (CCC: -623.9 days)</w:t>
      </w:r>
    </w:p>
    <w:p w14:paraId="2032850F" w14:textId="77777777" w:rsidR="00CC742A" w:rsidRDefault="00CC742A" w:rsidP="00CC742A"/>
    <w:p w14:paraId="4D274B6B" w14:textId="77777777" w:rsidR="00CC742A" w:rsidRDefault="00CC742A" w:rsidP="00CC742A">
      <w:r>
        <w:t>· Slight deterioration (CCC became more negative by ~55 days).</w:t>
      </w:r>
    </w:p>
    <w:p w14:paraId="77851FD5" w14:textId="77777777" w:rsidR="00CC742A" w:rsidRDefault="00CC742A" w:rsidP="00CC742A">
      <w:r>
        <w:t>· DPO increased to 688.6 days – Hilton extended payment terms with suppliers again.</w:t>
      </w:r>
    </w:p>
    <w:p w14:paraId="49233806" w14:textId="77777777" w:rsidR="00CC742A" w:rsidRDefault="00CC742A" w:rsidP="00CC742A">
      <w:r>
        <w:t>· DSO improved to 51.7 days – best performance in collections during the period.</w:t>
      </w:r>
    </w:p>
    <w:p w14:paraId="67290B94" w14:textId="77777777" w:rsidR="00CC742A" w:rsidRDefault="00CC742A" w:rsidP="00CC742A">
      <w:r>
        <w:t>· Key Insight: The company strategically increased payables to fund growth and share buybacks.</w:t>
      </w:r>
    </w:p>
    <w:p w14:paraId="2CAE1EF5" w14:textId="77777777" w:rsidR="00CC742A" w:rsidRDefault="00CC742A" w:rsidP="00CC742A"/>
    <w:p w14:paraId="2EE66FF3" w14:textId="77777777" w:rsidR="00CC742A" w:rsidRDefault="00CC742A" w:rsidP="00CC742A">
      <w:r>
        <w:t>---</w:t>
      </w:r>
    </w:p>
    <w:p w14:paraId="59619A0A" w14:textId="77777777" w:rsidR="00CC742A" w:rsidRDefault="00CC742A" w:rsidP="00CC742A"/>
    <w:p w14:paraId="105F4688" w14:textId="77777777" w:rsidR="00CC742A" w:rsidRDefault="00CC742A" w:rsidP="00CC742A">
      <w:r>
        <w:t>2025 (CCC: -713.2 days)</w:t>
      </w:r>
    </w:p>
    <w:p w14:paraId="32217B2A" w14:textId="77777777" w:rsidR="00CC742A" w:rsidRDefault="00CC742A" w:rsidP="00CC742A"/>
    <w:p w14:paraId="497ED718" w14:textId="77777777" w:rsidR="00CC742A" w:rsidRDefault="00CC742A" w:rsidP="00CC742A">
      <w:r>
        <w:lastRenderedPageBreak/>
        <w:t>· Significant drop (more negative by ~89 days).</w:t>
      </w:r>
    </w:p>
    <w:p w14:paraId="220E8F95" w14:textId="77777777" w:rsidR="00CC742A" w:rsidRDefault="00CC742A" w:rsidP="00CC742A">
      <w:r>
        <w:t>· DPO surged to 779.4 days – the highest since 2021.</w:t>
      </w:r>
    </w:p>
    <w:p w14:paraId="23A71522" w14:textId="77777777" w:rsidR="00CC742A" w:rsidRDefault="00CC742A" w:rsidP="00CC742A">
      <w:r>
        <w:t>· DSO reached its lowest point at 51.2 days – excellent receivables management.</w:t>
      </w:r>
    </w:p>
    <w:p w14:paraId="5BE27033" w14:textId="77777777" w:rsidR="00CC742A" w:rsidRDefault="00CC742A" w:rsidP="00CC742A">
      <w:r>
        <w:t>· Revenue grew 7.7% (from $11,174M to $12,039M), showing that the company used supplier financing to fuel expansion.</w:t>
      </w:r>
    </w:p>
    <w:p w14:paraId="18F72CDF" w14:textId="77777777" w:rsidR="00CC742A" w:rsidRDefault="00CC742A" w:rsidP="00CC742A">
      <w:r>
        <w:t>· Key Insight: Hilton continues to leverage its bargaining power with suppliers to maintain a strong cash position, enabling growth and shareholder returns.</w:t>
      </w:r>
    </w:p>
    <w:p w14:paraId="5D812068" w14:textId="77777777" w:rsidR="00CC742A" w:rsidRDefault="00CC742A" w:rsidP="00CC742A"/>
    <w:p w14:paraId="3DC514DE" w14:textId="77777777" w:rsidR="00CC742A" w:rsidRDefault="00CC742A" w:rsidP="00CC742A">
      <w:r>
        <w:t>---</w:t>
      </w:r>
    </w:p>
    <w:p w14:paraId="4CBE4F61" w14:textId="77777777" w:rsidR="00CC742A" w:rsidRDefault="00CC742A" w:rsidP="00CC742A"/>
    <w:p w14:paraId="3BF82810" w14:textId="5C3A151E" w:rsidR="00CC742A" w:rsidRDefault="00CC742A" w:rsidP="00CC742A">
      <w:r>
        <w:t>3</w:t>
      </w:r>
      <w:r>
        <w:t>. Overall Conclusion</w:t>
      </w:r>
    </w:p>
    <w:p w14:paraId="3A25AFE6" w14:textId="77777777" w:rsidR="00CC742A" w:rsidRDefault="00CC742A" w:rsidP="00CC742A"/>
    <w:p w14:paraId="52D9EC56" w14:textId="77777777" w:rsidR="00CC742A" w:rsidRDefault="00CC742A" w:rsidP="00CC742A">
      <w:r>
        <w:t>Hilton has consistently maintained a negative Cash Conversion Cycle over the five-year period.</w:t>
      </w:r>
    </w:p>
    <w:p w14:paraId="0D4C7AA8" w14:textId="77777777" w:rsidR="00CC742A" w:rsidRDefault="00CC742A" w:rsidP="00CC742A"/>
    <w:p w14:paraId="4A0A4996" w14:textId="77777777" w:rsidR="00CC742A" w:rsidRDefault="00CC742A" w:rsidP="00CC742A">
      <w:r>
        <w:t>This is a clear indicator of superior working capital management:</w:t>
      </w:r>
    </w:p>
    <w:p w14:paraId="07B5CF12" w14:textId="77777777" w:rsidR="00CC742A" w:rsidRDefault="00CC742A" w:rsidP="00CC742A"/>
    <w:p w14:paraId="64D59544" w14:textId="77777777" w:rsidR="00CC742A" w:rsidRDefault="00CC742A" w:rsidP="00CC742A">
      <w:r>
        <w:t>· The company collects cash from customers quickly (DSO improved from 67 to 51 days).</w:t>
      </w:r>
    </w:p>
    <w:p w14:paraId="70CC4697" w14:textId="77777777" w:rsidR="00CC742A" w:rsidRDefault="00CC742A" w:rsidP="00CC742A">
      <w:r>
        <w:t>· It pays suppliers slowly (DPO is consistently high, ranging from 633 to 843 days).</w:t>
      </w:r>
    </w:p>
    <w:p w14:paraId="67BCF67B" w14:textId="77777777" w:rsidR="00CC742A" w:rsidRDefault="00CC742A" w:rsidP="00CC742A">
      <w:r>
        <w:t>· As a result, Hilton effectively uses suppliers' money to fund its day-to-day operations and growth.</w:t>
      </w:r>
    </w:p>
    <w:p w14:paraId="5748AE9D" w14:textId="77777777" w:rsidR="00CC742A" w:rsidRDefault="00CC742A" w:rsidP="00CC742A"/>
    <w:p w14:paraId="1A5FA663" w14:textId="77777777" w:rsidR="00CC742A" w:rsidRDefault="00CC742A" w:rsidP="00CC742A">
      <w:r>
        <w:t>This strategy has allowed Hilton to:</w:t>
      </w:r>
    </w:p>
    <w:p w14:paraId="627EE646" w14:textId="77777777" w:rsidR="00CC742A" w:rsidRDefault="00CC742A" w:rsidP="00CC742A"/>
    <w:p w14:paraId="3955021E" w14:textId="77777777" w:rsidR="00CC742A" w:rsidRDefault="00CC742A" w:rsidP="00CC742A">
      <w:r>
        <w:t>· Preserve cash during the COVID-19 pandemic (2021).</w:t>
      </w:r>
    </w:p>
    <w:p w14:paraId="0D3F07F4" w14:textId="77777777" w:rsidR="00CC742A" w:rsidRDefault="00CC742A" w:rsidP="00CC742A">
      <w:r>
        <w:t>· Normalize operations post-pandemic (2022–2023).</w:t>
      </w:r>
    </w:p>
    <w:p w14:paraId="4620C0F4" w14:textId="77777777" w:rsidR="00CC742A" w:rsidRDefault="00CC742A" w:rsidP="00CC742A">
      <w:r>
        <w:t xml:space="preserve">· Fund growth and share </w:t>
      </w:r>
      <w:proofErr w:type="gramStart"/>
      <w:r>
        <w:t>repurchases</w:t>
      </w:r>
      <w:proofErr w:type="gramEnd"/>
      <w:r>
        <w:t xml:space="preserve"> (2024–2025).</w:t>
      </w:r>
    </w:p>
    <w:p w14:paraId="71973C03" w14:textId="77777777" w:rsidR="00CC742A" w:rsidRDefault="00CC742A" w:rsidP="00CC742A"/>
    <w:p w14:paraId="33B6134B" w14:textId="51E62418" w:rsidR="00CC742A" w:rsidRDefault="00CC742A" w:rsidP="00CC742A">
      <w:r>
        <w:lastRenderedPageBreak/>
        <w:t>Recommendation: Hilton should continue to monitor supplier relationships to ensure that extended payment terms do not negatively impact supply chain stability or lead to higher costs in the future.</w:t>
      </w:r>
    </w:p>
    <w:sectPr w:rsidR="00CC74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742A"/>
    <w:rsid w:val="00971AAA"/>
    <w:rsid w:val="00CC7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3499AA"/>
  <w15:chartTrackingRefBased/>
  <w15:docId w15:val="{74AA10C7-DB4F-4A27-A056-6F9BCFE338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C74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C74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C742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C742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C742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C742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C742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C742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C742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C742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C742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C742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C742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C742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C742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C742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C742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C742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C742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C74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C742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C74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C742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C742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C742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C742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C742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C742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C742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506</Words>
  <Characters>2888</Characters>
  <Application>Microsoft Office Word</Application>
  <DocSecurity>0</DocSecurity>
  <Lines>24</Lines>
  <Paragraphs>6</Paragraphs>
  <ScaleCrop>false</ScaleCrop>
  <Company/>
  <LinksUpToDate>false</LinksUpToDate>
  <CharactersWithSpaces>3388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Mayuri Prajapati</dc:creator>
  <cp:keywords/>
  <dc:description/>
  <cp:lastModifiedBy>Mayuri Prajapati</cp:lastModifiedBy>
  <cp:revision>1</cp:revision>
  <dcterms:created xsi:type="dcterms:W3CDTF">2026-07-28T10:32:00Z</dcterms:created>
  <dcterms:modified xsi:type="dcterms:W3CDTF">2026-07-28T10:38:00Z</dcterms:modified>
</cp:coreProperties>
</file>