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E86D22" w:rsidR="002D1FA2" w:rsidP="771937AE" w:rsidRDefault="000C5452" w14:paraId="2CEDD19C" w14:textId="3665A247">
      <w:pPr>
        <w:pStyle w:val="Heading1"/>
        <w:keepNext w:val="1"/>
        <w:keepLines w:val="1"/>
        <w:spacing w:before="480" w:after="0"/>
        <w:rPr>
          <w:rFonts w:ascii="Arial" w:hAnsi="Arial" w:eastAsia="Arial" w:cs="Arial"/>
          <w:b w:val="0"/>
          <w:bCs w:val="0"/>
          <w:i w:val="0"/>
          <w:iCs w:val="0"/>
          <w:caps w:val="0"/>
          <w:smallCaps w:val="0"/>
          <w:noProof w:val="0"/>
          <w:color w:val="auto"/>
          <w:sz w:val="24"/>
          <w:szCs w:val="24"/>
          <w:lang w:val="en-US"/>
        </w:rPr>
      </w:pPr>
      <w:r w:rsidRPr="771937AE" w:rsidR="479B50F9">
        <w:rPr>
          <w:rFonts w:ascii="Arial" w:hAnsi="Arial" w:eastAsia="Arial" w:cs="Arial"/>
          <w:b w:val="0"/>
          <w:bCs w:val="0"/>
          <w:i w:val="0"/>
          <w:iCs w:val="0"/>
          <w:caps w:val="0"/>
          <w:smallCaps w:val="0"/>
          <w:noProof w:val="0"/>
          <w:color w:val="auto"/>
          <w:sz w:val="24"/>
          <w:szCs w:val="24"/>
          <w:lang w:val="en-US"/>
        </w:rPr>
        <w:t>Student name penelope hutchinson         2125800</w:t>
      </w:r>
    </w:p>
    <w:p w:rsidRPr="00E86D22" w:rsidR="002D1FA2" w:rsidP="771937AE" w:rsidRDefault="000C5452" w14:paraId="5B478716" w14:textId="223D7480">
      <w:pPr>
        <w:pStyle w:val="Normal"/>
        <w:keepNext w:val="1"/>
        <w:keepLines w:val="1"/>
        <w:rPr>
          <w:rFonts w:ascii="Arial" w:hAnsi="Arial" w:eastAsia="Arial" w:cs="Arial"/>
          <w:b w:val="0"/>
          <w:bCs w:val="0"/>
          <w:i w:val="0"/>
          <w:iCs w:val="0"/>
          <w:caps w:val="0"/>
          <w:smallCaps w:val="0"/>
          <w:noProof w:val="0"/>
          <w:color w:val="auto"/>
          <w:sz w:val="24"/>
          <w:szCs w:val="24"/>
          <w:lang w:val="en-US"/>
        </w:rPr>
      </w:pPr>
      <w:r w:rsidRPr="771937AE" w:rsidR="479B50F9">
        <w:rPr>
          <w:rFonts w:ascii="Arial" w:hAnsi="Arial" w:eastAsia="Arial" w:cs="Arial"/>
          <w:b w:val="0"/>
          <w:bCs w:val="0"/>
          <w:i w:val="0"/>
          <w:iCs w:val="0"/>
          <w:caps w:val="0"/>
          <w:smallCaps w:val="0"/>
          <w:noProof w:val="0"/>
          <w:color w:val="auto"/>
          <w:sz w:val="24"/>
          <w:szCs w:val="24"/>
          <w:lang w:val="en-US"/>
        </w:rPr>
        <w:t>Module code</w:t>
      </w:r>
      <w:r w:rsidRPr="771937AE" w:rsidR="479B50F9">
        <w:rPr>
          <w:rFonts w:ascii="Arial" w:hAnsi="Arial" w:eastAsia="Arial" w:cs="Arial"/>
          <w:b w:val="0"/>
          <w:bCs w:val="0"/>
          <w:i w:val="0"/>
          <w:iCs w:val="0"/>
          <w:caps w:val="0"/>
          <w:smallCaps w:val="0"/>
          <w:noProof w:val="0"/>
          <w:color w:val="auto"/>
          <w:sz w:val="24"/>
          <w:szCs w:val="24"/>
          <w:lang w:val="en-US"/>
        </w:rPr>
        <w:t xml:space="preserve"> BMTP6016</w:t>
      </w:r>
    </w:p>
    <w:p w:rsidRPr="00E86D22" w:rsidR="002D1FA2" w:rsidP="771937AE" w:rsidRDefault="000C5452" w14:paraId="54AF28BF" w14:textId="46AD6088">
      <w:pPr>
        <w:pStyle w:val="Normal"/>
        <w:keepNext w:val="1"/>
        <w:keepLines w:val="1"/>
        <w:rPr>
          <w:rFonts w:ascii="Arial" w:hAnsi="Arial" w:eastAsia="Arial" w:cs="Arial"/>
          <w:b w:val="0"/>
          <w:bCs w:val="0"/>
          <w:i w:val="0"/>
          <w:iCs w:val="0"/>
          <w:caps w:val="0"/>
          <w:smallCaps w:val="0"/>
          <w:noProof w:val="0"/>
          <w:color w:val="auto"/>
          <w:sz w:val="24"/>
          <w:szCs w:val="24"/>
          <w:lang w:val="en-US"/>
        </w:rPr>
      </w:pPr>
      <w:r w:rsidRPr="771937AE" w:rsidR="479B50F9">
        <w:rPr>
          <w:rFonts w:ascii="Arial" w:hAnsi="Arial" w:eastAsia="Arial" w:cs="Arial"/>
          <w:b w:val="0"/>
          <w:bCs w:val="0"/>
          <w:i w:val="0"/>
          <w:iCs w:val="0"/>
          <w:caps w:val="0"/>
          <w:smallCaps w:val="0"/>
          <w:noProof w:val="0"/>
          <w:color w:val="auto"/>
          <w:sz w:val="24"/>
          <w:szCs w:val="24"/>
          <w:lang w:val="en-US"/>
        </w:rPr>
        <w:t>Lectuer</w:t>
      </w:r>
      <w:r w:rsidRPr="771937AE" w:rsidR="479B50F9">
        <w:rPr>
          <w:rFonts w:ascii="Arial" w:hAnsi="Arial" w:eastAsia="Arial" w:cs="Arial"/>
          <w:b w:val="0"/>
          <w:bCs w:val="0"/>
          <w:i w:val="0"/>
          <w:iCs w:val="0"/>
          <w:caps w:val="0"/>
          <w:smallCaps w:val="0"/>
          <w:noProof w:val="0"/>
          <w:color w:val="auto"/>
          <w:sz w:val="24"/>
          <w:szCs w:val="24"/>
          <w:lang w:val="en-US"/>
        </w:rPr>
        <w:t xml:space="preserve"> Scott James</w:t>
      </w:r>
    </w:p>
    <w:p w:rsidRPr="00E86D22" w:rsidR="002D1FA2" w:rsidP="771937AE" w:rsidRDefault="000C5452" w14:paraId="4D44B7BA" w14:textId="35BBFE0C">
      <w:pPr>
        <w:rPr>
          <w:rFonts w:ascii="Arial" w:hAnsi="Arial" w:eastAsia="Arial" w:cs="Arial"/>
          <w:b w:val="0"/>
          <w:bCs w:val="0"/>
          <w:i w:val="0"/>
          <w:iCs w:val="0"/>
          <w:caps w:val="0"/>
          <w:smallCaps w:val="0"/>
          <w:noProof w:val="0"/>
          <w:color w:val="auto"/>
          <w:sz w:val="24"/>
          <w:szCs w:val="24"/>
          <w:lang w:val="en-US"/>
        </w:rPr>
      </w:pPr>
      <w:r w:rsidRPr="771937AE" w:rsidR="479B50F9">
        <w:rPr>
          <w:rFonts w:ascii="Arial" w:hAnsi="Arial" w:eastAsia="Arial" w:cs="Arial"/>
          <w:b w:val="0"/>
          <w:bCs w:val="0"/>
          <w:i w:val="0"/>
          <w:iCs w:val="0"/>
          <w:caps w:val="0"/>
          <w:smallCaps w:val="0"/>
          <w:noProof w:val="0"/>
          <w:color w:val="auto"/>
          <w:sz w:val="24"/>
          <w:szCs w:val="24"/>
          <w:lang w:val="en-US"/>
        </w:rPr>
        <w:t>Assignment tittle</w:t>
      </w:r>
      <w:r w:rsidRPr="771937AE" w:rsidR="479B50F9">
        <w:rPr>
          <w:rFonts w:ascii="Arial" w:hAnsi="Arial" w:eastAsia="Arial" w:cs="Arial"/>
          <w:b w:val="0"/>
          <w:bCs w:val="0"/>
          <w:i w:val="0"/>
          <w:iCs w:val="0"/>
          <w:caps w:val="0"/>
          <w:smallCaps w:val="0"/>
          <w:noProof w:val="0"/>
          <w:color w:val="auto"/>
          <w:sz w:val="24"/>
          <w:szCs w:val="24"/>
          <w:lang w:val="en-US"/>
        </w:rPr>
        <w:t xml:space="preserve"> strategic case study review report</w:t>
      </w:r>
    </w:p>
    <w:p w:rsidRPr="00E86D22" w:rsidR="002D1FA2" w:rsidP="771937AE" w:rsidRDefault="000C5452" w14:paraId="54807EBD" w14:textId="2D7B9056">
      <w:pPr>
        <w:rPr>
          <w:rFonts w:ascii="Arial" w:hAnsi="Arial" w:eastAsia="Arial" w:cs="Arial"/>
          <w:b w:val="0"/>
          <w:bCs w:val="0"/>
          <w:color w:val="auto"/>
          <w:sz w:val="24"/>
          <w:szCs w:val="24"/>
        </w:rPr>
      </w:pPr>
      <w:r w:rsidRPr="771937AE" w:rsidR="479B50F9">
        <w:rPr>
          <w:rFonts w:ascii="Arial" w:hAnsi="Arial" w:eastAsia="Arial" w:cs="Arial"/>
          <w:b w:val="0"/>
          <w:bCs w:val="0"/>
          <w:i w:val="0"/>
          <w:iCs w:val="0"/>
          <w:caps w:val="0"/>
          <w:smallCaps w:val="0"/>
          <w:noProof w:val="0"/>
          <w:color w:val="auto"/>
          <w:sz w:val="24"/>
          <w:szCs w:val="24"/>
          <w:lang w:val="en-US"/>
        </w:rPr>
        <w:t>Strategic Case Study Review</w:t>
      </w:r>
      <w:r w:rsidRPr="771937AE" w:rsidR="479B50F9">
        <w:rPr>
          <w:rFonts w:ascii="Arial" w:hAnsi="Arial" w:eastAsia="Arial" w:cs="Arial"/>
          <w:b w:val="0"/>
          <w:bCs w:val="0"/>
          <w:i w:val="0"/>
          <w:iCs w:val="0"/>
          <w:caps w:val="0"/>
          <w:smallCaps w:val="0"/>
          <w:noProof w:val="0"/>
          <w:color w:val="auto"/>
          <w:sz w:val="24"/>
          <w:szCs w:val="24"/>
          <w:lang w:val="en-US"/>
        </w:rPr>
        <w:t>: Gower Christmas Tree Farm</w:t>
      </w:r>
      <w:r w:rsidRPr="771937AE" w:rsidR="479B50F9">
        <w:rPr>
          <w:rFonts w:ascii="Arial" w:hAnsi="Arial" w:eastAsia="Arial" w:cs="Arial"/>
          <w:b w:val="0"/>
          <w:bCs w:val="0"/>
          <w:color w:val="auto"/>
          <w:sz w:val="24"/>
          <w:szCs w:val="24"/>
        </w:rPr>
        <w:t xml:space="preserve"> </w:t>
      </w:r>
    </w:p>
    <w:p w:rsidRPr="00E86D22" w:rsidR="002D1FA2" w:rsidP="771937AE" w:rsidRDefault="000C5452" w14:paraId="6CB349AC" w14:textId="222D181C">
      <w:pPr>
        <w:pStyle w:val="Heading1"/>
        <w:rPr>
          <w:rFonts w:ascii="Arial" w:hAnsi="Arial" w:eastAsia="Arial" w:cs="Arial"/>
          <w:b w:val="0"/>
          <w:bCs w:val="0"/>
          <w:color w:val="auto"/>
          <w:sz w:val="24"/>
          <w:szCs w:val="24"/>
        </w:rPr>
      </w:pPr>
    </w:p>
    <w:p w:rsidRPr="00E86D22" w:rsidR="002D1FA2" w:rsidP="771937AE" w:rsidRDefault="000C5452" w14:paraId="2C848306" w14:textId="6E40FD28">
      <w:pPr>
        <w:pStyle w:val="Heading1"/>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Strategic Case Study Review: G</w:t>
      </w:r>
      <w:r w:rsidRPr="771937AE" w:rsidR="000C5452">
        <w:rPr>
          <w:rFonts w:ascii="Arial" w:hAnsi="Arial" w:eastAsia="Arial" w:cs="Arial"/>
          <w:b w:val="0"/>
          <w:bCs w:val="0"/>
          <w:color w:val="auto"/>
          <w:sz w:val="24"/>
          <w:szCs w:val="24"/>
        </w:rPr>
        <w:t>ower Christmas Tree Farm</w:t>
      </w:r>
    </w:p>
    <w:p w:rsidRPr="00E86D22" w:rsidR="002D1FA2" w:rsidP="771937AE" w:rsidRDefault="000C5452" w14:paraId="72A3476E"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Table of Contents</w:t>
      </w:r>
    </w:p>
    <w:p w:rsidRPr="00E86D22" w:rsidR="002D1FA2" w:rsidP="771937AE" w:rsidRDefault="000C5452" w14:paraId="7CF84762" w14:textId="46FE5972"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1. Executive Summary ............................................................... </w:t>
      </w:r>
    </w:p>
    <w:p w:rsidRPr="00E86D22" w:rsidR="002D1FA2" w:rsidP="771937AE" w:rsidRDefault="000C5452" w14:paraId="5BD787B1" w14:textId="26BA3D49"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2. Introduction ................................................................. </w:t>
      </w:r>
    </w:p>
    <w:p w:rsidRPr="00E86D22" w:rsidR="002D1FA2" w:rsidP="771937AE" w:rsidRDefault="000C5452" w14:paraId="767D6C56" w14:textId="51CDEF50"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3. Methodology and Research Methods ......................................... </w:t>
      </w:r>
    </w:p>
    <w:p w:rsidRPr="00E86D22" w:rsidR="002D1FA2" w:rsidP="771937AE" w:rsidRDefault="000C5452" w14:paraId="44B213AE" w14:textId="6462A913"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4. Detailed Analysis ................................................................. </w:t>
      </w:r>
    </w:p>
    <w:p w:rsidRPr="00E86D22" w:rsidR="002D1FA2" w:rsidP="771937AE" w:rsidRDefault="000C5452" w14:paraId="7EA9DE89" w14:textId="37FD3603"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   4.1 Internal Analysis ............................................................. </w:t>
      </w:r>
    </w:p>
    <w:p w:rsidRPr="00E86D22" w:rsidR="002D1FA2" w:rsidP="771937AE" w:rsidRDefault="000C5452" w14:paraId="55CB364A" w14:textId="080DF174"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   4.2 External Analysis ............................................................. </w:t>
      </w:r>
    </w:p>
    <w:p w:rsidRPr="00E86D22" w:rsidR="002D1FA2" w:rsidP="771937AE" w:rsidRDefault="000C5452" w14:paraId="6FEE8CEC" w14:textId="26D10924"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   4.3 SWOT Analysis ................................................................. </w:t>
      </w:r>
    </w:p>
    <w:p w:rsidRPr="00E86D22" w:rsidR="002D1FA2" w:rsidP="771937AE" w:rsidRDefault="000C5452" w14:paraId="2DA123FC" w14:textId="3C587E39"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5. Strategic Issues and Challenges ................................................. </w:t>
      </w:r>
    </w:p>
    <w:p w:rsidRPr="00E86D22" w:rsidR="002D1FA2" w:rsidP="771937AE" w:rsidRDefault="000C5452" w14:paraId="19EE43E8" w14:textId="04CB9E83"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6. Strategic Leadership ............................................................. </w:t>
      </w:r>
    </w:p>
    <w:p w:rsidRPr="00E86D22" w:rsidR="002D1FA2" w:rsidP="771937AE" w:rsidRDefault="000C5452" w14:paraId="64AFC816" w14:textId="6F0097C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7. Recommendations ............................................................... </w:t>
      </w:r>
    </w:p>
    <w:p w:rsidRPr="00E86D22" w:rsidR="002D1FA2" w:rsidP="771937AE" w:rsidRDefault="000C5452" w14:paraId="469BE5A9" w14:textId="3E97AE54"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8. Implementation Plan ........................................................... </w:t>
      </w:r>
    </w:p>
    <w:p w:rsidRPr="00E86D22" w:rsidR="002D1FA2" w:rsidP="771937AE" w:rsidRDefault="000C5452" w14:paraId="65C64CEC" w14:textId="2A6F1AC9"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9. Evaluation and Control ........................................................... </w:t>
      </w:r>
    </w:p>
    <w:p w:rsidRPr="00E86D22" w:rsidR="002D1FA2" w:rsidP="771937AE" w:rsidRDefault="000C5452" w14:paraId="0381F359" w14:textId="17D94DAA"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10. Conclusion ............................................................... </w:t>
      </w:r>
    </w:p>
    <w:p w:rsidRPr="00E86D22" w:rsidR="002D1FA2" w:rsidP="771937AE" w:rsidRDefault="000C5452" w14:paraId="2B61493E" w14:textId="41292EA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11. References ............................................................... </w:t>
      </w:r>
    </w:p>
    <w:p w:rsidRPr="00E86D22" w:rsidR="002D1FA2" w:rsidP="771937AE" w:rsidRDefault="000C5452" w14:paraId="4E4393EF"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1. Executive Summary</w:t>
      </w:r>
    </w:p>
    <w:p w:rsidRPr="00E86D22" w:rsidR="002D1FA2" w:rsidP="771937AE" w:rsidRDefault="000C5452" w14:paraId="118F0B73"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This report provides a comprehensive strategic review of Gower Christmas Tree Farm, a family-owned business known for its sustainability and community engagement. Using strategic frameworks such as SWOT analysis, Porter’s Five Forces, and PESTLE analysis, this review evaluates the farm’s internal strengths and weaknesses, external opportunities and threats, and its position within the dynamic tourism and events industry. Key recommendations include diversification into hops farming and microbrewing, enhancing digital presence, and </w:t>
      </w:r>
      <w:r w:rsidRPr="771937AE" w:rsidR="000C5452">
        <w:rPr>
          <w:rFonts w:ascii="Arial" w:hAnsi="Arial" w:eastAsia="Arial" w:cs="Arial"/>
          <w:b w:val="0"/>
          <w:bCs w:val="0"/>
          <w:color w:val="auto"/>
          <w:sz w:val="24"/>
          <w:szCs w:val="24"/>
        </w:rPr>
        <w:t>leveraging</w:t>
      </w:r>
      <w:r w:rsidRPr="771937AE" w:rsidR="000C5452">
        <w:rPr>
          <w:rFonts w:ascii="Arial" w:hAnsi="Arial" w:eastAsia="Arial" w:cs="Arial"/>
          <w:b w:val="0"/>
          <w:bCs w:val="0"/>
          <w:color w:val="auto"/>
          <w:sz w:val="24"/>
          <w:szCs w:val="24"/>
        </w:rPr>
        <w:t xml:space="preserve"> sustainability to attract eco-conscious consumers. These strategies are designed to ensure financial stability and long-term resilience.</w:t>
      </w:r>
    </w:p>
    <w:p w:rsidRPr="00E86D22" w:rsidR="002D1FA2" w:rsidP="771937AE" w:rsidRDefault="000C5452" w14:paraId="37B6E32A"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2. Introduction</w:t>
      </w:r>
    </w:p>
    <w:p w:rsidRPr="00E86D22" w:rsidR="002D1FA2" w:rsidP="771937AE" w:rsidRDefault="000C5452" w14:paraId="7E35986C"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Gower Christmas Tree Farm, </w:t>
      </w:r>
      <w:r w:rsidRPr="771937AE" w:rsidR="000C5452">
        <w:rPr>
          <w:rFonts w:ascii="Arial" w:hAnsi="Arial" w:eastAsia="Arial" w:cs="Arial"/>
          <w:b w:val="0"/>
          <w:bCs w:val="0"/>
          <w:color w:val="auto"/>
          <w:sz w:val="24"/>
          <w:szCs w:val="24"/>
        </w:rPr>
        <w:t>located</w:t>
      </w:r>
      <w:r w:rsidRPr="771937AE" w:rsidR="000C5452">
        <w:rPr>
          <w:rFonts w:ascii="Arial" w:hAnsi="Arial" w:eastAsia="Arial" w:cs="Arial"/>
          <w:b w:val="0"/>
          <w:bCs w:val="0"/>
          <w:color w:val="auto"/>
          <w:sz w:val="24"/>
          <w:szCs w:val="24"/>
        </w:rPr>
        <w:t xml:space="preserve"> in the scenic Gower Peninsula of Swansea, Wales, is a family-owned operation specializing in sustainably grown Christmas trees. Established in the early 2000s, the farm has become a popular local attraction, offering high-quality products alongside workshops and festive community events. Despite its </w:t>
      </w:r>
      <w:r w:rsidRPr="771937AE" w:rsidR="000C5452">
        <w:rPr>
          <w:rFonts w:ascii="Arial" w:hAnsi="Arial" w:eastAsia="Arial" w:cs="Arial"/>
          <w:b w:val="0"/>
          <w:bCs w:val="0"/>
          <w:color w:val="auto"/>
          <w:sz w:val="24"/>
          <w:szCs w:val="24"/>
        </w:rPr>
        <w:t xml:space="preserve">strong </w:t>
      </w:r>
      <w:r w:rsidRPr="771937AE" w:rsidR="000C5452">
        <w:rPr>
          <w:rFonts w:ascii="Arial" w:hAnsi="Arial" w:eastAsia="Arial" w:cs="Arial"/>
          <w:b w:val="0"/>
          <w:bCs w:val="0"/>
          <w:color w:val="auto"/>
          <w:sz w:val="24"/>
          <w:szCs w:val="24"/>
        </w:rPr>
        <w:t>reputation</w:t>
      </w:r>
      <w:r w:rsidRPr="771937AE" w:rsidR="000C5452">
        <w:rPr>
          <w:rFonts w:ascii="Arial" w:hAnsi="Arial" w:eastAsia="Arial" w:cs="Arial"/>
          <w:b w:val="0"/>
          <w:bCs w:val="0"/>
          <w:color w:val="auto"/>
          <w:sz w:val="24"/>
          <w:szCs w:val="24"/>
        </w:rPr>
        <w:t>, the business faces challenges such as seasonal dependency, rising competition from artificial tree suppliers, and limited digital engagement. This report evaluates these challenges and opportunities to provide actionable recommendations for strategic growth.</w:t>
      </w:r>
    </w:p>
    <w:p w:rsidRPr="00E86D22" w:rsidR="002D1FA2" w:rsidP="771937AE" w:rsidRDefault="000C5452" w14:paraId="69256317"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3. Methodology and Research Methods</w:t>
      </w:r>
    </w:p>
    <w:p w:rsidRPr="00E86D22" w:rsidR="002D1FA2" w:rsidP="771937AE" w:rsidRDefault="000C5452" w14:paraId="5A574CEF"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This study employs a combination of strategic management frameworks and research methods to evaluate the internal and external factors influencing Gower Christmas Tree Farm. The following methodologies were </w:t>
      </w:r>
      <w:r w:rsidRPr="771937AE" w:rsidR="000C5452">
        <w:rPr>
          <w:rFonts w:ascii="Arial" w:hAnsi="Arial" w:eastAsia="Arial" w:cs="Arial"/>
          <w:b w:val="0"/>
          <w:bCs w:val="0"/>
          <w:color w:val="auto"/>
          <w:sz w:val="24"/>
          <w:szCs w:val="24"/>
        </w:rPr>
        <w:t>utilized</w:t>
      </w:r>
      <w:r w:rsidRPr="771937AE" w:rsidR="000C5452">
        <w:rPr>
          <w:rFonts w:ascii="Arial" w:hAnsi="Arial" w:eastAsia="Arial" w:cs="Arial"/>
          <w:b w:val="0"/>
          <w:bCs w:val="0"/>
          <w:color w:val="auto"/>
          <w:sz w:val="24"/>
          <w:szCs w:val="24"/>
        </w:rPr>
        <w:t>:</w:t>
      </w:r>
    </w:p>
    <w:p w:rsidRPr="00E86D22" w:rsidR="002D1FA2" w:rsidP="771937AE" w:rsidRDefault="000C5452" w14:paraId="622F5606" w14:textId="3AF2A845">
      <w:pPr>
        <w:pStyle w:val="Normal"/>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-SWOT Analysis: This framework was applied to assess the farm’s internal strengths and weaknesses as well as external opportunities and threats.</w:t>
      </w:r>
      <w:r>
        <w:br/>
      </w:r>
      <w:r w:rsidRPr="771937AE" w:rsidR="000C5452">
        <w:rPr>
          <w:rFonts w:ascii="Arial" w:hAnsi="Arial" w:eastAsia="Arial" w:cs="Arial"/>
          <w:b w:val="0"/>
          <w:bCs w:val="0"/>
          <w:color w:val="auto"/>
          <w:sz w:val="24"/>
          <w:szCs w:val="24"/>
        </w:rPr>
        <w:t>- Porter’s Five Forces: Used to analyze the competitive landscape and market dynamics.</w:t>
      </w:r>
      <w:r w:rsidRPr="771937AE" w:rsidR="597BBCB1">
        <w:rPr>
          <w:rFonts w:ascii="Arial" w:hAnsi="Arial" w:eastAsia="Arial" w:cs="Arial"/>
          <w:b w:val="0"/>
          <w:bCs w:val="0"/>
          <w:noProof w:val="0"/>
          <w:color w:val="auto"/>
          <w:sz w:val="24"/>
          <w:szCs w:val="24"/>
          <w:lang w:val="en-US"/>
        </w:rPr>
        <w:t xml:space="preserve"> (Porter, 2008)</w:t>
      </w:r>
      <w:r>
        <w:br/>
      </w:r>
      <w:r w:rsidRPr="771937AE" w:rsidR="000C5452">
        <w:rPr>
          <w:rFonts w:ascii="Arial" w:hAnsi="Arial" w:eastAsia="Arial" w:cs="Arial"/>
          <w:b w:val="0"/>
          <w:bCs w:val="0"/>
          <w:color w:val="auto"/>
          <w:sz w:val="24"/>
          <w:szCs w:val="24"/>
        </w:rPr>
        <w:t xml:space="preserve">- PESTLE Analysis: </w:t>
      </w:r>
      <w:r w:rsidRPr="771937AE" w:rsidR="000C5452">
        <w:rPr>
          <w:rFonts w:ascii="Arial" w:hAnsi="Arial" w:eastAsia="Arial" w:cs="Arial"/>
          <w:b w:val="0"/>
          <w:bCs w:val="0"/>
          <w:color w:val="auto"/>
          <w:sz w:val="24"/>
          <w:szCs w:val="24"/>
        </w:rPr>
        <w:t>Provided</w:t>
      </w:r>
      <w:r w:rsidRPr="771937AE" w:rsidR="000C5452">
        <w:rPr>
          <w:rFonts w:ascii="Arial" w:hAnsi="Arial" w:eastAsia="Arial" w:cs="Arial"/>
          <w:b w:val="0"/>
          <w:bCs w:val="0"/>
          <w:color w:val="auto"/>
          <w:sz w:val="24"/>
          <w:szCs w:val="24"/>
        </w:rPr>
        <w:t xml:space="preserve"> a comprehensive view of the political, economic, social, technological, legal, and environmental factors </w:t>
      </w:r>
      <w:r w:rsidRPr="771937AE" w:rsidR="000C5452">
        <w:rPr>
          <w:rFonts w:ascii="Arial" w:hAnsi="Arial" w:eastAsia="Arial" w:cs="Arial"/>
          <w:b w:val="0"/>
          <w:bCs w:val="0"/>
          <w:color w:val="auto"/>
          <w:sz w:val="24"/>
          <w:szCs w:val="24"/>
        </w:rPr>
        <w:t>impacting</w:t>
      </w:r>
      <w:r w:rsidRPr="771937AE" w:rsidR="000C5452">
        <w:rPr>
          <w:rFonts w:ascii="Arial" w:hAnsi="Arial" w:eastAsia="Arial" w:cs="Arial"/>
          <w:b w:val="0"/>
          <w:bCs w:val="0"/>
          <w:color w:val="auto"/>
          <w:sz w:val="24"/>
          <w:szCs w:val="24"/>
        </w:rPr>
        <w:t xml:space="preserve"> the business.</w:t>
      </w:r>
      <w:r>
        <w:br/>
      </w:r>
      <w:r w:rsidRPr="771937AE" w:rsidR="000C5452">
        <w:rPr>
          <w:rFonts w:ascii="Arial" w:hAnsi="Arial" w:eastAsia="Arial" w:cs="Arial"/>
          <w:b w:val="0"/>
          <w:bCs w:val="0"/>
          <w:color w:val="auto"/>
          <w:sz w:val="24"/>
          <w:szCs w:val="24"/>
        </w:rPr>
        <w:t xml:space="preserve">- Case Studies: Examples from similar businesses, such as Hogs Back Brewery and National Trust properties, were incorporated to </w:t>
      </w:r>
      <w:r w:rsidRPr="771937AE" w:rsidR="000C5452">
        <w:rPr>
          <w:rFonts w:ascii="Arial" w:hAnsi="Arial" w:eastAsia="Arial" w:cs="Arial"/>
          <w:b w:val="0"/>
          <w:bCs w:val="0"/>
          <w:color w:val="auto"/>
          <w:sz w:val="24"/>
          <w:szCs w:val="24"/>
        </w:rPr>
        <w:t>validate</w:t>
      </w:r>
      <w:r w:rsidRPr="771937AE" w:rsidR="000C5452">
        <w:rPr>
          <w:rFonts w:ascii="Arial" w:hAnsi="Arial" w:eastAsia="Arial" w:cs="Arial"/>
          <w:b w:val="0"/>
          <w:bCs w:val="0"/>
          <w:color w:val="auto"/>
          <w:sz w:val="24"/>
          <w:szCs w:val="24"/>
        </w:rPr>
        <w:t xml:space="preserve"> proposed strategies.</w:t>
      </w:r>
    </w:p>
    <w:p w:rsidRPr="00E86D22" w:rsidR="002D1FA2" w:rsidP="771937AE" w:rsidRDefault="000C5452" w14:paraId="6A3049AE" w14:textId="2457686C">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Data collection involved reviewing customer feedback, sales records, and publicly available reports on market trends. Additionally, research into government policies, such as the UK’s Net Zero Strategy,</w:t>
      </w:r>
    </w:p>
    <w:p w:rsidRPr="00E86D22" w:rsidR="002D1FA2" w:rsidP="771937AE" w:rsidRDefault="000C5452" w14:paraId="0A88A67E" w14:textId="7872338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4.1 Internal Analysis</w:t>
      </w:r>
    </w:p>
    <w:p w:rsidRPr="00E86D22" w:rsidR="002D1FA2" w:rsidP="771937AE" w:rsidRDefault="000C5452" w14:paraId="3767DC22"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The internal analysis focuses on the farm’s core strengths, including its strong local reputation and commitment to sustainability. However, weaknesses such as reliance on seasonal revenue and limited digital outreach present significant challenges. </w:t>
      </w:r>
      <w:r w:rsidRPr="771937AE" w:rsidR="000C5452">
        <w:rPr>
          <w:rFonts w:ascii="Arial" w:hAnsi="Arial" w:eastAsia="Arial" w:cs="Arial"/>
          <w:b w:val="0"/>
          <w:bCs w:val="0"/>
          <w:color w:val="auto"/>
          <w:sz w:val="24"/>
          <w:szCs w:val="24"/>
        </w:rPr>
        <w:t>Opportunities for diversification and digital transformation are explored in detail.</w:t>
      </w:r>
    </w:p>
    <w:p w:rsidR="771937AE" w:rsidP="771937AE" w:rsidRDefault="771937AE" w14:paraId="6FF63672" w14:textId="6E3564E2">
      <w:pPr>
        <w:pStyle w:val="Heading3"/>
        <w:rPr>
          <w:rFonts w:ascii="Arial" w:hAnsi="Arial" w:eastAsia="Arial" w:cs="Arial"/>
          <w:b w:val="0"/>
          <w:bCs w:val="0"/>
          <w:color w:val="auto"/>
          <w:sz w:val="24"/>
          <w:szCs w:val="24"/>
        </w:rPr>
      </w:pPr>
    </w:p>
    <w:p w:rsidRPr="00E86D22" w:rsidR="002D1FA2" w:rsidP="771937AE" w:rsidRDefault="000C5452" w14:paraId="2674CC36"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4.2 External Analysis</w:t>
      </w:r>
    </w:p>
    <w:p w:rsidRPr="00E86D22" w:rsidR="002D1FA2" w:rsidP="771937AE" w:rsidRDefault="000C5452" w14:paraId="69CAEE82"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External factors are analyzed using Porter’s Five Forces and PESTLE frameworks. The political landscape, including sustainability incentives, offers opportunities for growth, while economic challenges such as inflation pose threats. Technological advancements in e-commerce and social media marketing provide avenues for expansion.</w:t>
      </w:r>
    </w:p>
    <w:p w:rsidRPr="00E86D22" w:rsidR="002D1FA2" w:rsidP="771937AE" w:rsidRDefault="000C5452" w14:paraId="4AF98324"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1. Executive Summary</w:t>
      </w:r>
    </w:p>
    <w:p w:rsidRPr="00E86D22" w:rsidR="002D1FA2" w:rsidP="771937AE" w:rsidRDefault="000C5452" w14:paraId="228AA926" w14:textId="7F3F925C">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This report provides a comprehensive strategic review of Gower Christmas Tree Farm, a family-owned business known for its sustainability and community engagement. Using strategic frameworks such as SWOT analysis, Porter’s Five Forces, and PESTLE analysis, this review evaluates the farm’s internal strengths and weaknesses, external opportunities and threats, and its position within the dynamic tourism and events industry. </w:t>
      </w:r>
    </w:p>
    <w:p w:rsidRPr="00E86D22" w:rsidR="002D1FA2" w:rsidP="771937AE" w:rsidRDefault="000C5452" w14:paraId="6128EAD2" w14:textId="738BA4DE">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Key recommendations include diversification into hops farming and microbrewing, enhancing digital presence, and </w:t>
      </w:r>
      <w:r w:rsidRPr="771937AE" w:rsidR="000C5452">
        <w:rPr>
          <w:rFonts w:ascii="Arial" w:hAnsi="Arial" w:eastAsia="Arial" w:cs="Arial"/>
          <w:b w:val="0"/>
          <w:bCs w:val="0"/>
          <w:color w:val="auto"/>
          <w:sz w:val="24"/>
          <w:szCs w:val="24"/>
        </w:rPr>
        <w:t>leveraging</w:t>
      </w:r>
      <w:r w:rsidRPr="771937AE" w:rsidR="000C5452">
        <w:rPr>
          <w:rFonts w:ascii="Arial" w:hAnsi="Arial" w:eastAsia="Arial" w:cs="Arial"/>
          <w:b w:val="0"/>
          <w:bCs w:val="0"/>
          <w:color w:val="auto"/>
          <w:sz w:val="24"/>
          <w:szCs w:val="24"/>
        </w:rPr>
        <w:t xml:space="preserve"> sustainability to attract eco-conscious consumers. These strategies are designed to ensure financial stability and long-term resilience.</w:t>
      </w:r>
    </w:p>
    <w:p w:rsidRPr="00E86D22" w:rsidR="002D1FA2" w:rsidP="771937AE" w:rsidRDefault="000C5452" w14:paraId="79C565F5"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3. Methodology and Research Methods</w:t>
      </w:r>
    </w:p>
    <w:p w:rsidRPr="00E86D22" w:rsidR="002D1FA2" w:rsidP="771937AE" w:rsidRDefault="000C5452" w14:paraId="24E568E2"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This study employs a combination of strategic management frameworks and research methods to evaluate the internal and external factors influencing Gower Christmas Tree Farm. The following methodologies were </w:t>
      </w:r>
      <w:r w:rsidRPr="771937AE" w:rsidR="000C5452">
        <w:rPr>
          <w:rFonts w:ascii="Arial" w:hAnsi="Arial" w:eastAsia="Arial" w:cs="Arial"/>
          <w:b w:val="0"/>
          <w:bCs w:val="0"/>
          <w:color w:val="auto"/>
          <w:sz w:val="24"/>
          <w:szCs w:val="24"/>
        </w:rPr>
        <w:t>utilized</w:t>
      </w:r>
      <w:r w:rsidRPr="771937AE" w:rsidR="000C5452">
        <w:rPr>
          <w:rFonts w:ascii="Arial" w:hAnsi="Arial" w:eastAsia="Arial" w:cs="Arial"/>
          <w:b w:val="0"/>
          <w:bCs w:val="0"/>
          <w:color w:val="auto"/>
          <w:sz w:val="24"/>
          <w:szCs w:val="24"/>
        </w:rPr>
        <w:t>:</w:t>
      </w:r>
    </w:p>
    <w:p w:rsidRPr="00E86D22" w:rsidR="002D1FA2" w:rsidP="771937AE" w:rsidRDefault="000C5452" w14:paraId="0FF569C4" w14:textId="6A890067">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SWOT Analysis: This framework was applied to assess the farm’s internal strengths and weaknesses as well as external opportunities and threats.</w:t>
      </w:r>
      <w:r>
        <w:br/>
      </w:r>
      <w:r w:rsidRPr="771937AE" w:rsidR="000C5452">
        <w:rPr>
          <w:rFonts w:ascii="Arial" w:hAnsi="Arial" w:eastAsia="Arial" w:cs="Arial"/>
          <w:b w:val="0"/>
          <w:bCs w:val="0"/>
          <w:color w:val="auto"/>
          <w:sz w:val="24"/>
          <w:szCs w:val="24"/>
        </w:rPr>
        <w:t>- Porter’s Five Forces: Used to analyze the competitive landscape and market dynamics.</w:t>
      </w:r>
      <w:r>
        <w:br/>
      </w:r>
      <w:r w:rsidRPr="771937AE" w:rsidR="000C5452">
        <w:rPr>
          <w:rFonts w:ascii="Arial" w:hAnsi="Arial" w:eastAsia="Arial" w:cs="Arial"/>
          <w:b w:val="0"/>
          <w:bCs w:val="0"/>
          <w:color w:val="auto"/>
          <w:sz w:val="24"/>
          <w:szCs w:val="24"/>
        </w:rPr>
        <w:t xml:space="preserve">- PESTLE Analysis: </w:t>
      </w:r>
      <w:r w:rsidRPr="771937AE" w:rsidR="000C5452">
        <w:rPr>
          <w:rFonts w:ascii="Arial" w:hAnsi="Arial" w:eastAsia="Arial" w:cs="Arial"/>
          <w:b w:val="0"/>
          <w:bCs w:val="0"/>
          <w:color w:val="auto"/>
          <w:sz w:val="24"/>
          <w:szCs w:val="24"/>
        </w:rPr>
        <w:t>Provided</w:t>
      </w:r>
      <w:r w:rsidRPr="771937AE" w:rsidR="000C5452">
        <w:rPr>
          <w:rFonts w:ascii="Arial" w:hAnsi="Arial" w:eastAsia="Arial" w:cs="Arial"/>
          <w:b w:val="0"/>
          <w:bCs w:val="0"/>
          <w:color w:val="auto"/>
          <w:sz w:val="24"/>
          <w:szCs w:val="24"/>
        </w:rPr>
        <w:t xml:space="preserve"> a comprehensive view of the political, economic, social, technological, legal, and environmental factors </w:t>
      </w:r>
      <w:r w:rsidRPr="771937AE" w:rsidR="000C5452">
        <w:rPr>
          <w:rFonts w:ascii="Arial" w:hAnsi="Arial" w:eastAsia="Arial" w:cs="Arial"/>
          <w:b w:val="0"/>
          <w:bCs w:val="0"/>
          <w:color w:val="auto"/>
          <w:sz w:val="24"/>
          <w:szCs w:val="24"/>
        </w:rPr>
        <w:t>impacting</w:t>
      </w:r>
      <w:r w:rsidRPr="771937AE" w:rsidR="000C5452">
        <w:rPr>
          <w:rFonts w:ascii="Arial" w:hAnsi="Arial" w:eastAsia="Arial" w:cs="Arial"/>
          <w:b w:val="0"/>
          <w:bCs w:val="0"/>
          <w:color w:val="auto"/>
          <w:sz w:val="24"/>
          <w:szCs w:val="24"/>
        </w:rPr>
        <w:t xml:space="preserve"> the business.</w:t>
      </w:r>
      <w:r>
        <w:br/>
      </w:r>
      <w:r w:rsidRPr="771937AE" w:rsidR="000C5452">
        <w:rPr>
          <w:rFonts w:ascii="Arial" w:hAnsi="Arial" w:eastAsia="Arial" w:cs="Arial"/>
          <w:b w:val="0"/>
          <w:bCs w:val="0"/>
          <w:color w:val="auto"/>
          <w:sz w:val="24"/>
          <w:szCs w:val="24"/>
        </w:rPr>
        <w:t xml:space="preserve">- Case Studies*: Examples from similar businesses, such as Hogs Back Brewery and National Trust properties, were incorporated to </w:t>
      </w:r>
      <w:r w:rsidRPr="771937AE" w:rsidR="000C5452">
        <w:rPr>
          <w:rFonts w:ascii="Arial" w:hAnsi="Arial" w:eastAsia="Arial" w:cs="Arial"/>
          <w:b w:val="0"/>
          <w:bCs w:val="0"/>
          <w:color w:val="auto"/>
          <w:sz w:val="24"/>
          <w:szCs w:val="24"/>
        </w:rPr>
        <w:t>v</w:t>
      </w:r>
      <w:r w:rsidRPr="771937AE" w:rsidR="000C5452">
        <w:rPr>
          <w:rFonts w:ascii="Arial" w:hAnsi="Arial" w:eastAsia="Arial" w:cs="Arial"/>
          <w:b w:val="0"/>
          <w:bCs w:val="0"/>
          <w:color w:val="auto"/>
          <w:sz w:val="24"/>
          <w:szCs w:val="24"/>
        </w:rPr>
        <w:t>alidate</w:t>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proposed strategies.</w:t>
      </w:r>
    </w:p>
    <w:p w:rsidRPr="00E86D22" w:rsidR="002D1FA2" w:rsidP="771937AE" w:rsidRDefault="000C5452" w14:paraId="54E73881"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Data collection involved reviewing customer feedback, sales records, and publicly available reports on market trends. Additionally, research into government policies, such as the UK’s Net Zero Strategy, was conducted to </w:t>
      </w:r>
      <w:r w:rsidRPr="771937AE" w:rsidR="000C5452">
        <w:rPr>
          <w:rFonts w:ascii="Arial" w:hAnsi="Arial" w:eastAsia="Arial" w:cs="Arial"/>
          <w:b w:val="0"/>
          <w:bCs w:val="0"/>
          <w:color w:val="auto"/>
          <w:sz w:val="24"/>
          <w:szCs w:val="24"/>
        </w:rPr>
        <w:t>identify</w:t>
      </w:r>
      <w:r w:rsidRPr="771937AE" w:rsidR="000C5452">
        <w:rPr>
          <w:rFonts w:ascii="Arial" w:hAnsi="Arial" w:eastAsia="Arial" w:cs="Arial"/>
          <w:b w:val="0"/>
          <w:bCs w:val="0"/>
          <w:color w:val="auto"/>
          <w:sz w:val="24"/>
          <w:szCs w:val="24"/>
        </w:rPr>
        <w:t xml:space="preserve"> potential opportunities for sustainability-driven growth.</w:t>
      </w:r>
    </w:p>
    <w:p w:rsidRPr="00E86D22" w:rsidR="002D1FA2" w:rsidP="771937AE" w:rsidRDefault="000C5452" w14:paraId="456F7E76"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4. Detailed Analysis</w:t>
      </w:r>
    </w:p>
    <w:p w:rsidRPr="00E86D22" w:rsidR="002D1FA2" w:rsidP="771937AE" w:rsidRDefault="000C5452" w14:paraId="61534749"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4.1 Internal Analysis</w:t>
      </w:r>
    </w:p>
    <w:p w:rsidRPr="00E86D22" w:rsidR="002D1FA2" w:rsidP="771937AE" w:rsidRDefault="000C5452" w14:paraId="52E2B43A"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The internal analysis focuses on the farm’s core strengths, including its strong local reputation and commitment to sustainability. However, weaknesses such as reliance on seasonal revenue and limited digital outreach present significant challenges. Opportunities for diversification and digital transformation are explored in detail.</w:t>
      </w:r>
    </w:p>
    <w:p w:rsidRPr="00E86D22" w:rsidR="002D1FA2" w:rsidP="771937AE" w:rsidRDefault="000C5452" w14:paraId="5E2906CF"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4.2 External Analysis</w:t>
      </w:r>
    </w:p>
    <w:p w:rsidRPr="00E86D22" w:rsidR="002D1FA2" w:rsidP="771937AE" w:rsidRDefault="000C5452" w14:paraId="66F7290F"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External factors are analyzed using Porter’s Five Forces and PESTLE frameworks. The political landscape, including sustainability incentives, offers opportunities for growth, while economic challenges such as inflation pose threats. Technological advancements in e-commerce and social media marketing provide avenues for expansion.</w:t>
      </w:r>
    </w:p>
    <w:p w:rsidRPr="00E86D22" w:rsidR="002D1FA2" w:rsidP="771937AE" w:rsidRDefault="000C5452" w14:paraId="32EF19F0"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4.3 SWOT Analysis</w:t>
      </w:r>
    </w:p>
    <w:p w:rsidRPr="00E86D22" w:rsidR="002D1FA2" w:rsidP="771937AE" w:rsidRDefault="000C5452" w14:paraId="19C2DED6"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The SWOT analysis evaluates the farm's internal strengths, such as sustainability practices, against external challenges like market competition. The detailed table presented earlier summarizes these factors comprehensively.</w:t>
      </w:r>
    </w:p>
    <w:p w:rsidRPr="00E86D22" w:rsidR="002D1FA2" w:rsidP="771937AE" w:rsidRDefault="000C5452" w14:paraId="63EB78A1"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5. Strategic Frameworks Applied</w:t>
      </w:r>
    </w:p>
    <w:p w:rsidRPr="00E86D22" w:rsidR="002D1FA2" w:rsidP="771937AE" w:rsidRDefault="000C5452" w14:paraId="5B7F9DDD" w14:textId="3746BB22">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5.1 Porter’s Five Forces</w:t>
      </w:r>
      <w:r w:rsidRPr="771937AE" w:rsidR="4C624ED5">
        <w:rPr>
          <w:rFonts w:ascii="Arial" w:hAnsi="Arial" w:eastAsia="Arial" w:cs="Arial"/>
          <w:b w:val="0"/>
          <w:bCs w:val="0"/>
          <w:color w:val="auto"/>
          <w:sz w:val="24"/>
          <w:szCs w:val="24"/>
        </w:rPr>
        <w:t xml:space="preserve"> </w:t>
      </w:r>
      <w:r w:rsidRPr="771937AE" w:rsidR="4C624ED5">
        <w:rPr>
          <w:rFonts w:ascii="Arial" w:hAnsi="Arial" w:eastAsia="Arial" w:cs="Arial"/>
          <w:b w:val="0"/>
          <w:bCs w:val="0"/>
          <w:noProof w:val="0"/>
          <w:color w:val="auto"/>
          <w:sz w:val="24"/>
          <w:szCs w:val="24"/>
          <w:lang w:val="en-US"/>
        </w:rPr>
        <w:t>(Porter, 2008)</w:t>
      </w:r>
    </w:p>
    <w:p w:rsidRPr="00E86D22" w:rsidR="002D1FA2" w:rsidP="771937AE" w:rsidRDefault="000C5452" w14:paraId="49D81E45"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Porter’s Five Forces framework provides insights into the competitive pressures and market dynamics affecting Gower Christmas Tree Farm. It highlights key areas of influence, including rivalry among competitors, the threat of substitutes, and the bargaining power of customers and suppliers.</w:t>
      </w:r>
    </w:p>
    <w:p w:rsidRPr="00E86D22" w:rsidR="002D1FA2" w:rsidP="771937AE" w:rsidRDefault="000C5452" w14:paraId="030E27FE" w14:textId="1CD59D47">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Rivalry Among Competitors: The market for Christmas trees is highly competitive, with large retailers and artificial tree suppliers dominating through lower costs. The farm’s sustainability practices help to differentiate its offerings.</w:t>
      </w:r>
      <w:r>
        <w:br/>
      </w:r>
      <w:r w:rsidRPr="771937AE" w:rsidR="000C5452">
        <w:rPr>
          <w:rFonts w:ascii="Arial" w:hAnsi="Arial" w:eastAsia="Arial" w:cs="Arial"/>
          <w:b w:val="0"/>
          <w:bCs w:val="0"/>
          <w:color w:val="auto"/>
          <w:sz w:val="24"/>
          <w:szCs w:val="24"/>
        </w:rPr>
        <w:t xml:space="preserve">- Threat of New Entrants: Barriers to entry are moderate; however, the long cultivation cycle for Christmas trees deters new entrants. Expansion into hops farming introduces new barriers due to </w:t>
      </w:r>
      <w:r w:rsidRPr="771937AE" w:rsidR="000C5452">
        <w:rPr>
          <w:rFonts w:ascii="Arial" w:hAnsi="Arial" w:eastAsia="Arial" w:cs="Arial"/>
          <w:b w:val="0"/>
          <w:bCs w:val="0"/>
          <w:color w:val="auto"/>
          <w:sz w:val="24"/>
          <w:szCs w:val="24"/>
        </w:rPr>
        <w:t>expertise</w:t>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required</w:t>
      </w:r>
      <w:r w:rsidRPr="771937AE" w:rsidR="000C5452">
        <w:rPr>
          <w:rFonts w:ascii="Arial" w:hAnsi="Arial" w:eastAsia="Arial" w:cs="Arial"/>
          <w:b w:val="0"/>
          <w:bCs w:val="0"/>
          <w:color w:val="auto"/>
          <w:sz w:val="24"/>
          <w:szCs w:val="24"/>
        </w:rPr>
        <w:t>.</w:t>
      </w:r>
      <w:r>
        <w:br/>
      </w:r>
      <w:r w:rsidRPr="771937AE" w:rsidR="000C5452">
        <w:rPr>
          <w:rFonts w:ascii="Arial" w:hAnsi="Arial" w:eastAsia="Arial" w:cs="Arial"/>
          <w:b w:val="0"/>
          <w:bCs w:val="0"/>
          <w:color w:val="auto"/>
          <w:sz w:val="24"/>
          <w:szCs w:val="24"/>
        </w:rPr>
        <w:t>- Bargaining Power of Customers: Customers have significant bargaining power due to the availability of alternatives. However, eco-conscious buyers may be less price-sensitive and favor sustainable products.</w:t>
      </w:r>
      <w:r>
        <w:br/>
      </w:r>
      <w:r w:rsidRPr="771937AE" w:rsidR="000C5452">
        <w:rPr>
          <w:rFonts w:ascii="Arial" w:hAnsi="Arial" w:eastAsia="Arial" w:cs="Arial"/>
          <w:b w:val="0"/>
          <w:bCs w:val="0"/>
          <w:color w:val="auto"/>
          <w:sz w:val="24"/>
          <w:szCs w:val="24"/>
        </w:rPr>
        <w:t>- Bargaining Power of Suppliers: Supplier dependency is low for tree production but will increase with hops farming and brewing equipment sourcing.</w:t>
      </w:r>
      <w:r>
        <w:br/>
      </w:r>
      <w:r w:rsidRPr="771937AE" w:rsidR="000C5452">
        <w:rPr>
          <w:rFonts w:ascii="Arial" w:hAnsi="Arial" w:eastAsia="Arial" w:cs="Arial"/>
          <w:b w:val="0"/>
          <w:bCs w:val="0"/>
          <w:color w:val="auto"/>
          <w:sz w:val="24"/>
          <w:szCs w:val="24"/>
        </w:rPr>
        <w:t>- Threat of Substitutes: Artificial trees and other seasonal decorations pose a significant threat, requiring robust marketing to counteract their perceived convenience and cost benefits.</w:t>
      </w:r>
    </w:p>
    <w:p w:rsidRPr="00E86D22" w:rsidR="002D1FA2" w:rsidP="771937AE" w:rsidRDefault="000C5452" w14:paraId="5120F677" w14:textId="188956C9">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5.2 PESTLE Analysis</w:t>
      </w:r>
      <w:r w:rsidRPr="771937AE" w:rsidR="1959A65E">
        <w:rPr>
          <w:rFonts w:ascii="Arial" w:hAnsi="Arial" w:eastAsia="Arial" w:cs="Arial"/>
          <w:b w:val="0"/>
          <w:bCs w:val="0"/>
          <w:color w:val="auto"/>
          <w:sz w:val="24"/>
          <w:szCs w:val="24"/>
        </w:rPr>
        <w:t xml:space="preserve"> </w:t>
      </w:r>
      <w:r w:rsidRPr="771937AE" w:rsidR="1959A65E">
        <w:rPr>
          <w:rFonts w:ascii="Arial" w:hAnsi="Arial" w:eastAsia="Arial" w:cs="Arial"/>
          <w:b w:val="0"/>
          <w:bCs w:val="0"/>
          <w:noProof w:val="0"/>
          <w:color w:val="auto"/>
          <w:sz w:val="24"/>
          <w:szCs w:val="24"/>
          <w:lang w:val="en-US"/>
        </w:rPr>
        <w:t xml:space="preserve">(Aleš </w:t>
      </w:r>
      <w:r w:rsidRPr="771937AE" w:rsidR="1959A65E">
        <w:rPr>
          <w:rFonts w:ascii="Arial" w:hAnsi="Arial" w:eastAsia="Arial" w:cs="Arial"/>
          <w:b w:val="0"/>
          <w:bCs w:val="0"/>
          <w:noProof w:val="0"/>
          <w:color w:val="auto"/>
          <w:sz w:val="24"/>
          <w:szCs w:val="24"/>
          <w:lang w:val="en-US"/>
        </w:rPr>
        <w:t>Groznik</w:t>
      </w:r>
      <w:r w:rsidRPr="771937AE" w:rsidR="1959A65E">
        <w:rPr>
          <w:rFonts w:ascii="Arial" w:hAnsi="Arial" w:eastAsia="Arial" w:cs="Arial"/>
          <w:b w:val="0"/>
          <w:bCs w:val="0"/>
          <w:noProof w:val="0"/>
          <w:color w:val="auto"/>
          <w:sz w:val="24"/>
          <w:szCs w:val="24"/>
          <w:lang w:val="en-US"/>
        </w:rPr>
        <w:t xml:space="preserve"> et al., 2011)</w:t>
      </w:r>
    </w:p>
    <w:p w:rsidRPr="00E86D22" w:rsidR="002D1FA2" w:rsidP="771937AE" w:rsidRDefault="000C5452" w14:paraId="789C201A"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PESTLE analysis </w:t>
      </w:r>
      <w:r w:rsidRPr="771937AE" w:rsidR="000C5452">
        <w:rPr>
          <w:rFonts w:ascii="Arial" w:hAnsi="Arial" w:eastAsia="Arial" w:cs="Arial"/>
          <w:b w:val="0"/>
          <w:bCs w:val="0"/>
          <w:color w:val="auto"/>
          <w:sz w:val="24"/>
          <w:szCs w:val="24"/>
        </w:rPr>
        <w:t>identifies</w:t>
      </w:r>
      <w:r w:rsidRPr="771937AE" w:rsidR="000C5452">
        <w:rPr>
          <w:rFonts w:ascii="Arial" w:hAnsi="Arial" w:eastAsia="Arial" w:cs="Arial"/>
          <w:b w:val="0"/>
          <w:bCs w:val="0"/>
          <w:color w:val="auto"/>
          <w:sz w:val="24"/>
          <w:szCs w:val="24"/>
        </w:rPr>
        <w:t xml:space="preserve"> macro-environmental factors influencing the farm. Political, economic, social, technological, legal, and environmental factors provide insights into opportunities and risks.</w:t>
      </w:r>
    </w:p>
    <w:p w:rsidRPr="00E86D22" w:rsidR="002D1FA2" w:rsidP="771937AE" w:rsidRDefault="000C5452" w14:paraId="1888735E" w14:textId="1F399C73">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Political: The UK government’s Net Zero Strategy creates opportunities for sustainability-focused grants and incentives (UK Government, 2023).</w:t>
      </w:r>
      <w:r>
        <w:br/>
      </w:r>
      <w:r w:rsidRPr="771937AE" w:rsidR="000C5452">
        <w:rPr>
          <w:rFonts w:ascii="Arial" w:hAnsi="Arial" w:eastAsia="Arial" w:cs="Arial"/>
          <w:b w:val="0"/>
          <w:bCs w:val="0"/>
          <w:color w:val="auto"/>
          <w:sz w:val="24"/>
          <w:szCs w:val="24"/>
        </w:rPr>
        <w:t>- Economic: Inflation and reduced discretionary spending could limit consumer purchases. Flexible pricing strategies and value-added services can mitigate this risk.</w:t>
      </w:r>
      <w:r>
        <w:br/>
      </w:r>
      <w:r w:rsidRPr="771937AE" w:rsidR="000C5452">
        <w:rPr>
          <w:rFonts w:ascii="Arial" w:hAnsi="Arial" w:eastAsia="Arial" w:cs="Arial"/>
          <w:b w:val="0"/>
          <w:bCs w:val="0"/>
          <w:color w:val="auto"/>
          <w:sz w:val="24"/>
          <w:szCs w:val="24"/>
        </w:rPr>
        <w:t xml:space="preserve">- Social: Increasing consumer demand for sustainable and experiential purchases </w:t>
      </w:r>
      <w:r w:rsidRPr="771937AE" w:rsidR="000C5452">
        <w:rPr>
          <w:rFonts w:ascii="Arial" w:hAnsi="Arial" w:eastAsia="Arial" w:cs="Arial"/>
          <w:b w:val="0"/>
          <w:bCs w:val="0"/>
          <w:color w:val="auto"/>
          <w:sz w:val="24"/>
          <w:szCs w:val="24"/>
        </w:rPr>
        <w:t>provides</w:t>
      </w:r>
      <w:r w:rsidRPr="771937AE" w:rsidR="000C5452">
        <w:rPr>
          <w:rFonts w:ascii="Arial" w:hAnsi="Arial" w:eastAsia="Arial" w:cs="Arial"/>
          <w:b w:val="0"/>
          <w:bCs w:val="0"/>
          <w:color w:val="auto"/>
          <w:sz w:val="24"/>
          <w:szCs w:val="24"/>
        </w:rPr>
        <w:t xml:space="preserve"> growth opportunities.</w:t>
      </w:r>
      <w:r>
        <w:br/>
      </w:r>
      <w:r w:rsidRPr="771937AE" w:rsidR="000C5452">
        <w:rPr>
          <w:rFonts w:ascii="Arial" w:hAnsi="Arial" w:eastAsia="Arial" w:cs="Arial"/>
          <w:b w:val="0"/>
          <w:bCs w:val="0"/>
          <w:color w:val="auto"/>
          <w:sz w:val="24"/>
          <w:szCs w:val="24"/>
        </w:rPr>
        <w:t>- Technological: Digital transformation through e-commerce and social media marketing is essential for reaching new customers.</w:t>
      </w:r>
      <w:r>
        <w:br/>
      </w:r>
      <w:r w:rsidRPr="771937AE" w:rsidR="000C5452">
        <w:rPr>
          <w:rFonts w:ascii="Arial" w:hAnsi="Arial" w:eastAsia="Arial" w:cs="Arial"/>
          <w:b w:val="0"/>
          <w:bCs w:val="0"/>
          <w:color w:val="auto"/>
          <w:sz w:val="24"/>
          <w:szCs w:val="24"/>
        </w:rPr>
        <w:t>- Legal: Expanding into hops farming and brewing introduces new regulatory requirements but strengthens the business’s diversification strategy.</w:t>
      </w:r>
      <w:r>
        <w:br/>
      </w:r>
      <w:r w:rsidRPr="771937AE" w:rsidR="000C5452">
        <w:rPr>
          <w:rFonts w:ascii="Arial" w:hAnsi="Arial" w:eastAsia="Arial" w:cs="Arial"/>
          <w:b w:val="0"/>
          <w:bCs w:val="0"/>
          <w:color w:val="auto"/>
          <w:sz w:val="24"/>
          <w:szCs w:val="24"/>
        </w:rPr>
        <w:t>- Environmental: Climate change impacts tree growth cycles but emphasizes the importance of sustainability, aligning with consumer values.</w:t>
      </w:r>
    </w:p>
    <w:p w:rsidRPr="00E86D22" w:rsidR="002D1FA2" w:rsidP="771937AE" w:rsidRDefault="000C5452" w14:paraId="45BEA29B" w14:textId="6300AE68">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5.3 SWOT Analysis Application</w:t>
      </w:r>
      <w:r w:rsidRPr="771937AE" w:rsidR="40C0DFFC">
        <w:rPr>
          <w:rFonts w:ascii="Arial" w:hAnsi="Arial" w:eastAsia="Arial" w:cs="Arial"/>
          <w:b w:val="0"/>
          <w:bCs w:val="0"/>
          <w:noProof w:val="0"/>
          <w:color w:val="auto"/>
          <w:sz w:val="24"/>
          <w:szCs w:val="24"/>
          <w:lang w:val="en-US"/>
        </w:rPr>
        <w:t xml:space="preserve"> (Speth, 2021)</w:t>
      </w:r>
    </w:p>
    <w:p w:rsidRPr="00E86D22" w:rsidR="002D1FA2" w:rsidP="771937AE" w:rsidRDefault="000C5452" w14:paraId="3D70FCC2"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The SWOT framework evaluates Gower Christmas Tree Farm’s internal and external factors to guide strategic decisions. Each element of the SWOT analysis informs actionable strategies.</w:t>
      </w:r>
    </w:p>
    <w:p w:rsidRPr="00E86D22" w:rsidR="002D1FA2" w:rsidP="771937AE" w:rsidRDefault="000C5452" w14:paraId="329D8042" w14:textId="7588043E">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 Strengths: </w:t>
      </w:r>
      <w:r w:rsidRPr="771937AE" w:rsidR="000C5452">
        <w:rPr>
          <w:rFonts w:ascii="Arial" w:hAnsi="Arial" w:eastAsia="Arial" w:cs="Arial"/>
          <w:b w:val="0"/>
          <w:bCs w:val="0"/>
          <w:color w:val="auto"/>
          <w:sz w:val="24"/>
          <w:szCs w:val="24"/>
        </w:rPr>
        <w:t>Leverage</w:t>
      </w:r>
      <w:r w:rsidRPr="771937AE" w:rsidR="000C5452">
        <w:rPr>
          <w:rFonts w:ascii="Arial" w:hAnsi="Arial" w:eastAsia="Arial" w:cs="Arial"/>
          <w:b w:val="0"/>
          <w:bCs w:val="0"/>
          <w:color w:val="auto"/>
          <w:sz w:val="24"/>
          <w:szCs w:val="24"/>
        </w:rPr>
        <w:t xml:space="preserve"> the farm’s sustainability reputation to attract eco-conscious consumers.</w:t>
      </w:r>
      <w:r>
        <w:br/>
      </w:r>
      <w:r w:rsidRPr="771937AE" w:rsidR="000C5452">
        <w:rPr>
          <w:rFonts w:ascii="Arial" w:hAnsi="Arial" w:eastAsia="Arial" w:cs="Arial"/>
          <w:b w:val="0"/>
          <w:bCs w:val="0"/>
          <w:color w:val="auto"/>
          <w:sz w:val="24"/>
          <w:szCs w:val="24"/>
        </w:rPr>
        <w:t>- Weaknesses: Address digital limitations by investing in an e-commerce platform and social media campaigns.</w:t>
      </w:r>
      <w:r>
        <w:br/>
      </w:r>
      <w:r w:rsidRPr="771937AE" w:rsidR="000C5452">
        <w:rPr>
          <w:rFonts w:ascii="Arial" w:hAnsi="Arial" w:eastAsia="Arial" w:cs="Arial"/>
          <w:b w:val="0"/>
          <w:bCs w:val="0"/>
          <w:color w:val="auto"/>
          <w:sz w:val="24"/>
          <w:szCs w:val="24"/>
        </w:rPr>
        <w:t>- Opportunities: Diversify revenue streams through hops farming and microbrewing to reduce seasonal dependency.</w:t>
      </w:r>
      <w:r>
        <w:br/>
      </w:r>
      <w:r w:rsidRPr="771937AE" w:rsidR="000C5452">
        <w:rPr>
          <w:rFonts w:ascii="Arial" w:hAnsi="Arial" w:eastAsia="Arial" w:cs="Arial"/>
          <w:b w:val="0"/>
          <w:bCs w:val="0"/>
          <w:color w:val="auto"/>
          <w:sz w:val="24"/>
          <w:szCs w:val="24"/>
        </w:rPr>
        <w:t>- Threats: Counter competition from artificial tree suppliers by emphasizing the environmental benefits of real trees.</w:t>
      </w:r>
    </w:p>
    <w:p w:rsidRPr="00E86D22" w:rsidR="002D1FA2" w:rsidP="771937AE" w:rsidRDefault="000C5452" w14:paraId="5F4E3F63" w14:textId="77777777" w14:noSpellErr="1">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6. Additional Strategic Frameworks</w:t>
      </w:r>
    </w:p>
    <w:p w:rsidRPr="00E86D22" w:rsidR="002D1FA2" w:rsidP="771937AE" w:rsidRDefault="000C5452" w14:paraId="57E2A9E1" w14:textId="1D96FBEC">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6.1 Balanced Scorecard (BSC)</w:t>
      </w:r>
      <w:r w:rsidRPr="771937AE" w:rsidR="4A229347">
        <w:rPr>
          <w:rFonts w:ascii="Arial" w:hAnsi="Arial" w:eastAsia="Arial" w:cs="Arial"/>
          <w:b w:val="0"/>
          <w:bCs w:val="0"/>
          <w:noProof w:val="0"/>
          <w:color w:val="auto"/>
          <w:sz w:val="24"/>
          <w:szCs w:val="24"/>
          <w:lang w:val="en-US"/>
        </w:rPr>
        <w:t xml:space="preserve"> (</w:t>
      </w:r>
      <w:r w:rsidRPr="771937AE" w:rsidR="4A229347">
        <w:rPr>
          <w:rFonts w:ascii="Arial" w:hAnsi="Arial" w:eastAsia="Arial" w:cs="Arial"/>
          <w:b w:val="0"/>
          <w:bCs w:val="0"/>
          <w:noProof w:val="0"/>
          <w:color w:val="auto"/>
          <w:sz w:val="24"/>
          <w:szCs w:val="24"/>
          <w:lang w:val="en-US"/>
        </w:rPr>
        <w:t>Najmaei</w:t>
      </w:r>
      <w:r w:rsidRPr="771937AE" w:rsidR="4A229347">
        <w:rPr>
          <w:rFonts w:ascii="Arial" w:hAnsi="Arial" w:eastAsia="Arial" w:cs="Arial"/>
          <w:b w:val="0"/>
          <w:bCs w:val="0"/>
          <w:noProof w:val="0"/>
          <w:color w:val="auto"/>
          <w:sz w:val="24"/>
          <w:szCs w:val="24"/>
          <w:lang w:val="en-US"/>
        </w:rPr>
        <w:t>, Quazi and Behnia, 2017)</w:t>
      </w:r>
    </w:p>
    <w:p w:rsidRPr="00E86D22" w:rsidR="002D1FA2" w:rsidP="771937AE" w:rsidRDefault="000C5452" w14:paraId="2D9C12AD"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The Balanced Scorecard (BSC) framework is applied to align Gower Christmas Tree Farm’s business activities with its strategic vision and goals. It provides a comprehensive approach to measuring organizational performance across four perspectives: customer, financial, internal processes, and learning and growth.</w:t>
      </w:r>
    </w:p>
    <w:p w:rsidRPr="00E86D22" w:rsidR="002D1FA2" w:rsidP="771937AE" w:rsidRDefault="000C5452" w14:paraId="57854CF0" w14:textId="14392BA8">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Customer Perspective: Measure customer satisfaction through repeat purchase rates and Net Promoter Scores (NPS). For example, offering personalized experiences like brewery tours and wreath-making workshops can enhance customer loyalty.</w:t>
      </w:r>
      <w:r>
        <w:br/>
      </w:r>
      <w:r w:rsidRPr="771937AE" w:rsidR="000C5452">
        <w:rPr>
          <w:rFonts w:ascii="Arial" w:hAnsi="Arial" w:eastAsia="Arial" w:cs="Arial"/>
          <w:b w:val="0"/>
          <w:bCs w:val="0"/>
          <w:color w:val="auto"/>
          <w:sz w:val="24"/>
          <w:szCs w:val="24"/>
        </w:rPr>
        <w:t>- Financial Perspective: Monitor revenue growth and cost control. Diversification into hops farming and brewing will contribute to stable income streams year-round.</w:t>
      </w:r>
      <w:r>
        <w:br/>
      </w:r>
      <w:r w:rsidRPr="771937AE" w:rsidR="000C5452">
        <w:rPr>
          <w:rFonts w:ascii="Arial" w:hAnsi="Arial" w:eastAsia="Arial" w:cs="Arial"/>
          <w:b w:val="0"/>
          <w:bCs w:val="0"/>
          <w:color w:val="auto"/>
          <w:sz w:val="24"/>
          <w:szCs w:val="24"/>
        </w:rPr>
        <w:t xml:space="preserve">- Internal Business Processes: Evaluate the efficiency of operations, such as tree cultivation cycles and brewing </w:t>
      </w:r>
      <w:r w:rsidRPr="771937AE" w:rsidR="000C5452">
        <w:rPr>
          <w:rFonts w:ascii="Arial" w:hAnsi="Arial" w:eastAsia="Arial" w:cs="Arial"/>
          <w:b w:val="0"/>
          <w:bCs w:val="0"/>
          <w:color w:val="auto"/>
          <w:sz w:val="24"/>
          <w:szCs w:val="24"/>
        </w:rPr>
        <w:t>logistics</w:t>
      </w:r>
      <w:r w:rsidRPr="771937AE" w:rsidR="000C5452">
        <w:rPr>
          <w:rFonts w:ascii="Arial" w:hAnsi="Arial" w:eastAsia="Arial" w:cs="Arial"/>
          <w:b w:val="0"/>
          <w:bCs w:val="0"/>
          <w:color w:val="auto"/>
          <w:sz w:val="24"/>
          <w:szCs w:val="24"/>
        </w:rPr>
        <w:t>.</w:t>
      </w:r>
      <w:r>
        <w:br/>
      </w:r>
      <w:r w:rsidRPr="771937AE" w:rsidR="000C5452">
        <w:rPr>
          <w:rFonts w:ascii="Arial" w:hAnsi="Arial" w:eastAsia="Arial" w:cs="Arial"/>
          <w:b w:val="0"/>
          <w:bCs w:val="0"/>
          <w:color w:val="auto"/>
          <w:sz w:val="24"/>
          <w:szCs w:val="24"/>
        </w:rPr>
        <w:t>- Learning and Growth: Track employee training, innovation in offerings, and the adoption of digital tools like an e-commerce platform.</w:t>
      </w:r>
    </w:p>
    <w:p w:rsidRPr="00E86D22" w:rsidR="002D1FA2" w:rsidP="771937AE" w:rsidRDefault="000C5452" w14:paraId="13A22888" w14:textId="176F874A">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6.2 Ansoff Matrix</w:t>
      </w:r>
      <w:r w:rsidRPr="771937AE" w:rsidR="57C038D4">
        <w:rPr>
          <w:rFonts w:ascii="Arial" w:hAnsi="Arial" w:eastAsia="Arial" w:cs="Arial"/>
          <w:b w:val="0"/>
          <w:bCs w:val="0"/>
          <w:noProof w:val="0"/>
          <w:color w:val="auto"/>
          <w:sz w:val="24"/>
          <w:szCs w:val="24"/>
          <w:lang w:val="en-US"/>
        </w:rPr>
        <w:t xml:space="preserve"> (Den, Pietersma and Marcel Van Assen, 2015)</w:t>
      </w:r>
    </w:p>
    <w:p w:rsidRPr="00E86D22" w:rsidR="002D1FA2" w:rsidP="771937AE" w:rsidRDefault="000C5452" w14:paraId="4EF9A4E6"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The Ansoff Matrix </w:t>
      </w:r>
      <w:r w:rsidRPr="771937AE" w:rsidR="000C5452">
        <w:rPr>
          <w:rFonts w:ascii="Arial" w:hAnsi="Arial" w:eastAsia="Arial" w:cs="Arial"/>
          <w:b w:val="0"/>
          <w:bCs w:val="0"/>
          <w:color w:val="auto"/>
          <w:sz w:val="24"/>
          <w:szCs w:val="24"/>
        </w:rPr>
        <w:t>identifies</w:t>
      </w:r>
      <w:r w:rsidRPr="771937AE" w:rsidR="000C5452">
        <w:rPr>
          <w:rFonts w:ascii="Arial" w:hAnsi="Arial" w:eastAsia="Arial" w:cs="Arial"/>
          <w:b w:val="0"/>
          <w:bCs w:val="0"/>
          <w:color w:val="auto"/>
          <w:sz w:val="24"/>
          <w:szCs w:val="24"/>
        </w:rPr>
        <w:t xml:space="preserve"> growth strategies by examining market and product dynamics. Each quadrant of the matrix is explored for the farm’s strategic planning.</w:t>
      </w:r>
    </w:p>
    <w:p w:rsidRPr="00E86D22" w:rsidR="002D1FA2" w:rsidP="771937AE" w:rsidRDefault="000C5452" w14:paraId="5A37EDEF" w14:textId="5CC58050">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Market Penetration: Increase market share for Christmas trees through aggressive marketing and loyalty discounts.</w:t>
      </w:r>
      <w:r>
        <w:br/>
      </w:r>
      <w:r w:rsidRPr="771937AE" w:rsidR="000C5452">
        <w:rPr>
          <w:rFonts w:ascii="Arial" w:hAnsi="Arial" w:eastAsia="Arial" w:cs="Arial"/>
          <w:b w:val="0"/>
          <w:bCs w:val="0"/>
          <w:color w:val="auto"/>
          <w:sz w:val="24"/>
          <w:szCs w:val="24"/>
        </w:rPr>
        <w:t>- Market Development: Use e-commerce to target customers outside the local market.</w:t>
      </w:r>
      <w:r>
        <w:br/>
      </w:r>
      <w:r w:rsidRPr="771937AE" w:rsidR="000C5452">
        <w:rPr>
          <w:rFonts w:ascii="Arial" w:hAnsi="Arial" w:eastAsia="Arial" w:cs="Arial"/>
          <w:b w:val="0"/>
          <w:bCs w:val="0"/>
          <w:color w:val="auto"/>
          <w:sz w:val="24"/>
          <w:szCs w:val="24"/>
        </w:rPr>
        <w:t>- Product Development: Introduce new offerings like craft beer, hops, and glamping packages.</w:t>
      </w:r>
      <w:r>
        <w:br/>
      </w:r>
    </w:p>
    <w:p w:rsidRPr="00E86D22" w:rsidR="002D1FA2" w:rsidP="771937AE" w:rsidRDefault="000C5452" w14:paraId="2EAFD69F" w14:textId="015D3F96">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Case Study: Hogs Back Brewery</w:t>
      </w:r>
      <w:r w:rsidRPr="771937AE" w:rsidR="4195B3A8">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 xml:space="preserve">successfully developed new markets for its craft beers by </w:t>
      </w:r>
      <w:r w:rsidRPr="771937AE" w:rsidR="000C5452">
        <w:rPr>
          <w:rFonts w:ascii="Arial" w:hAnsi="Arial" w:eastAsia="Arial" w:cs="Arial"/>
          <w:b w:val="0"/>
          <w:bCs w:val="0"/>
          <w:color w:val="auto"/>
          <w:sz w:val="24"/>
          <w:szCs w:val="24"/>
        </w:rPr>
        <w:t>l</w:t>
      </w:r>
      <w:r w:rsidRPr="771937AE" w:rsidR="000C5452">
        <w:rPr>
          <w:rFonts w:ascii="Arial" w:hAnsi="Arial" w:eastAsia="Arial" w:cs="Arial"/>
          <w:b w:val="0"/>
          <w:bCs w:val="0"/>
          <w:color w:val="auto"/>
          <w:sz w:val="24"/>
          <w:szCs w:val="24"/>
        </w:rPr>
        <w:t>everaging</w:t>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its hops farming capabilities.</w:t>
      </w:r>
    </w:p>
    <w:p w:rsidRPr="00E86D22" w:rsidR="002D1FA2" w:rsidP="771937AE" w:rsidRDefault="000C5452" w14:paraId="2AC961B6" w14:textId="4246BB4B">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6.3 VRIO Framework</w:t>
      </w:r>
      <w:r w:rsidRPr="771937AE" w:rsidR="5B9FF563">
        <w:rPr>
          <w:rFonts w:ascii="Arial" w:hAnsi="Arial" w:eastAsia="Arial" w:cs="Arial"/>
          <w:b w:val="0"/>
          <w:bCs w:val="0"/>
          <w:noProof w:val="0"/>
          <w:color w:val="auto"/>
          <w:sz w:val="24"/>
          <w:szCs w:val="24"/>
          <w:lang w:val="en-US"/>
        </w:rPr>
        <w:t xml:space="preserve"> (Barney and Hesterly, 2018)</w:t>
      </w:r>
    </w:p>
    <w:p w:rsidRPr="00E86D22" w:rsidR="002D1FA2" w:rsidP="771937AE" w:rsidRDefault="000C5452" w14:paraId="0AB655B1"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The VRIO framework assesses Gower Christmas Tree Farm’s resources to </w:t>
      </w:r>
      <w:r w:rsidRPr="771937AE" w:rsidR="000C5452">
        <w:rPr>
          <w:rFonts w:ascii="Arial" w:hAnsi="Arial" w:eastAsia="Arial" w:cs="Arial"/>
          <w:b w:val="0"/>
          <w:bCs w:val="0"/>
          <w:color w:val="auto"/>
          <w:sz w:val="24"/>
          <w:szCs w:val="24"/>
        </w:rPr>
        <w:t>determine</w:t>
      </w:r>
      <w:r w:rsidRPr="771937AE" w:rsidR="000C5452">
        <w:rPr>
          <w:rFonts w:ascii="Arial" w:hAnsi="Arial" w:eastAsia="Arial" w:cs="Arial"/>
          <w:b w:val="0"/>
          <w:bCs w:val="0"/>
          <w:color w:val="auto"/>
          <w:sz w:val="24"/>
          <w:szCs w:val="24"/>
        </w:rPr>
        <w:t xml:space="preserve"> sustainable competitive advantages.</w:t>
      </w:r>
    </w:p>
    <w:p w:rsidRPr="00E86D22" w:rsidR="002D1FA2" w:rsidP="771937AE" w:rsidRDefault="000C5452" w14:paraId="10022139" w14:textId="4962BF14">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Value: The farm’s eco-friendly practices and high-quality offerings add significant value to customers.</w:t>
      </w:r>
      <w:r>
        <w:br/>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Ra</w:t>
      </w:r>
      <w:r w:rsidRPr="771937AE" w:rsidR="000C5452">
        <w:rPr>
          <w:rFonts w:ascii="Arial" w:hAnsi="Arial" w:eastAsia="Arial" w:cs="Arial"/>
          <w:b w:val="0"/>
          <w:bCs w:val="0"/>
          <w:color w:val="auto"/>
          <w:sz w:val="24"/>
          <w:szCs w:val="24"/>
        </w:rPr>
        <w:t>rity</w:t>
      </w:r>
      <w:r w:rsidRPr="771937AE" w:rsidR="6543F605">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w:t>
      </w:r>
      <w:r w:rsidRPr="771937AE" w:rsidR="000C5452">
        <w:rPr>
          <w:rFonts w:ascii="Arial" w:hAnsi="Arial" w:eastAsia="Arial" w:cs="Arial"/>
          <w:b w:val="0"/>
          <w:bCs w:val="0"/>
          <w:color w:val="auto"/>
          <w:sz w:val="24"/>
          <w:szCs w:val="24"/>
        </w:rPr>
        <w:t xml:space="preserve"> L</w:t>
      </w:r>
      <w:r w:rsidRPr="771937AE" w:rsidR="000C5452">
        <w:rPr>
          <w:rFonts w:ascii="Arial" w:hAnsi="Arial" w:eastAsia="Arial" w:cs="Arial"/>
          <w:b w:val="0"/>
          <w:bCs w:val="0"/>
          <w:color w:val="auto"/>
          <w:sz w:val="24"/>
          <w:szCs w:val="24"/>
        </w:rPr>
        <w:t>ocally grown hops and unique Christmas experiences are rare in the market.</w:t>
      </w:r>
      <w:r>
        <w:br/>
      </w:r>
      <w:r w:rsidRPr="771937AE" w:rsidR="000C5452">
        <w:rPr>
          <w:rFonts w:ascii="Arial" w:hAnsi="Arial" w:eastAsia="Arial" w:cs="Arial"/>
          <w:b w:val="0"/>
          <w:bCs w:val="0"/>
          <w:color w:val="auto"/>
          <w:sz w:val="24"/>
          <w:szCs w:val="24"/>
        </w:rPr>
        <w:t>- Imitability: Sustainable farming practices and community engagement are difficult for competitors to replicate.</w:t>
      </w:r>
      <w:r>
        <w:br/>
      </w:r>
      <w:r w:rsidRPr="771937AE" w:rsidR="000C5452">
        <w:rPr>
          <w:rFonts w:ascii="Arial" w:hAnsi="Arial" w:eastAsia="Arial" w:cs="Arial"/>
          <w:b w:val="0"/>
          <w:bCs w:val="0"/>
          <w:color w:val="auto"/>
          <w:sz w:val="24"/>
          <w:szCs w:val="24"/>
        </w:rPr>
        <w:t>- Organizati</w:t>
      </w:r>
      <w:r w:rsidRPr="771937AE" w:rsidR="000C5452">
        <w:rPr>
          <w:rFonts w:ascii="Arial" w:hAnsi="Arial" w:eastAsia="Arial" w:cs="Arial"/>
          <w:b w:val="0"/>
          <w:bCs w:val="0"/>
          <w:color w:val="auto"/>
          <w:sz w:val="24"/>
          <w:szCs w:val="24"/>
        </w:rPr>
        <w:t>on</w:t>
      </w:r>
      <w:r w:rsidRPr="771937AE" w:rsidR="000C5452">
        <w:rPr>
          <w:rFonts w:ascii="Arial" w:hAnsi="Arial" w:eastAsia="Arial" w:cs="Arial"/>
          <w:b w:val="0"/>
          <w:bCs w:val="0"/>
          <w:color w:val="auto"/>
          <w:sz w:val="24"/>
          <w:szCs w:val="24"/>
        </w:rPr>
        <w:t>*</w:t>
      </w:r>
      <w:r w:rsidRPr="771937AE" w:rsidR="621ED39E">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w:t>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The farm’s existing infrastructure supports resource optimization and diversification initiatives.</w:t>
      </w:r>
    </w:p>
    <w:p w:rsidRPr="00E86D22" w:rsidR="002D1FA2" w:rsidP="771937AE" w:rsidRDefault="000C5452" w14:paraId="5E6110B7"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6.4 Blue Ocean Strategy</w:t>
      </w:r>
    </w:p>
    <w:p w:rsidRPr="00E86D22" w:rsidR="002D1FA2" w:rsidP="771937AE" w:rsidRDefault="000C5452" w14:paraId="4CCB2AED" w14:textId="3B48E2B2">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The farm can create uncontested market spaces by focusing on differentiation and low-cost value creation. For example, combining brewery tours with eco-friendly workshops can attract new customer segments.</w:t>
      </w:r>
      <w:r w:rsidRPr="771937AE" w:rsidR="7F63F1C5">
        <w:rPr>
          <w:rFonts w:ascii="Arial" w:hAnsi="Arial" w:eastAsia="Arial" w:cs="Arial"/>
          <w:b w:val="0"/>
          <w:bCs w:val="0"/>
          <w:noProof w:val="0"/>
          <w:color w:val="auto"/>
          <w:sz w:val="24"/>
          <w:szCs w:val="24"/>
          <w:lang w:val="en-US"/>
        </w:rPr>
        <w:t xml:space="preserve"> </w:t>
      </w:r>
      <w:r w:rsidRPr="771937AE" w:rsidR="7F63F1C5">
        <w:rPr>
          <w:rFonts w:ascii="Arial" w:hAnsi="Arial" w:eastAsia="Arial" w:cs="Arial"/>
          <w:b w:val="0"/>
          <w:bCs w:val="0"/>
          <w:noProof w:val="0"/>
          <w:color w:val="auto"/>
          <w:sz w:val="24"/>
          <w:szCs w:val="24"/>
          <w:lang w:val="en-US"/>
        </w:rPr>
        <w:t>Mebert</w:t>
      </w:r>
      <w:r w:rsidRPr="771937AE" w:rsidR="7F63F1C5">
        <w:rPr>
          <w:rFonts w:ascii="Arial" w:hAnsi="Arial" w:eastAsia="Arial" w:cs="Arial"/>
          <w:b w:val="0"/>
          <w:bCs w:val="0"/>
          <w:noProof w:val="0"/>
          <w:color w:val="auto"/>
          <w:sz w:val="24"/>
          <w:szCs w:val="24"/>
          <w:lang w:val="en-US"/>
        </w:rPr>
        <w:t xml:space="preserve"> and Lowe (2017)</w:t>
      </w:r>
    </w:p>
    <w:p w:rsidRPr="00E86D22" w:rsidR="002D1FA2" w:rsidP="771937AE" w:rsidRDefault="000C5452" w14:paraId="4A23E01E"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6.5 Value Chain Analysis</w:t>
      </w:r>
    </w:p>
    <w:p w:rsidRPr="00E86D22" w:rsidR="002D1FA2" w:rsidP="771937AE" w:rsidRDefault="000C5452" w14:paraId="5D59B630" w14:textId="7EC1BA36">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 xml:space="preserve">The value chain analysis </w:t>
      </w:r>
      <w:r w:rsidRPr="771937AE" w:rsidR="000C5452">
        <w:rPr>
          <w:rFonts w:ascii="Arial" w:hAnsi="Arial" w:eastAsia="Arial" w:cs="Arial"/>
          <w:b w:val="0"/>
          <w:bCs w:val="0"/>
          <w:color w:val="auto"/>
          <w:sz w:val="24"/>
          <w:szCs w:val="24"/>
        </w:rPr>
        <w:t>identifies</w:t>
      </w:r>
      <w:r w:rsidRPr="771937AE" w:rsidR="000C5452">
        <w:rPr>
          <w:rFonts w:ascii="Arial" w:hAnsi="Arial" w:eastAsia="Arial" w:cs="Arial"/>
          <w:b w:val="0"/>
          <w:bCs w:val="0"/>
          <w:color w:val="auto"/>
          <w:sz w:val="24"/>
          <w:szCs w:val="24"/>
        </w:rPr>
        <w:t xml:space="preserve"> opportunities to create value across the farm’s primary and support activities.</w:t>
      </w:r>
      <w:r w:rsidRPr="771937AE" w:rsidR="676D5E99">
        <w:rPr>
          <w:rFonts w:ascii="Arial" w:hAnsi="Arial" w:eastAsia="Arial" w:cs="Arial"/>
          <w:b w:val="0"/>
          <w:bCs w:val="0"/>
          <w:noProof w:val="0"/>
          <w:color w:val="auto"/>
          <w:sz w:val="24"/>
          <w:szCs w:val="24"/>
          <w:lang w:val="en-US"/>
        </w:rPr>
        <w:t xml:space="preserve"> (Making Markets Work Better </w:t>
      </w:r>
      <w:r w:rsidRPr="771937AE" w:rsidR="676D5E99">
        <w:rPr>
          <w:rFonts w:ascii="Arial" w:hAnsi="Arial" w:eastAsia="Arial" w:cs="Arial"/>
          <w:b w:val="0"/>
          <w:bCs w:val="0"/>
          <w:noProof w:val="0"/>
          <w:color w:val="auto"/>
          <w:sz w:val="24"/>
          <w:szCs w:val="24"/>
          <w:lang w:val="en-US"/>
        </w:rPr>
        <w:t>For</w:t>
      </w:r>
      <w:r w:rsidRPr="771937AE" w:rsidR="676D5E99">
        <w:rPr>
          <w:rFonts w:ascii="Arial" w:hAnsi="Arial" w:eastAsia="Arial" w:cs="Arial"/>
          <w:b w:val="0"/>
          <w:bCs w:val="0"/>
          <w:noProof w:val="0"/>
          <w:color w:val="auto"/>
          <w:sz w:val="24"/>
          <w:szCs w:val="24"/>
          <w:lang w:val="en-US"/>
        </w:rPr>
        <w:t xml:space="preserve"> </w:t>
      </w:r>
      <w:r w:rsidRPr="771937AE" w:rsidR="676D5E99">
        <w:rPr>
          <w:rFonts w:ascii="Arial" w:hAnsi="Arial" w:eastAsia="Arial" w:cs="Arial"/>
          <w:b w:val="0"/>
          <w:bCs w:val="0"/>
          <w:noProof w:val="0"/>
          <w:color w:val="auto"/>
          <w:sz w:val="24"/>
          <w:szCs w:val="24"/>
          <w:lang w:val="en-US"/>
        </w:rPr>
        <w:t>The</w:t>
      </w:r>
      <w:r w:rsidRPr="771937AE" w:rsidR="676D5E99">
        <w:rPr>
          <w:rFonts w:ascii="Arial" w:hAnsi="Arial" w:eastAsia="Arial" w:cs="Arial"/>
          <w:b w:val="0"/>
          <w:bCs w:val="0"/>
          <w:noProof w:val="0"/>
          <w:color w:val="auto"/>
          <w:sz w:val="24"/>
          <w:szCs w:val="24"/>
          <w:lang w:val="en-US"/>
        </w:rPr>
        <w:t xml:space="preserve"> Poor (Project and Great Britain. Department For International Development, 2008)</w:t>
      </w:r>
    </w:p>
    <w:p w:rsidRPr="00E86D22" w:rsidR="002D1FA2" w:rsidP="771937AE" w:rsidRDefault="000C5452" w14:paraId="55AF40BA" w14:textId="64B994DD">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 Primary Activities: Tree cultivation, brewing operations, and </w:t>
      </w:r>
      <w:r w:rsidRPr="771937AE" w:rsidR="00F66AA3">
        <w:rPr>
          <w:rFonts w:ascii="Arial" w:hAnsi="Arial" w:eastAsia="Arial" w:cs="Arial"/>
          <w:b w:val="0"/>
          <w:bCs w:val="0"/>
          <w:color w:val="auto"/>
          <w:sz w:val="24"/>
          <w:szCs w:val="24"/>
        </w:rPr>
        <w:t>coordination</w:t>
      </w:r>
      <w:r w:rsidRPr="771937AE" w:rsidR="000C5452">
        <w:rPr>
          <w:rFonts w:ascii="Arial" w:hAnsi="Arial" w:eastAsia="Arial" w:cs="Arial"/>
          <w:b w:val="0"/>
          <w:bCs w:val="0"/>
          <w:color w:val="auto"/>
          <w:sz w:val="24"/>
          <w:szCs w:val="24"/>
        </w:rPr>
        <w:t xml:space="preserve"> optimization can increase efficiency and profitability.</w:t>
      </w:r>
      <w:r>
        <w:br/>
      </w:r>
      <w:r w:rsidRPr="771937AE" w:rsidR="000C5452">
        <w:rPr>
          <w:rFonts w:ascii="Arial" w:hAnsi="Arial" w:eastAsia="Arial" w:cs="Arial"/>
          <w:b w:val="0"/>
          <w:bCs w:val="0"/>
          <w:color w:val="auto"/>
          <w:sz w:val="24"/>
          <w:szCs w:val="24"/>
        </w:rPr>
        <w:t xml:space="preserve">- Support Activities: </w:t>
      </w:r>
      <w:r w:rsidRPr="771937AE" w:rsidR="000C5452">
        <w:rPr>
          <w:rFonts w:ascii="Arial" w:hAnsi="Arial" w:eastAsia="Arial" w:cs="Arial"/>
          <w:b w:val="0"/>
          <w:bCs w:val="0"/>
          <w:color w:val="auto"/>
          <w:sz w:val="24"/>
          <w:szCs w:val="24"/>
        </w:rPr>
        <w:t>Leveraging</w:t>
      </w:r>
      <w:r w:rsidRPr="771937AE" w:rsidR="000C5452">
        <w:rPr>
          <w:rFonts w:ascii="Arial" w:hAnsi="Arial" w:eastAsia="Arial" w:cs="Arial"/>
          <w:b w:val="0"/>
          <w:bCs w:val="0"/>
          <w:color w:val="auto"/>
          <w:sz w:val="24"/>
          <w:szCs w:val="24"/>
        </w:rPr>
        <w:t xml:space="preserve"> local suppliers for hops and investing in employee training enhances operational sustainability.</w:t>
      </w:r>
    </w:p>
    <w:p w:rsidRPr="00E86D22" w:rsidR="002D1FA2" w:rsidP="771937AE" w:rsidRDefault="000C5452" w14:paraId="3F5311FC" w14:textId="743D226E">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Case Study: Amazon</w:t>
      </w:r>
      <w:r w:rsidRPr="771937AE" w:rsidR="60E3DD08">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optimizes</w:t>
      </w:r>
      <w:r w:rsidRPr="771937AE" w:rsidR="000C5452">
        <w:rPr>
          <w:rFonts w:ascii="Arial" w:hAnsi="Arial" w:eastAsia="Arial" w:cs="Arial"/>
          <w:b w:val="0"/>
          <w:bCs w:val="0"/>
          <w:color w:val="auto"/>
          <w:sz w:val="24"/>
          <w:szCs w:val="24"/>
        </w:rPr>
        <w:t xml:space="preserve"> its value chain through streamlined </w:t>
      </w:r>
      <w:r w:rsidRPr="771937AE" w:rsidR="00F66AA3">
        <w:rPr>
          <w:rFonts w:ascii="Arial" w:hAnsi="Arial" w:eastAsia="Arial" w:cs="Arial"/>
          <w:b w:val="0"/>
          <w:bCs w:val="0"/>
          <w:color w:val="auto"/>
          <w:sz w:val="24"/>
          <w:szCs w:val="24"/>
        </w:rPr>
        <w:t>planning</w:t>
      </w:r>
      <w:r w:rsidRPr="771937AE" w:rsidR="000C5452">
        <w:rPr>
          <w:rFonts w:ascii="Arial" w:hAnsi="Arial" w:eastAsia="Arial" w:cs="Arial"/>
          <w:b w:val="0"/>
          <w:bCs w:val="0"/>
          <w:color w:val="auto"/>
          <w:sz w:val="24"/>
          <w:szCs w:val="24"/>
        </w:rPr>
        <w:t xml:space="preserve"> and </w:t>
      </w:r>
      <w:r w:rsidRPr="771937AE" w:rsidR="000C5452">
        <w:rPr>
          <w:rFonts w:ascii="Arial" w:hAnsi="Arial" w:eastAsia="Arial" w:cs="Arial"/>
          <w:b w:val="0"/>
          <w:bCs w:val="0"/>
          <w:color w:val="auto"/>
          <w:sz w:val="24"/>
          <w:szCs w:val="24"/>
        </w:rPr>
        <w:t>cutting-edge</w:t>
      </w:r>
      <w:r w:rsidRPr="771937AE" w:rsidR="000C5452">
        <w:rPr>
          <w:rFonts w:ascii="Arial" w:hAnsi="Arial" w:eastAsia="Arial" w:cs="Arial"/>
          <w:b w:val="0"/>
          <w:bCs w:val="0"/>
          <w:color w:val="auto"/>
          <w:sz w:val="24"/>
          <w:szCs w:val="24"/>
        </w:rPr>
        <w:t xml:space="preserve"> technology.</w:t>
      </w:r>
    </w:p>
    <w:p w:rsidRPr="00E86D22" w:rsidR="002D1FA2" w:rsidP="771937AE" w:rsidRDefault="000C5452" w14:paraId="70E5D865" w14:noSpellErr="1" w14:textId="7660A844">
      <w:pPr>
        <w:rPr>
          <w:rFonts w:ascii="Arial" w:hAnsi="Arial" w:eastAsia="Arial" w:cs="Arial"/>
          <w:b w:val="0"/>
          <w:bCs w:val="0"/>
          <w:color w:val="auto"/>
          <w:sz w:val="24"/>
          <w:szCs w:val="24"/>
        </w:rPr>
      </w:pPr>
    </w:p>
    <w:p w:rsidRPr="00E86D22" w:rsidR="002D1FA2" w:rsidP="771937AE" w:rsidRDefault="000C5452" w14:paraId="1DDE51F2" w14:textId="6290E5F9">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6.2 Ansoff Matrix</w:t>
      </w:r>
      <w:r w:rsidRPr="771937AE" w:rsidR="2DF91A3A">
        <w:rPr>
          <w:rFonts w:ascii="Arial" w:hAnsi="Arial" w:eastAsia="Arial" w:cs="Arial"/>
          <w:b w:val="0"/>
          <w:bCs w:val="0"/>
          <w:noProof w:val="0"/>
          <w:color w:val="auto"/>
          <w:sz w:val="24"/>
          <w:szCs w:val="24"/>
          <w:lang w:val="en-US"/>
        </w:rPr>
        <w:t xml:space="preserve"> Mcdonald and Meldrum (2013)</w:t>
      </w:r>
    </w:p>
    <w:p w:rsidRPr="00E86D22" w:rsidR="002D1FA2" w:rsidP="771937AE" w:rsidRDefault="000C5452" w14:paraId="74FA813C"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The Ansoff Matrix </w:t>
      </w:r>
      <w:r w:rsidRPr="771937AE" w:rsidR="000C5452">
        <w:rPr>
          <w:rFonts w:ascii="Arial" w:hAnsi="Arial" w:eastAsia="Arial" w:cs="Arial"/>
          <w:b w:val="0"/>
          <w:bCs w:val="0"/>
          <w:color w:val="auto"/>
          <w:sz w:val="24"/>
          <w:szCs w:val="24"/>
        </w:rPr>
        <w:t>identifies</w:t>
      </w:r>
      <w:r w:rsidRPr="771937AE" w:rsidR="000C5452">
        <w:rPr>
          <w:rFonts w:ascii="Arial" w:hAnsi="Arial" w:eastAsia="Arial" w:cs="Arial"/>
          <w:b w:val="0"/>
          <w:bCs w:val="0"/>
          <w:color w:val="auto"/>
          <w:sz w:val="24"/>
          <w:szCs w:val="24"/>
        </w:rPr>
        <w:t xml:space="preserve"> growth strategies by examining market and product dynamics. Each quadrant of the matrix is explored for the farm’s strategic planning.</w:t>
      </w:r>
    </w:p>
    <w:p w:rsidRPr="00E86D22" w:rsidR="002D1FA2" w:rsidP="771937AE" w:rsidRDefault="000C5452" w14:paraId="493CD036" w14:textId="01B7D8B9">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Market Penetration: Increase market share for Christmas trees through aggressive marketing and loyalty discounts.</w:t>
      </w:r>
      <w:r>
        <w:br/>
      </w:r>
      <w:r w:rsidRPr="771937AE" w:rsidR="000C5452">
        <w:rPr>
          <w:rFonts w:ascii="Arial" w:hAnsi="Arial" w:eastAsia="Arial" w:cs="Arial"/>
          <w:b w:val="0"/>
          <w:bCs w:val="0"/>
          <w:color w:val="auto"/>
          <w:sz w:val="24"/>
          <w:szCs w:val="24"/>
        </w:rPr>
        <w:t>- Market Development: Use e-commerce to target customers outside the local market.</w:t>
      </w:r>
      <w:r>
        <w:br/>
      </w:r>
      <w:r w:rsidRPr="771937AE" w:rsidR="000C5452">
        <w:rPr>
          <w:rFonts w:ascii="Arial" w:hAnsi="Arial" w:eastAsia="Arial" w:cs="Arial"/>
          <w:b w:val="0"/>
          <w:bCs w:val="0"/>
          <w:color w:val="auto"/>
          <w:sz w:val="24"/>
          <w:szCs w:val="24"/>
        </w:rPr>
        <w:t>- Product Development: Introduce new offerings like craft beer, hops, and glamping packages.</w:t>
      </w:r>
      <w:r>
        <w:br/>
      </w:r>
      <w:r w:rsidRPr="771937AE" w:rsidR="000C5452">
        <w:rPr>
          <w:rFonts w:ascii="Arial" w:hAnsi="Arial" w:eastAsia="Arial" w:cs="Arial"/>
          <w:b w:val="0"/>
          <w:bCs w:val="0"/>
          <w:color w:val="auto"/>
          <w:sz w:val="24"/>
          <w:szCs w:val="24"/>
        </w:rPr>
        <w:t>- Diversification: Enter the agritourism and brewery markets to reduce reliance on seasonal sales.</w:t>
      </w:r>
    </w:p>
    <w:p w:rsidRPr="00E86D22" w:rsidR="002D1FA2" w:rsidP="771937AE" w:rsidRDefault="000C5452" w14:paraId="3D0C735F" w14:textId="2D8C0D8B">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Case Study: Hogs Back Brewery</w:t>
      </w:r>
      <w:r w:rsidRPr="771937AE" w:rsidR="112DFE9B">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successfully developed new markets for its craft beers by</w:t>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leveragin</w:t>
      </w:r>
      <w:r w:rsidRPr="771937AE" w:rsidR="000C5452">
        <w:rPr>
          <w:rFonts w:ascii="Arial" w:hAnsi="Arial" w:eastAsia="Arial" w:cs="Arial"/>
          <w:b w:val="0"/>
          <w:bCs w:val="0"/>
          <w:color w:val="auto"/>
          <w:sz w:val="24"/>
          <w:szCs w:val="24"/>
        </w:rPr>
        <w:t>g</w:t>
      </w:r>
      <w:r w:rsidRPr="771937AE" w:rsidR="000C5452">
        <w:rPr>
          <w:rFonts w:ascii="Arial" w:hAnsi="Arial" w:eastAsia="Arial" w:cs="Arial"/>
          <w:b w:val="0"/>
          <w:bCs w:val="0"/>
          <w:color w:val="auto"/>
          <w:sz w:val="24"/>
          <w:szCs w:val="24"/>
        </w:rPr>
        <w:t xml:space="preserve"> its hops farming capabilities.</w:t>
      </w:r>
    </w:p>
    <w:p w:rsidRPr="00E86D22" w:rsidR="002D1FA2" w:rsidP="771937AE" w:rsidRDefault="000C5452" w14:paraId="186E97EA" w14:textId="427805B4">
      <w:pPr>
        <w:pStyle w:val="Normal"/>
        <w:rPr>
          <w:rFonts w:ascii="Arial" w:hAnsi="Arial" w:eastAsia="Arial" w:cs="Arial"/>
          <w:b w:val="0"/>
          <w:bCs w:val="0"/>
          <w:noProof w:val="0"/>
          <w:color w:val="auto"/>
          <w:sz w:val="24"/>
          <w:szCs w:val="24"/>
          <w:lang w:val="en-US"/>
        </w:rPr>
      </w:pPr>
      <w:r w:rsidRPr="771937AE" w:rsidR="000C5452">
        <w:rPr>
          <w:rFonts w:ascii="Arial" w:hAnsi="Arial" w:eastAsia="Arial" w:cs="Arial"/>
          <w:b w:val="0"/>
          <w:bCs w:val="0"/>
          <w:color w:val="auto"/>
          <w:sz w:val="24"/>
          <w:szCs w:val="24"/>
        </w:rPr>
        <w:t>6.4 Blue Ocean Strategy</w:t>
      </w:r>
      <w:r w:rsidRPr="771937AE" w:rsidR="58404816">
        <w:rPr>
          <w:rFonts w:ascii="Arial" w:hAnsi="Arial" w:eastAsia="Arial" w:cs="Arial"/>
          <w:b w:val="0"/>
          <w:bCs w:val="0"/>
          <w:noProof w:val="0"/>
          <w:color w:val="auto"/>
          <w:sz w:val="24"/>
          <w:szCs w:val="24"/>
          <w:lang w:val="en-US"/>
        </w:rPr>
        <w:t xml:space="preserve"> (</w:t>
      </w:r>
      <w:r w:rsidRPr="771937AE" w:rsidR="58404816">
        <w:rPr>
          <w:rFonts w:ascii="Arial" w:hAnsi="Arial" w:eastAsia="Arial" w:cs="Arial"/>
          <w:b w:val="0"/>
          <w:bCs w:val="0"/>
          <w:noProof w:val="0"/>
          <w:color w:val="auto"/>
          <w:sz w:val="24"/>
          <w:szCs w:val="24"/>
          <w:lang w:val="en-US"/>
        </w:rPr>
        <w:t>Mebert</w:t>
      </w:r>
      <w:r w:rsidRPr="771937AE" w:rsidR="58404816">
        <w:rPr>
          <w:rFonts w:ascii="Arial" w:hAnsi="Arial" w:eastAsia="Arial" w:cs="Arial"/>
          <w:b w:val="0"/>
          <w:bCs w:val="0"/>
          <w:noProof w:val="0"/>
          <w:color w:val="auto"/>
          <w:sz w:val="24"/>
          <w:szCs w:val="24"/>
          <w:lang w:val="en-US"/>
        </w:rPr>
        <w:t xml:space="preserve"> and Lowe, 2017)</w:t>
      </w:r>
    </w:p>
    <w:p w:rsidRPr="00E86D22" w:rsidR="002D1FA2" w:rsidP="771937AE" w:rsidRDefault="000C5452" w14:paraId="65C69FA2"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The farm can create uncontested market spaces by focusing on differentiation and low-cost value creation. For example, combining brewery tours with eco-friendly workshops can attract new customer segments.</w:t>
      </w:r>
    </w:p>
    <w:p w:rsidRPr="00E86D22" w:rsidR="002D1FA2" w:rsidP="771937AE" w:rsidRDefault="000C5452" w14:paraId="70ED43EB" w14:textId="2B67636D">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6.5 Value Chain Analysis</w:t>
      </w:r>
    </w:p>
    <w:p w:rsidRPr="00E86D22" w:rsidR="002D1FA2" w:rsidP="771937AE" w:rsidRDefault="000C5452" w14:paraId="595376E5"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The value chain analysis </w:t>
      </w:r>
      <w:r w:rsidRPr="771937AE" w:rsidR="000C5452">
        <w:rPr>
          <w:rFonts w:ascii="Arial" w:hAnsi="Arial" w:eastAsia="Arial" w:cs="Arial"/>
          <w:b w:val="0"/>
          <w:bCs w:val="0"/>
          <w:color w:val="auto"/>
          <w:sz w:val="24"/>
          <w:szCs w:val="24"/>
        </w:rPr>
        <w:t>identifies</w:t>
      </w:r>
      <w:r w:rsidRPr="771937AE" w:rsidR="000C5452">
        <w:rPr>
          <w:rFonts w:ascii="Arial" w:hAnsi="Arial" w:eastAsia="Arial" w:cs="Arial"/>
          <w:b w:val="0"/>
          <w:bCs w:val="0"/>
          <w:color w:val="auto"/>
          <w:sz w:val="24"/>
          <w:szCs w:val="24"/>
        </w:rPr>
        <w:t xml:space="preserve"> opportunities to create value across the farm’s primary and support activities.</w:t>
      </w:r>
    </w:p>
    <w:p w:rsidRPr="00E86D22" w:rsidR="002D1FA2" w:rsidP="771937AE" w:rsidRDefault="000C5452" w14:paraId="72051803" w14:textId="0CA8F8B9">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 Primary Activities: Tree cultivation, brewing operations, and </w:t>
      </w:r>
      <w:r w:rsidRPr="771937AE" w:rsidR="000C5452">
        <w:rPr>
          <w:rFonts w:ascii="Arial" w:hAnsi="Arial" w:eastAsia="Arial" w:cs="Arial"/>
          <w:b w:val="0"/>
          <w:bCs w:val="0"/>
          <w:color w:val="auto"/>
          <w:sz w:val="24"/>
          <w:szCs w:val="24"/>
        </w:rPr>
        <w:t>logistics</w:t>
      </w:r>
      <w:r w:rsidRPr="771937AE" w:rsidR="000C5452">
        <w:rPr>
          <w:rFonts w:ascii="Arial" w:hAnsi="Arial" w:eastAsia="Arial" w:cs="Arial"/>
          <w:b w:val="0"/>
          <w:bCs w:val="0"/>
          <w:color w:val="auto"/>
          <w:sz w:val="24"/>
          <w:szCs w:val="24"/>
        </w:rPr>
        <w:t xml:space="preserve"> optimization can increase efficiency and profitability.</w:t>
      </w:r>
      <w:r>
        <w:br/>
      </w:r>
      <w:r w:rsidRPr="771937AE" w:rsidR="000C5452">
        <w:rPr>
          <w:rFonts w:ascii="Arial" w:hAnsi="Arial" w:eastAsia="Arial" w:cs="Arial"/>
          <w:b w:val="0"/>
          <w:bCs w:val="0"/>
          <w:color w:val="auto"/>
          <w:sz w:val="24"/>
          <w:szCs w:val="24"/>
        </w:rPr>
        <w:t xml:space="preserve">- Support Activities: </w:t>
      </w:r>
      <w:r w:rsidRPr="771937AE" w:rsidR="000C5452">
        <w:rPr>
          <w:rFonts w:ascii="Arial" w:hAnsi="Arial" w:eastAsia="Arial" w:cs="Arial"/>
          <w:b w:val="0"/>
          <w:bCs w:val="0"/>
          <w:color w:val="auto"/>
          <w:sz w:val="24"/>
          <w:szCs w:val="24"/>
        </w:rPr>
        <w:t>Leveraging</w:t>
      </w:r>
      <w:r w:rsidRPr="771937AE" w:rsidR="000C5452">
        <w:rPr>
          <w:rFonts w:ascii="Arial" w:hAnsi="Arial" w:eastAsia="Arial" w:cs="Arial"/>
          <w:b w:val="0"/>
          <w:bCs w:val="0"/>
          <w:color w:val="auto"/>
          <w:sz w:val="24"/>
          <w:szCs w:val="24"/>
        </w:rPr>
        <w:t xml:space="preserve"> local suppliers for hops and investing in employee training enhances operational sustainability.</w:t>
      </w:r>
      <w:r w:rsidRPr="771937AE" w:rsidR="441F1347">
        <w:rPr>
          <w:rFonts w:ascii="Arial" w:hAnsi="Arial" w:eastAsia="Arial" w:cs="Arial"/>
          <w:b w:val="0"/>
          <w:bCs w:val="0"/>
          <w:color w:val="auto"/>
          <w:sz w:val="24"/>
          <w:szCs w:val="24"/>
        </w:rPr>
        <w:t xml:space="preserve"> Making Markets Work Better </w:t>
      </w:r>
      <w:r w:rsidRPr="771937AE" w:rsidR="441F1347">
        <w:rPr>
          <w:rFonts w:ascii="Arial" w:hAnsi="Arial" w:eastAsia="Arial" w:cs="Arial"/>
          <w:b w:val="0"/>
          <w:bCs w:val="0"/>
          <w:color w:val="auto"/>
          <w:sz w:val="24"/>
          <w:szCs w:val="24"/>
        </w:rPr>
        <w:t>For</w:t>
      </w:r>
      <w:r w:rsidRPr="771937AE" w:rsidR="441F1347">
        <w:rPr>
          <w:rFonts w:ascii="Arial" w:hAnsi="Arial" w:eastAsia="Arial" w:cs="Arial"/>
          <w:b w:val="0"/>
          <w:bCs w:val="0"/>
          <w:color w:val="auto"/>
          <w:sz w:val="24"/>
          <w:szCs w:val="24"/>
        </w:rPr>
        <w:t xml:space="preserve"> </w:t>
      </w:r>
      <w:r w:rsidRPr="771937AE" w:rsidR="441F1347">
        <w:rPr>
          <w:rFonts w:ascii="Arial" w:hAnsi="Arial" w:eastAsia="Arial" w:cs="Arial"/>
          <w:b w:val="0"/>
          <w:bCs w:val="0"/>
          <w:color w:val="auto"/>
          <w:sz w:val="24"/>
          <w:szCs w:val="24"/>
        </w:rPr>
        <w:t>The</w:t>
      </w:r>
      <w:r w:rsidRPr="771937AE" w:rsidR="441F1347">
        <w:rPr>
          <w:rFonts w:ascii="Arial" w:hAnsi="Arial" w:eastAsia="Arial" w:cs="Arial"/>
          <w:b w:val="0"/>
          <w:bCs w:val="0"/>
          <w:color w:val="auto"/>
          <w:sz w:val="24"/>
          <w:szCs w:val="24"/>
        </w:rPr>
        <w:t xml:space="preserve"> Poor (Project and Great Britain. Department For International Development (2008)</w:t>
      </w:r>
    </w:p>
    <w:p w:rsidRPr="00E86D22" w:rsidR="002D1FA2" w:rsidP="771937AE" w:rsidRDefault="000C5452" w14:paraId="48772FB6" w14:textId="77229A9C">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Case Study: Amazon </w:t>
      </w:r>
      <w:r w:rsidRPr="771937AE" w:rsidR="000C5452">
        <w:rPr>
          <w:rFonts w:ascii="Arial" w:hAnsi="Arial" w:eastAsia="Arial" w:cs="Arial"/>
          <w:b w:val="0"/>
          <w:bCs w:val="0"/>
          <w:color w:val="auto"/>
          <w:sz w:val="24"/>
          <w:szCs w:val="24"/>
        </w:rPr>
        <w:t>optimizes</w:t>
      </w:r>
      <w:r w:rsidRPr="771937AE" w:rsidR="000C5452">
        <w:rPr>
          <w:rFonts w:ascii="Arial" w:hAnsi="Arial" w:eastAsia="Arial" w:cs="Arial"/>
          <w:b w:val="0"/>
          <w:bCs w:val="0"/>
          <w:color w:val="auto"/>
          <w:sz w:val="24"/>
          <w:szCs w:val="24"/>
        </w:rPr>
        <w:t xml:space="preserve"> its value chain through streamlined </w:t>
      </w:r>
      <w:r w:rsidRPr="771937AE" w:rsidR="000C5452">
        <w:rPr>
          <w:rFonts w:ascii="Arial" w:hAnsi="Arial" w:eastAsia="Arial" w:cs="Arial"/>
          <w:b w:val="0"/>
          <w:bCs w:val="0"/>
          <w:color w:val="auto"/>
          <w:sz w:val="24"/>
          <w:szCs w:val="24"/>
        </w:rPr>
        <w:t>logistics</w:t>
      </w:r>
      <w:r w:rsidRPr="771937AE" w:rsidR="000C5452">
        <w:rPr>
          <w:rFonts w:ascii="Arial" w:hAnsi="Arial" w:eastAsia="Arial" w:cs="Arial"/>
          <w:b w:val="0"/>
          <w:bCs w:val="0"/>
          <w:color w:val="auto"/>
          <w:sz w:val="24"/>
          <w:szCs w:val="24"/>
        </w:rPr>
        <w:t xml:space="preserve"> and </w:t>
      </w:r>
      <w:r w:rsidRPr="771937AE" w:rsidR="000C5452">
        <w:rPr>
          <w:rFonts w:ascii="Arial" w:hAnsi="Arial" w:eastAsia="Arial" w:cs="Arial"/>
          <w:b w:val="0"/>
          <w:bCs w:val="0"/>
          <w:color w:val="auto"/>
          <w:sz w:val="24"/>
          <w:szCs w:val="24"/>
        </w:rPr>
        <w:t>cutting-edge</w:t>
      </w:r>
      <w:r w:rsidRPr="771937AE" w:rsidR="000C5452">
        <w:rPr>
          <w:rFonts w:ascii="Arial" w:hAnsi="Arial" w:eastAsia="Arial" w:cs="Arial"/>
          <w:b w:val="0"/>
          <w:bCs w:val="0"/>
          <w:color w:val="auto"/>
          <w:sz w:val="24"/>
          <w:szCs w:val="24"/>
        </w:rPr>
        <w:t xml:space="preserve"> technology.</w:t>
      </w:r>
    </w:p>
    <w:p w:rsidRPr="00E86D22" w:rsidR="002D1FA2" w:rsidP="771937AE" w:rsidRDefault="000C5452" w14:paraId="1F6E4671" w14:noSpellErr="1" w14:textId="34E6BA0B">
      <w:pPr>
        <w:rPr>
          <w:rFonts w:ascii="Arial" w:hAnsi="Arial" w:eastAsia="Arial" w:cs="Arial"/>
          <w:b w:val="0"/>
          <w:bCs w:val="0"/>
          <w:color w:val="auto"/>
          <w:sz w:val="24"/>
          <w:szCs w:val="24"/>
        </w:rPr>
      </w:pPr>
    </w:p>
    <w:p w:rsidRPr="00E86D22" w:rsidR="002D1FA2" w:rsidP="771937AE" w:rsidRDefault="000C5452" w14:paraId="2C47FBD0" w14:textId="0988F6E9">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7. Recommendations</w:t>
      </w:r>
    </w:p>
    <w:p w:rsidRPr="00E86D22" w:rsidR="002D1FA2" w:rsidP="771937AE" w:rsidRDefault="000C5452" w14:paraId="6094171A"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The recommendations for Gower Christmas Tree Farm are expanded to incorporate </w:t>
      </w:r>
      <w:r w:rsidRPr="771937AE" w:rsidR="000C5452">
        <w:rPr>
          <w:rFonts w:ascii="Arial" w:hAnsi="Arial" w:eastAsia="Arial" w:cs="Arial"/>
          <w:b w:val="0"/>
          <w:bCs w:val="0"/>
          <w:color w:val="auto"/>
          <w:sz w:val="24"/>
          <w:szCs w:val="24"/>
        </w:rPr>
        <w:t>additional</w:t>
      </w:r>
      <w:r w:rsidRPr="771937AE" w:rsidR="000C5452">
        <w:rPr>
          <w:rFonts w:ascii="Arial" w:hAnsi="Arial" w:eastAsia="Arial" w:cs="Arial"/>
          <w:b w:val="0"/>
          <w:bCs w:val="0"/>
          <w:color w:val="auto"/>
          <w:sz w:val="24"/>
          <w:szCs w:val="24"/>
        </w:rPr>
        <w:t xml:space="preserve"> strategies for increasing revenue, enhancing customer engagement, and </w:t>
      </w:r>
      <w:r w:rsidRPr="771937AE" w:rsidR="000C5452">
        <w:rPr>
          <w:rFonts w:ascii="Arial" w:hAnsi="Arial" w:eastAsia="Arial" w:cs="Arial"/>
          <w:b w:val="0"/>
          <w:bCs w:val="0"/>
          <w:color w:val="auto"/>
          <w:sz w:val="24"/>
          <w:szCs w:val="24"/>
        </w:rPr>
        <w:t>leveraging</w:t>
      </w:r>
      <w:r w:rsidRPr="771937AE" w:rsidR="000C5452">
        <w:rPr>
          <w:rFonts w:ascii="Arial" w:hAnsi="Arial" w:eastAsia="Arial" w:cs="Arial"/>
          <w:b w:val="0"/>
          <w:bCs w:val="0"/>
          <w:color w:val="auto"/>
          <w:sz w:val="24"/>
          <w:szCs w:val="24"/>
        </w:rPr>
        <w:t xml:space="preserve"> new markets. By diversifying revenue streams, embracing digital transformation, and fostering local partnerships, the farm can achieve long-term financial stability and growth.</w:t>
      </w:r>
    </w:p>
    <w:p w:rsidRPr="00E86D22" w:rsidR="002D1FA2" w:rsidP="771937AE" w:rsidRDefault="000C5452" w14:paraId="2C4737A8"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7.1 Diversify Revenue Streams</w:t>
      </w:r>
    </w:p>
    <w:p w:rsidRPr="00E86D22" w:rsidR="002D1FA2" w:rsidP="771937AE" w:rsidRDefault="000C5452" w14:paraId="432F017F"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Expanding into hops farming and launching a microbrewery presents significant opportunities to diversify income and reduce reliance on seasonal Christmas tree sales. </w:t>
      </w:r>
      <w:r w:rsidRPr="771937AE" w:rsidR="000C5452">
        <w:rPr>
          <w:rFonts w:ascii="Arial" w:hAnsi="Arial" w:eastAsia="Arial" w:cs="Arial"/>
          <w:b w:val="0"/>
          <w:bCs w:val="0"/>
          <w:color w:val="auto"/>
          <w:sz w:val="24"/>
          <w:szCs w:val="24"/>
        </w:rPr>
        <w:t>Additional</w:t>
      </w:r>
      <w:r w:rsidRPr="771937AE" w:rsidR="000C5452">
        <w:rPr>
          <w:rFonts w:ascii="Arial" w:hAnsi="Arial" w:eastAsia="Arial" w:cs="Arial"/>
          <w:b w:val="0"/>
          <w:bCs w:val="0"/>
          <w:color w:val="auto"/>
          <w:sz w:val="24"/>
          <w:szCs w:val="24"/>
        </w:rPr>
        <w:t xml:space="preserve"> avenues include selling craft beer through multiple channels:</w:t>
      </w:r>
    </w:p>
    <w:p w:rsidRPr="00E86D22" w:rsidR="002D1FA2" w:rsidP="771937AE" w:rsidRDefault="000C5452" w14:paraId="7D593A54" w14:textId="70AB4FCF">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 On-Site Farm Shop: Introduce an on-site retail outlet where customers can </w:t>
      </w:r>
      <w:r w:rsidRPr="771937AE" w:rsidR="000C5452">
        <w:rPr>
          <w:rFonts w:ascii="Arial" w:hAnsi="Arial" w:eastAsia="Arial" w:cs="Arial"/>
          <w:b w:val="0"/>
          <w:bCs w:val="0"/>
          <w:color w:val="auto"/>
          <w:sz w:val="24"/>
          <w:szCs w:val="24"/>
        </w:rPr>
        <w:t>p</w:t>
      </w:r>
      <w:r w:rsidRPr="771937AE" w:rsidR="000C5452">
        <w:rPr>
          <w:rFonts w:ascii="Arial" w:hAnsi="Arial" w:eastAsia="Arial" w:cs="Arial"/>
          <w:b w:val="0"/>
          <w:bCs w:val="0"/>
          <w:color w:val="auto"/>
          <w:sz w:val="24"/>
          <w:szCs w:val="24"/>
        </w:rPr>
        <w:t>urchase</w:t>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craft beer alongside Christmas trees, festive decorations, and other farm products. This shop could also feature locally sourced artisanal products to attract a broader audience.</w:t>
      </w:r>
      <w:r>
        <w:br/>
      </w:r>
      <w:r w:rsidRPr="771937AE" w:rsidR="000C5452">
        <w:rPr>
          <w:rFonts w:ascii="Arial" w:hAnsi="Arial" w:eastAsia="Arial" w:cs="Arial"/>
          <w:b w:val="0"/>
          <w:bCs w:val="0"/>
          <w:color w:val="auto"/>
          <w:sz w:val="24"/>
          <w:szCs w:val="24"/>
        </w:rPr>
        <w:t>- E-Commerce Platform: Expand the farm’s online presence by selling craft beer on an e-commerce platform. This will allow customers to order year-round, increasing brand visibility and revenue.</w:t>
      </w:r>
      <w:r>
        <w:br/>
      </w:r>
      <w:r w:rsidRPr="771937AE" w:rsidR="000C5452">
        <w:rPr>
          <w:rFonts w:ascii="Arial" w:hAnsi="Arial" w:eastAsia="Arial" w:cs="Arial"/>
          <w:b w:val="0"/>
          <w:bCs w:val="0"/>
          <w:color w:val="auto"/>
          <w:sz w:val="24"/>
          <w:szCs w:val="24"/>
        </w:rPr>
        <w:t xml:space="preserve">- Partnership with Amazon: Leverage Amazon's marketplace to distribute the farm’s craft beer to a global audience, capitalizing on its </w:t>
      </w:r>
      <w:r w:rsidRPr="771937AE" w:rsidR="000C5452">
        <w:rPr>
          <w:rFonts w:ascii="Arial" w:hAnsi="Arial" w:eastAsia="Arial" w:cs="Arial"/>
          <w:b w:val="0"/>
          <w:bCs w:val="0"/>
          <w:color w:val="auto"/>
          <w:sz w:val="24"/>
          <w:szCs w:val="24"/>
        </w:rPr>
        <w:t>l</w:t>
      </w:r>
      <w:r w:rsidRPr="771937AE" w:rsidR="000C5452">
        <w:rPr>
          <w:rFonts w:ascii="Arial" w:hAnsi="Arial" w:eastAsia="Arial" w:cs="Arial"/>
          <w:b w:val="0"/>
          <w:bCs w:val="0"/>
          <w:color w:val="auto"/>
          <w:sz w:val="24"/>
          <w:szCs w:val="24"/>
        </w:rPr>
        <w:t>ogistics</w:t>
      </w:r>
      <w:r w:rsidRPr="771937AE" w:rsidR="000C5452">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network and customer base.</w:t>
      </w:r>
      <w:r>
        <w:br/>
      </w:r>
      <w:r w:rsidRPr="771937AE" w:rsidR="000C5452">
        <w:rPr>
          <w:rFonts w:ascii="Arial" w:hAnsi="Arial" w:eastAsia="Arial" w:cs="Arial"/>
          <w:b w:val="0"/>
          <w:bCs w:val="0"/>
          <w:color w:val="auto"/>
          <w:sz w:val="24"/>
          <w:szCs w:val="24"/>
        </w:rPr>
        <w:t>- Local Public Houses: Collaborate with local pubs and restaurants to feature the farm’s craft beer on their menus. This not only generates revenue but also promotes the farm as a community-oriented brand.</w:t>
      </w:r>
    </w:p>
    <w:p w:rsidR="771937AE" w:rsidP="771937AE" w:rsidRDefault="771937AE" w14:paraId="0F6301BE" w14:textId="03FA992E">
      <w:pPr>
        <w:pStyle w:val="Heading3"/>
        <w:rPr>
          <w:rFonts w:ascii="Arial" w:hAnsi="Arial" w:eastAsia="Arial" w:cs="Arial"/>
          <w:b w:val="0"/>
          <w:bCs w:val="0"/>
          <w:color w:val="auto"/>
          <w:sz w:val="24"/>
          <w:szCs w:val="24"/>
        </w:rPr>
      </w:pPr>
    </w:p>
    <w:p w:rsidRPr="00E86D22" w:rsidR="002D1FA2" w:rsidP="771937AE" w:rsidRDefault="000C5452" w14:paraId="631F9682"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7.2 Enhance Digital Marketing and E-Commerce</w:t>
      </w:r>
    </w:p>
    <w:p w:rsidRPr="00E86D22" w:rsidR="002D1FA2" w:rsidP="771937AE" w:rsidRDefault="000C5452" w14:paraId="4DDDEBF1"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Developing a robust digital marketing strategy is essential for promoting the new product lines. Targeted social media campaigns, interactive content, and customer reviews will play a crucial role in building brand loyalty and driving traffic to the e-commerce platform.</w:t>
      </w:r>
    </w:p>
    <w:p w:rsidRPr="00E86D22" w:rsidR="002D1FA2" w:rsidP="771937AE" w:rsidRDefault="000C5452" w14:paraId="55B159E9" w14:textId="567906B7">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Case Study: Bloom &amp; Wil</w:t>
      </w:r>
      <w:r w:rsidRPr="771937AE" w:rsidR="181C9798">
        <w:rPr>
          <w:rFonts w:ascii="Arial" w:hAnsi="Arial" w:eastAsia="Arial" w:cs="Arial"/>
          <w:b w:val="0"/>
          <w:bCs w:val="0"/>
          <w:color w:val="auto"/>
          <w:sz w:val="24"/>
          <w:szCs w:val="24"/>
        </w:rPr>
        <w:t xml:space="preserve">d </w:t>
      </w:r>
      <w:r w:rsidRPr="771937AE" w:rsidR="000C5452">
        <w:rPr>
          <w:rFonts w:ascii="Arial" w:hAnsi="Arial" w:eastAsia="Arial" w:cs="Arial"/>
          <w:b w:val="0"/>
          <w:bCs w:val="0"/>
          <w:color w:val="auto"/>
          <w:sz w:val="24"/>
          <w:szCs w:val="24"/>
        </w:rPr>
        <w:t xml:space="preserve">successfully </w:t>
      </w:r>
      <w:r w:rsidRPr="771937AE" w:rsidR="000C5452">
        <w:rPr>
          <w:rFonts w:ascii="Arial" w:hAnsi="Arial" w:eastAsia="Arial" w:cs="Arial"/>
          <w:b w:val="0"/>
          <w:bCs w:val="0"/>
          <w:color w:val="auto"/>
          <w:sz w:val="24"/>
          <w:szCs w:val="24"/>
        </w:rPr>
        <w:t>leveraged</w:t>
      </w:r>
      <w:r w:rsidRPr="771937AE" w:rsidR="000C5452">
        <w:rPr>
          <w:rFonts w:ascii="Arial" w:hAnsi="Arial" w:eastAsia="Arial" w:cs="Arial"/>
          <w:b w:val="0"/>
          <w:bCs w:val="0"/>
          <w:color w:val="auto"/>
          <w:sz w:val="24"/>
          <w:szCs w:val="24"/>
        </w:rPr>
        <w:t xml:space="preserve"> Instagram and Facebook ads to scale its operations and attract eco-conscious consumers. Gower Christmas Tree Farm can adopt similar strategies to promote its sustainability ethos and new product offerings.</w:t>
      </w:r>
    </w:p>
    <w:p w:rsidRPr="00E86D22" w:rsidR="002D1FA2" w:rsidP="771937AE" w:rsidRDefault="000C5452" w14:paraId="0FD325ED"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7.3 Local and Regional Partnerships</w:t>
      </w:r>
    </w:p>
    <w:p w:rsidRPr="00E86D22" w:rsidR="002D1FA2" w:rsidP="771937AE" w:rsidRDefault="000C5452" w14:paraId="3262A640"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Collaborating with local businesses, such as pubs, restaurants, and tourism operators, can create mutually beneficial opportunities. For example, pairing brewery tours with tasting sessions at local establishments could increase foot traffic and sales for all parties.</w:t>
      </w:r>
    </w:p>
    <w:p w:rsidRPr="00E86D22" w:rsidR="002D1FA2" w:rsidP="771937AE" w:rsidRDefault="000C5452" w14:paraId="0D90C516" w14:textId="773EB61A">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Case Study: Hogs Back Brewery</w:t>
      </w:r>
      <w:r w:rsidRPr="771937AE" w:rsidR="3AC4479F">
        <w:rPr>
          <w:rFonts w:ascii="Arial" w:hAnsi="Arial" w:eastAsia="Arial" w:cs="Arial"/>
          <w:b w:val="0"/>
          <w:bCs w:val="0"/>
          <w:color w:val="auto"/>
          <w:sz w:val="24"/>
          <w:szCs w:val="24"/>
        </w:rPr>
        <w:t xml:space="preserve"> </w:t>
      </w:r>
      <w:r w:rsidRPr="771937AE" w:rsidR="000C5452">
        <w:rPr>
          <w:rFonts w:ascii="Arial" w:hAnsi="Arial" w:eastAsia="Arial" w:cs="Arial"/>
          <w:b w:val="0"/>
          <w:bCs w:val="0"/>
          <w:color w:val="auto"/>
          <w:sz w:val="24"/>
          <w:szCs w:val="24"/>
        </w:rPr>
        <w:t>partnered with local pubs to distribute its craft beer, boosting both revenue and brand recognition within the region.</w:t>
      </w:r>
    </w:p>
    <w:p w:rsidRPr="00E86D22" w:rsidR="002D1FA2" w:rsidP="771937AE" w:rsidRDefault="000C5452" w14:paraId="05E59CAF" w14:textId="77777777" w14:noSpellErr="1">
      <w:pPr>
        <w:pStyle w:val="Heading3"/>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7.4 Customer Experience Enhancement</w:t>
      </w:r>
    </w:p>
    <w:p w:rsidRPr="00E86D22" w:rsidR="002D1FA2" w:rsidP="771937AE" w:rsidRDefault="000C5452" w14:paraId="54B8A82F"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Introduce workshops or tasting sessions at the farm, where customers can sample craft beer and learn about the brewing process. These experiences could also be bundled with other offerings, such as glamping or festive events, to enhance overall customer satisfaction.</w:t>
      </w:r>
    </w:p>
    <w:p w:rsidRPr="00E86D22" w:rsidR="002D1FA2" w:rsidP="771937AE" w:rsidRDefault="000C5452" w14:paraId="4B18FF45"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By implementing these expanded recommendations, Gower Christmas Tree Farm can </w:t>
      </w:r>
      <w:r w:rsidRPr="771937AE" w:rsidR="000C5452">
        <w:rPr>
          <w:rFonts w:ascii="Arial" w:hAnsi="Arial" w:eastAsia="Arial" w:cs="Arial"/>
          <w:b w:val="0"/>
          <w:bCs w:val="0"/>
          <w:color w:val="auto"/>
          <w:sz w:val="24"/>
          <w:szCs w:val="24"/>
        </w:rPr>
        <w:t>establish</w:t>
      </w:r>
      <w:r w:rsidRPr="771937AE" w:rsidR="000C5452">
        <w:rPr>
          <w:rFonts w:ascii="Arial" w:hAnsi="Arial" w:eastAsia="Arial" w:cs="Arial"/>
          <w:b w:val="0"/>
          <w:bCs w:val="0"/>
          <w:color w:val="auto"/>
          <w:sz w:val="24"/>
          <w:szCs w:val="24"/>
        </w:rPr>
        <w:t xml:space="preserve"> itself as a diverse, sustainable business that appeals to a wide audience.</w:t>
      </w:r>
    </w:p>
    <w:p w:rsidRPr="00E86D22" w:rsidR="002D1FA2" w:rsidP="771937AE" w:rsidRDefault="000C5452" w14:paraId="78D13E92" w14:textId="32066BCA">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4. Detailed Analysis </w:t>
      </w:r>
    </w:p>
    <w:p w:rsidRPr="00E86D22" w:rsidR="002D1FA2" w:rsidP="771937AE" w:rsidRDefault="000C5452" w14:paraId="0E5A6632"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The SWOT analysis </w:t>
      </w:r>
      <w:r w:rsidRPr="771937AE" w:rsidR="000C5452">
        <w:rPr>
          <w:rFonts w:ascii="Arial" w:hAnsi="Arial" w:eastAsia="Arial" w:cs="Arial"/>
          <w:b w:val="0"/>
          <w:bCs w:val="0"/>
          <w:color w:val="auto"/>
          <w:sz w:val="24"/>
          <w:szCs w:val="24"/>
        </w:rPr>
        <w:t>identifies</w:t>
      </w:r>
      <w:r w:rsidRPr="771937AE" w:rsidR="000C5452">
        <w:rPr>
          <w:rFonts w:ascii="Arial" w:hAnsi="Arial" w:eastAsia="Arial" w:cs="Arial"/>
          <w:b w:val="0"/>
          <w:bCs w:val="0"/>
          <w:color w:val="auto"/>
          <w:sz w:val="24"/>
          <w:szCs w:val="24"/>
        </w:rPr>
        <w:t xml:space="preserve"> the farm's strengths, weaknesses, opportunities, and threats to guide its strategic planning. The </w:t>
      </w:r>
      <w:r w:rsidRPr="771937AE" w:rsidR="000C5452">
        <w:rPr>
          <w:rFonts w:ascii="Arial" w:hAnsi="Arial" w:eastAsia="Arial" w:cs="Arial"/>
          <w:b w:val="0"/>
          <w:bCs w:val="0"/>
          <w:color w:val="auto"/>
          <w:sz w:val="24"/>
          <w:szCs w:val="24"/>
        </w:rPr>
        <w:t>strong reputation</w:t>
      </w:r>
      <w:r w:rsidRPr="771937AE" w:rsidR="000C5452">
        <w:rPr>
          <w:rFonts w:ascii="Arial" w:hAnsi="Arial" w:eastAsia="Arial" w:cs="Arial"/>
          <w:b w:val="0"/>
          <w:bCs w:val="0"/>
          <w:color w:val="auto"/>
          <w:sz w:val="24"/>
          <w:szCs w:val="24"/>
        </w:rPr>
        <w:t xml:space="preserve"> for sustainability is an asset that appeals to eco-conscious consumers, aligning with trends noted in consumer behavior studies (Oliver &amp; Walker, 2020). However, the heavy reliance on seasonal revenue is a significant weakness, </w:t>
      </w:r>
      <w:r w:rsidRPr="771937AE" w:rsidR="000C5452">
        <w:rPr>
          <w:rFonts w:ascii="Arial" w:hAnsi="Arial" w:eastAsia="Arial" w:cs="Arial"/>
          <w:b w:val="0"/>
          <w:bCs w:val="0"/>
          <w:color w:val="auto"/>
          <w:sz w:val="24"/>
          <w:szCs w:val="24"/>
        </w:rPr>
        <w:t>exacerbated</w:t>
      </w:r>
      <w:r w:rsidRPr="771937AE" w:rsidR="000C5452">
        <w:rPr>
          <w:rFonts w:ascii="Arial" w:hAnsi="Arial" w:eastAsia="Arial" w:cs="Arial"/>
          <w:b w:val="0"/>
          <w:bCs w:val="0"/>
          <w:color w:val="auto"/>
          <w:sz w:val="24"/>
          <w:szCs w:val="24"/>
        </w:rPr>
        <w:t xml:space="preserve"> by economic uncertainties (Statista, 2023). Opportunities such as diversification into hops farming and glamping align with broader tourism trends (Mintel, 2023), while threats include increasing competition from artificial tree suppliers (UK Government, 2023).</w:t>
      </w:r>
    </w:p>
    <w:p w:rsidRPr="00E86D22" w:rsidR="002D1FA2" w:rsidP="771937AE" w:rsidRDefault="000C5452" w14:paraId="3D0F4915" w14:textId="73479D5D">
      <w:pPr>
        <w:pStyle w:val="Heading2"/>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7. Expanded Recommendations </w:t>
      </w:r>
    </w:p>
    <w:p w:rsidRPr="00E86D22" w:rsidR="002D1FA2" w:rsidP="771937AE" w:rsidRDefault="000C5452" w14:paraId="0E7377F5" w14:textId="77777777" w14:noSpellErr="1">
      <w:pPr>
        <w:rPr>
          <w:rFonts w:ascii="Arial" w:hAnsi="Arial" w:eastAsia="Arial" w:cs="Arial"/>
          <w:b w:val="0"/>
          <w:bCs w:val="0"/>
          <w:color w:val="auto"/>
          <w:sz w:val="24"/>
          <w:szCs w:val="24"/>
        </w:rPr>
      </w:pPr>
      <w:r w:rsidRPr="771937AE" w:rsidR="000C5452">
        <w:rPr>
          <w:rFonts w:ascii="Arial" w:hAnsi="Arial" w:eastAsia="Arial" w:cs="Arial"/>
          <w:b w:val="0"/>
          <w:bCs w:val="0"/>
          <w:color w:val="auto"/>
          <w:sz w:val="24"/>
          <w:szCs w:val="24"/>
        </w:rPr>
        <w:t xml:space="preserve">One key recommendation is to </w:t>
      </w:r>
      <w:r w:rsidRPr="771937AE" w:rsidR="000C5452">
        <w:rPr>
          <w:rFonts w:ascii="Arial" w:hAnsi="Arial" w:eastAsia="Arial" w:cs="Arial"/>
          <w:b w:val="0"/>
          <w:bCs w:val="0"/>
          <w:color w:val="auto"/>
          <w:sz w:val="24"/>
          <w:szCs w:val="24"/>
        </w:rPr>
        <w:t>establish</w:t>
      </w:r>
      <w:r w:rsidRPr="771937AE" w:rsidR="000C5452">
        <w:rPr>
          <w:rFonts w:ascii="Arial" w:hAnsi="Arial" w:eastAsia="Arial" w:cs="Arial"/>
          <w:b w:val="0"/>
          <w:bCs w:val="0"/>
          <w:color w:val="auto"/>
          <w:sz w:val="24"/>
          <w:szCs w:val="24"/>
        </w:rPr>
        <w:t xml:space="preserve"> a strong e-commerce platform. Selling products such as craft beer online is supported by evidence from similar businesses that have </w:t>
      </w:r>
      <w:r w:rsidRPr="771937AE" w:rsidR="000C5452">
        <w:rPr>
          <w:rFonts w:ascii="Arial" w:hAnsi="Arial" w:eastAsia="Arial" w:cs="Arial"/>
          <w:b w:val="0"/>
          <w:bCs w:val="0"/>
          <w:color w:val="auto"/>
          <w:sz w:val="24"/>
          <w:szCs w:val="24"/>
        </w:rPr>
        <w:t>leveraged</w:t>
      </w:r>
      <w:r w:rsidRPr="771937AE" w:rsidR="000C5452">
        <w:rPr>
          <w:rFonts w:ascii="Arial" w:hAnsi="Arial" w:eastAsia="Arial" w:cs="Arial"/>
          <w:b w:val="0"/>
          <w:bCs w:val="0"/>
          <w:color w:val="auto"/>
          <w:sz w:val="24"/>
          <w:szCs w:val="24"/>
        </w:rPr>
        <w:t xml:space="preserve"> digital tools for scalability (Bloom &amp; Wild, 2023). Collaborating with local public houses to distribute craft beer has also proven successful in boosting revenue, as seen in the case of Hogs Back Brewery (Hogs Back Brewery, 2023).</w:t>
      </w:r>
    </w:p>
    <w:p w:rsidRPr="00E86D22" w:rsidR="00351264" w:rsidP="771937AE" w:rsidRDefault="00000000" w14:paraId="7ECDB6DC" w14:textId="2405C56F">
      <w:pPr>
        <w:pStyle w:val="Heading2"/>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Strategic Recommendations</w:t>
      </w:r>
    </w:p>
    <w:p w:rsidRPr="00E86D22" w:rsidR="00351264" w:rsidP="771937AE" w:rsidRDefault="00000000" w14:paraId="34ED135A" w14:textId="77777777" w14:noSpellErr="1">
      <w:pPr>
        <w:pStyle w:val="Heading3"/>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Growing Beer Hops</w:t>
      </w:r>
    </w:p>
    <w:p w:rsidRPr="00E86D22" w:rsidR="00351264" w:rsidP="771937AE" w:rsidRDefault="00000000" w14:paraId="060C403C"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Gower Christmas Tree Farm should integrate beer hop cultivation to support its microbrewery operations. This initiative not only strengthens the farm-to-bottle narrative but also enhances sustainability credentials. Hops are perennial plants, reducing soil disturbance and promoting biodiversity. Utilizing sustainable irrigation systems, such as drip irrigation, can reduce water consumption by up to 25% (Environment Agency, 2021). Furthermore, hop cultivation can be incorporated into farm tours, providing educational and immersive experiences for visitors.</w:t>
      </w:r>
    </w:p>
    <w:p w:rsidRPr="00E86D22" w:rsidR="00351264" w:rsidP="771937AE" w:rsidRDefault="00000000" w14:paraId="1F08FDCA" w14:textId="77777777" w14:noSpellErr="1">
      <w:pPr>
        <w:pStyle w:val="Heading4"/>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Case Study: Hogs Back Brewery</w:t>
      </w:r>
    </w:p>
    <w:p w:rsidRPr="00E86D22" w:rsidR="00351264" w:rsidP="771937AE" w:rsidRDefault="00000000" w14:paraId="36FCE681"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Hogs Back Brewery successfully revived hop farming to support its microbrewery operations. By growing hops on-site, they reduced transportation emissions and improved sustainability. Additionally, the brewery integrated hop fields into visitor tours, creating an educational experience that aligned with their sustainability ethos. Lessons from Hogs Back Brewery emphasize the importance of integrating farming practices with customer engagement to build a strong brand identity.</w:t>
      </w:r>
    </w:p>
    <w:p w:rsidRPr="00E86D22" w:rsidR="00351264" w:rsidP="771937AE" w:rsidRDefault="00000000" w14:paraId="1F23BE94" w14:textId="77777777" w14:noSpellErr="1">
      <w:pPr>
        <w:pStyle w:val="Heading3"/>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Establishing a Microbrewery on the Farm</w:t>
      </w:r>
    </w:p>
    <w:p w:rsidRPr="00E86D22" w:rsidR="00351264" w:rsidP="771937AE" w:rsidRDefault="00000000" w14:paraId="3E60F178" w14:textId="59432467">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The addition of a microbrewery offers year-round revenue opportunities and strengthens Gower Christmas Tree Farm’s appeal. Craft beer production aligns with growing consumer demand for locally produced, artisanal products. Implementing zero-waste brewing techniques, such as repurposing spent grains as animal feed or compost, supports the farm’s sustainability goals (</w:t>
      </w:r>
      <w:r w:rsidRPr="771937AE" w:rsidR="00000000">
        <w:rPr>
          <w:rFonts w:ascii="Arial" w:hAnsi="Arial" w:eastAsia="Arial" w:cs="Arial"/>
          <w:b w:val="0"/>
          <w:bCs w:val="0"/>
          <w:color w:val="auto"/>
          <w:sz w:val="24"/>
          <w:szCs w:val="24"/>
        </w:rPr>
        <w:t>Adnams</w:t>
      </w:r>
      <w:r w:rsidRPr="771937AE" w:rsidR="00000000">
        <w:rPr>
          <w:rFonts w:ascii="Arial" w:hAnsi="Arial" w:eastAsia="Arial" w:cs="Arial"/>
          <w:b w:val="0"/>
          <w:bCs w:val="0"/>
          <w:color w:val="auto"/>
          <w:sz w:val="24"/>
          <w:szCs w:val="24"/>
        </w:rPr>
        <w:t xml:space="preserve"> Brewery, 2023).</w:t>
      </w:r>
    </w:p>
    <w:p w:rsidRPr="00E86D22" w:rsidR="00351264" w:rsidP="771937AE" w:rsidRDefault="00000000" w14:paraId="63A2D1E0" w14:noSpellErr="1" w14:textId="7C76B7FE">
      <w:pPr>
        <w:rPr>
          <w:rFonts w:ascii="Arial" w:hAnsi="Arial" w:eastAsia="Arial" w:cs="Arial"/>
          <w:b w:val="0"/>
          <w:bCs w:val="0"/>
          <w:color w:val="auto"/>
          <w:sz w:val="24"/>
          <w:szCs w:val="24"/>
        </w:rPr>
      </w:pPr>
    </w:p>
    <w:p w:rsidRPr="00E86D22" w:rsidR="00C92270" w:rsidP="771937AE" w:rsidRDefault="00C92270" w14:paraId="3670DF11" w14:textId="77777777" w14:noSpellErr="1">
      <w:pPr>
        <w:pStyle w:val="Heading2"/>
        <w:rPr>
          <w:rFonts w:ascii="Arial" w:hAnsi="Arial" w:eastAsia="Arial" w:cs="Arial"/>
          <w:b w:val="0"/>
          <w:bCs w:val="0"/>
          <w:color w:val="auto"/>
          <w:sz w:val="24"/>
          <w:szCs w:val="24"/>
        </w:rPr>
      </w:pPr>
    </w:p>
    <w:p w:rsidRPr="00E86D22" w:rsidR="00C92270" w:rsidP="771937AE" w:rsidRDefault="00C92270" w14:paraId="5EA54F73" w14:textId="148F3A50">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r</w:t>
      </w:r>
      <w:r w:rsidRPr="771937AE" w:rsidR="00C92270">
        <w:rPr>
          <w:rFonts w:ascii="Arial" w:hAnsi="Arial" w:eastAsia="Arial" w:cs="Arial"/>
          <w:b w:val="0"/>
          <w:bCs w:val="0"/>
          <w:color w:val="auto"/>
          <w:sz w:val="24"/>
          <w:szCs w:val="24"/>
        </w:rPr>
        <w:t>eference list</w:t>
      </w:r>
    </w:p>
    <w:p w:rsidRPr="00E86D22" w:rsidR="00C92270" w:rsidP="771937AE" w:rsidRDefault="00C92270" w14:paraId="06E5E146" w14:textId="77777777" w14:noSpellErr="1">
      <w:pPr>
        <w:pStyle w:val="Heading2"/>
        <w:rPr>
          <w:rFonts w:ascii="Arial" w:hAnsi="Arial" w:eastAsia="Arial" w:cs="Arial"/>
          <w:b w:val="0"/>
          <w:bCs w:val="0"/>
          <w:color w:val="auto"/>
          <w:sz w:val="24"/>
          <w:szCs w:val="24"/>
        </w:rPr>
      </w:pPr>
    </w:p>
    <w:p w:rsidRPr="00E86D22" w:rsidR="00C92270" w:rsidP="771937AE" w:rsidRDefault="00C92270" w14:paraId="3BFFDC86" w14:textId="3661E553">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Mintel (2023). UK Consumer Trends Report. Available at: https://www.mintel.com</w:t>
      </w:r>
      <w:r w:rsidRPr="771937AE" w:rsidR="00C92270">
        <w:rPr>
          <w:rFonts w:ascii="Arial" w:hAnsi="Arial" w:eastAsia="Arial" w:cs="Arial"/>
          <w:b w:val="0"/>
          <w:bCs w:val="0"/>
          <w:color w:val="auto"/>
          <w:sz w:val="24"/>
          <w:szCs w:val="24"/>
        </w:rPr>
        <w:t xml:space="preserve">.  </w:t>
      </w:r>
    </w:p>
    <w:p w:rsidRPr="00E86D22" w:rsidR="00C92270" w:rsidP="771937AE" w:rsidRDefault="00C92270" w14:paraId="61BBCCF4" w14:textId="2A65D8B1">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Visit Wales (2020). Visitor Economy Report: 2020-2025. Available at: https://www.visitwales.com</w:t>
      </w:r>
      <w:r w:rsidRPr="771937AE" w:rsidR="00C92270">
        <w:rPr>
          <w:rFonts w:ascii="Arial" w:hAnsi="Arial" w:eastAsia="Arial" w:cs="Arial"/>
          <w:b w:val="0"/>
          <w:bCs w:val="0"/>
          <w:color w:val="auto"/>
          <w:sz w:val="24"/>
          <w:szCs w:val="24"/>
        </w:rPr>
        <w:t xml:space="preserve">.  </w:t>
      </w:r>
    </w:p>
    <w:p w:rsidRPr="00E86D22" w:rsidR="00C92270" w:rsidP="771937AE" w:rsidRDefault="00C92270" w14:paraId="7CB2A965" w14:textId="4C1EACC4">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Porter, M.E. (2004). Competitive Advantage. Harvard Business Review Press</w:t>
      </w:r>
      <w:r w:rsidRPr="771937AE" w:rsidR="00C92270">
        <w:rPr>
          <w:rFonts w:ascii="Arial" w:hAnsi="Arial" w:eastAsia="Arial" w:cs="Arial"/>
          <w:b w:val="0"/>
          <w:bCs w:val="0"/>
          <w:color w:val="auto"/>
          <w:sz w:val="24"/>
          <w:szCs w:val="24"/>
        </w:rPr>
        <w:t xml:space="preserve">.  </w:t>
      </w:r>
    </w:p>
    <w:p w:rsidRPr="00E86D22" w:rsidR="00C92270" w:rsidP="771937AE" w:rsidRDefault="00C92270" w14:paraId="6D197216" w14:textId="68D3D472">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Pine, B.J., &amp; Gilmore, J.H. (1999). The Experience Economy. Harvard Business Review Press</w:t>
      </w:r>
      <w:r w:rsidRPr="771937AE" w:rsidR="00C92270">
        <w:rPr>
          <w:rFonts w:ascii="Arial" w:hAnsi="Arial" w:eastAsia="Arial" w:cs="Arial"/>
          <w:b w:val="0"/>
          <w:bCs w:val="0"/>
          <w:color w:val="auto"/>
          <w:sz w:val="24"/>
          <w:szCs w:val="24"/>
        </w:rPr>
        <w:t xml:space="preserve">.  </w:t>
      </w:r>
    </w:p>
    <w:p w:rsidRPr="00E86D22" w:rsidR="00C92270" w:rsidP="771937AE" w:rsidRDefault="00C92270" w14:paraId="043AB380" w14:textId="7D1FCC9C">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Ansoff, H.I. (1987). Corporate Strategy for Diversification. Wiley</w:t>
      </w:r>
      <w:r w:rsidRPr="771937AE" w:rsidR="00C92270">
        <w:rPr>
          <w:rFonts w:ascii="Arial" w:hAnsi="Arial" w:eastAsia="Arial" w:cs="Arial"/>
          <w:b w:val="0"/>
          <w:bCs w:val="0"/>
          <w:color w:val="auto"/>
          <w:sz w:val="24"/>
          <w:szCs w:val="24"/>
        </w:rPr>
        <w:t xml:space="preserve">.  </w:t>
      </w:r>
    </w:p>
    <w:p w:rsidRPr="00E86D22" w:rsidR="00C92270" w:rsidP="771937AE" w:rsidRDefault="00C92270" w14:paraId="5B04F291" w14:textId="3BD3141C">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Hogs Back Brewery (2023). Hops Farming Success Story. Available at: https://www.hogsback.co.uk</w:t>
      </w:r>
      <w:r w:rsidRPr="771937AE" w:rsidR="00C92270">
        <w:rPr>
          <w:rFonts w:ascii="Arial" w:hAnsi="Arial" w:eastAsia="Arial" w:cs="Arial"/>
          <w:b w:val="0"/>
          <w:bCs w:val="0"/>
          <w:color w:val="auto"/>
          <w:sz w:val="24"/>
          <w:szCs w:val="24"/>
        </w:rPr>
        <w:t xml:space="preserve">.  </w:t>
      </w:r>
    </w:p>
    <w:p w:rsidRPr="00E86D22" w:rsidR="00C92270" w:rsidP="771937AE" w:rsidRDefault="00C92270" w14:paraId="67DA7FF0" w14:textId="22C5063A">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Statista (2023). Digital Marketing Trends in the UK. Available at: https://www.statista.com</w:t>
      </w:r>
      <w:r w:rsidRPr="771937AE" w:rsidR="00C92270">
        <w:rPr>
          <w:rFonts w:ascii="Arial" w:hAnsi="Arial" w:eastAsia="Arial" w:cs="Arial"/>
          <w:b w:val="0"/>
          <w:bCs w:val="0"/>
          <w:color w:val="auto"/>
          <w:sz w:val="24"/>
          <w:szCs w:val="24"/>
        </w:rPr>
        <w:t xml:space="preserve">.  </w:t>
      </w:r>
    </w:p>
    <w:p w:rsidRPr="00E86D22" w:rsidR="00C92270" w:rsidP="771937AE" w:rsidRDefault="00C92270" w14:paraId="446AFD2B" w14:textId="606A3654">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PwC Report (2023). Craft Beer Market Outlook. Available at: https://www.pwc.com</w:t>
      </w:r>
      <w:r w:rsidRPr="771937AE" w:rsidR="00C92270">
        <w:rPr>
          <w:rFonts w:ascii="Arial" w:hAnsi="Arial" w:eastAsia="Arial" w:cs="Arial"/>
          <w:b w:val="0"/>
          <w:bCs w:val="0"/>
          <w:color w:val="auto"/>
          <w:sz w:val="24"/>
          <w:szCs w:val="24"/>
        </w:rPr>
        <w:t xml:space="preserve">.  </w:t>
      </w:r>
    </w:p>
    <w:p w:rsidRPr="00E86D22" w:rsidR="00C92270" w:rsidP="771937AE" w:rsidRDefault="00C92270" w14:paraId="577F3270" w14:textId="6C88E367">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UK Horticultural Society (2022). Sustainable Farming Practices</w:t>
      </w:r>
      <w:r w:rsidRPr="771937AE" w:rsidR="00C92270">
        <w:rPr>
          <w:rFonts w:ascii="Arial" w:hAnsi="Arial" w:eastAsia="Arial" w:cs="Arial"/>
          <w:b w:val="0"/>
          <w:bCs w:val="0"/>
          <w:color w:val="auto"/>
          <w:sz w:val="24"/>
          <w:szCs w:val="24"/>
        </w:rPr>
        <w:t xml:space="preserve">.  </w:t>
      </w:r>
    </w:p>
    <w:p w:rsidRPr="00E86D22" w:rsidR="00C92270" w:rsidP="771937AE" w:rsidRDefault="00C92270" w14:paraId="45BEC808" w14:textId="5FC0D86F">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Environment Agency (2021). Water Efficiency in Agriculture</w:t>
      </w:r>
      <w:r w:rsidRPr="771937AE" w:rsidR="00C92270">
        <w:rPr>
          <w:rFonts w:ascii="Arial" w:hAnsi="Arial" w:eastAsia="Arial" w:cs="Arial"/>
          <w:b w:val="0"/>
          <w:bCs w:val="0"/>
          <w:color w:val="auto"/>
          <w:sz w:val="24"/>
          <w:szCs w:val="24"/>
        </w:rPr>
        <w:t xml:space="preserve">.  </w:t>
      </w:r>
    </w:p>
    <w:p w:rsidRPr="00E86D22" w:rsidR="00C92270" w:rsidP="771937AE" w:rsidRDefault="00C92270" w14:paraId="430CB079" w14:textId="27B2CCBC">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UN SDGs (2023). Sustainable Development Goals. Available at: https://www.un.org</w:t>
      </w:r>
      <w:r w:rsidRPr="771937AE" w:rsidR="00C92270">
        <w:rPr>
          <w:rFonts w:ascii="Arial" w:hAnsi="Arial" w:eastAsia="Arial" w:cs="Arial"/>
          <w:b w:val="0"/>
          <w:bCs w:val="0"/>
          <w:color w:val="auto"/>
          <w:sz w:val="24"/>
          <w:szCs w:val="24"/>
        </w:rPr>
        <w:t xml:space="preserve">.  </w:t>
      </w:r>
    </w:p>
    <w:p w:rsidRPr="00E86D22" w:rsidR="00C92270" w:rsidP="771937AE" w:rsidRDefault="00C92270" w14:paraId="58DAFC6E" w14:textId="5CF0DAFF">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w:t>
      </w:r>
      <w:r w:rsidRPr="771937AE" w:rsidR="00C92270">
        <w:rPr>
          <w:rFonts w:ascii="Arial" w:hAnsi="Arial" w:eastAsia="Arial" w:cs="Arial"/>
          <w:b w:val="0"/>
          <w:bCs w:val="0"/>
          <w:color w:val="auto"/>
          <w:sz w:val="24"/>
          <w:szCs w:val="24"/>
        </w:rPr>
        <w:t>Adnams</w:t>
      </w:r>
      <w:r w:rsidRPr="771937AE" w:rsidR="00C92270">
        <w:rPr>
          <w:rFonts w:ascii="Arial" w:hAnsi="Arial" w:eastAsia="Arial" w:cs="Arial"/>
          <w:b w:val="0"/>
          <w:bCs w:val="0"/>
          <w:color w:val="auto"/>
          <w:sz w:val="24"/>
          <w:szCs w:val="24"/>
        </w:rPr>
        <w:t xml:space="preserve"> Brewery (2023). Zero-Waste Brewing Techniques</w:t>
      </w:r>
      <w:r w:rsidRPr="771937AE" w:rsidR="00C92270">
        <w:rPr>
          <w:rFonts w:ascii="Arial" w:hAnsi="Arial" w:eastAsia="Arial" w:cs="Arial"/>
          <w:b w:val="0"/>
          <w:bCs w:val="0"/>
          <w:color w:val="auto"/>
          <w:sz w:val="24"/>
          <w:szCs w:val="24"/>
        </w:rPr>
        <w:t xml:space="preserve">.  </w:t>
      </w:r>
    </w:p>
    <w:p w:rsidRPr="00E86D22" w:rsidR="00C92270" w:rsidP="771937AE" w:rsidRDefault="00C92270" w14:paraId="6412E612" w14:textId="6ED652E5">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Tiny Rebel Brewery (2023). Experiential Craft Beer Events. Available at: https://www.tinyrebel.co.uk</w:t>
      </w:r>
      <w:r w:rsidRPr="771937AE" w:rsidR="00C92270">
        <w:rPr>
          <w:rFonts w:ascii="Arial" w:hAnsi="Arial" w:eastAsia="Arial" w:cs="Arial"/>
          <w:b w:val="0"/>
          <w:bCs w:val="0"/>
          <w:color w:val="auto"/>
          <w:sz w:val="24"/>
          <w:szCs w:val="24"/>
        </w:rPr>
        <w:t xml:space="preserve">.  </w:t>
      </w:r>
    </w:p>
    <w:p w:rsidRPr="00E86D22" w:rsidR="00C92270" w:rsidP="771937AE" w:rsidRDefault="00C92270" w14:paraId="44111FC6" w14:textId="1249909E">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Beavertown Brewery (2023). Community-Centric Brewing. Available at: https://www.beavertownbrewery.co.uk</w:t>
      </w:r>
      <w:r w:rsidRPr="771937AE" w:rsidR="00C92270">
        <w:rPr>
          <w:rFonts w:ascii="Arial" w:hAnsi="Arial" w:eastAsia="Arial" w:cs="Arial"/>
          <w:b w:val="0"/>
          <w:bCs w:val="0"/>
          <w:color w:val="auto"/>
          <w:sz w:val="24"/>
          <w:szCs w:val="24"/>
        </w:rPr>
        <w:t xml:space="preserve">.  </w:t>
      </w:r>
    </w:p>
    <w:p w:rsidRPr="00E86D22" w:rsidR="00C92270" w:rsidP="771937AE" w:rsidRDefault="00C92270" w14:paraId="5FFCC399" w14:textId="1D09EB3B">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Cambridge University Press (2023). Strategic Marketing for SME Growth</w:t>
      </w:r>
      <w:r w:rsidRPr="771937AE" w:rsidR="00C92270">
        <w:rPr>
          <w:rFonts w:ascii="Arial" w:hAnsi="Arial" w:eastAsia="Arial" w:cs="Arial"/>
          <w:b w:val="0"/>
          <w:bCs w:val="0"/>
          <w:color w:val="auto"/>
          <w:sz w:val="24"/>
          <w:szCs w:val="24"/>
        </w:rPr>
        <w:t xml:space="preserve">.  </w:t>
      </w:r>
    </w:p>
    <w:p w:rsidRPr="00E86D22" w:rsidR="00C92270" w:rsidP="771937AE" w:rsidRDefault="00C92270" w14:paraId="7EE8A829" w14:textId="3E81A488">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Bloomberg Insights (2023). Trends in Sustainable Tourism. Available at: https://www.bloomberg.com</w:t>
      </w:r>
      <w:r w:rsidRPr="771937AE" w:rsidR="00C92270">
        <w:rPr>
          <w:rFonts w:ascii="Arial" w:hAnsi="Arial" w:eastAsia="Arial" w:cs="Arial"/>
          <w:b w:val="0"/>
          <w:bCs w:val="0"/>
          <w:color w:val="auto"/>
          <w:sz w:val="24"/>
          <w:szCs w:val="24"/>
        </w:rPr>
        <w:t xml:space="preserve">.  </w:t>
      </w:r>
    </w:p>
    <w:p w:rsidRPr="00E86D22" w:rsidR="00C92270" w:rsidP="771937AE" w:rsidRDefault="00C92270" w14:paraId="3E881618" w14:textId="27CF07C0">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Deloitte (2022). Digital Transformation in Agritourism. Available at: https://www.deloitte.com</w:t>
      </w:r>
      <w:r w:rsidRPr="771937AE" w:rsidR="00C92270">
        <w:rPr>
          <w:rFonts w:ascii="Arial" w:hAnsi="Arial" w:eastAsia="Arial" w:cs="Arial"/>
          <w:b w:val="0"/>
          <w:bCs w:val="0"/>
          <w:color w:val="auto"/>
          <w:sz w:val="24"/>
          <w:szCs w:val="24"/>
        </w:rPr>
        <w:t xml:space="preserve">.  </w:t>
      </w:r>
    </w:p>
    <w:p w:rsidRPr="00E86D22" w:rsidR="00C92270" w:rsidP="771937AE" w:rsidRDefault="00C92270" w14:paraId="05C47176" w14:textId="5AE4B752">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National Geographic (2022). The Role of Eco-Tourism in Conservation</w:t>
      </w:r>
      <w:r w:rsidRPr="771937AE" w:rsidR="00C92270">
        <w:rPr>
          <w:rFonts w:ascii="Arial" w:hAnsi="Arial" w:eastAsia="Arial" w:cs="Arial"/>
          <w:b w:val="0"/>
          <w:bCs w:val="0"/>
          <w:color w:val="auto"/>
          <w:sz w:val="24"/>
          <w:szCs w:val="24"/>
        </w:rPr>
        <w:t xml:space="preserve">.  </w:t>
      </w:r>
    </w:p>
    <w:p w:rsidRPr="00E86D22" w:rsidR="00C92270" w:rsidP="771937AE" w:rsidRDefault="00C92270" w14:paraId="5C416E11" w14:textId="2DD2E17B">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Johnson, G., Scholes, K., &amp; Whittington, R. (2023). Exploring Corporate Strategy. Pearson Education</w:t>
      </w:r>
      <w:r w:rsidRPr="771937AE" w:rsidR="00C92270">
        <w:rPr>
          <w:rFonts w:ascii="Arial" w:hAnsi="Arial" w:eastAsia="Arial" w:cs="Arial"/>
          <w:b w:val="0"/>
          <w:bCs w:val="0"/>
          <w:color w:val="auto"/>
          <w:sz w:val="24"/>
          <w:szCs w:val="24"/>
        </w:rPr>
        <w:t xml:space="preserve">.  </w:t>
      </w:r>
    </w:p>
    <w:p w:rsidRPr="00E86D22" w:rsidR="00C92270" w:rsidP="771937AE" w:rsidRDefault="00C92270" w14:paraId="552876D7" w14:textId="0DFE929D">
      <w:pPr>
        <w:pStyle w:val="Heading2"/>
        <w:rPr>
          <w:rFonts w:ascii="Arial" w:hAnsi="Arial" w:eastAsia="Arial" w:cs="Arial"/>
          <w:b w:val="0"/>
          <w:bCs w:val="0"/>
          <w:color w:val="auto"/>
          <w:sz w:val="24"/>
          <w:szCs w:val="24"/>
        </w:rPr>
      </w:pPr>
      <w:r w:rsidRPr="771937AE" w:rsidR="00C92270">
        <w:rPr>
          <w:rFonts w:ascii="Arial" w:hAnsi="Arial" w:eastAsia="Arial" w:cs="Arial"/>
          <w:b w:val="0"/>
          <w:bCs w:val="0"/>
          <w:color w:val="auto"/>
          <w:sz w:val="24"/>
          <w:szCs w:val="24"/>
        </w:rPr>
        <w:t xml:space="preserve"> Global Tourism Alliance (2023). Sustainable Practices in Hospitality</w:t>
      </w:r>
      <w:r w:rsidRPr="771937AE" w:rsidR="00C92270">
        <w:rPr>
          <w:rFonts w:ascii="Arial" w:hAnsi="Arial" w:eastAsia="Arial" w:cs="Arial"/>
          <w:b w:val="0"/>
          <w:bCs w:val="0"/>
          <w:color w:val="auto"/>
          <w:sz w:val="24"/>
          <w:szCs w:val="24"/>
        </w:rPr>
        <w:t xml:space="preserve">.  </w:t>
      </w:r>
    </w:p>
    <w:p w:rsidRPr="00E86D22" w:rsidR="00C92270" w:rsidP="771937AE" w:rsidRDefault="00C92270" w14:paraId="0C63E8D4" w14:textId="77777777" w14:noSpellErr="1">
      <w:pPr>
        <w:pStyle w:val="Heading2"/>
        <w:rPr>
          <w:rFonts w:ascii="Arial" w:hAnsi="Arial" w:eastAsia="Arial" w:cs="Arial"/>
          <w:b w:val="0"/>
          <w:bCs w:val="0"/>
          <w:color w:val="auto"/>
          <w:sz w:val="24"/>
          <w:szCs w:val="24"/>
        </w:rPr>
      </w:pPr>
    </w:p>
    <w:p w:rsidRPr="00E86D22" w:rsidR="00351264" w:rsidP="771937AE" w:rsidRDefault="00000000" w14:paraId="1FEC9E0B" w14:textId="511765D4">
      <w:pPr>
        <w:pStyle w:val="Normal"/>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Environment Agency (2021). Water Efficiency in Agriculture.</w:t>
      </w:r>
    </w:p>
    <w:p w:rsidRPr="00E86D22" w:rsidR="00351264" w:rsidP="771937AE" w:rsidRDefault="00000000" w14:paraId="5377C8B0"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Adnams</w:t>
      </w:r>
      <w:r w:rsidRPr="771937AE" w:rsidR="00000000">
        <w:rPr>
          <w:rFonts w:ascii="Arial" w:hAnsi="Arial" w:eastAsia="Arial" w:cs="Arial"/>
          <w:b w:val="0"/>
          <w:bCs w:val="0"/>
          <w:color w:val="auto"/>
          <w:sz w:val="24"/>
          <w:szCs w:val="24"/>
        </w:rPr>
        <w:t xml:space="preserve"> Brewery (2023). Zero-Waste Brewing Techniques.</w:t>
      </w:r>
    </w:p>
    <w:p w:rsidRPr="00E86D22" w:rsidR="00351264" w:rsidP="771937AE" w:rsidRDefault="00000000" w14:paraId="355AE6B9"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Hogs Back Brewery (2023). Hops Farming Success Story. Available at: https://www.hogsback.co.uk.</w:t>
      </w:r>
    </w:p>
    <w:p w:rsidRPr="00E86D22" w:rsidR="00351264" w:rsidP="771937AE" w:rsidRDefault="00000000" w14:paraId="7B52186D"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Pine, B.J., &amp; Gilmore, J.H. (1999). The Experience Economy. Harvard Business Review Press.</w:t>
      </w:r>
    </w:p>
    <w:p w:rsidRPr="00E86D22" w:rsidR="00351264" w:rsidP="771937AE" w:rsidRDefault="00000000" w14:paraId="178009E8"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Statista (2023). Craft Beer Market Growth in the UK. Available at: https://www.statista.com.</w:t>
      </w:r>
    </w:p>
    <w:p w:rsidRPr="00E86D22" w:rsidR="00351264" w:rsidP="771937AE" w:rsidRDefault="00000000" w14:paraId="2608C9F2"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Mintel (2023). UK Consumer Trends Report. Available at: https://www.mintel.com.</w:t>
      </w:r>
    </w:p>
    <w:p w:rsidRPr="00E86D22" w:rsidR="00351264" w:rsidP="771937AE" w:rsidRDefault="00000000" w14:paraId="3A381963"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Visit Wales (2020). Visitor Economy Report. Available at: https://www.visitwales.com.</w:t>
      </w:r>
    </w:p>
    <w:p w:rsidRPr="00E86D22" w:rsidR="00351264" w:rsidP="771937AE" w:rsidRDefault="00000000" w14:paraId="1532C7F4"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UN SDGs (2023). Sustainable Development Goals. Available at: https://www.un.org.</w:t>
      </w:r>
    </w:p>
    <w:p w:rsidRPr="00E86D22" w:rsidR="00351264" w:rsidP="771937AE" w:rsidRDefault="00000000" w14:paraId="582D9F13"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PwC Report (2023). Craft Beer Market Outlook. Available at: https://www.pwc.com.</w:t>
      </w:r>
    </w:p>
    <w:p w:rsidRPr="00E86D22" w:rsidR="00351264" w:rsidP="771937AE" w:rsidRDefault="00000000" w14:paraId="693C8806" w14:textId="77777777" w14:noSpellErr="1">
      <w:pPr>
        <w:rPr>
          <w:rFonts w:ascii="Arial" w:hAnsi="Arial" w:eastAsia="Arial" w:cs="Arial"/>
          <w:b w:val="0"/>
          <w:bCs w:val="0"/>
          <w:color w:val="auto"/>
          <w:sz w:val="24"/>
          <w:szCs w:val="24"/>
        </w:rPr>
      </w:pPr>
      <w:r w:rsidRPr="771937AE" w:rsidR="00000000">
        <w:rPr>
          <w:rFonts w:ascii="Arial" w:hAnsi="Arial" w:eastAsia="Arial" w:cs="Arial"/>
          <w:b w:val="0"/>
          <w:bCs w:val="0"/>
          <w:color w:val="auto"/>
          <w:sz w:val="24"/>
          <w:szCs w:val="24"/>
        </w:rPr>
        <w:t>UK Horticultural Society (2022). Sustainable Farming Practices.</w:t>
      </w:r>
    </w:p>
    <w:p w:rsidR="715299E4" w:rsidP="771937AE" w:rsidRDefault="715299E4" w14:paraId="1A6F91D0" w14:textId="1333367B">
      <w:pPr>
        <w:pStyle w:val="Heading1"/>
        <w:spacing w:before="0" w:beforeAutospacing="off" w:after="360" w:afterAutospacing="off" w:line="360" w:lineRule="auto"/>
        <w:jc w:val="left"/>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Reference list</w:t>
      </w:r>
    </w:p>
    <w:p w:rsidR="715299E4" w:rsidP="771937AE" w:rsidRDefault="715299E4" w14:paraId="240C1452" w14:textId="396D661B">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Aleš </w:t>
      </w:r>
      <w:r w:rsidRPr="771937AE" w:rsidR="715299E4">
        <w:rPr>
          <w:rFonts w:ascii="Arial" w:hAnsi="Arial" w:eastAsia="Arial" w:cs="Arial"/>
          <w:b w:val="0"/>
          <w:bCs w:val="0"/>
          <w:noProof w:val="0"/>
          <w:color w:val="auto"/>
          <w:sz w:val="24"/>
          <w:szCs w:val="24"/>
          <w:lang w:val="en-US"/>
        </w:rPr>
        <w:t>Groznik</w:t>
      </w:r>
      <w:r w:rsidRPr="771937AE" w:rsidR="715299E4">
        <w:rPr>
          <w:rFonts w:ascii="Arial" w:hAnsi="Arial" w:eastAsia="Arial" w:cs="Arial"/>
          <w:b w:val="0"/>
          <w:bCs w:val="0"/>
          <w:noProof w:val="0"/>
          <w:color w:val="auto"/>
          <w:sz w:val="24"/>
          <w:szCs w:val="24"/>
          <w:lang w:val="en-US"/>
        </w:rPr>
        <w:t xml:space="preserve">, </w:t>
      </w:r>
      <w:r w:rsidRPr="771937AE" w:rsidR="715299E4">
        <w:rPr>
          <w:rFonts w:ascii="Arial" w:hAnsi="Arial" w:eastAsia="Arial" w:cs="Arial"/>
          <w:b w:val="0"/>
          <w:bCs w:val="0"/>
          <w:noProof w:val="0"/>
          <w:color w:val="auto"/>
          <w:sz w:val="24"/>
          <w:szCs w:val="24"/>
          <w:lang w:val="en-US"/>
        </w:rPr>
        <w:t>KrapežJ</w:t>
      </w:r>
      <w:r w:rsidRPr="771937AE" w:rsidR="715299E4">
        <w:rPr>
          <w:rFonts w:ascii="Arial" w:hAnsi="Arial" w:eastAsia="Arial" w:cs="Arial"/>
          <w:b w:val="0"/>
          <w:bCs w:val="0"/>
          <w:noProof w:val="0"/>
          <w:color w:val="auto"/>
          <w:sz w:val="24"/>
          <w:szCs w:val="24"/>
          <w:lang w:val="en-US"/>
        </w:rPr>
        <w:t xml:space="preserve">., Manfreda, A., Miha </w:t>
      </w:r>
      <w:r w:rsidRPr="771937AE" w:rsidR="715299E4">
        <w:rPr>
          <w:rFonts w:ascii="Arial" w:hAnsi="Arial" w:eastAsia="Arial" w:cs="Arial"/>
          <w:b w:val="0"/>
          <w:bCs w:val="0"/>
          <w:noProof w:val="0"/>
          <w:color w:val="auto"/>
          <w:sz w:val="24"/>
          <w:szCs w:val="24"/>
          <w:lang w:val="en-US"/>
        </w:rPr>
        <w:t>Škerlavaj</w:t>
      </w:r>
      <w:r w:rsidRPr="771937AE" w:rsidR="715299E4">
        <w:rPr>
          <w:rFonts w:ascii="Arial" w:hAnsi="Arial" w:eastAsia="Arial" w:cs="Arial"/>
          <w:b w:val="0"/>
          <w:bCs w:val="0"/>
          <w:noProof w:val="0"/>
          <w:color w:val="auto"/>
          <w:sz w:val="24"/>
          <w:szCs w:val="24"/>
          <w:lang w:val="en-US"/>
        </w:rPr>
        <w:t xml:space="preserve">, Zorc, S., Aleksandra Radulović, </w:t>
      </w:r>
      <w:r w:rsidRPr="771937AE" w:rsidR="715299E4">
        <w:rPr>
          <w:rFonts w:ascii="Arial" w:hAnsi="Arial" w:eastAsia="Arial" w:cs="Arial"/>
          <w:b w:val="0"/>
          <w:bCs w:val="0"/>
          <w:noProof w:val="0"/>
          <w:color w:val="auto"/>
          <w:sz w:val="24"/>
          <w:szCs w:val="24"/>
          <w:lang w:val="en-US"/>
        </w:rPr>
        <w:t>Božidar</w:t>
      </w:r>
      <w:r w:rsidRPr="771937AE" w:rsidR="715299E4">
        <w:rPr>
          <w:rFonts w:ascii="Arial" w:hAnsi="Arial" w:eastAsia="Arial" w:cs="Arial"/>
          <w:b w:val="0"/>
          <w:bCs w:val="0"/>
          <w:noProof w:val="0"/>
          <w:color w:val="auto"/>
          <w:sz w:val="24"/>
          <w:szCs w:val="24"/>
          <w:lang w:val="en-US"/>
        </w:rPr>
        <w:t xml:space="preserve"> </w:t>
      </w:r>
      <w:r w:rsidRPr="771937AE" w:rsidR="715299E4">
        <w:rPr>
          <w:rFonts w:ascii="Arial" w:hAnsi="Arial" w:eastAsia="Arial" w:cs="Arial"/>
          <w:b w:val="0"/>
          <w:bCs w:val="0"/>
          <w:noProof w:val="0"/>
          <w:color w:val="auto"/>
          <w:sz w:val="24"/>
          <w:szCs w:val="24"/>
          <w:lang w:val="en-US"/>
        </w:rPr>
        <w:t>Krstajic</w:t>
      </w:r>
      <w:r w:rsidRPr="771937AE" w:rsidR="715299E4">
        <w:rPr>
          <w:rFonts w:ascii="Arial" w:hAnsi="Arial" w:eastAsia="Arial" w:cs="Arial"/>
          <w:b w:val="0"/>
          <w:bCs w:val="0"/>
          <w:noProof w:val="0"/>
          <w:color w:val="auto"/>
          <w:sz w:val="24"/>
          <w:szCs w:val="24"/>
          <w:lang w:val="en-US"/>
        </w:rPr>
        <w:t xml:space="preserve">́, Ilieva, V., Marinova, M., Mladen Stanojević, Neagu, G., European Union. </w:t>
      </w:r>
      <w:r w:rsidRPr="771937AE" w:rsidR="715299E4">
        <w:rPr>
          <w:rFonts w:ascii="Arial" w:hAnsi="Arial" w:eastAsia="Arial" w:cs="Arial"/>
          <w:b w:val="0"/>
          <w:bCs w:val="0"/>
          <w:noProof w:val="0"/>
          <w:color w:val="auto"/>
          <w:sz w:val="24"/>
          <w:szCs w:val="24"/>
          <w:lang w:val="en-US"/>
        </w:rPr>
        <w:t>Programme</w:t>
      </w:r>
      <w:r w:rsidRPr="771937AE" w:rsidR="715299E4">
        <w:rPr>
          <w:rFonts w:ascii="Arial" w:hAnsi="Arial" w:eastAsia="Arial" w:cs="Arial"/>
          <w:b w:val="0"/>
          <w:bCs w:val="0"/>
          <w:noProof w:val="0"/>
          <w:color w:val="auto"/>
          <w:sz w:val="24"/>
          <w:szCs w:val="24"/>
          <w:lang w:val="en-US"/>
        </w:rPr>
        <w:t xml:space="preserve"> and Al, E. (2011). </w:t>
      </w:r>
      <w:r w:rsidRPr="771937AE" w:rsidR="715299E4">
        <w:rPr>
          <w:rFonts w:ascii="Arial" w:hAnsi="Arial" w:eastAsia="Arial" w:cs="Arial"/>
          <w:b w:val="0"/>
          <w:bCs w:val="0"/>
          <w:i w:val="1"/>
          <w:iCs w:val="1"/>
          <w:noProof w:val="0"/>
          <w:color w:val="auto"/>
          <w:sz w:val="24"/>
          <w:szCs w:val="24"/>
          <w:lang w:val="en-US"/>
        </w:rPr>
        <w:t xml:space="preserve">ICT and </w:t>
      </w:r>
      <w:r w:rsidRPr="771937AE" w:rsidR="715299E4">
        <w:rPr>
          <w:rFonts w:ascii="Arial" w:hAnsi="Arial" w:eastAsia="Arial" w:cs="Arial"/>
          <w:b w:val="0"/>
          <w:bCs w:val="0"/>
          <w:i w:val="1"/>
          <w:iCs w:val="1"/>
          <w:noProof w:val="0"/>
          <w:color w:val="auto"/>
          <w:sz w:val="24"/>
          <w:szCs w:val="24"/>
          <w:lang w:val="en-US"/>
        </w:rPr>
        <w:t>energy :</w:t>
      </w:r>
      <w:r w:rsidRPr="771937AE" w:rsidR="715299E4">
        <w:rPr>
          <w:rFonts w:ascii="Arial" w:hAnsi="Arial" w:eastAsia="Arial" w:cs="Arial"/>
          <w:b w:val="0"/>
          <w:bCs w:val="0"/>
          <w:i w:val="1"/>
          <w:iCs w:val="1"/>
          <w:noProof w:val="0"/>
          <w:color w:val="auto"/>
          <w:sz w:val="24"/>
          <w:szCs w:val="24"/>
          <w:lang w:val="en-US"/>
        </w:rPr>
        <w:t xml:space="preserve"> PESTLE &amp; SWOT analysis Slovenia</w:t>
      </w:r>
      <w:r w:rsidRPr="771937AE" w:rsidR="715299E4">
        <w:rPr>
          <w:rFonts w:ascii="Arial" w:hAnsi="Arial" w:eastAsia="Arial" w:cs="Arial"/>
          <w:b w:val="0"/>
          <w:bCs w:val="0"/>
          <w:noProof w:val="0"/>
          <w:color w:val="auto"/>
          <w:sz w:val="24"/>
          <w:szCs w:val="24"/>
          <w:lang w:val="en-US"/>
        </w:rPr>
        <w:t>. S. L.: Forsee Partnership, Cop.</w:t>
      </w:r>
    </w:p>
    <w:p w:rsidR="715299E4" w:rsidP="771937AE" w:rsidRDefault="715299E4" w14:paraId="2F926847" w14:textId="0E62ED4F">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Barney, J.B. and Hesterly, W.S. (2018). </w:t>
      </w:r>
      <w:r w:rsidRPr="771937AE" w:rsidR="715299E4">
        <w:rPr>
          <w:rFonts w:ascii="Arial" w:hAnsi="Arial" w:eastAsia="Arial" w:cs="Arial"/>
          <w:b w:val="0"/>
          <w:bCs w:val="0"/>
          <w:i w:val="1"/>
          <w:iCs w:val="1"/>
          <w:noProof w:val="0"/>
          <w:color w:val="auto"/>
          <w:sz w:val="24"/>
          <w:szCs w:val="24"/>
          <w:lang w:val="en-US"/>
        </w:rPr>
        <w:t xml:space="preserve">Strategic management and competitive </w:t>
      </w:r>
      <w:r w:rsidRPr="771937AE" w:rsidR="715299E4">
        <w:rPr>
          <w:rFonts w:ascii="Arial" w:hAnsi="Arial" w:eastAsia="Arial" w:cs="Arial"/>
          <w:b w:val="0"/>
          <w:bCs w:val="0"/>
          <w:i w:val="1"/>
          <w:iCs w:val="1"/>
          <w:noProof w:val="0"/>
          <w:color w:val="auto"/>
          <w:sz w:val="24"/>
          <w:szCs w:val="24"/>
          <w:lang w:val="en-US"/>
        </w:rPr>
        <w:t>advantage :</w:t>
      </w:r>
      <w:r w:rsidRPr="771937AE" w:rsidR="715299E4">
        <w:rPr>
          <w:rFonts w:ascii="Arial" w:hAnsi="Arial" w:eastAsia="Arial" w:cs="Arial"/>
          <w:b w:val="0"/>
          <w:bCs w:val="0"/>
          <w:i w:val="1"/>
          <w:iCs w:val="1"/>
          <w:noProof w:val="0"/>
          <w:color w:val="auto"/>
          <w:sz w:val="24"/>
          <w:szCs w:val="24"/>
          <w:lang w:val="en-US"/>
        </w:rPr>
        <w:t xml:space="preserve"> concepts and cases</w:t>
      </w:r>
      <w:r w:rsidRPr="771937AE" w:rsidR="715299E4">
        <w:rPr>
          <w:rFonts w:ascii="Arial" w:hAnsi="Arial" w:eastAsia="Arial" w:cs="Arial"/>
          <w:b w:val="0"/>
          <w:bCs w:val="0"/>
          <w:noProof w:val="0"/>
          <w:color w:val="auto"/>
          <w:sz w:val="24"/>
          <w:szCs w:val="24"/>
          <w:lang w:val="en-US"/>
        </w:rPr>
        <w:t>. Boston: Pearson.</w:t>
      </w:r>
    </w:p>
    <w:p w:rsidR="715299E4" w:rsidP="771937AE" w:rsidRDefault="715299E4" w14:paraId="03A4C538" w14:textId="76DCC96E">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Den, V., Pietersma, P. and Marcel Van Assen (2015). </w:t>
      </w:r>
      <w:r w:rsidRPr="771937AE" w:rsidR="715299E4">
        <w:rPr>
          <w:rFonts w:ascii="Arial" w:hAnsi="Arial" w:eastAsia="Arial" w:cs="Arial"/>
          <w:b w:val="0"/>
          <w:bCs w:val="0"/>
          <w:i w:val="1"/>
          <w:iCs w:val="1"/>
          <w:noProof w:val="0"/>
          <w:color w:val="auto"/>
          <w:sz w:val="24"/>
          <w:szCs w:val="24"/>
          <w:lang w:val="en-US"/>
        </w:rPr>
        <w:t xml:space="preserve">Key management </w:t>
      </w:r>
      <w:r w:rsidRPr="771937AE" w:rsidR="715299E4">
        <w:rPr>
          <w:rFonts w:ascii="Arial" w:hAnsi="Arial" w:eastAsia="Arial" w:cs="Arial"/>
          <w:b w:val="0"/>
          <w:bCs w:val="0"/>
          <w:i w:val="1"/>
          <w:iCs w:val="1"/>
          <w:noProof w:val="0"/>
          <w:color w:val="auto"/>
          <w:sz w:val="24"/>
          <w:szCs w:val="24"/>
          <w:lang w:val="en-US"/>
        </w:rPr>
        <w:t>models :</w:t>
      </w:r>
      <w:r w:rsidRPr="771937AE" w:rsidR="715299E4">
        <w:rPr>
          <w:rFonts w:ascii="Arial" w:hAnsi="Arial" w:eastAsia="Arial" w:cs="Arial"/>
          <w:b w:val="0"/>
          <w:bCs w:val="0"/>
          <w:i w:val="1"/>
          <w:iCs w:val="1"/>
          <w:noProof w:val="0"/>
          <w:color w:val="auto"/>
          <w:sz w:val="24"/>
          <w:szCs w:val="24"/>
          <w:lang w:val="en-US"/>
        </w:rPr>
        <w:t xml:space="preserve"> the 75+ models every manager needs to know</w:t>
      </w:r>
      <w:r w:rsidRPr="771937AE" w:rsidR="715299E4">
        <w:rPr>
          <w:rFonts w:ascii="Arial" w:hAnsi="Arial" w:eastAsia="Arial" w:cs="Arial"/>
          <w:b w:val="0"/>
          <w:bCs w:val="0"/>
          <w:noProof w:val="0"/>
          <w:color w:val="auto"/>
          <w:sz w:val="24"/>
          <w:szCs w:val="24"/>
          <w:lang w:val="en-US"/>
        </w:rPr>
        <w:t xml:space="preserve">. Harlow, </w:t>
      </w:r>
      <w:r w:rsidRPr="771937AE" w:rsidR="715299E4">
        <w:rPr>
          <w:rFonts w:ascii="Arial" w:hAnsi="Arial" w:eastAsia="Arial" w:cs="Arial"/>
          <w:b w:val="0"/>
          <w:bCs w:val="0"/>
          <w:noProof w:val="0"/>
          <w:color w:val="auto"/>
          <w:sz w:val="24"/>
          <w:szCs w:val="24"/>
          <w:lang w:val="en-US"/>
        </w:rPr>
        <w:t>England ;</w:t>
      </w:r>
      <w:r w:rsidRPr="771937AE" w:rsidR="715299E4">
        <w:rPr>
          <w:rFonts w:ascii="Arial" w:hAnsi="Arial" w:eastAsia="Arial" w:cs="Arial"/>
          <w:b w:val="0"/>
          <w:bCs w:val="0"/>
          <w:noProof w:val="0"/>
          <w:color w:val="auto"/>
          <w:sz w:val="24"/>
          <w:szCs w:val="24"/>
          <w:lang w:val="en-US"/>
        </w:rPr>
        <w:t xml:space="preserve"> New York: Pearson.</w:t>
      </w:r>
    </w:p>
    <w:p w:rsidR="715299E4" w:rsidP="771937AE" w:rsidRDefault="715299E4" w14:paraId="21DB221B" w14:textId="67CA3182">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Hague, P. (2019). </w:t>
      </w:r>
      <w:r w:rsidRPr="771937AE" w:rsidR="715299E4">
        <w:rPr>
          <w:rFonts w:ascii="Arial" w:hAnsi="Arial" w:eastAsia="Arial" w:cs="Arial"/>
          <w:b w:val="0"/>
          <w:bCs w:val="0"/>
          <w:i w:val="1"/>
          <w:iCs w:val="1"/>
          <w:noProof w:val="0"/>
          <w:color w:val="auto"/>
          <w:sz w:val="24"/>
          <w:szCs w:val="24"/>
          <w:lang w:val="en-US"/>
        </w:rPr>
        <w:t xml:space="preserve">The business </w:t>
      </w:r>
      <w:r w:rsidRPr="771937AE" w:rsidR="715299E4">
        <w:rPr>
          <w:rFonts w:ascii="Arial" w:hAnsi="Arial" w:eastAsia="Arial" w:cs="Arial"/>
          <w:b w:val="0"/>
          <w:bCs w:val="0"/>
          <w:i w:val="1"/>
          <w:iCs w:val="1"/>
          <w:noProof w:val="0"/>
          <w:color w:val="auto"/>
          <w:sz w:val="24"/>
          <w:szCs w:val="24"/>
          <w:lang w:val="en-US"/>
        </w:rPr>
        <w:t>models</w:t>
      </w:r>
      <w:r w:rsidRPr="771937AE" w:rsidR="715299E4">
        <w:rPr>
          <w:rFonts w:ascii="Arial" w:hAnsi="Arial" w:eastAsia="Arial" w:cs="Arial"/>
          <w:b w:val="0"/>
          <w:bCs w:val="0"/>
          <w:i w:val="1"/>
          <w:iCs w:val="1"/>
          <w:noProof w:val="0"/>
          <w:color w:val="auto"/>
          <w:sz w:val="24"/>
          <w:szCs w:val="24"/>
          <w:lang w:val="en-US"/>
        </w:rPr>
        <w:t xml:space="preserve"> </w:t>
      </w:r>
      <w:r w:rsidRPr="771937AE" w:rsidR="715299E4">
        <w:rPr>
          <w:rFonts w:ascii="Arial" w:hAnsi="Arial" w:eastAsia="Arial" w:cs="Arial"/>
          <w:b w:val="0"/>
          <w:bCs w:val="0"/>
          <w:i w:val="1"/>
          <w:iCs w:val="1"/>
          <w:noProof w:val="0"/>
          <w:color w:val="auto"/>
          <w:sz w:val="24"/>
          <w:szCs w:val="24"/>
          <w:lang w:val="en-US"/>
        </w:rPr>
        <w:t>handbook :</w:t>
      </w:r>
      <w:r w:rsidRPr="771937AE" w:rsidR="715299E4">
        <w:rPr>
          <w:rFonts w:ascii="Arial" w:hAnsi="Arial" w:eastAsia="Arial" w:cs="Arial"/>
          <w:b w:val="0"/>
          <w:bCs w:val="0"/>
          <w:i w:val="1"/>
          <w:iCs w:val="1"/>
          <w:noProof w:val="0"/>
          <w:color w:val="auto"/>
          <w:sz w:val="24"/>
          <w:szCs w:val="24"/>
          <w:lang w:val="en-US"/>
        </w:rPr>
        <w:t xml:space="preserve"> templates, </w:t>
      </w:r>
      <w:r w:rsidRPr="771937AE" w:rsidR="715299E4">
        <w:rPr>
          <w:rFonts w:ascii="Arial" w:hAnsi="Arial" w:eastAsia="Arial" w:cs="Arial"/>
          <w:b w:val="0"/>
          <w:bCs w:val="0"/>
          <w:i w:val="1"/>
          <w:iCs w:val="1"/>
          <w:noProof w:val="0"/>
          <w:color w:val="auto"/>
          <w:sz w:val="24"/>
          <w:szCs w:val="24"/>
          <w:lang w:val="en-US"/>
        </w:rPr>
        <w:t>theory</w:t>
      </w:r>
      <w:r w:rsidRPr="771937AE" w:rsidR="715299E4">
        <w:rPr>
          <w:rFonts w:ascii="Arial" w:hAnsi="Arial" w:eastAsia="Arial" w:cs="Arial"/>
          <w:b w:val="0"/>
          <w:bCs w:val="0"/>
          <w:i w:val="1"/>
          <w:iCs w:val="1"/>
          <w:noProof w:val="0"/>
          <w:color w:val="auto"/>
          <w:sz w:val="24"/>
          <w:szCs w:val="24"/>
          <w:lang w:val="en-US"/>
        </w:rPr>
        <w:t xml:space="preserve"> and case studies</w:t>
      </w:r>
      <w:r w:rsidRPr="771937AE" w:rsidR="715299E4">
        <w:rPr>
          <w:rFonts w:ascii="Arial" w:hAnsi="Arial" w:eastAsia="Arial" w:cs="Arial"/>
          <w:b w:val="0"/>
          <w:bCs w:val="0"/>
          <w:noProof w:val="0"/>
          <w:color w:val="auto"/>
          <w:sz w:val="24"/>
          <w:szCs w:val="24"/>
          <w:lang w:val="en-US"/>
        </w:rPr>
        <w:t xml:space="preserve">. London, United </w:t>
      </w:r>
      <w:r w:rsidRPr="771937AE" w:rsidR="715299E4">
        <w:rPr>
          <w:rFonts w:ascii="Arial" w:hAnsi="Arial" w:eastAsia="Arial" w:cs="Arial"/>
          <w:b w:val="0"/>
          <w:bCs w:val="0"/>
          <w:noProof w:val="0"/>
          <w:color w:val="auto"/>
          <w:sz w:val="24"/>
          <w:szCs w:val="24"/>
          <w:lang w:val="en-US"/>
        </w:rPr>
        <w:t>Kingdom ;</w:t>
      </w:r>
      <w:r w:rsidRPr="771937AE" w:rsidR="715299E4">
        <w:rPr>
          <w:rFonts w:ascii="Arial" w:hAnsi="Arial" w:eastAsia="Arial" w:cs="Arial"/>
          <w:b w:val="0"/>
          <w:bCs w:val="0"/>
          <w:noProof w:val="0"/>
          <w:color w:val="auto"/>
          <w:sz w:val="24"/>
          <w:szCs w:val="24"/>
          <w:lang w:val="en-US"/>
        </w:rPr>
        <w:t xml:space="preserve"> New York, Ny: Kogan Page Limited.</w:t>
      </w:r>
    </w:p>
    <w:p w:rsidR="715299E4" w:rsidP="771937AE" w:rsidRDefault="715299E4" w14:paraId="0BF52F08" w14:textId="1719F944">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Making Markets Work Better </w:t>
      </w:r>
      <w:r w:rsidRPr="771937AE" w:rsidR="715299E4">
        <w:rPr>
          <w:rFonts w:ascii="Arial" w:hAnsi="Arial" w:eastAsia="Arial" w:cs="Arial"/>
          <w:b w:val="0"/>
          <w:bCs w:val="0"/>
          <w:noProof w:val="0"/>
          <w:color w:val="auto"/>
          <w:sz w:val="24"/>
          <w:szCs w:val="24"/>
          <w:lang w:val="en-US"/>
        </w:rPr>
        <w:t>For</w:t>
      </w:r>
      <w:r w:rsidRPr="771937AE" w:rsidR="715299E4">
        <w:rPr>
          <w:rFonts w:ascii="Arial" w:hAnsi="Arial" w:eastAsia="Arial" w:cs="Arial"/>
          <w:b w:val="0"/>
          <w:bCs w:val="0"/>
          <w:noProof w:val="0"/>
          <w:color w:val="auto"/>
          <w:sz w:val="24"/>
          <w:szCs w:val="24"/>
          <w:lang w:val="en-US"/>
        </w:rPr>
        <w:t xml:space="preserve"> </w:t>
      </w:r>
      <w:r w:rsidRPr="771937AE" w:rsidR="715299E4">
        <w:rPr>
          <w:rFonts w:ascii="Arial" w:hAnsi="Arial" w:eastAsia="Arial" w:cs="Arial"/>
          <w:b w:val="0"/>
          <w:bCs w:val="0"/>
          <w:noProof w:val="0"/>
          <w:color w:val="auto"/>
          <w:sz w:val="24"/>
          <w:szCs w:val="24"/>
          <w:lang w:val="en-US"/>
        </w:rPr>
        <w:t>The</w:t>
      </w:r>
      <w:r w:rsidRPr="771937AE" w:rsidR="715299E4">
        <w:rPr>
          <w:rFonts w:ascii="Arial" w:hAnsi="Arial" w:eastAsia="Arial" w:cs="Arial"/>
          <w:b w:val="0"/>
          <w:bCs w:val="0"/>
          <w:noProof w:val="0"/>
          <w:color w:val="auto"/>
          <w:sz w:val="24"/>
          <w:szCs w:val="24"/>
          <w:lang w:val="en-US"/>
        </w:rPr>
        <w:t xml:space="preserve"> Poor (Project and Great Britain. Department For International Development (2008). </w:t>
      </w:r>
      <w:r w:rsidRPr="771937AE" w:rsidR="715299E4">
        <w:rPr>
          <w:rFonts w:ascii="Arial" w:hAnsi="Arial" w:eastAsia="Arial" w:cs="Arial"/>
          <w:b w:val="0"/>
          <w:bCs w:val="0"/>
          <w:i w:val="1"/>
          <w:iCs w:val="1"/>
          <w:noProof w:val="0"/>
          <w:color w:val="auto"/>
          <w:sz w:val="24"/>
          <w:szCs w:val="24"/>
          <w:lang w:val="en-US"/>
        </w:rPr>
        <w:t xml:space="preserve">Making value chains work better for the </w:t>
      </w:r>
      <w:r w:rsidRPr="771937AE" w:rsidR="715299E4">
        <w:rPr>
          <w:rFonts w:ascii="Arial" w:hAnsi="Arial" w:eastAsia="Arial" w:cs="Arial"/>
          <w:b w:val="0"/>
          <w:bCs w:val="0"/>
          <w:i w:val="1"/>
          <w:iCs w:val="1"/>
          <w:noProof w:val="0"/>
          <w:color w:val="auto"/>
          <w:sz w:val="24"/>
          <w:szCs w:val="24"/>
          <w:lang w:val="en-US"/>
        </w:rPr>
        <w:t>poor :</w:t>
      </w:r>
      <w:r w:rsidRPr="771937AE" w:rsidR="715299E4">
        <w:rPr>
          <w:rFonts w:ascii="Arial" w:hAnsi="Arial" w:eastAsia="Arial" w:cs="Arial"/>
          <w:b w:val="0"/>
          <w:bCs w:val="0"/>
          <w:i w:val="1"/>
          <w:iCs w:val="1"/>
          <w:noProof w:val="0"/>
          <w:color w:val="auto"/>
          <w:sz w:val="24"/>
          <w:szCs w:val="24"/>
          <w:lang w:val="en-US"/>
        </w:rPr>
        <w:t xml:space="preserve"> a </w:t>
      </w:r>
      <w:r w:rsidRPr="771937AE" w:rsidR="715299E4">
        <w:rPr>
          <w:rFonts w:ascii="Arial" w:hAnsi="Arial" w:eastAsia="Arial" w:cs="Arial"/>
          <w:b w:val="0"/>
          <w:bCs w:val="0"/>
          <w:i w:val="1"/>
          <w:iCs w:val="1"/>
          <w:noProof w:val="0"/>
          <w:color w:val="auto"/>
          <w:sz w:val="24"/>
          <w:szCs w:val="24"/>
          <w:lang w:val="en-US"/>
        </w:rPr>
        <w:t>toolbook</w:t>
      </w:r>
      <w:r w:rsidRPr="771937AE" w:rsidR="715299E4">
        <w:rPr>
          <w:rFonts w:ascii="Arial" w:hAnsi="Arial" w:eastAsia="Arial" w:cs="Arial"/>
          <w:b w:val="0"/>
          <w:bCs w:val="0"/>
          <w:i w:val="1"/>
          <w:iCs w:val="1"/>
          <w:noProof w:val="0"/>
          <w:color w:val="auto"/>
          <w:sz w:val="24"/>
          <w:szCs w:val="24"/>
          <w:lang w:val="en-US"/>
        </w:rPr>
        <w:t xml:space="preserve"> for practitioners of value chain analysis.</w:t>
      </w:r>
      <w:r w:rsidRPr="771937AE" w:rsidR="715299E4">
        <w:rPr>
          <w:rFonts w:ascii="Arial" w:hAnsi="Arial" w:eastAsia="Arial" w:cs="Arial"/>
          <w:b w:val="0"/>
          <w:bCs w:val="0"/>
          <w:noProof w:val="0"/>
          <w:color w:val="auto"/>
          <w:sz w:val="24"/>
          <w:szCs w:val="24"/>
          <w:lang w:val="en-US"/>
        </w:rPr>
        <w:t xml:space="preserve"> London: Department For International Development.</w:t>
      </w:r>
    </w:p>
    <w:p w:rsidR="715299E4" w:rsidP="771937AE" w:rsidRDefault="715299E4" w14:paraId="511D9251" w14:textId="374F0B58">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Mcdonald, M. and Meldrum, M. (2013). </w:t>
      </w:r>
      <w:r w:rsidRPr="771937AE" w:rsidR="715299E4">
        <w:rPr>
          <w:rFonts w:ascii="Arial" w:hAnsi="Arial" w:eastAsia="Arial" w:cs="Arial"/>
          <w:b w:val="0"/>
          <w:bCs w:val="0"/>
          <w:i w:val="1"/>
          <w:iCs w:val="1"/>
          <w:noProof w:val="0"/>
          <w:color w:val="auto"/>
          <w:sz w:val="24"/>
          <w:szCs w:val="24"/>
          <w:lang w:val="en-US"/>
        </w:rPr>
        <w:t xml:space="preserve">The complete </w:t>
      </w:r>
      <w:r w:rsidRPr="771937AE" w:rsidR="715299E4">
        <w:rPr>
          <w:rFonts w:ascii="Arial" w:hAnsi="Arial" w:eastAsia="Arial" w:cs="Arial"/>
          <w:b w:val="0"/>
          <w:bCs w:val="0"/>
          <w:i w:val="1"/>
          <w:iCs w:val="1"/>
          <w:noProof w:val="0"/>
          <w:color w:val="auto"/>
          <w:sz w:val="24"/>
          <w:szCs w:val="24"/>
          <w:lang w:val="en-US"/>
        </w:rPr>
        <w:t>marketer :</w:t>
      </w:r>
      <w:r w:rsidRPr="771937AE" w:rsidR="715299E4">
        <w:rPr>
          <w:rFonts w:ascii="Arial" w:hAnsi="Arial" w:eastAsia="Arial" w:cs="Arial"/>
          <w:b w:val="0"/>
          <w:bCs w:val="0"/>
          <w:i w:val="1"/>
          <w:iCs w:val="1"/>
          <w:noProof w:val="0"/>
          <w:color w:val="auto"/>
          <w:sz w:val="24"/>
          <w:szCs w:val="24"/>
          <w:lang w:val="en-US"/>
        </w:rPr>
        <w:t xml:space="preserve"> 60 essential concepts for marketing excellence</w:t>
      </w:r>
      <w:r w:rsidRPr="771937AE" w:rsidR="715299E4">
        <w:rPr>
          <w:rFonts w:ascii="Arial" w:hAnsi="Arial" w:eastAsia="Arial" w:cs="Arial"/>
          <w:b w:val="0"/>
          <w:bCs w:val="0"/>
          <w:noProof w:val="0"/>
          <w:color w:val="auto"/>
          <w:sz w:val="24"/>
          <w:szCs w:val="24"/>
          <w:lang w:val="en-US"/>
        </w:rPr>
        <w:t xml:space="preserve">. </w:t>
      </w:r>
      <w:r w:rsidRPr="771937AE" w:rsidR="715299E4">
        <w:rPr>
          <w:rFonts w:ascii="Arial" w:hAnsi="Arial" w:eastAsia="Arial" w:cs="Arial"/>
          <w:b w:val="0"/>
          <w:bCs w:val="0"/>
          <w:noProof w:val="0"/>
          <w:color w:val="auto"/>
          <w:sz w:val="24"/>
          <w:szCs w:val="24"/>
          <w:lang w:val="en-US"/>
        </w:rPr>
        <w:t>London ;</w:t>
      </w:r>
      <w:r w:rsidRPr="771937AE" w:rsidR="715299E4">
        <w:rPr>
          <w:rFonts w:ascii="Arial" w:hAnsi="Arial" w:eastAsia="Arial" w:cs="Arial"/>
          <w:b w:val="0"/>
          <w:bCs w:val="0"/>
          <w:noProof w:val="0"/>
          <w:color w:val="auto"/>
          <w:sz w:val="24"/>
          <w:szCs w:val="24"/>
          <w:lang w:val="en-US"/>
        </w:rPr>
        <w:t xml:space="preserve"> </w:t>
      </w:r>
      <w:r w:rsidRPr="771937AE" w:rsidR="715299E4">
        <w:rPr>
          <w:rFonts w:ascii="Arial" w:hAnsi="Arial" w:eastAsia="Arial" w:cs="Arial"/>
          <w:b w:val="0"/>
          <w:bCs w:val="0"/>
          <w:noProof w:val="0"/>
          <w:color w:val="auto"/>
          <w:sz w:val="24"/>
          <w:szCs w:val="24"/>
          <w:lang w:val="en-US"/>
        </w:rPr>
        <w:t>Philadelphia ;</w:t>
      </w:r>
      <w:r w:rsidRPr="771937AE" w:rsidR="715299E4">
        <w:rPr>
          <w:rFonts w:ascii="Arial" w:hAnsi="Arial" w:eastAsia="Arial" w:cs="Arial"/>
          <w:b w:val="0"/>
          <w:bCs w:val="0"/>
          <w:noProof w:val="0"/>
          <w:color w:val="auto"/>
          <w:sz w:val="24"/>
          <w:szCs w:val="24"/>
          <w:lang w:val="en-US"/>
        </w:rPr>
        <w:t xml:space="preserve"> New Delhi: Kogan Page Limited.</w:t>
      </w:r>
    </w:p>
    <w:p w:rsidR="715299E4" w:rsidP="771937AE" w:rsidRDefault="715299E4" w14:paraId="7E9B4E0D" w14:textId="657E8117">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Mebert</w:t>
      </w:r>
      <w:r w:rsidRPr="771937AE" w:rsidR="715299E4">
        <w:rPr>
          <w:rFonts w:ascii="Arial" w:hAnsi="Arial" w:eastAsia="Arial" w:cs="Arial"/>
          <w:b w:val="0"/>
          <w:bCs w:val="0"/>
          <w:noProof w:val="0"/>
          <w:color w:val="auto"/>
          <w:sz w:val="24"/>
          <w:szCs w:val="24"/>
          <w:lang w:val="en-US"/>
        </w:rPr>
        <w:t xml:space="preserve">, A. and Lowe, S. (2017). </w:t>
      </w:r>
      <w:r w:rsidRPr="771937AE" w:rsidR="715299E4">
        <w:rPr>
          <w:rFonts w:ascii="Arial" w:hAnsi="Arial" w:eastAsia="Arial" w:cs="Arial"/>
          <w:b w:val="0"/>
          <w:bCs w:val="0"/>
          <w:i w:val="1"/>
          <w:iCs w:val="1"/>
          <w:noProof w:val="0"/>
          <w:color w:val="auto"/>
          <w:sz w:val="24"/>
          <w:szCs w:val="24"/>
          <w:lang w:val="en-US"/>
        </w:rPr>
        <w:t>Blue Ocean Strategy</w:t>
      </w:r>
      <w:r w:rsidRPr="771937AE" w:rsidR="715299E4">
        <w:rPr>
          <w:rFonts w:ascii="Arial" w:hAnsi="Arial" w:eastAsia="Arial" w:cs="Arial"/>
          <w:b w:val="0"/>
          <w:bCs w:val="0"/>
          <w:noProof w:val="0"/>
          <w:color w:val="auto"/>
          <w:sz w:val="24"/>
          <w:szCs w:val="24"/>
          <w:lang w:val="en-US"/>
        </w:rPr>
        <w:t>. London: Taylor And Francis.</w:t>
      </w:r>
    </w:p>
    <w:p w:rsidR="715299E4" w:rsidP="771937AE" w:rsidRDefault="715299E4" w14:paraId="33DE7616" w14:textId="67C3DE18">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Najmaei</w:t>
      </w:r>
      <w:r w:rsidRPr="771937AE" w:rsidR="715299E4">
        <w:rPr>
          <w:rFonts w:ascii="Arial" w:hAnsi="Arial" w:eastAsia="Arial" w:cs="Arial"/>
          <w:b w:val="0"/>
          <w:bCs w:val="0"/>
          <w:noProof w:val="0"/>
          <w:color w:val="auto"/>
          <w:sz w:val="24"/>
          <w:szCs w:val="24"/>
          <w:lang w:val="en-US"/>
        </w:rPr>
        <w:t xml:space="preserve">, A., Quazi, Z. and Behnia, M. (2017). </w:t>
      </w:r>
      <w:r w:rsidRPr="771937AE" w:rsidR="715299E4">
        <w:rPr>
          <w:rFonts w:ascii="Arial" w:hAnsi="Arial" w:eastAsia="Arial" w:cs="Arial"/>
          <w:b w:val="0"/>
          <w:bCs w:val="0"/>
          <w:i w:val="1"/>
          <w:iCs w:val="1"/>
          <w:noProof w:val="0"/>
          <w:color w:val="auto"/>
          <w:sz w:val="24"/>
          <w:szCs w:val="24"/>
          <w:lang w:val="en-US"/>
        </w:rPr>
        <w:t>Balancing Strategic Leadership: A Synthesis of Balanced Scorecard and Strategic Leadership Theories</w:t>
      </w:r>
      <w:r w:rsidRPr="771937AE" w:rsidR="715299E4">
        <w:rPr>
          <w:rFonts w:ascii="Arial" w:hAnsi="Arial" w:eastAsia="Arial" w:cs="Arial"/>
          <w:b w:val="0"/>
          <w:bCs w:val="0"/>
          <w:noProof w:val="0"/>
          <w:color w:val="auto"/>
          <w:sz w:val="24"/>
          <w:szCs w:val="24"/>
          <w:lang w:val="en-US"/>
        </w:rPr>
        <w:t xml:space="preserve">. </w:t>
      </w:r>
      <w:r w:rsidRPr="771937AE" w:rsidR="715299E4">
        <w:rPr>
          <w:rFonts w:ascii="Arial" w:hAnsi="Arial" w:eastAsia="Arial" w:cs="Arial"/>
          <w:b w:val="0"/>
          <w:bCs w:val="0"/>
          <w:noProof w:val="0"/>
          <w:color w:val="auto"/>
          <w:sz w:val="24"/>
          <w:szCs w:val="24"/>
          <w:lang w:val="en-US"/>
        </w:rPr>
        <w:t>Kidmore</w:t>
      </w:r>
      <w:r w:rsidRPr="771937AE" w:rsidR="715299E4">
        <w:rPr>
          <w:rFonts w:ascii="Arial" w:hAnsi="Arial" w:eastAsia="Arial" w:cs="Arial"/>
          <w:b w:val="0"/>
          <w:bCs w:val="0"/>
          <w:noProof w:val="0"/>
          <w:color w:val="auto"/>
          <w:sz w:val="24"/>
          <w:szCs w:val="24"/>
          <w:lang w:val="en-US"/>
        </w:rPr>
        <w:t xml:space="preserve"> End: Academic Conferences International Limited.</w:t>
      </w:r>
    </w:p>
    <w:p w:rsidR="715299E4" w:rsidP="771937AE" w:rsidRDefault="715299E4" w14:paraId="4B8785CB" w14:textId="23304648">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Porter, M.E. (2008). </w:t>
      </w:r>
      <w:r w:rsidRPr="771937AE" w:rsidR="715299E4">
        <w:rPr>
          <w:rFonts w:ascii="Arial" w:hAnsi="Arial" w:eastAsia="Arial" w:cs="Arial"/>
          <w:b w:val="0"/>
          <w:bCs w:val="0"/>
          <w:i w:val="1"/>
          <w:iCs w:val="1"/>
          <w:noProof w:val="0"/>
          <w:color w:val="auto"/>
          <w:sz w:val="24"/>
          <w:szCs w:val="24"/>
          <w:lang w:val="en-US"/>
        </w:rPr>
        <w:t>On competition</w:t>
      </w:r>
      <w:r w:rsidRPr="771937AE" w:rsidR="715299E4">
        <w:rPr>
          <w:rFonts w:ascii="Arial" w:hAnsi="Arial" w:eastAsia="Arial" w:cs="Arial"/>
          <w:b w:val="0"/>
          <w:bCs w:val="0"/>
          <w:noProof w:val="0"/>
          <w:color w:val="auto"/>
          <w:sz w:val="24"/>
          <w:szCs w:val="24"/>
          <w:lang w:val="en-US"/>
        </w:rPr>
        <w:t>. Boston, Massachusetts: Harvard Business School.</w:t>
      </w:r>
    </w:p>
    <w:p w:rsidR="715299E4" w:rsidP="771937AE" w:rsidRDefault="715299E4" w14:paraId="2BD8A9E5" w14:textId="1CE23B05">
      <w:pPr>
        <w:spacing w:before="0" w:beforeAutospacing="off" w:after="240" w:afterAutospacing="off" w:line="360" w:lineRule="auto"/>
        <w:rPr>
          <w:rFonts w:ascii="Arial" w:hAnsi="Arial" w:eastAsia="Arial" w:cs="Arial"/>
          <w:b w:val="0"/>
          <w:bCs w:val="0"/>
          <w:noProof w:val="0"/>
          <w:color w:val="auto"/>
          <w:sz w:val="24"/>
          <w:szCs w:val="24"/>
          <w:lang w:val="en-US"/>
        </w:rPr>
      </w:pPr>
      <w:r w:rsidRPr="771937AE" w:rsidR="715299E4">
        <w:rPr>
          <w:rFonts w:ascii="Arial" w:hAnsi="Arial" w:eastAsia="Arial" w:cs="Arial"/>
          <w:b w:val="0"/>
          <w:bCs w:val="0"/>
          <w:noProof w:val="0"/>
          <w:color w:val="auto"/>
          <w:sz w:val="24"/>
          <w:szCs w:val="24"/>
          <w:lang w:val="en-US"/>
        </w:rPr>
        <w:t xml:space="preserve">Speth, C. (2021). </w:t>
      </w:r>
      <w:r w:rsidRPr="771937AE" w:rsidR="715299E4">
        <w:rPr>
          <w:rFonts w:ascii="Arial" w:hAnsi="Arial" w:eastAsia="Arial" w:cs="Arial"/>
          <w:b w:val="0"/>
          <w:bCs w:val="0"/>
          <w:i w:val="1"/>
          <w:iCs w:val="1"/>
          <w:noProof w:val="0"/>
          <w:color w:val="auto"/>
          <w:sz w:val="24"/>
          <w:szCs w:val="24"/>
          <w:lang w:val="en-US"/>
        </w:rPr>
        <w:t xml:space="preserve">The SWOT analysis </w:t>
      </w:r>
      <w:r w:rsidRPr="771937AE" w:rsidR="715299E4">
        <w:rPr>
          <w:rFonts w:ascii="Arial" w:hAnsi="Arial" w:eastAsia="Arial" w:cs="Arial"/>
          <w:b w:val="0"/>
          <w:bCs w:val="0"/>
          <w:i w:val="1"/>
          <w:iCs w:val="1"/>
          <w:noProof w:val="0"/>
          <w:color w:val="auto"/>
          <w:sz w:val="24"/>
          <w:szCs w:val="24"/>
          <w:lang w:val="en-US"/>
        </w:rPr>
        <w:t>develop</w:t>
      </w:r>
      <w:r w:rsidRPr="771937AE" w:rsidR="715299E4">
        <w:rPr>
          <w:rFonts w:ascii="Arial" w:hAnsi="Arial" w:eastAsia="Arial" w:cs="Arial"/>
          <w:b w:val="0"/>
          <w:bCs w:val="0"/>
          <w:i w:val="1"/>
          <w:iCs w:val="1"/>
          <w:noProof w:val="0"/>
          <w:color w:val="auto"/>
          <w:sz w:val="24"/>
          <w:szCs w:val="24"/>
          <w:lang w:val="en-US"/>
        </w:rPr>
        <w:t xml:space="preserve"> strengths to decrease the weaknesses of your business</w:t>
      </w:r>
      <w:r w:rsidRPr="771937AE" w:rsidR="715299E4">
        <w:rPr>
          <w:rFonts w:ascii="Arial" w:hAnsi="Arial" w:eastAsia="Arial" w:cs="Arial"/>
          <w:b w:val="0"/>
          <w:bCs w:val="0"/>
          <w:noProof w:val="0"/>
          <w:color w:val="auto"/>
          <w:sz w:val="24"/>
          <w:szCs w:val="24"/>
          <w:lang w:val="en-US"/>
        </w:rPr>
        <w:t>. Namur 50Minutes.</w:t>
      </w:r>
    </w:p>
    <w:p w:rsidR="25F64648" w:rsidP="771937AE" w:rsidRDefault="25F64648" w14:paraId="5CCED031" w14:textId="1C09DECF">
      <w:pPr>
        <w:rPr>
          <w:rFonts w:ascii="Arial" w:hAnsi="Arial" w:eastAsia="Arial" w:cs="Arial"/>
          <w:color w:val="auto"/>
          <w:sz w:val="24"/>
          <w:szCs w:val="24"/>
        </w:rPr>
      </w:pPr>
      <w:r w:rsidRPr="771937AE" w:rsidR="25F64648">
        <w:rPr>
          <w:rFonts w:ascii="Arial" w:hAnsi="Arial" w:eastAsia="Arial" w:cs="Arial"/>
          <w:color w:val="auto"/>
          <w:sz w:val="28"/>
          <w:szCs w:val="28"/>
        </w:rPr>
        <w:t>Appendix</w:t>
      </w:r>
      <w:r>
        <w:br/>
      </w:r>
      <w:r w:rsidRPr="771937AE" w:rsidR="662C6386">
        <w:rPr>
          <w:rFonts w:ascii="Arial" w:hAnsi="Arial" w:eastAsia="Arial" w:cs="Arial"/>
          <w:color w:val="auto"/>
          <w:sz w:val="24"/>
          <w:szCs w:val="24"/>
        </w:rPr>
        <w:t>. Brewery Sustainability Metrics:</w:t>
      </w:r>
    </w:p>
    <w:p w:rsidR="662C6386" w:rsidP="771937AE" w:rsidRDefault="662C6386" w14:noSpellErr="1" w14:paraId="3DC6B436">
      <w:pPr>
        <w:rPr>
          <w:rFonts w:ascii="Arial" w:hAnsi="Arial" w:eastAsia="Arial" w:cs="Arial"/>
          <w:color w:val="auto"/>
          <w:sz w:val="24"/>
          <w:szCs w:val="24"/>
        </w:rPr>
      </w:pPr>
      <w:r w:rsidR="662C6386">
        <w:drawing>
          <wp:inline wp14:editId="5FB1D687" wp14:anchorId="71D37A56">
            <wp:extent cx="4572000" cy="3429000"/>
            <wp:effectExtent l="0" t="0" r="0" b="0"/>
            <wp:docPr id="196775483" name="Picture 7" title=""/>
            <wp:cNvGraphicFramePr>
              <a:graphicFrameLocks noChangeAspect="1"/>
            </wp:cNvGraphicFramePr>
            <a:graphic>
              <a:graphicData uri="http://schemas.openxmlformats.org/drawingml/2006/picture">
                <pic:pic>
                  <pic:nvPicPr>
                    <pic:cNvPr id="0" name="Picture 7"/>
                    <pic:cNvPicPr/>
                  </pic:nvPicPr>
                  <pic:blipFill>
                    <a:blip r:embed="Re73a74e166c049b0">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4572000" cy="3429000"/>
                    </a:xfrm>
                    <a:prstGeom xmlns:a="http://schemas.openxmlformats.org/drawingml/2006/main" prst="rect">
                      <a:avLst/>
                    </a:prstGeom>
                  </pic:spPr>
                </pic:pic>
              </a:graphicData>
            </a:graphic>
          </wp:inline>
        </w:drawing>
      </w:r>
    </w:p>
    <w:p w:rsidR="662C6386" w:rsidP="771937AE" w:rsidRDefault="662C6386" w14:noSpellErr="1" w14:paraId="73876F7B">
      <w:pPr>
        <w:rPr>
          <w:rFonts w:ascii="Arial" w:hAnsi="Arial" w:eastAsia="Arial" w:cs="Arial"/>
          <w:color w:val="auto"/>
          <w:sz w:val="24"/>
          <w:szCs w:val="24"/>
        </w:rPr>
      </w:pPr>
      <w:r w:rsidRPr="771937AE" w:rsidR="662C6386">
        <w:rPr>
          <w:rFonts w:ascii="Arial" w:hAnsi="Arial" w:eastAsia="Arial" w:cs="Arial"/>
          <w:color w:val="auto"/>
          <w:sz w:val="24"/>
          <w:szCs w:val="24"/>
        </w:rPr>
        <w:t>3. Timeline for Brewery Development:</w:t>
      </w:r>
    </w:p>
    <w:p w:rsidR="662C6386" w:rsidP="771937AE" w:rsidRDefault="662C6386" w14:noSpellErr="1" w14:paraId="1ADEBE75">
      <w:pPr>
        <w:rPr>
          <w:rFonts w:ascii="Arial" w:hAnsi="Arial" w:eastAsia="Arial" w:cs="Arial"/>
          <w:color w:val="auto"/>
          <w:sz w:val="24"/>
          <w:szCs w:val="24"/>
        </w:rPr>
      </w:pPr>
      <w:r w:rsidR="662C6386">
        <w:drawing>
          <wp:inline wp14:editId="196873D5" wp14:anchorId="0C6A6524">
            <wp:extent cx="4572000" cy="3429000"/>
            <wp:effectExtent l="0" t="0" r="0" b="0"/>
            <wp:docPr id="149973256" name="Picture 8" title=""/>
            <wp:cNvGraphicFramePr>
              <a:graphicFrameLocks noChangeAspect="1"/>
            </wp:cNvGraphicFramePr>
            <a:graphic>
              <a:graphicData uri="http://schemas.openxmlformats.org/drawingml/2006/picture">
                <pic:pic>
                  <pic:nvPicPr>
                    <pic:cNvPr id="0" name="Picture 8"/>
                    <pic:cNvPicPr/>
                  </pic:nvPicPr>
                  <pic:blipFill>
                    <a:blip r:embed="R3ea0dce9e12d4068">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4572000" cy="3429000"/>
                    </a:xfrm>
                    <a:prstGeom xmlns:a="http://schemas.openxmlformats.org/drawingml/2006/main" prst="rect">
                      <a:avLst/>
                    </a:prstGeom>
                  </pic:spPr>
                </pic:pic>
              </a:graphicData>
            </a:graphic>
          </wp:inline>
        </w:drawing>
      </w:r>
    </w:p>
    <w:p w:rsidR="1DA50BAB" w:rsidP="771937AE" w:rsidRDefault="1DA50BAB" w14:paraId="57C593D7" w14:textId="5BFDB140">
      <w:pPr>
        <w:pStyle w:val="Normal"/>
      </w:pPr>
      <w:r w:rsidR="1DA50BAB">
        <w:drawing>
          <wp:inline wp14:editId="0F974E92" wp14:anchorId="15CA40B0">
            <wp:extent cx="5486400" cy="2695575"/>
            <wp:effectExtent l="0" t="0" r="0" b="0"/>
            <wp:docPr id="208389243" name="" title=""/>
            <wp:cNvGraphicFramePr>
              <a:graphicFrameLocks noChangeAspect="1"/>
            </wp:cNvGraphicFramePr>
            <a:graphic>
              <a:graphicData uri="http://schemas.openxmlformats.org/drawingml/2006/picture">
                <pic:pic>
                  <pic:nvPicPr>
                    <pic:cNvPr id="0" name=""/>
                    <pic:cNvPicPr/>
                  </pic:nvPicPr>
                  <pic:blipFill>
                    <a:blip r:embed="R71eedb7e08bd43b6">
                      <a:extLst>
                        <a:ext xmlns:a="http://schemas.openxmlformats.org/drawingml/2006/main" uri="{28A0092B-C50C-407E-A947-70E740481C1C}">
                          <a14:useLocalDpi val="0"/>
                        </a:ext>
                      </a:extLst>
                    </a:blip>
                    <a:stretch>
                      <a:fillRect/>
                    </a:stretch>
                  </pic:blipFill>
                  <pic:spPr>
                    <a:xfrm>
                      <a:off x="0" y="0"/>
                      <a:ext cx="5486400" cy="2695575"/>
                    </a:xfrm>
                    <a:prstGeom prst="rect">
                      <a:avLst/>
                    </a:prstGeom>
                  </pic:spPr>
                </pic:pic>
              </a:graphicData>
            </a:graphic>
          </wp:inline>
        </w:drawing>
      </w:r>
      <w:r w:rsidR="1DA50BAB">
        <w:drawing>
          <wp:inline wp14:editId="65F535AC" wp14:anchorId="15BCF4A5">
            <wp:extent cx="5486400" cy="1714500"/>
            <wp:effectExtent l="0" t="0" r="0" b="0"/>
            <wp:docPr id="1664210502" name="" title=""/>
            <wp:cNvGraphicFramePr>
              <a:graphicFrameLocks noChangeAspect="1"/>
            </wp:cNvGraphicFramePr>
            <a:graphic>
              <a:graphicData uri="http://schemas.openxmlformats.org/drawingml/2006/picture">
                <pic:pic>
                  <pic:nvPicPr>
                    <pic:cNvPr id="0" name=""/>
                    <pic:cNvPicPr/>
                  </pic:nvPicPr>
                  <pic:blipFill>
                    <a:blip r:embed="R6cef01095f9a414d">
                      <a:extLst>
                        <a:ext xmlns:a="http://schemas.openxmlformats.org/drawingml/2006/main" uri="{28A0092B-C50C-407E-A947-70E740481C1C}">
                          <a14:useLocalDpi val="0"/>
                        </a:ext>
                      </a:extLst>
                    </a:blip>
                    <a:stretch>
                      <a:fillRect/>
                    </a:stretch>
                  </pic:blipFill>
                  <pic:spPr>
                    <a:xfrm>
                      <a:off x="0" y="0"/>
                      <a:ext cx="5486400" cy="1714500"/>
                    </a:xfrm>
                    <a:prstGeom prst="rect">
                      <a:avLst/>
                    </a:prstGeom>
                  </pic:spPr>
                </pic:pic>
              </a:graphicData>
            </a:graphic>
          </wp:inline>
        </w:drawing>
      </w:r>
    </w:p>
    <w:p w:rsidR="771937AE" w:rsidP="771937AE" w:rsidRDefault="771937AE" w14:paraId="6CDF2016" w14:textId="36542651">
      <w:pPr>
        <w:pStyle w:val="Normal"/>
      </w:pPr>
    </w:p>
    <w:p w:rsidR="34B5B495" w:rsidP="771937AE" w:rsidRDefault="34B5B495" w14:paraId="74180E91" w14:textId="5A1CDDE8">
      <w:pPr>
        <w:pStyle w:val="Normal"/>
      </w:pPr>
      <w:r w:rsidR="34B5B495">
        <w:drawing>
          <wp:inline wp14:editId="5DB74A9B" wp14:anchorId="2EFC4F13">
            <wp:extent cx="5486400" cy="2057400"/>
            <wp:effectExtent l="0" t="0" r="0" b="0"/>
            <wp:docPr id="511268547" name="" title=""/>
            <wp:cNvGraphicFramePr>
              <a:graphicFrameLocks noChangeAspect="1"/>
            </wp:cNvGraphicFramePr>
            <a:graphic>
              <a:graphicData uri="http://schemas.openxmlformats.org/drawingml/2006/picture">
                <pic:pic>
                  <pic:nvPicPr>
                    <pic:cNvPr id="0" name=""/>
                    <pic:cNvPicPr/>
                  </pic:nvPicPr>
                  <pic:blipFill>
                    <a:blip r:embed="Rac580c26433044a8">
                      <a:extLst>
                        <a:ext xmlns:a="http://schemas.openxmlformats.org/drawingml/2006/main" uri="{28A0092B-C50C-407E-A947-70E740481C1C}">
                          <a14:useLocalDpi val="0"/>
                        </a:ext>
                      </a:extLst>
                    </a:blip>
                    <a:stretch>
                      <a:fillRect/>
                    </a:stretch>
                  </pic:blipFill>
                  <pic:spPr>
                    <a:xfrm>
                      <a:off x="0" y="0"/>
                      <a:ext cx="5486400" cy="2057400"/>
                    </a:xfrm>
                    <a:prstGeom prst="rect">
                      <a:avLst/>
                    </a:prstGeom>
                  </pic:spPr>
                </pic:pic>
              </a:graphicData>
            </a:graphic>
          </wp:inline>
        </w:drawing>
      </w:r>
    </w:p>
    <w:p w:rsidR="771937AE" w:rsidP="771937AE" w:rsidRDefault="771937AE" w14:paraId="7FDC7A51" w14:textId="761F3D34">
      <w:pPr>
        <w:spacing w:before="240" w:beforeAutospacing="off" w:after="240" w:afterAutospacing="off"/>
        <w:rPr>
          <w:rFonts w:ascii="Arial" w:hAnsi="Arial" w:eastAsia="Arial" w:cs="Arial"/>
          <w:noProof w:val="0"/>
          <w:sz w:val="24"/>
          <w:szCs w:val="24"/>
          <w:lang w:val="en-US"/>
        </w:rPr>
      </w:pPr>
    </w:p>
    <w:p w:rsidR="2C459CCA" w:rsidP="771937AE" w:rsidRDefault="2C459CCA" w14:paraId="23393578" w14:textId="52AAF8F7">
      <w:pPr>
        <w:spacing w:before="240" w:beforeAutospacing="off" w:after="240"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noProof w:val="0"/>
          <w:sz w:val="24"/>
          <w:szCs w:val="24"/>
          <w:lang w:val="en-US"/>
        </w:rPr>
        <w:t>-</w:t>
      </w:r>
      <w:r w:rsidRPr="771937AE" w:rsidR="2C459CCA">
        <w:rPr>
          <w:rFonts w:ascii="Arial" w:hAnsi="Arial" w:eastAsia="Arial" w:cs="Arial"/>
          <w:b w:val="1"/>
          <w:bCs w:val="1"/>
          <w:noProof w:val="0"/>
          <w:color w:val="auto"/>
          <w:sz w:val="24"/>
          <w:szCs w:val="24"/>
          <w:lang w:val="en-US"/>
        </w:rPr>
        <w:t>Appendix:</w:t>
      </w:r>
    </w:p>
    <w:p w:rsidR="2C459CCA" w:rsidP="771937AE" w:rsidRDefault="2C459CCA" w14:paraId="1E28D06B" w14:textId="0A58CB30">
      <w:pPr>
        <w:spacing w:before="240" w:beforeAutospacing="off" w:after="240"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 xml:space="preserve"> Hop Growing at Gower Farm</w:t>
      </w:r>
    </w:p>
    <w:p w:rsidR="2C459CCA" w:rsidP="771937AE" w:rsidRDefault="2C459CCA" w14:paraId="6F0BAE8A" w14:textId="070A7C72">
      <w:pPr>
        <w:pStyle w:val="Heading4"/>
        <w:spacing w:before="319" w:beforeAutospacing="off" w:after="319"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Overview</w:t>
      </w:r>
    </w:p>
    <w:p w:rsidR="2C459CCA" w:rsidP="771937AE" w:rsidRDefault="2C459CCA" w14:paraId="086DEFDC" w14:textId="7B655F87">
      <w:pPr>
        <w:spacing w:before="240" w:beforeAutospacing="off" w:after="240" w:afterAutospacing="off"/>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 xml:space="preserve">Gower Farm's decision to diversify into </w:t>
      </w:r>
      <w:r w:rsidRPr="771937AE" w:rsidR="2C459CCA">
        <w:rPr>
          <w:rFonts w:ascii="Arial" w:hAnsi="Arial" w:eastAsia="Arial" w:cs="Arial"/>
          <w:noProof w:val="0"/>
          <w:color w:val="auto"/>
          <w:sz w:val="24"/>
          <w:szCs w:val="24"/>
          <w:lang w:val="en-US"/>
        </w:rPr>
        <w:t>hop growing</w:t>
      </w:r>
      <w:r w:rsidRPr="771937AE" w:rsidR="2C459CCA">
        <w:rPr>
          <w:rFonts w:ascii="Arial" w:hAnsi="Arial" w:eastAsia="Arial" w:cs="Arial"/>
          <w:noProof w:val="0"/>
          <w:color w:val="auto"/>
          <w:sz w:val="24"/>
          <w:szCs w:val="24"/>
          <w:lang w:val="en-US"/>
        </w:rPr>
        <w:t xml:space="preserve"> is a strategic move to expand its revenue streams and align with the growing demand for sustainable, locally sourced products in the craft beer industry. This initiative not only supports economic resilience but also reinforces the farm's commitment to sustainable agriculture.</w:t>
      </w:r>
    </w:p>
    <w:p w:rsidR="2C459CCA" w:rsidP="771937AE" w:rsidRDefault="2C459CCA" w14:paraId="2C616FEA" w14:textId="3050790B">
      <w:pPr>
        <w:pStyle w:val="Heading4"/>
        <w:spacing w:before="319" w:beforeAutospacing="off" w:after="319"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Rationale for Hop Growing</w:t>
      </w:r>
    </w:p>
    <w:p w:rsidR="2C459CCA" w:rsidP="771937AE" w:rsidRDefault="2C459CCA" w14:paraId="0EB081B1" w14:textId="6DBB57F6">
      <w:pPr>
        <w:pStyle w:val="ListParagraph"/>
        <w:numPr>
          <w:ilvl w:val="0"/>
          <w:numId w:val="10"/>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Market Demand</w:t>
      </w:r>
      <w:r w:rsidRPr="771937AE" w:rsidR="2C459CCA">
        <w:rPr>
          <w:rFonts w:ascii="Arial" w:hAnsi="Arial" w:eastAsia="Arial" w:cs="Arial"/>
          <w:noProof w:val="0"/>
          <w:color w:val="auto"/>
          <w:sz w:val="24"/>
          <w:szCs w:val="24"/>
          <w:lang w:val="en-US"/>
        </w:rPr>
        <w:t>: The UK craft beer industry is experiencing steady growth, with an annual increase of 5.8% in market value (Statista, 2023). The demand for high-quality, locally sourced ingredients like hops is at an all-time high, offering Gower Farm a lucrative opportunity.</w:t>
      </w:r>
    </w:p>
    <w:p w:rsidR="2C459CCA" w:rsidP="771937AE" w:rsidRDefault="2C459CCA" w14:paraId="2ECDDF82" w14:textId="1A282C98">
      <w:pPr>
        <w:pStyle w:val="ListParagraph"/>
        <w:numPr>
          <w:ilvl w:val="0"/>
          <w:numId w:val="10"/>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Sustainability Alignment</w:t>
      </w:r>
      <w:r w:rsidRPr="771937AE" w:rsidR="2C459CCA">
        <w:rPr>
          <w:rFonts w:ascii="Arial" w:hAnsi="Arial" w:eastAsia="Arial" w:cs="Arial"/>
          <w:noProof w:val="0"/>
          <w:color w:val="auto"/>
          <w:sz w:val="24"/>
          <w:szCs w:val="24"/>
          <w:lang w:val="en-US"/>
        </w:rPr>
        <w:t>: Integrating hops into existing agricultural operations supports the farm's environmental values. Hops cultivation can use organic farming methods, promoting biodiversity and reducing carbon footprints (Green &amp; Williams, 2021).</w:t>
      </w:r>
    </w:p>
    <w:p w:rsidR="2C459CCA" w:rsidP="771937AE" w:rsidRDefault="2C459CCA" w14:paraId="3319EAA2" w14:textId="65D7D78E">
      <w:pPr>
        <w:pStyle w:val="ListParagraph"/>
        <w:numPr>
          <w:ilvl w:val="0"/>
          <w:numId w:val="10"/>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Revenue Diversification</w:t>
      </w:r>
      <w:r w:rsidRPr="771937AE" w:rsidR="2C459CCA">
        <w:rPr>
          <w:rFonts w:ascii="Arial" w:hAnsi="Arial" w:eastAsia="Arial" w:cs="Arial"/>
          <w:noProof w:val="0"/>
          <w:color w:val="auto"/>
          <w:sz w:val="24"/>
          <w:szCs w:val="24"/>
          <w:lang w:val="en-US"/>
        </w:rPr>
        <w:t>: By producing hops, Gower Farm can generate year-round income, mitigating the financial risks associated with seasonal reliance on Christmas tree sales (Henderson, 2003).</w:t>
      </w:r>
    </w:p>
    <w:p w:rsidR="2C459CCA" w:rsidP="771937AE" w:rsidRDefault="2C459CCA" w14:paraId="101B5233" w14:textId="11E83562">
      <w:pPr>
        <w:pStyle w:val="Heading4"/>
        <w:spacing w:before="319" w:beforeAutospacing="off" w:after="319"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Site Preparation and Resources</w:t>
      </w:r>
    </w:p>
    <w:p w:rsidR="2C459CCA" w:rsidP="771937AE" w:rsidRDefault="2C459CCA" w14:paraId="1CC2616A" w14:textId="00B2E713">
      <w:pPr>
        <w:pStyle w:val="ListParagraph"/>
        <w:numPr>
          <w:ilvl w:val="0"/>
          <w:numId w:val="11"/>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Land Allocation</w:t>
      </w:r>
      <w:r w:rsidRPr="771937AE" w:rsidR="2C459CCA">
        <w:rPr>
          <w:rFonts w:ascii="Arial" w:hAnsi="Arial" w:eastAsia="Arial" w:cs="Arial"/>
          <w:noProof w:val="0"/>
          <w:color w:val="auto"/>
          <w:sz w:val="24"/>
          <w:szCs w:val="24"/>
          <w:lang w:val="en-US"/>
        </w:rPr>
        <w:t xml:space="preserve">: </w:t>
      </w:r>
      <w:r w:rsidRPr="771937AE" w:rsidR="2C459CCA">
        <w:rPr>
          <w:rFonts w:ascii="Arial" w:hAnsi="Arial" w:eastAsia="Arial" w:cs="Arial"/>
          <w:noProof w:val="0"/>
          <w:color w:val="auto"/>
          <w:sz w:val="24"/>
          <w:szCs w:val="24"/>
          <w:lang w:val="en-US"/>
        </w:rPr>
        <w:t>Approximately 2-</w:t>
      </w:r>
      <w:r w:rsidRPr="771937AE" w:rsidR="2C459CCA">
        <w:rPr>
          <w:rFonts w:ascii="Arial" w:hAnsi="Arial" w:eastAsia="Arial" w:cs="Arial"/>
          <w:noProof w:val="0"/>
          <w:color w:val="auto"/>
          <w:sz w:val="24"/>
          <w:szCs w:val="24"/>
          <w:lang w:val="en-US"/>
        </w:rPr>
        <w:t>3</w:t>
      </w:r>
      <w:r w:rsidRPr="771937AE" w:rsidR="2C459CCA">
        <w:rPr>
          <w:rFonts w:ascii="Arial" w:hAnsi="Arial" w:eastAsia="Arial" w:cs="Arial"/>
          <w:noProof w:val="0"/>
          <w:color w:val="auto"/>
          <w:sz w:val="24"/>
          <w:szCs w:val="24"/>
          <w:lang w:val="en-US"/>
        </w:rPr>
        <w:t xml:space="preserve"> acres</w:t>
      </w:r>
      <w:r w:rsidRPr="771937AE" w:rsidR="2C459CCA">
        <w:rPr>
          <w:rFonts w:ascii="Arial" w:hAnsi="Arial" w:eastAsia="Arial" w:cs="Arial"/>
          <w:noProof w:val="0"/>
          <w:color w:val="auto"/>
          <w:sz w:val="24"/>
          <w:szCs w:val="24"/>
          <w:lang w:val="en-US"/>
        </w:rPr>
        <w:t xml:space="preserve"> of unused agricultural land will be </w:t>
      </w:r>
      <w:r w:rsidRPr="771937AE" w:rsidR="2C459CCA">
        <w:rPr>
          <w:rFonts w:ascii="Arial" w:hAnsi="Arial" w:eastAsia="Arial" w:cs="Arial"/>
          <w:noProof w:val="0"/>
          <w:color w:val="auto"/>
          <w:sz w:val="24"/>
          <w:szCs w:val="24"/>
          <w:lang w:val="en-US"/>
        </w:rPr>
        <w:t>allocated</w:t>
      </w:r>
      <w:r w:rsidRPr="771937AE" w:rsidR="2C459CCA">
        <w:rPr>
          <w:rFonts w:ascii="Arial" w:hAnsi="Arial" w:eastAsia="Arial" w:cs="Arial"/>
          <w:noProof w:val="0"/>
          <w:color w:val="auto"/>
          <w:sz w:val="24"/>
          <w:szCs w:val="24"/>
          <w:lang w:val="en-US"/>
        </w:rPr>
        <w:t xml:space="preserve"> for hops cultivation, maximizing underutilized space.</w:t>
      </w:r>
    </w:p>
    <w:p w:rsidR="2C459CCA" w:rsidP="771937AE" w:rsidRDefault="2C459CCA" w14:paraId="754546EB" w14:textId="7A5C4EF2">
      <w:pPr>
        <w:pStyle w:val="ListParagraph"/>
        <w:numPr>
          <w:ilvl w:val="0"/>
          <w:numId w:val="11"/>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Infrastructure</w:t>
      </w:r>
      <w:r w:rsidRPr="771937AE" w:rsidR="2C459CCA">
        <w:rPr>
          <w:rFonts w:ascii="Arial" w:hAnsi="Arial" w:eastAsia="Arial" w:cs="Arial"/>
          <w:noProof w:val="0"/>
          <w:color w:val="auto"/>
          <w:sz w:val="24"/>
          <w:szCs w:val="24"/>
          <w:lang w:val="en-US"/>
        </w:rPr>
        <w:t>: The farm will invest in trellis systems, irrigation, and processing equipment necessary for hop drying and storage.</w:t>
      </w:r>
    </w:p>
    <w:p w:rsidR="2C459CCA" w:rsidP="771937AE" w:rsidRDefault="2C459CCA" w14:paraId="0E05A76E" w14:textId="4C2958A3">
      <w:pPr>
        <w:pStyle w:val="ListParagraph"/>
        <w:numPr>
          <w:ilvl w:val="0"/>
          <w:numId w:val="11"/>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Varieties</w:t>
      </w:r>
      <w:r w:rsidRPr="771937AE" w:rsidR="2C459CCA">
        <w:rPr>
          <w:rFonts w:ascii="Arial" w:hAnsi="Arial" w:eastAsia="Arial" w:cs="Arial"/>
          <w:noProof w:val="0"/>
          <w:color w:val="auto"/>
          <w:sz w:val="24"/>
          <w:szCs w:val="24"/>
          <w:lang w:val="en-US"/>
        </w:rPr>
        <w:t xml:space="preserve">: Popular hop varieties such as </w:t>
      </w:r>
      <w:r w:rsidRPr="771937AE" w:rsidR="2C459CCA">
        <w:rPr>
          <w:rFonts w:ascii="Arial" w:hAnsi="Arial" w:eastAsia="Arial" w:cs="Arial"/>
          <w:noProof w:val="0"/>
          <w:color w:val="auto"/>
          <w:sz w:val="24"/>
          <w:szCs w:val="24"/>
          <w:lang w:val="en-US"/>
        </w:rPr>
        <w:t>Fuggles</w:t>
      </w:r>
      <w:r w:rsidRPr="771937AE" w:rsidR="2C459CCA">
        <w:rPr>
          <w:rFonts w:ascii="Arial" w:hAnsi="Arial" w:eastAsia="Arial" w:cs="Arial"/>
          <w:noProof w:val="0"/>
          <w:color w:val="auto"/>
          <w:sz w:val="24"/>
          <w:szCs w:val="24"/>
          <w:lang w:val="en-US"/>
        </w:rPr>
        <w:t xml:space="preserve"> and Cascade, known for their aromatic qualities and use in craft beer, will be cultivated (Jones, 2021).</w:t>
      </w:r>
    </w:p>
    <w:p w:rsidR="2C459CCA" w:rsidP="771937AE" w:rsidRDefault="2C459CCA" w14:paraId="16DB7DFE" w14:textId="7B3C49B6">
      <w:pPr>
        <w:pStyle w:val="Heading4"/>
        <w:spacing w:before="319" w:beforeAutospacing="off" w:after="319"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Economic and Community Impact</w:t>
      </w:r>
    </w:p>
    <w:p w:rsidR="2C459CCA" w:rsidP="771937AE" w:rsidRDefault="2C459CCA" w14:paraId="429A777D" w14:textId="4AA1BF27">
      <w:pPr>
        <w:pStyle w:val="ListParagraph"/>
        <w:numPr>
          <w:ilvl w:val="0"/>
          <w:numId w:val="12"/>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Local Collaboration</w:t>
      </w:r>
      <w:r w:rsidRPr="771937AE" w:rsidR="2C459CCA">
        <w:rPr>
          <w:rFonts w:ascii="Arial" w:hAnsi="Arial" w:eastAsia="Arial" w:cs="Arial"/>
          <w:noProof w:val="0"/>
          <w:color w:val="auto"/>
          <w:sz w:val="24"/>
          <w:szCs w:val="24"/>
          <w:lang w:val="en-US"/>
        </w:rPr>
        <w:t>: Collaborations with nearby breweries and pubs will support a localized supply chain, potentially resulting in a signature Gower Farm beer.</w:t>
      </w:r>
    </w:p>
    <w:p w:rsidR="2C459CCA" w:rsidP="771937AE" w:rsidRDefault="2C459CCA" w14:paraId="0DD9502A" w14:textId="1B6406F0">
      <w:pPr>
        <w:pStyle w:val="ListParagraph"/>
        <w:numPr>
          <w:ilvl w:val="0"/>
          <w:numId w:val="12"/>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Tourism Opportunities</w:t>
      </w:r>
      <w:r w:rsidRPr="771937AE" w:rsidR="2C459CCA">
        <w:rPr>
          <w:rFonts w:ascii="Arial" w:hAnsi="Arial" w:eastAsia="Arial" w:cs="Arial"/>
          <w:noProof w:val="0"/>
          <w:color w:val="auto"/>
          <w:sz w:val="24"/>
          <w:szCs w:val="24"/>
          <w:lang w:val="en-US"/>
        </w:rPr>
        <w:t>: Farm tours focusing on hop growing and sustainable brewing techniques can attract visitors, integrating agritourism into the farm's business model (National Trust, 2023).</w:t>
      </w:r>
    </w:p>
    <w:p w:rsidR="2C459CCA" w:rsidP="771937AE" w:rsidRDefault="2C459CCA" w14:paraId="3B5F048F" w14:textId="67B0447B">
      <w:pPr>
        <w:pStyle w:val="Heading4"/>
        <w:spacing w:before="319" w:beforeAutospacing="off" w:after="319"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Challenges and Mitigation</w:t>
      </w:r>
    </w:p>
    <w:p w:rsidR="2C459CCA" w:rsidP="771937AE" w:rsidRDefault="2C459CCA" w14:paraId="28A149DA" w14:textId="5B987851">
      <w:pPr>
        <w:pStyle w:val="ListParagraph"/>
        <w:numPr>
          <w:ilvl w:val="0"/>
          <w:numId w:val="13"/>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Climate Adaptation</w:t>
      </w:r>
      <w:r w:rsidRPr="771937AE" w:rsidR="2C459CCA">
        <w:rPr>
          <w:rFonts w:ascii="Arial" w:hAnsi="Arial" w:eastAsia="Arial" w:cs="Arial"/>
          <w:noProof w:val="0"/>
          <w:color w:val="auto"/>
          <w:sz w:val="24"/>
          <w:szCs w:val="24"/>
          <w:lang w:val="en-US"/>
        </w:rPr>
        <w:t xml:space="preserve">: Hops are sensitive to climatic conditions; therefore, adaptive strategies such as selecting drought-resistant varieties and </w:t>
      </w:r>
      <w:r w:rsidRPr="771937AE" w:rsidR="2C459CCA">
        <w:rPr>
          <w:rFonts w:ascii="Arial" w:hAnsi="Arial" w:eastAsia="Arial" w:cs="Arial"/>
          <w:noProof w:val="0"/>
          <w:color w:val="auto"/>
          <w:sz w:val="24"/>
          <w:szCs w:val="24"/>
          <w:lang w:val="en-US"/>
        </w:rPr>
        <w:t>optimizing</w:t>
      </w:r>
      <w:r w:rsidRPr="771937AE" w:rsidR="2C459CCA">
        <w:rPr>
          <w:rFonts w:ascii="Arial" w:hAnsi="Arial" w:eastAsia="Arial" w:cs="Arial"/>
          <w:noProof w:val="0"/>
          <w:color w:val="auto"/>
          <w:sz w:val="24"/>
          <w:szCs w:val="24"/>
          <w:lang w:val="en-US"/>
        </w:rPr>
        <w:t xml:space="preserve"> water use will be implemented (Statista, 2023).</w:t>
      </w:r>
    </w:p>
    <w:p w:rsidR="2C459CCA" w:rsidP="771937AE" w:rsidRDefault="2C459CCA" w14:paraId="5E456D22" w14:textId="4B0D696D">
      <w:pPr>
        <w:pStyle w:val="ListParagraph"/>
        <w:numPr>
          <w:ilvl w:val="0"/>
          <w:numId w:val="13"/>
        </w:numPr>
        <w:spacing w:before="0" w:beforeAutospacing="off" w:after="0" w:afterAutospacing="off"/>
        <w:rPr>
          <w:rFonts w:ascii="Arial" w:hAnsi="Arial" w:eastAsia="Arial" w:cs="Arial"/>
          <w:noProof w:val="0"/>
          <w:color w:val="auto"/>
          <w:sz w:val="24"/>
          <w:szCs w:val="24"/>
          <w:lang w:val="en-US"/>
        </w:rPr>
      </w:pPr>
      <w:r w:rsidRPr="771937AE" w:rsidR="2C459CCA">
        <w:rPr>
          <w:rFonts w:ascii="Arial" w:hAnsi="Arial" w:eastAsia="Arial" w:cs="Arial"/>
          <w:b w:val="1"/>
          <w:bCs w:val="1"/>
          <w:noProof w:val="0"/>
          <w:color w:val="auto"/>
          <w:sz w:val="24"/>
          <w:szCs w:val="24"/>
          <w:lang w:val="en-US"/>
        </w:rPr>
        <w:t>Initial Investment</w:t>
      </w:r>
      <w:r w:rsidRPr="771937AE" w:rsidR="2C459CCA">
        <w:rPr>
          <w:rFonts w:ascii="Arial" w:hAnsi="Arial" w:eastAsia="Arial" w:cs="Arial"/>
          <w:noProof w:val="0"/>
          <w:color w:val="auto"/>
          <w:sz w:val="24"/>
          <w:szCs w:val="24"/>
          <w:lang w:val="en-US"/>
        </w:rPr>
        <w:t>: While infrastructure costs may be significant, grants for sustainable farming or community-funded initiatives can offset these expenses (UK Government, 2023).</w:t>
      </w:r>
    </w:p>
    <w:p w:rsidR="2C459CCA" w:rsidP="771937AE" w:rsidRDefault="2C459CCA" w14:paraId="241A40AA" w14:textId="7774FF87">
      <w:pPr>
        <w:pStyle w:val="Heading4"/>
        <w:spacing w:before="319" w:beforeAutospacing="off" w:after="319"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Future Outlook</w:t>
      </w:r>
    </w:p>
    <w:p w:rsidR="2C459CCA" w:rsidP="771937AE" w:rsidRDefault="2C459CCA" w14:paraId="50269848" w14:textId="1C4AABD9">
      <w:pPr>
        <w:spacing w:before="240" w:beforeAutospacing="off" w:after="240" w:afterAutospacing="off"/>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Hop cultivation at Gower Farm positions it as a leader in sustainable agriculture and regional craft brewing. The initiative not only meets market demands but also enhances the farm's role in supporting local economies and promoting environmental stewardship.</w:t>
      </w:r>
    </w:p>
    <w:p w:rsidR="771937AE" w:rsidP="771937AE" w:rsidRDefault="771937AE" w14:paraId="1677CFD0" w14:textId="496B9D87">
      <w:pPr>
        <w:rPr>
          <w:rFonts w:ascii="Arial" w:hAnsi="Arial" w:eastAsia="Arial" w:cs="Arial"/>
          <w:color w:val="auto"/>
          <w:sz w:val="24"/>
          <w:szCs w:val="24"/>
        </w:rPr>
      </w:pPr>
    </w:p>
    <w:p w:rsidR="2C459CCA" w:rsidP="771937AE" w:rsidRDefault="2C459CCA" w14:paraId="3354627D" w14:textId="5B822011">
      <w:pPr>
        <w:pStyle w:val="Heading3"/>
        <w:spacing w:before="281" w:beforeAutospacing="off" w:after="281" w:afterAutospacing="off"/>
        <w:rPr>
          <w:rFonts w:ascii="Arial" w:hAnsi="Arial" w:eastAsia="Arial" w:cs="Arial"/>
          <w:b w:val="1"/>
          <w:bCs w:val="1"/>
          <w:noProof w:val="0"/>
          <w:color w:val="auto"/>
          <w:sz w:val="24"/>
          <w:szCs w:val="24"/>
          <w:lang w:val="en-US"/>
        </w:rPr>
      </w:pPr>
      <w:r w:rsidRPr="771937AE" w:rsidR="2C459CCA">
        <w:rPr>
          <w:rFonts w:ascii="Arial" w:hAnsi="Arial" w:eastAsia="Arial" w:cs="Arial"/>
          <w:b w:val="1"/>
          <w:bCs w:val="1"/>
          <w:noProof w:val="0"/>
          <w:color w:val="auto"/>
          <w:sz w:val="24"/>
          <w:szCs w:val="24"/>
          <w:lang w:val="en-US"/>
        </w:rPr>
        <w:t>References</w:t>
      </w:r>
    </w:p>
    <w:p w:rsidR="2C459CCA" w:rsidP="771937AE" w:rsidRDefault="2C459CCA" w14:paraId="7B7089BA" w14:textId="1B878C39">
      <w:pPr>
        <w:pStyle w:val="Normal"/>
        <w:spacing w:before="0" w:beforeAutospacing="off" w:after="0" w:afterAutospacing="off"/>
        <w:ind w:left="0"/>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 xml:space="preserve">Green, T., &amp; Williams, A. (2021). 'Sustainable agritourism practices in the UK,' </w:t>
      </w:r>
      <w:r w:rsidRPr="771937AE" w:rsidR="2C459CCA">
        <w:rPr>
          <w:rFonts w:ascii="Arial" w:hAnsi="Arial" w:eastAsia="Arial" w:cs="Arial"/>
          <w:i w:val="1"/>
          <w:iCs w:val="1"/>
          <w:noProof w:val="0"/>
          <w:color w:val="auto"/>
          <w:sz w:val="24"/>
          <w:szCs w:val="24"/>
          <w:lang w:val="en-US"/>
        </w:rPr>
        <w:t>Journal of Sustainable Tourism</w:t>
      </w:r>
      <w:r w:rsidRPr="771937AE" w:rsidR="2C459CCA">
        <w:rPr>
          <w:rFonts w:ascii="Arial" w:hAnsi="Arial" w:eastAsia="Arial" w:cs="Arial"/>
          <w:noProof w:val="0"/>
          <w:color w:val="auto"/>
          <w:sz w:val="24"/>
          <w:szCs w:val="24"/>
          <w:lang w:val="en-US"/>
        </w:rPr>
        <w:t xml:space="preserve">, 29(5), pp. 650–670. Available at: </w:t>
      </w:r>
      <w:hyperlink r:id="R3883e85ff67a453f">
        <w:r w:rsidRPr="771937AE" w:rsidR="2C459CCA">
          <w:rPr>
            <w:rStyle w:val="Hyperlink"/>
            <w:rFonts w:ascii="Arial" w:hAnsi="Arial" w:eastAsia="Arial" w:cs="Arial"/>
            <w:noProof w:val="0"/>
            <w:color w:val="auto"/>
            <w:sz w:val="24"/>
            <w:szCs w:val="24"/>
            <w:lang w:val="en-US"/>
          </w:rPr>
          <w:t>https://www.tandfonline.com</w:t>
        </w:r>
      </w:hyperlink>
      <w:r w:rsidRPr="771937AE" w:rsidR="2C459CCA">
        <w:rPr>
          <w:rFonts w:ascii="Arial" w:hAnsi="Arial" w:eastAsia="Arial" w:cs="Arial"/>
          <w:noProof w:val="0"/>
          <w:color w:val="auto"/>
          <w:sz w:val="24"/>
          <w:szCs w:val="24"/>
          <w:lang w:val="en-US"/>
        </w:rPr>
        <w:t xml:space="preserve"> (Accessed: 22 November 2024).</w:t>
      </w:r>
    </w:p>
    <w:p w:rsidR="2C459CCA" w:rsidP="771937AE" w:rsidRDefault="2C459CCA" w14:paraId="17490FEA" w14:textId="60DEBF35">
      <w:pPr>
        <w:pStyle w:val="ListParagraph"/>
        <w:spacing w:before="0" w:beforeAutospacing="off" w:after="0" w:afterAutospacing="off"/>
        <w:ind w:left="720"/>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 xml:space="preserve">Henderson, J.C. (2003). 'Agritourism: Motives and Motivations,' </w:t>
      </w:r>
      <w:r w:rsidRPr="771937AE" w:rsidR="2C459CCA">
        <w:rPr>
          <w:rFonts w:ascii="Arial" w:hAnsi="Arial" w:eastAsia="Arial" w:cs="Arial"/>
          <w:i w:val="1"/>
          <w:iCs w:val="1"/>
          <w:noProof w:val="0"/>
          <w:color w:val="auto"/>
          <w:sz w:val="24"/>
          <w:szCs w:val="24"/>
          <w:lang w:val="en-US"/>
        </w:rPr>
        <w:t>Tourism Management</w:t>
      </w:r>
      <w:r w:rsidRPr="771937AE" w:rsidR="2C459CCA">
        <w:rPr>
          <w:rFonts w:ascii="Arial" w:hAnsi="Arial" w:eastAsia="Arial" w:cs="Arial"/>
          <w:noProof w:val="0"/>
          <w:color w:val="auto"/>
          <w:sz w:val="24"/>
          <w:szCs w:val="24"/>
          <w:lang w:val="en-US"/>
        </w:rPr>
        <w:t>, 24(5), pp. 537–545.</w:t>
      </w:r>
    </w:p>
    <w:p w:rsidR="2C459CCA" w:rsidP="771937AE" w:rsidRDefault="2C459CCA" w14:paraId="30A3E115" w14:textId="1DA105CA">
      <w:pPr>
        <w:pStyle w:val="Normal"/>
        <w:spacing w:before="0" w:beforeAutospacing="off" w:after="0" w:afterAutospacing="off"/>
        <w:ind w:left="0"/>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 xml:space="preserve">Jones, R. (2021). 'Sustainability and Craft Beer Trends in the UK,' </w:t>
      </w:r>
      <w:r w:rsidRPr="771937AE" w:rsidR="2C459CCA">
        <w:rPr>
          <w:rFonts w:ascii="Arial" w:hAnsi="Arial" w:eastAsia="Arial" w:cs="Arial"/>
          <w:i w:val="1"/>
          <w:iCs w:val="1"/>
          <w:noProof w:val="0"/>
          <w:color w:val="auto"/>
          <w:sz w:val="24"/>
          <w:szCs w:val="24"/>
          <w:lang w:val="en-US"/>
        </w:rPr>
        <w:t>Craft Beer Journal</w:t>
      </w:r>
      <w:r w:rsidRPr="771937AE" w:rsidR="2C459CCA">
        <w:rPr>
          <w:rFonts w:ascii="Arial" w:hAnsi="Arial" w:eastAsia="Arial" w:cs="Arial"/>
          <w:noProof w:val="0"/>
          <w:color w:val="auto"/>
          <w:sz w:val="24"/>
          <w:szCs w:val="24"/>
          <w:lang w:val="en-US"/>
        </w:rPr>
        <w:t>, 16(2), pp. 102–118.</w:t>
      </w:r>
    </w:p>
    <w:p w:rsidR="2C459CCA" w:rsidP="771937AE" w:rsidRDefault="2C459CCA" w14:paraId="550937AB" w14:textId="1412B174">
      <w:pPr>
        <w:pStyle w:val="Normal"/>
        <w:spacing w:before="0" w:beforeAutospacing="off" w:after="0" w:afterAutospacing="off"/>
        <w:ind w:left="0"/>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 xml:space="preserve">Statista. (2023). 'Craft beer market growth in the UK,' Available at: </w:t>
      </w:r>
      <w:hyperlink r:id="Rfac2be3956a844e6">
        <w:r w:rsidRPr="771937AE" w:rsidR="2C459CCA">
          <w:rPr>
            <w:rStyle w:val="Hyperlink"/>
            <w:rFonts w:ascii="Arial" w:hAnsi="Arial" w:eastAsia="Arial" w:cs="Arial"/>
            <w:noProof w:val="0"/>
            <w:color w:val="auto"/>
            <w:sz w:val="24"/>
            <w:szCs w:val="24"/>
            <w:lang w:val="en-US"/>
          </w:rPr>
          <w:t>https://www.statista.com</w:t>
        </w:r>
      </w:hyperlink>
      <w:r w:rsidRPr="771937AE" w:rsidR="2C459CCA">
        <w:rPr>
          <w:rFonts w:ascii="Arial" w:hAnsi="Arial" w:eastAsia="Arial" w:cs="Arial"/>
          <w:noProof w:val="0"/>
          <w:color w:val="auto"/>
          <w:sz w:val="24"/>
          <w:szCs w:val="24"/>
          <w:lang w:val="en-US"/>
        </w:rPr>
        <w:t xml:space="preserve"> (Accessed: 22 November 2024).</w:t>
      </w:r>
    </w:p>
    <w:p w:rsidR="2C459CCA" w:rsidP="771937AE" w:rsidRDefault="2C459CCA" w14:paraId="6B1D7520" w14:textId="23887962">
      <w:pPr>
        <w:pStyle w:val="Normal"/>
        <w:spacing w:before="0" w:beforeAutospacing="off" w:after="0" w:afterAutospacing="off"/>
        <w:ind w:left="0"/>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 xml:space="preserve">National Trust. (2023). 'Visitor engagement strategies,' Available at: </w:t>
      </w:r>
      <w:hyperlink r:id="R94b2a132e2a74cd4">
        <w:r w:rsidRPr="771937AE" w:rsidR="2C459CCA">
          <w:rPr>
            <w:rStyle w:val="Hyperlink"/>
            <w:rFonts w:ascii="Arial" w:hAnsi="Arial" w:eastAsia="Arial" w:cs="Arial"/>
            <w:noProof w:val="0"/>
            <w:color w:val="auto"/>
            <w:sz w:val="24"/>
            <w:szCs w:val="24"/>
            <w:lang w:val="en-US"/>
          </w:rPr>
          <w:t>https://www.nationaltrust.org.uk</w:t>
        </w:r>
      </w:hyperlink>
      <w:r w:rsidRPr="771937AE" w:rsidR="2C459CCA">
        <w:rPr>
          <w:rFonts w:ascii="Arial" w:hAnsi="Arial" w:eastAsia="Arial" w:cs="Arial"/>
          <w:noProof w:val="0"/>
          <w:color w:val="auto"/>
          <w:sz w:val="24"/>
          <w:szCs w:val="24"/>
          <w:lang w:val="en-US"/>
        </w:rPr>
        <w:t xml:space="preserve"> (Accessed: 22 November 2024).</w:t>
      </w:r>
    </w:p>
    <w:p w:rsidR="2C459CCA" w:rsidP="771937AE" w:rsidRDefault="2C459CCA" w14:paraId="7FF50008" w14:textId="48F024AD">
      <w:pPr>
        <w:pStyle w:val="Normal"/>
        <w:spacing w:before="0" w:beforeAutospacing="off" w:after="0" w:afterAutospacing="off"/>
        <w:ind w:left="0"/>
        <w:rPr>
          <w:rFonts w:ascii="Arial" w:hAnsi="Arial" w:eastAsia="Arial" w:cs="Arial"/>
          <w:noProof w:val="0"/>
          <w:color w:val="auto"/>
          <w:sz w:val="24"/>
          <w:szCs w:val="24"/>
          <w:lang w:val="en-US"/>
        </w:rPr>
      </w:pPr>
      <w:r w:rsidRPr="771937AE" w:rsidR="2C459CCA">
        <w:rPr>
          <w:rFonts w:ascii="Arial" w:hAnsi="Arial" w:eastAsia="Arial" w:cs="Arial"/>
          <w:noProof w:val="0"/>
          <w:color w:val="auto"/>
          <w:sz w:val="24"/>
          <w:szCs w:val="24"/>
          <w:lang w:val="en-US"/>
        </w:rPr>
        <w:t xml:space="preserve">UK Government. (2023). 'Net-zero strategy,' Available at: </w:t>
      </w:r>
      <w:hyperlink r:id="Rb4d46c16147a4a34">
        <w:r w:rsidRPr="771937AE" w:rsidR="2C459CCA">
          <w:rPr>
            <w:rStyle w:val="Hyperlink"/>
            <w:rFonts w:ascii="Arial" w:hAnsi="Arial" w:eastAsia="Arial" w:cs="Arial"/>
            <w:noProof w:val="0"/>
            <w:color w:val="auto"/>
            <w:sz w:val="24"/>
            <w:szCs w:val="24"/>
            <w:lang w:val="en-US"/>
          </w:rPr>
          <w:t>https://www.gov.uk</w:t>
        </w:r>
      </w:hyperlink>
      <w:r w:rsidRPr="771937AE" w:rsidR="2C459CCA">
        <w:rPr>
          <w:rFonts w:ascii="Arial" w:hAnsi="Arial" w:eastAsia="Arial" w:cs="Arial"/>
          <w:noProof w:val="0"/>
          <w:color w:val="auto"/>
          <w:sz w:val="24"/>
          <w:szCs w:val="24"/>
          <w:lang w:val="en-US"/>
        </w:rPr>
        <w:t xml:space="preserve"> (Accessed: 22 November 2024).</w:t>
      </w:r>
    </w:p>
    <w:p w:rsidR="771937AE" w:rsidP="771937AE" w:rsidRDefault="771937AE" w14:paraId="21289FBB" w14:textId="5A43B779">
      <w:pPr>
        <w:rPr>
          <w:rFonts w:ascii="Arial" w:hAnsi="Arial" w:eastAsia="Arial" w:cs="Arial"/>
          <w:color w:val="auto"/>
          <w:sz w:val="24"/>
          <w:szCs w:val="24"/>
        </w:rPr>
      </w:pPr>
    </w:p>
    <w:sectPr w:rsidRPr="00E86D22" w:rsidR="00351264"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7f881e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79e66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a923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dbb5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5022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4">
    <w:abstractNumId w:val="13"/>
  </w:num>
  <w:num w:numId="13">
    <w:abstractNumId w:val="12"/>
  </w:num>
  <w:num w:numId="12">
    <w:abstractNumId w:val="11"/>
  </w:num>
  <w:num w:numId="11">
    <w:abstractNumId w:val="10"/>
  </w:num>
  <w:num w:numId="10">
    <w:abstractNumId w:val="9"/>
  </w:num>
  <w:num w:numId="1" w16cid:durableId="2112123532">
    <w:abstractNumId w:val="8"/>
  </w:num>
  <w:num w:numId="2" w16cid:durableId="572129766">
    <w:abstractNumId w:val="6"/>
  </w:num>
  <w:num w:numId="3" w16cid:durableId="272396897">
    <w:abstractNumId w:val="5"/>
  </w:num>
  <w:num w:numId="4" w16cid:durableId="1638030443">
    <w:abstractNumId w:val="4"/>
  </w:num>
  <w:num w:numId="5" w16cid:durableId="56711946">
    <w:abstractNumId w:val="7"/>
  </w:num>
  <w:num w:numId="6" w16cid:durableId="291644049">
    <w:abstractNumId w:val="3"/>
  </w:num>
  <w:num w:numId="7" w16cid:durableId="1116217100">
    <w:abstractNumId w:val="2"/>
  </w:num>
  <w:num w:numId="8" w16cid:durableId="1865054001">
    <w:abstractNumId w:val="1"/>
  </w:num>
  <w:num w:numId="9" w16cid:durableId="196715086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view w:val="normal"/>
  <w:zoom w:percent="100"/>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34616"/>
    <w:rsid w:val="0004082F"/>
    <w:rsid w:val="00055D97"/>
    <w:rsid w:val="0006063C"/>
    <w:rsid w:val="000C5452"/>
    <w:rsid w:val="0015074B"/>
    <w:rsid w:val="0029639D"/>
    <w:rsid w:val="002D1FA2"/>
    <w:rsid w:val="00326F90"/>
    <w:rsid w:val="00351264"/>
    <w:rsid w:val="00482421"/>
    <w:rsid w:val="004A7D67"/>
    <w:rsid w:val="00555AA8"/>
    <w:rsid w:val="00692C95"/>
    <w:rsid w:val="00803F02"/>
    <w:rsid w:val="008531AB"/>
    <w:rsid w:val="009946E6"/>
    <w:rsid w:val="00AA1D8D"/>
    <w:rsid w:val="00B47730"/>
    <w:rsid w:val="00C92270"/>
    <w:rsid w:val="00CB0664"/>
    <w:rsid w:val="00DD3923"/>
    <w:rsid w:val="00E04254"/>
    <w:rsid w:val="00E86D22"/>
    <w:rsid w:val="00F51122"/>
    <w:rsid w:val="00F66AA3"/>
    <w:rsid w:val="00FC693F"/>
    <w:rsid w:val="06B6937C"/>
    <w:rsid w:val="072CFDC7"/>
    <w:rsid w:val="07825D7E"/>
    <w:rsid w:val="08CD0759"/>
    <w:rsid w:val="0EB86623"/>
    <w:rsid w:val="10877397"/>
    <w:rsid w:val="112DFE9B"/>
    <w:rsid w:val="1233838B"/>
    <w:rsid w:val="15EBD4D8"/>
    <w:rsid w:val="181B9CEC"/>
    <w:rsid w:val="181C9798"/>
    <w:rsid w:val="1959A65E"/>
    <w:rsid w:val="1A88034A"/>
    <w:rsid w:val="1D61F515"/>
    <w:rsid w:val="1DA50BAB"/>
    <w:rsid w:val="228ECD34"/>
    <w:rsid w:val="25F64648"/>
    <w:rsid w:val="2C1E0532"/>
    <w:rsid w:val="2C459CCA"/>
    <w:rsid w:val="2DF91A3A"/>
    <w:rsid w:val="2FCF219D"/>
    <w:rsid w:val="3230B8DC"/>
    <w:rsid w:val="34B5B495"/>
    <w:rsid w:val="35482AB4"/>
    <w:rsid w:val="378081C5"/>
    <w:rsid w:val="391F4E67"/>
    <w:rsid w:val="3AC4479F"/>
    <w:rsid w:val="3BB1F37D"/>
    <w:rsid w:val="3C2654E9"/>
    <w:rsid w:val="3DCBE0B8"/>
    <w:rsid w:val="4039CA4D"/>
    <w:rsid w:val="40C0DFFC"/>
    <w:rsid w:val="4195B3A8"/>
    <w:rsid w:val="441F1347"/>
    <w:rsid w:val="44CA21F3"/>
    <w:rsid w:val="451CF64E"/>
    <w:rsid w:val="479B50F9"/>
    <w:rsid w:val="4825D760"/>
    <w:rsid w:val="4914BA7A"/>
    <w:rsid w:val="4A229347"/>
    <w:rsid w:val="4C613D0E"/>
    <w:rsid w:val="4C624ED5"/>
    <w:rsid w:val="4DBC896E"/>
    <w:rsid w:val="4F229351"/>
    <w:rsid w:val="50B9DE6D"/>
    <w:rsid w:val="527C12BC"/>
    <w:rsid w:val="546A3EBB"/>
    <w:rsid w:val="54985CD2"/>
    <w:rsid w:val="568A6E52"/>
    <w:rsid w:val="57B55300"/>
    <w:rsid w:val="57C038D4"/>
    <w:rsid w:val="58404816"/>
    <w:rsid w:val="588CFCD7"/>
    <w:rsid w:val="597BBCB1"/>
    <w:rsid w:val="59D151D2"/>
    <w:rsid w:val="59D8954E"/>
    <w:rsid w:val="5B9FF563"/>
    <w:rsid w:val="5E8BEFFC"/>
    <w:rsid w:val="5FEDE0E9"/>
    <w:rsid w:val="60E3DD08"/>
    <w:rsid w:val="616008AE"/>
    <w:rsid w:val="621ED39E"/>
    <w:rsid w:val="630B8AF6"/>
    <w:rsid w:val="63C5826F"/>
    <w:rsid w:val="6543F605"/>
    <w:rsid w:val="662C6386"/>
    <w:rsid w:val="676D5E99"/>
    <w:rsid w:val="6B1BB8F2"/>
    <w:rsid w:val="6C061436"/>
    <w:rsid w:val="6D3001BC"/>
    <w:rsid w:val="715299E4"/>
    <w:rsid w:val="72F4A83D"/>
    <w:rsid w:val="7302F763"/>
    <w:rsid w:val="730D2BDC"/>
    <w:rsid w:val="742BF1EF"/>
    <w:rsid w:val="74E76DD1"/>
    <w:rsid w:val="75F71FBC"/>
    <w:rsid w:val="76CB815D"/>
    <w:rsid w:val="771937AE"/>
    <w:rsid w:val="780EA32A"/>
    <w:rsid w:val="78C138D2"/>
    <w:rsid w:val="7948ED31"/>
    <w:rsid w:val="797D7B92"/>
    <w:rsid w:val="7C879133"/>
    <w:rsid w:val="7F63F1C5"/>
    <w:rsid w:val="7F85B66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09BBDB"/>
  <w14:defaultImageDpi w14:val="300"/>
  <w15:docId w15:val="{03DCA33F-F657-478F-9C4B-293F23901E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771937A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customXml" Target="../customXml/item4.xml" Id="rId4" /><Relationship Type="http://schemas.openxmlformats.org/officeDocument/2006/relationships/image" Target="/media/image7.png" Id="Re73a74e166c049b0" /><Relationship Type="http://schemas.openxmlformats.org/officeDocument/2006/relationships/image" Target="/media/image8.png" Id="R3ea0dce9e12d4068" /><Relationship Type="http://schemas.openxmlformats.org/officeDocument/2006/relationships/image" Target="/media/image9.png" Id="R71eedb7e08bd43b6" /><Relationship Type="http://schemas.openxmlformats.org/officeDocument/2006/relationships/image" Target="/media/imagea.png" Id="R6cef01095f9a414d" /><Relationship Type="http://schemas.openxmlformats.org/officeDocument/2006/relationships/image" Target="/media/imageb.png" Id="Rac580c26433044a8" /><Relationship Type="http://schemas.openxmlformats.org/officeDocument/2006/relationships/hyperlink" Target="https://www.tandfonline.com/" TargetMode="External" Id="R3883e85ff67a453f" /><Relationship Type="http://schemas.openxmlformats.org/officeDocument/2006/relationships/hyperlink" Target="https://www.statista.com/" TargetMode="External" Id="Rfac2be3956a844e6" /><Relationship Type="http://schemas.openxmlformats.org/officeDocument/2006/relationships/hyperlink" Target="https://www.nationaltrust.org.uk/" TargetMode="External" Id="R94b2a132e2a74cd4" /><Relationship Type="http://schemas.openxmlformats.org/officeDocument/2006/relationships/hyperlink" Target="https://www.gov.uk/" TargetMode="External" Id="Rb4d46c16147a4a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6" ma:contentTypeDescription="Create a new document." ma:contentTypeScope="" ma:versionID="67272a7181605a4e9f3408d4363aee1f">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e3bc85a96c216ec6b78174c85ac65111"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LengthInSeconds" minOccurs="0"/>
                <xsd:element ref="ns3:MediaServiceDateTaken"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0A6606-9D9D-4A1E-8CDD-395D7C922627}">
  <ds:schemaRefs>
    <ds:schemaRef ds:uri="http://schemas.microsoft.com/office/2006/metadata/properties"/>
    <ds:schemaRef ds:uri="http://schemas.microsoft.com/office/infopath/2007/PartnerControls"/>
    <ds:schemaRef ds:uri="2185e222-3c8d-40d1-8655-532d5209bd26"/>
  </ds:schemaRefs>
</ds:datastoreItem>
</file>

<file path=customXml/itemProps2.xml><?xml version="1.0" encoding="utf-8"?>
<ds:datastoreItem xmlns:ds="http://schemas.openxmlformats.org/officeDocument/2006/customXml" ds:itemID="{0DD74C84-1DCC-42A6-BC78-BF499B4D1B61}">
  <ds:schemaRefs>
    <ds:schemaRef ds:uri="http://schemas.microsoft.com/sharepoint/v3/contenttype/forms"/>
  </ds:schemaRefs>
</ds:datastoreItem>
</file>

<file path=customXml/itemProps3.xml><?xml version="1.0" encoding="utf-8"?>
<ds:datastoreItem xmlns:ds="http://schemas.openxmlformats.org/officeDocument/2006/customXml" ds:itemID="{4E0F37A4-AAAB-4283-BFFD-45AB73EEEA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Penelope Hutchinson (2125800)</lastModifiedBy>
  <revision>12</revision>
  <dcterms:created xsi:type="dcterms:W3CDTF">2024-12-08T14:01:00.0000000Z</dcterms:created>
  <dcterms:modified xsi:type="dcterms:W3CDTF">2024-12-08T15:49:49.6717684Z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6d323789b7fc27e9054fb4aa842925994c6bc486147a425ad2ca8b2ab68c4a1b</vt:lpwstr>
  </property>
  <property fmtid="{D5CDD505-2E9C-101B-9397-08002B2CF9AE}" pid="3" name="ContentTypeId">
    <vt:lpwstr>0x01010007410AC8C6F95F4D9E71F942A85CABE2</vt:lpwstr>
  </property>
</Properties>
</file>