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26"/>
          <w:szCs w:val="26"/>
        </w:rPr>
        <w:id w:val="-1261985282"/>
        <w:docPartObj>
          <w:docPartGallery w:val="Cover Pages"/>
          <w:docPartUnique/>
        </w:docPartObj>
      </w:sdtPr>
      <w:sdtEndPr/>
      <w:sdtContent>
        <w:p w14:paraId="25F158E6" w14:textId="125FA93E" w:rsidR="00257246" w:rsidRDefault="00257246">
          <w:r>
            <w:rPr>
              <w:noProof/>
            </w:rPr>
            <mc:AlternateContent>
              <mc:Choice Requires="wpg">
                <w:drawing>
                  <wp:anchor distT="0" distB="0" distL="114300" distR="114300" simplePos="0" relativeHeight="251662336" behindDoc="0" locked="0" layoutInCell="1" allowOverlap="1" wp14:anchorId="36EC2368" wp14:editId="1C171A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A883FB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D71079C" wp14:editId="343DBBC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673FF" w14:textId="3F70E1CE" w:rsidR="00257246" w:rsidRDefault="00257246">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71079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3BA673FF" w14:textId="3F70E1CE" w:rsidR="00257246" w:rsidRDefault="00257246">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E8B4CC" wp14:editId="134E679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AABBE" w14:textId="7F8A8BF2" w:rsidR="00257246" w:rsidRDefault="008A020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57246">
                                      <w:rPr>
                                        <w:caps/>
                                        <w:color w:val="4472C4" w:themeColor="accent1"/>
                                        <w:sz w:val="64"/>
                                        <w:szCs w:val="64"/>
                                      </w:rPr>
                                      <w:t>Literature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36B7443" w14:textId="140AC8AD" w:rsidR="00257246" w:rsidRDefault="00257246">
                                    <w:pPr>
                                      <w:jc w:val="right"/>
                                      <w:rPr>
                                        <w:smallCaps/>
                                        <w:color w:val="404040" w:themeColor="text1" w:themeTint="BF"/>
                                        <w:sz w:val="36"/>
                                        <w:szCs w:val="36"/>
                                      </w:rPr>
                                    </w:pPr>
                                    <w:r>
                                      <w:rPr>
                                        <w:color w:val="404040" w:themeColor="text1" w:themeTint="BF"/>
                                        <w:sz w:val="36"/>
                                        <w:szCs w:val="36"/>
                                      </w:rPr>
                                      <w:t>1550604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FE8B4C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B0AABBE" w14:textId="7F8A8BF2" w:rsidR="00257246" w:rsidRDefault="002572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Literature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36B7443" w14:textId="140AC8AD" w:rsidR="00257246" w:rsidRDefault="00257246">
                              <w:pPr>
                                <w:jc w:val="right"/>
                                <w:rPr>
                                  <w:smallCaps/>
                                  <w:color w:val="404040" w:themeColor="text1" w:themeTint="BF"/>
                                  <w:sz w:val="36"/>
                                  <w:szCs w:val="36"/>
                                </w:rPr>
                              </w:pPr>
                              <w:r>
                                <w:rPr>
                                  <w:color w:val="404040" w:themeColor="text1" w:themeTint="BF"/>
                                  <w:sz w:val="36"/>
                                  <w:szCs w:val="36"/>
                                </w:rPr>
                                <w:t>1550604</w:t>
                              </w:r>
                            </w:p>
                          </w:sdtContent>
                        </w:sdt>
                      </w:txbxContent>
                    </v:textbox>
                    <w10:wrap type="square" anchorx="page" anchory="page"/>
                  </v:shape>
                </w:pict>
              </mc:Fallback>
            </mc:AlternateContent>
          </w:r>
        </w:p>
        <w:p w14:paraId="261F53B1" w14:textId="46BBF7A9" w:rsidR="00257246" w:rsidRDefault="00257246" w:rsidP="00257246">
          <w:pPr>
            <w:pStyle w:val="Heading2"/>
          </w:pPr>
          <w:r>
            <w:rPr>
              <w:noProof/>
            </w:rPr>
            <mc:AlternateContent>
              <mc:Choice Requires="wps">
                <w:drawing>
                  <wp:anchor distT="45720" distB="45720" distL="114300" distR="114300" simplePos="0" relativeHeight="251664384" behindDoc="0" locked="0" layoutInCell="1" allowOverlap="1" wp14:anchorId="3418E098" wp14:editId="69860E7C">
                    <wp:simplePos x="0" y="0"/>
                    <wp:positionH relativeFrom="column">
                      <wp:posOffset>706120</wp:posOffset>
                    </wp:positionH>
                    <wp:positionV relativeFrom="paragraph">
                      <wp:posOffset>184785</wp:posOffset>
                    </wp:positionV>
                    <wp:extent cx="4349750" cy="140462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9750" cy="1404620"/>
                            </a:xfrm>
                            <a:prstGeom prst="rect">
                              <a:avLst/>
                            </a:prstGeom>
                            <a:solidFill>
                              <a:srgbClr val="FFFFFF"/>
                            </a:solidFill>
                            <a:ln w="9525">
                              <a:solidFill>
                                <a:schemeClr val="bg1"/>
                              </a:solidFill>
                              <a:miter lim="800000"/>
                              <a:headEnd/>
                              <a:tailEnd/>
                            </a:ln>
                          </wps:spPr>
                          <wps:txbx>
                            <w:txbxContent>
                              <w:p w14:paraId="57D90E7B" w14:textId="0CEA9096" w:rsidR="00257246" w:rsidRPr="00257246" w:rsidRDefault="00257246" w:rsidP="00257246">
                                <w:pPr>
                                  <w:pStyle w:val="Heading1"/>
                                  <w:jc w:val="center"/>
                                  <w:rPr>
                                    <w:lang w:val="en-US"/>
                                  </w:rPr>
                                </w:pPr>
                                <w:r>
                                  <w:rPr>
                                    <w:lang w:val="en-US"/>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18E098" id="Text Box 2" o:spid="_x0000_s1028" type="#_x0000_t202" style="position:absolute;margin-left:55.6pt;margin-top:14.55pt;width:342.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" strokecolor="white [3212]">
                    <v:textbox style="mso-fit-shape-to-text:t">
                      <w:txbxContent>
                        <w:p w14:paraId="57D90E7B" w14:textId="0CEA9096" w:rsidR="00257246" w:rsidRPr="00257246" w:rsidRDefault="00257246" w:rsidP="00257246">
                          <w:pPr>
                            <w:pStyle w:val="Heading1"/>
                            <w:jc w:val="center"/>
                            <w:rPr>
                              <w:lang w:val="en-US"/>
                            </w:rPr>
                          </w:pPr>
                          <w:r>
                            <w:rPr>
                              <w:lang w:val="en-US"/>
                            </w:rPr>
                            <w:t>University of Wales Trinity Saint David</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3F595513" wp14:editId="5B81B2F2">
                    <wp:simplePos x="0" y="0"/>
                    <wp:positionH relativeFrom="margin">
                      <wp:align>center</wp:align>
                    </wp:positionH>
                    <wp:positionV relativeFrom="bottomMargin">
                      <wp:align>top</wp:align>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87E82" w14:textId="70386D4A" w:rsidR="00257246" w:rsidRDefault="00257246">
                                <w:pPr>
                                  <w:pStyle w:val="NoSpacing"/>
                                  <w:jc w:val="right"/>
                                  <w:rPr>
                                    <w:color w:val="4472C4" w:themeColor="accent1"/>
                                    <w:sz w:val="28"/>
                                    <w:szCs w:val="28"/>
                                  </w:rPr>
                                </w:pPr>
                                <w:r>
                                  <w:rPr>
                                    <w:color w:val="4472C4" w:themeColor="accent1"/>
                                    <w:sz w:val="28"/>
                                    <w:szCs w:val="28"/>
                                  </w:rPr>
                                  <w:t>Elyse Cathryn Hopkins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7EA06D6" w14:textId="1F87583D" w:rsidR="00257246" w:rsidRDefault="0025724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595513" id="Text Box 153" o:spid="_x0000_s1029" type="#_x0000_t202" style="position:absolute;margin-left:0;margin-top:0;width:8in;height:79.5pt;z-index:251661312;visibility:visible;mso-wrap-style:square;mso-width-percent:941;mso-height-percent:100;mso-wrap-distance-left:9pt;mso-wrap-distance-top:0;mso-wrap-distance-right:9pt;mso-wrap-distance-bottom:0;mso-position-horizontal:center;mso-position-horizontal-relative:margin;mso-position-vertical:top;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" filled="f" stroked="f" strokeweight=".5pt">
                    <v:textbox style="mso-fit-shape-to-text:t" inset="126pt,0,54pt,0">
                      <w:txbxContent>
                        <w:p w14:paraId="13087E82" w14:textId="70386D4A" w:rsidR="00257246" w:rsidRDefault="00257246">
                          <w:pPr>
                            <w:pStyle w:val="NoSpacing"/>
                            <w:jc w:val="right"/>
                            <w:rPr>
                              <w:color w:val="4472C4" w:themeColor="accent1"/>
                              <w:sz w:val="28"/>
                              <w:szCs w:val="28"/>
                            </w:rPr>
                          </w:pPr>
                          <w:r>
                            <w:rPr>
                              <w:color w:val="4472C4" w:themeColor="accent1"/>
                              <w:sz w:val="28"/>
                              <w:szCs w:val="28"/>
                            </w:rPr>
                            <w:t>Elyse Cathryn Hopkins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7EA06D6" w14:textId="1F87583D" w:rsidR="00257246" w:rsidRDefault="0025724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margin"/>
                  </v:shape>
                </w:pict>
              </mc:Fallback>
            </mc:AlternateContent>
          </w:r>
          <w:r>
            <w:br w:type="page"/>
          </w:r>
        </w:p>
      </w:sdtContent>
    </w:sdt>
    <w:p w14:paraId="43BC631F" w14:textId="32318E97" w:rsidR="00257246" w:rsidRPr="00C74A88" w:rsidRDefault="00257246" w:rsidP="00C74A88">
      <w:pPr>
        <w:spacing w:line="480" w:lineRule="auto"/>
      </w:pPr>
      <w:r w:rsidRPr="00C74A88">
        <w:lastRenderedPageBreak/>
        <w:t xml:space="preserve"> The literature review will focus on country lines, specifically the multi-agency efforts to effectively help victims. To do so, </w:t>
      </w:r>
      <w:r w:rsidR="00EC5BC4" w:rsidRPr="00C74A88">
        <w:t xml:space="preserve">observations </w:t>
      </w:r>
      <w:r w:rsidRPr="00C74A88">
        <w:t xml:space="preserve">into previous studies that highlight safeguarding and vulnerability in order to advance knowledge on the subject (Webster, 2002, p.13). Due to the </w:t>
      </w:r>
      <w:r w:rsidR="00EC5BC4" w:rsidRPr="00C74A88">
        <w:t>‘</w:t>
      </w:r>
      <w:r w:rsidRPr="00C74A88">
        <w:t>newness</w:t>
      </w:r>
      <w:r w:rsidR="00EC5BC4" w:rsidRPr="00C74A88">
        <w:t>’</w:t>
      </w:r>
      <w:r w:rsidRPr="00C74A88">
        <w:t xml:space="preserve"> of the term county lines with the Home Office working on issues related since 2013 (Ford, 2018), older studies derive from cases of trafficking, drug smuggling and exploitation of children, therefore it is understood that there may be some limitations; gathering research from sources will primarily be from digital books and articles, sources may be irrelevant in terms of date or a change in policies, but could also share similarities of themes and topics. Scholars such as Moyle, Stone and </w:t>
      </w:r>
      <w:proofErr w:type="spellStart"/>
      <w:r w:rsidRPr="00C74A88">
        <w:t>Blakeburn</w:t>
      </w:r>
      <w:proofErr w:type="spellEnd"/>
      <w:r w:rsidRPr="00C74A88">
        <w:t xml:space="preserve"> to name a few, specifically address county lines as a problem on a multiagency level. The challenges of solving issues of county lines are complex; ensuring appropriate and correct actions taken to handle and prosecute those involved, to correctly understand where children and vulnerable adults </w:t>
      </w:r>
      <w:r w:rsidR="00EC5BC4" w:rsidRPr="00C74A88">
        <w:t>are placed</w:t>
      </w:r>
      <w:r w:rsidRPr="00C74A88">
        <w:t xml:space="preserve"> in the judicial system. In Stone’s 2018 </w:t>
      </w:r>
      <w:r w:rsidRPr="00C74A88">
        <w:rPr>
          <w:i/>
          <w:iCs/>
        </w:rPr>
        <w:t>Child Criminal Exploitation: ‘County Lines’, Trafficking and Cuckooing</w:t>
      </w:r>
      <w:r w:rsidR="00EC5BC4" w:rsidRPr="00C74A88">
        <w:rPr>
          <w:i/>
          <w:iCs/>
        </w:rPr>
        <w:t>,</w:t>
      </w:r>
      <w:r w:rsidRPr="00C74A88">
        <w:t xml:space="preserve"> the thesis concerns the prosecution service involvement ‘complications of victimisation’ on children and adolescents, what dictates them to be vulnerable or to be of criminal age of responsibility to know their behaviours and to be tried as a criminal (Stone, 2018, p.287). </w:t>
      </w:r>
    </w:p>
    <w:p w14:paraId="274FB743" w14:textId="1201BFBE" w:rsidR="00257246" w:rsidRPr="00C74A88" w:rsidRDefault="00EC5BC4" w:rsidP="00C74A88">
      <w:pPr>
        <w:spacing w:line="480" w:lineRule="auto"/>
      </w:pPr>
      <w:r w:rsidRPr="00C74A88">
        <w:t xml:space="preserve"> </w:t>
      </w:r>
      <w:r w:rsidR="00257246" w:rsidRPr="00C74A88">
        <w:t xml:space="preserve"> In 2017 the Modern Day Slavery Act 2015 was first implemented to charge a county lines case of adults exploiting young persons; the Act can offer protection those who are exploited for drug trafficking, however</w:t>
      </w:r>
      <w:r w:rsidRPr="00C74A88">
        <w:t>,</w:t>
      </w:r>
      <w:r w:rsidR="00257246" w:rsidRPr="00C74A88">
        <w:t xml:space="preserve"> Stone suggests that statutory protection may not be granted if those children who are involved have a criminal history or are in late adolescence, and ‘where the child declines to name (the handler) him or her’ (Stone, 2018, p.290). Firstly, the complexity arises in the statement that the ‘child’ would not be guaranteed protection if they were previously involved in criminal acts, this could be perceived as punishment; it does not help the child’s situation and rather, it is granted to those who are eligible if they have not been caught up in criminal offences prior, which in some cases may not be at fault of the child. Secondly, if the child declines to name others involved - there seems to be no mention any form of further prompting or support as to why the child is not </w:t>
      </w:r>
      <w:r w:rsidR="00257246" w:rsidRPr="00C74A88">
        <w:lastRenderedPageBreak/>
        <w:t xml:space="preserve">mentioning </w:t>
      </w:r>
      <w:r w:rsidR="003E3DEA" w:rsidRPr="00C74A88">
        <w:t>names,</w:t>
      </w:r>
      <w:r w:rsidR="00257246" w:rsidRPr="00C74A88">
        <w:t xml:space="preserve"> which could either be out of fear rather than out of commitment to the gang. Lastly, it could contradict labelling the individual as a </w:t>
      </w:r>
      <w:r w:rsidRPr="00C74A88">
        <w:t>‘</w:t>
      </w:r>
      <w:r w:rsidR="00257246" w:rsidRPr="00C74A88">
        <w:t>child</w:t>
      </w:r>
      <w:r w:rsidRPr="00C74A88">
        <w:t>’</w:t>
      </w:r>
      <w:r w:rsidR="00257246" w:rsidRPr="00C74A88">
        <w:t>, but if they are closer to a certain age, the standards change. Understandably, there is a difference between a child aged 8 and another who is aged 16, however social maturity is said to be reached in the ages between 18 to 20 and over (Pillay, Singh, 2018, p.543,547); surely protection should still be accessible to the young person if they are still considered ‘vulnerable’. According to Cambridge Dictionary Online the term ‘vulnerable’ is defined as:</w:t>
      </w:r>
    </w:p>
    <w:p w14:paraId="38364627" w14:textId="029DDC82" w:rsidR="00257246" w:rsidRPr="00C74A88" w:rsidRDefault="00257246" w:rsidP="00C74A88">
      <w:pPr>
        <w:spacing w:line="480" w:lineRule="auto"/>
      </w:pPr>
      <w:r w:rsidRPr="00C74A88">
        <w:t>“</w:t>
      </w:r>
      <w:r w:rsidRPr="00C74A88">
        <w:rPr>
          <w:i/>
          <w:iCs/>
        </w:rPr>
        <w:t>Easily physically, emotionally, or mentally hurt, influenced, or attacked</w:t>
      </w:r>
      <w:r w:rsidRPr="00C74A88">
        <w:t>” (Cambridge, 2021) whilst HMIC definition goes further</w:t>
      </w:r>
      <w:r w:rsidR="00EC5BC4" w:rsidRPr="00C74A88">
        <w:t>:</w:t>
      </w:r>
      <w:r w:rsidRPr="00C74A88">
        <w:t xml:space="preserve"> </w:t>
      </w:r>
      <w:r w:rsidRPr="00C74A88">
        <w:rPr>
          <w:i/>
          <w:iCs/>
        </w:rPr>
        <w:t>“(person) who is need of special care, support, or protection because of age, disability, or risk of abuse or neglect</w:t>
      </w:r>
      <w:r w:rsidRPr="00C74A88">
        <w:t>” (HMIC, 2015, p.137). From these definitions, it can be agreed that a child can be applied to both definitions, further studies in Stone’s research draws into police utilising children to obtain intelligence, again, using children as Covert Human Intelligence ‘attracted criticism’ as protection would not be granted in the same instance as a child suspect ‘exposed to reprisals</w:t>
      </w:r>
      <w:r w:rsidR="00EC5BC4" w:rsidRPr="00C74A88">
        <w:t>’.</w:t>
      </w:r>
      <w:r w:rsidRPr="00C74A88">
        <w:t xml:space="preserve"> </w:t>
      </w:r>
      <w:r w:rsidR="00EC5BC4" w:rsidRPr="00C74A88">
        <w:t>F</w:t>
      </w:r>
      <w:r w:rsidRPr="00C74A88">
        <w:t xml:space="preserve">urther, in this context Stone argues that they are not considered ‘intrinsically vulnerable’ (Stone, 2018, p. 291). Any form of utilising an individual for a crime operation can cause that individual to be at risk of being vulnerable </w:t>
      </w:r>
      <w:r w:rsidR="00EC5BC4" w:rsidRPr="00C74A88">
        <w:t>regardless of</w:t>
      </w:r>
      <w:r w:rsidRPr="00C74A88">
        <w:t xml:space="preserve"> whether it is decided or not that they are considered </w:t>
      </w:r>
      <w:r w:rsidR="00EC5BC4" w:rsidRPr="00C74A88">
        <w:t>‘</w:t>
      </w:r>
      <w:r w:rsidRPr="00C74A88">
        <w:t>intrinsically vulnerable</w:t>
      </w:r>
      <w:r w:rsidR="00EC5BC4" w:rsidRPr="00C74A88">
        <w:t>’</w:t>
      </w:r>
      <w:r w:rsidRPr="00C74A88">
        <w:t xml:space="preserve">; risk of </w:t>
      </w:r>
      <w:r w:rsidR="00EC5BC4" w:rsidRPr="00C74A88">
        <w:t xml:space="preserve">abuse and neglect </w:t>
      </w:r>
      <w:r w:rsidRPr="00C74A88">
        <w:t xml:space="preserve">can occur if an operation ‘falls through’ or does not go as planned, problematically the outcome indicates protection would not be guaranteed to the child. According </w:t>
      </w:r>
      <w:r w:rsidR="00EC5BC4" w:rsidRPr="00C74A88">
        <w:t>to</w:t>
      </w:r>
      <w:r w:rsidRPr="00C74A88">
        <w:rPr>
          <w:i/>
          <w:iCs/>
        </w:rPr>
        <w:t xml:space="preserve"> </w:t>
      </w:r>
      <w:r w:rsidR="00EC5BC4" w:rsidRPr="00C74A88">
        <w:rPr>
          <w:i/>
          <w:iCs/>
        </w:rPr>
        <w:t>T</w:t>
      </w:r>
      <w:r w:rsidRPr="00C74A88">
        <w:rPr>
          <w:i/>
          <w:iCs/>
        </w:rPr>
        <w:t>he Covert Human Intelligence Sources Revised Code of Practice</w:t>
      </w:r>
      <w:r w:rsidRPr="00C74A88">
        <w:t xml:space="preserve"> (2018) section 2.12 states that ‘The use or conduct of a CHIS, can be a particularly intrusive and </w:t>
      </w:r>
      <w:r w:rsidR="00EC5BC4" w:rsidRPr="00C74A88">
        <w:t>high-risk</w:t>
      </w:r>
      <w:r w:rsidRPr="00C74A88">
        <w:t xml:space="preserve"> covert technique’ (Home Office, 2018, p.10) thereby safeguarding is considered to those under 18, however, certain conditions need to apply before the safeguarding process can happen (Home Office, 2018, p.7). A 2015 report examined ‘safeguarding failure findings’ from </w:t>
      </w:r>
      <w:r w:rsidRPr="00C74A88">
        <w:rPr>
          <w:i/>
          <w:iCs/>
        </w:rPr>
        <w:t>Running the Risks</w:t>
      </w:r>
      <w:r w:rsidRPr="00C74A88">
        <w:t xml:space="preserve"> revealed ‘problematic attitudes of professionals’ regarded missing episodes as ‘lifestyle choices’ - notably with female victims of sexual exploitation were ‘treated as adults’ (Sturrock, Holmes, 2015, p.16,41). The issue remained applicable in the 2018 report </w:t>
      </w:r>
      <w:r w:rsidRPr="00C74A88">
        <w:rPr>
          <w:i/>
          <w:iCs/>
        </w:rPr>
        <w:t xml:space="preserve">County Lines </w:t>
      </w:r>
      <w:r w:rsidRPr="00C74A88">
        <w:rPr>
          <w:i/>
          <w:iCs/>
        </w:rPr>
        <w:lastRenderedPageBreak/>
        <w:t>National Summary</w:t>
      </w:r>
      <w:r w:rsidRPr="00C74A88">
        <w:t xml:space="preserve"> which mentions young girls with blatant symptoms of exploitation were not handled correctly, consequently resulted in girls being underrepresented, experiencing </w:t>
      </w:r>
      <w:r w:rsidR="00EC5BC4" w:rsidRPr="00C74A88">
        <w:t>self-harm</w:t>
      </w:r>
      <w:r w:rsidRPr="00C74A88">
        <w:t xml:space="preserve"> and depression, mental and physical health being a risk greatly shows a cause for concern for how the agencies are dealing with both gender individuals (NCA, 2019, p.2). The report emphasised the need to address failures from agencies ‘past lessons need to be learned and applied’ as the issues had not changed within three years (Ford, 2018, p.10). </w:t>
      </w:r>
    </w:p>
    <w:p w14:paraId="5BFF48E9" w14:textId="77777777" w:rsidR="00C74A88" w:rsidRDefault="00C74A88" w:rsidP="00C74A88">
      <w:pPr>
        <w:spacing w:line="480" w:lineRule="auto"/>
      </w:pPr>
    </w:p>
    <w:p w14:paraId="263E1683" w14:textId="7BB14DB6" w:rsidR="00257246" w:rsidRPr="00C74A88" w:rsidRDefault="00257246" w:rsidP="00C74A88">
      <w:pPr>
        <w:spacing w:line="480" w:lineRule="auto"/>
      </w:pPr>
      <w:r w:rsidRPr="00C74A88">
        <w:t xml:space="preserve"> Drawing back to using children as CHIS, Stone lastly states that organisations such as the</w:t>
      </w:r>
      <w:r w:rsidRPr="00C74A88">
        <w:rPr>
          <w:i/>
          <w:iCs/>
        </w:rPr>
        <w:t xml:space="preserve"> Just for Kids Law</w:t>
      </w:r>
      <w:r w:rsidRPr="00C74A88">
        <w:t xml:space="preserve"> ‘is currently seeking to pursue judicial review of the Home Office current policy’ implying that it breaches children’s rights - that the child’s welfare and safety needs to be considered, with ‘proper risk assessments carried out’ before being recruited (Stone, 2018, p.291). If there is continuous trends of failings from safeguarding and intervention from agencies (Ford, 2018, p.10) who is to argue that these proposed risk assessments would be carried out correctly or ethically - the Criminal Exploitation of Children and Vulnerable Adults County Lines Guidance mentions the strategy using the National Referral Mechanism, which demonstrates the steps in how practitioners would refer potential victims (Home Office, 2018, p.8-9). However, other sources suggest that there is also faults to the NRM with failures of underestimating the numbers and severity of cases (NCA, 2019, p.2) which in effect, if the numbers are higher there would be a greater demand for professional services and agencies to help, which further complicates the current state of the care system. Stone’s research and findings highlighted the gaps regarding the prosecution services with its stance on children’s rights, whilst also referring to other agencies such as police involvement and child services to dictate who is considered ‘vulnerable’. The term According to </w:t>
      </w:r>
      <w:proofErr w:type="spellStart"/>
      <w:r w:rsidRPr="00C74A88">
        <w:t>Keay</w:t>
      </w:r>
      <w:proofErr w:type="spellEnd"/>
      <w:r w:rsidRPr="00C74A88">
        <w:t xml:space="preserve"> and Kirby (2017) emerged in popularity for social science scholars from 1 mention in 2001, to 52 mentioned reports in 2016 (p.429). It is stated that there is limited guidance on ‘who merits intervention’ of situating an individual as vulnerable, therefore it indicates that despite there is a guidance by HMIC to class </w:t>
      </w:r>
      <w:r w:rsidRPr="00C74A88">
        <w:lastRenderedPageBreak/>
        <w:t>someone as vulnerable, an ultimate decision rests on those who handle the case purely from the fact there is no consensually agreed definition (</w:t>
      </w:r>
      <w:proofErr w:type="spellStart"/>
      <w:r w:rsidRPr="00C74A88">
        <w:t>Keay</w:t>
      </w:r>
      <w:proofErr w:type="spellEnd"/>
      <w:r w:rsidRPr="00C74A88">
        <w:t xml:space="preserve">, Kirby, 2017, p. 428). </w:t>
      </w:r>
    </w:p>
    <w:p w14:paraId="7E62A021" w14:textId="77777777" w:rsidR="00C74A88" w:rsidRDefault="00C74A88" w:rsidP="00C74A88">
      <w:pPr>
        <w:spacing w:line="480" w:lineRule="auto"/>
      </w:pPr>
    </w:p>
    <w:p w14:paraId="0BEA8803" w14:textId="28A60C33" w:rsidR="00257246" w:rsidRPr="00C74A88" w:rsidRDefault="00C74A88" w:rsidP="00C74A88">
      <w:pPr>
        <w:spacing w:line="480" w:lineRule="auto"/>
      </w:pPr>
      <w:r>
        <w:t xml:space="preserve"> </w:t>
      </w:r>
      <w:r w:rsidR="00257246" w:rsidRPr="00C74A88">
        <w:t xml:space="preserve"> Complications can arise from varied definitions and understandings of the term vulnerable, similarly </w:t>
      </w:r>
      <w:r w:rsidRPr="00C74A88">
        <w:t>to Moyle’s</w:t>
      </w:r>
      <w:r w:rsidR="00257246" w:rsidRPr="00C74A88">
        <w:t xml:space="preserve"> 2019 </w:t>
      </w:r>
      <w:r w:rsidR="00257246" w:rsidRPr="00C74A88">
        <w:rPr>
          <w:i/>
          <w:iCs/>
        </w:rPr>
        <w:t>Situating Vulnerability and Exploitation in Street- Level Drug Markets: Cuckooing, Commuting and the “County Lines” Drug supply model</w:t>
      </w:r>
      <w:r w:rsidR="00257246" w:rsidRPr="00C74A88">
        <w:t xml:space="preserve"> also investigates </w:t>
      </w:r>
      <w:r w:rsidRPr="00C74A88">
        <w:t>multiagency</w:t>
      </w:r>
      <w:r w:rsidR="00257246" w:rsidRPr="00C74A88">
        <w:t xml:space="preserve"> actions on vulnerability and recruitment of children into county lines (Moyle, 2019, p.740).) </w:t>
      </w:r>
      <w:r w:rsidRPr="00C74A88">
        <w:t>Moyle brings</w:t>
      </w:r>
      <w:r w:rsidR="00257246" w:rsidRPr="00C74A88">
        <w:t xml:space="preserve"> concern to the ‘outreach methodology’ that the gangs use to distribute their drugs to end users (Moyle,2019, p.740) consequently current movements of ‘runners’, relocation and settlements in rural areas cause a challenge for not only the law enforcement to correctly identify those involved, but the community services for those who live in the area, cuckooing specifically (Moyle, 2019, p.740). Cuckooing for drug storage and distribution housed in the victims living area, targeted at those who are considered to be easily manipulated are classed vulnerable. Those who are vulnerable such as homeless individuals, with mental and physical health complications are more likely to be exploited, with the National Crime Agency reported the most common form of exploitation of adults are highest with drug users, followed by those who suffer from mental health problems (NCA, 2017, p.14). However Moyle points out that The Drugs supply model, although mentions much about child exploitation, it becomes complicated when those who are involved are exploited adults;  labourers of county lines may not meet the criteria of  ‘traditional notions of vulnerability’ straddling between being a victim or a perpetrator (Moyle, 2019, p.742) thereby it seems that what is considered ‘vulnerable’ varies and can be portrayed differently, which in effect causes further problems of agencies failing to help all victims of county lines, not just children. Further, if it is not clear on how the police should respond to cases of county lines, when adults are involved it implies unnecessary arrests placing those who need professional help left to be punished and trapped within the organisation (Moyle, 2019, p.742). </w:t>
      </w:r>
    </w:p>
    <w:p w14:paraId="3F708FD7" w14:textId="77777777" w:rsidR="00257246" w:rsidRPr="00C74A88" w:rsidRDefault="00257246" w:rsidP="00C74A88">
      <w:pPr>
        <w:spacing w:line="480" w:lineRule="auto"/>
      </w:pPr>
    </w:p>
    <w:p w14:paraId="23F09146" w14:textId="77777777" w:rsidR="00E32973" w:rsidRDefault="00257246" w:rsidP="00C74A88">
      <w:pPr>
        <w:spacing w:line="480" w:lineRule="auto"/>
      </w:pPr>
      <w:r w:rsidRPr="00C74A88">
        <w:t xml:space="preserve"> Recruitment is also mentioned, in the context of gangs recruiting through ‘gendered recruitment strategies’, most commonly presenting as potential love interests to emotionally manipulate the targeted women (Moyle, 2019, p.745) agencies recognising the term the ‘boyfriend Model’ as a form of coercion, similarly with the report made by Sturrock and Holmes in 2015 (p.6) claimed reports of women including adolescent girls forming relationships and being sexually exploited whilst running for county lines (Moyle, 2019, p.748)</w:t>
      </w:r>
      <w:r w:rsidR="00C74A88" w:rsidRPr="00C74A88">
        <w:t>.</w:t>
      </w:r>
      <w:r w:rsidRPr="00C74A88">
        <w:t xml:space="preserve"> </w:t>
      </w:r>
      <w:r w:rsidR="00C74A88" w:rsidRPr="00C74A88">
        <w:t>D</w:t>
      </w:r>
      <w:r w:rsidRPr="00C74A88">
        <w:t xml:space="preserve">rug manipulation to cuckoo in a ‘dealing house’ </w:t>
      </w:r>
      <w:r w:rsidR="00C74A88" w:rsidRPr="00C74A88">
        <w:t>, the victims</w:t>
      </w:r>
      <w:r w:rsidRPr="00C74A88">
        <w:t xml:space="preserve"> felt that they had no choice to engage in sexual coercion to pay off drug debts - risking mental health and being drug dependant appears to be a massive challenge for agencies to tackle, children who ‘completed return home interviews’ have known to disclose issues regarding mental health (Wareham, 2021)</w:t>
      </w:r>
      <w:r w:rsidR="00C74A88" w:rsidRPr="00C74A88">
        <w:t>.</w:t>
      </w:r>
      <w:r w:rsidRPr="00C74A88">
        <w:t xml:space="preserve"> </w:t>
      </w:r>
      <w:r w:rsidR="00C74A88" w:rsidRPr="00C74A88">
        <w:t>A</w:t>
      </w:r>
      <w:r w:rsidRPr="00C74A88">
        <w:t>s mentioned previously with Stone’s research</w:t>
      </w:r>
      <w:r w:rsidR="00C74A88" w:rsidRPr="00C74A88">
        <w:t>,</w:t>
      </w:r>
      <w:r w:rsidRPr="00C74A88">
        <w:t xml:space="preserve"> it again </w:t>
      </w:r>
      <w:r w:rsidR="00C74A88" w:rsidRPr="00C74A88">
        <w:t>addresses</w:t>
      </w:r>
      <w:r w:rsidRPr="00C74A88">
        <w:t xml:space="preserve"> the dismissal of agencies mistaking exploitation for ‘lifestyle choices’ to even most recent reports from the charity Catch-22 that poor understanding from </w:t>
      </w:r>
      <w:r w:rsidR="00E32973" w:rsidRPr="00C74A88">
        <w:t>agencies is</w:t>
      </w:r>
      <w:r w:rsidRPr="00C74A88">
        <w:t xml:space="preserve"> still occurring within the system (Wareham, 2021)</w:t>
      </w:r>
      <w:r w:rsidR="00C74A88" w:rsidRPr="00C74A88">
        <w:t>,</w:t>
      </w:r>
      <w:r w:rsidRPr="00C74A88">
        <w:t xml:space="preserve"> clearly it is an ongoing issue that the system have failed to address areas of improvement from crime agencies and government guidelines. The care system and correctional units could be used for recruitments of county lines; non effective placement can put children at risk prompting more to go missing and join organisations (Sturrock, Holmes, 2015, p.29,34). </w:t>
      </w:r>
    </w:p>
    <w:p w14:paraId="6AC9A3FA" w14:textId="77777777" w:rsidR="00E32973" w:rsidRDefault="00E32973" w:rsidP="00C74A88">
      <w:pPr>
        <w:spacing w:line="480" w:lineRule="auto"/>
      </w:pPr>
    </w:p>
    <w:p w14:paraId="5C4B0026" w14:textId="54A4AE2C" w:rsidR="00257246" w:rsidRPr="00C74A88" w:rsidRDefault="00E32973" w:rsidP="00C74A88">
      <w:pPr>
        <w:spacing w:line="480" w:lineRule="auto"/>
      </w:pPr>
      <w:r>
        <w:t xml:space="preserve"> </w:t>
      </w:r>
      <w:r w:rsidR="00257246" w:rsidRPr="00C74A88">
        <w:t>Online and social media poses a great risk for children to be recruited, however the challenges brought with online activities and interactions, unless it queried or mentioned, online grooming can remain undetected (</w:t>
      </w:r>
      <w:proofErr w:type="spellStart"/>
      <w:r w:rsidR="00257246" w:rsidRPr="00C74A88">
        <w:t>Storrod</w:t>
      </w:r>
      <w:proofErr w:type="spellEnd"/>
      <w:r w:rsidR="00257246" w:rsidRPr="00C74A88">
        <w:t xml:space="preserve">, </w:t>
      </w:r>
      <w:proofErr w:type="spellStart"/>
      <w:r w:rsidR="00257246" w:rsidRPr="00C74A88">
        <w:t>Densley</w:t>
      </w:r>
      <w:proofErr w:type="spellEnd"/>
      <w:r w:rsidR="00257246" w:rsidRPr="00C74A88">
        <w:t xml:space="preserve">, 2016, p.10-12). In Pitt’s </w:t>
      </w:r>
      <w:r w:rsidR="00257246" w:rsidRPr="00C74A88">
        <w:rPr>
          <w:i/>
          <w:iCs/>
        </w:rPr>
        <w:t>Black Young People and Gang Involvement in London</w:t>
      </w:r>
      <w:r w:rsidR="00257246" w:rsidRPr="00C74A88">
        <w:t>, he specifically raises the fragility of race when relating to County Lines; the literature suggests that there is an over representation of black people and Gang culture portrayed in the media (p.146) which consequently</w:t>
      </w:r>
      <w:r w:rsidR="00C74A88" w:rsidRPr="00C74A88">
        <w:t>,</w:t>
      </w:r>
      <w:r w:rsidR="00257246" w:rsidRPr="00C74A88">
        <w:t xml:space="preserve"> can cause serious mistreatment by assumed association with gangs. The ‘moral panic’ and intensive policing on black ethnic groups imposed by local </w:t>
      </w:r>
      <w:r w:rsidR="00257246" w:rsidRPr="00C74A88">
        <w:lastRenderedPageBreak/>
        <w:t>authorities and governments to crack down on a ‘gang problem’, it implies a need to meet standards, that can result in falsely criminalising individuals. The text explains in actuality, a ‘small minority’ of Black youths are involved in gang related crimes (Pitts, 2020, p.156)</w:t>
      </w:r>
      <w:r w:rsidR="00C74A88" w:rsidRPr="00C74A88">
        <w:t>.</w:t>
      </w:r>
      <w:r w:rsidR="00257246" w:rsidRPr="00C74A88">
        <w:t xml:space="preserve"> </w:t>
      </w:r>
      <w:r w:rsidR="00C74A88" w:rsidRPr="00C74A88">
        <w:t>further</w:t>
      </w:r>
      <w:r w:rsidR="00257246" w:rsidRPr="00C74A88">
        <w:t xml:space="preserve"> </w:t>
      </w:r>
      <w:r w:rsidR="00C74A88" w:rsidRPr="00C74A88">
        <w:t>proving</w:t>
      </w:r>
      <w:r w:rsidR="00257246" w:rsidRPr="00C74A88">
        <w:t xml:space="preserve"> the claims of exaggerating gang prevalence in ethnic minority groups, furthermore suggesting covert racism by associating individuals to gangs, along with negligence of service from the police (Pitts, 2020, p.149).</w:t>
      </w:r>
    </w:p>
    <w:p w14:paraId="445191DD" w14:textId="77777777" w:rsidR="00257246" w:rsidRPr="00C74A88" w:rsidRDefault="00257246" w:rsidP="00C74A88">
      <w:pPr>
        <w:spacing w:line="480" w:lineRule="auto"/>
      </w:pPr>
    </w:p>
    <w:p w14:paraId="08559FE2" w14:textId="4CBAADAB" w:rsidR="00257246" w:rsidRPr="00C74A88" w:rsidRDefault="00E32973" w:rsidP="00C74A88">
      <w:pPr>
        <w:spacing w:line="480" w:lineRule="auto"/>
      </w:pPr>
      <w:r>
        <w:t xml:space="preserve"> </w:t>
      </w:r>
      <w:r w:rsidR="00257246" w:rsidRPr="00C74A88">
        <w:t>The problem can occur with the lack of trust in agencies - if there is mistreatment and arrests, families and associates would not</w:t>
      </w:r>
      <w:r w:rsidR="00C74A88" w:rsidRPr="00C74A88">
        <w:t xml:space="preserve"> wish</w:t>
      </w:r>
      <w:r w:rsidR="00257246" w:rsidRPr="00C74A88">
        <w:t xml:space="preserve"> to seek help from agencies; there is no ‘government guidance’ regarding missing children and gang involvement therefore there is the fear that situations could be made worse with the involvement of police and social services (Sturrock, Holmes, 2015, p.37). Moyle concludes with a need to encourage multiagency support to help with vulnerability, however as noted with the charity reports the idea to involve agencies is a complex and varied situation (Sturrock, Holmes, 2015, p.6). Likewise, with Exploring the role of the British Transport Police in responding to ‘County Lines’ drug markets: Enforcement and safeguarding perspectives</w:t>
      </w:r>
    </w:p>
    <w:p w14:paraId="57E35759" w14:textId="30A5513D" w:rsidR="00257246" w:rsidRDefault="00257246" w:rsidP="00C74A88">
      <w:pPr>
        <w:spacing w:line="480" w:lineRule="auto"/>
      </w:pPr>
      <w:r w:rsidRPr="00C74A88">
        <w:t xml:space="preserve">By </w:t>
      </w:r>
      <w:proofErr w:type="spellStart"/>
      <w:r w:rsidRPr="00C74A88">
        <w:t>Blakeburn</w:t>
      </w:r>
      <w:proofErr w:type="spellEnd"/>
      <w:r w:rsidRPr="00C74A88">
        <w:t xml:space="preserve"> and Smith (2021) reports of issues not limited to agencies ineffectively working with victims, but the disconnect of working together to effectively obtain information (</w:t>
      </w:r>
      <w:proofErr w:type="spellStart"/>
      <w:r w:rsidRPr="00C74A88">
        <w:t>Blakeburn</w:t>
      </w:r>
      <w:proofErr w:type="spellEnd"/>
      <w:r w:rsidRPr="00C74A88">
        <w:t xml:space="preserve">, Smith, 2021, p.254). The British Transport Police hold much involvement of county lines due to the nature of the drug running being known to take place on the rail transport over roads, though it is still possible that the crime groups would get children to illegal drive to the targeted areas, yet it is less conspicuous, whilst ironically the operation of trafficking occurs in ‘plain sight’ but it is up to agencies to correctly recognise the signs and take action (Henderson, 2019, p.11). The British Transport Police Authority set out a strategic plan started from 2018 to 2022 proposing a more effective safeguarding and collaboration between agencies, perhaps as a response to failings from reports (BTPA, 2018, p.10,16). The ‘POP’ policing is a strategy for crime reduction, and although it </w:t>
      </w:r>
      <w:r w:rsidRPr="00C74A88">
        <w:lastRenderedPageBreak/>
        <w:t xml:space="preserve">may appear to be effective for statistics, however as seen, statistics do not appear to portray the whole picture, and implies a greater focus on performance and meeting targets over addressing problems to effectively reduce crime for the benefit of victims - not for the forces to ‘look good’. </w:t>
      </w:r>
      <w:r w:rsidR="00B143C5" w:rsidRPr="00C74A88">
        <w:t>Nevertheless,</w:t>
      </w:r>
      <w:r w:rsidRPr="00C74A88">
        <w:t xml:space="preserve"> it is not to say this strategy is completely ineffective, but rather a review on their priorities and to have an improved process where they are trained to specialise in effective decision making (Ratcliffe, 2008, p.7). Likewise, with the social care agencies, there could be a problem with the priorities are set on meeting targets over concerning individuals who are involved and therefore not in tune to help and support victims in an efficient way; the All Party Parliamentary Group Ofsted 2013 report revealed that follow up checks were not made for missing children, that risk management plans were not developed and issues regarding the quality of the care placements (APPG, 2013, cited in Sturrock, Holmes, 2015, p.16). Sturrock and Holmes  stressed concerns about a survey response further stating the lack of understanding, being a key theme of the survey answers of how to identify and handle gang involvement from children and young adults (Sturrock, Holmes, 2015, p.38, 40) drawing back to </w:t>
      </w:r>
      <w:proofErr w:type="spellStart"/>
      <w:r w:rsidRPr="00C74A88">
        <w:t>Blakeburn</w:t>
      </w:r>
      <w:proofErr w:type="spellEnd"/>
      <w:r w:rsidRPr="00C74A88">
        <w:t xml:space="preserve"> and Smith, it is stressed greatly that if there is no information exchanges or if the information is not correct, the strategies will cease to effectively safeguard vulnerable individuals involved (</w:t>
      </w:r>
      <w:proofErr w:type="spellStart"/>
      <w:r w:rsidRPr="00C74A88">
        <w:t>Blakeburn</w:t>
      </w:r>
      <w:proofErr w:type="spellEnd"/>
      <w:r w:rsidRPr="00C74A88">
        <w:t>, Smith, 2021, p.254)</w:t>
      </w:r>
      <w:r w:rsidR="00B143C5" w:rsidRPr="00C74A88">
        <w:t>.</w:t>
      </w:r>
    </w:p>
    <w:p w14:paraId="512A5C03" w14:textId="6118CA89" w:rsidR="00E32973" w:rsidRPr="00C74A88" w:rsidRDefault="00E32973" w:rsidP="00C74A88">
      <w:pPr>
        <w:spacing w:line="480" w:lineRule="auto"/>
      </w:pPr>
      <w:r>
        <w:t xml:space="preserve"> </w:t>
      </w:r>
    </w:p>
    <w:p w14:paraId="47B519FE" w14:textId="2CFAAA0C" w:rsidR="00257246" w:rsidRDefault="00EC5BC4" w:rsidP="00C74A88">
      <w:pPr>
        <w:spacing w:line="480" w:lineRule="auto"/>
      </w:pPr>
      <w:r w:rsidRPr="00C74A88">
        <w:t xml:space="preserve"> </w:t>
      </w:r>
      <w:r w:rsidR="00E32973">
        <w:t xml:space="preserve"> </w:t>
      </w:r>
      <w:r w:rsidR="00B143C5" w:rsidRPr="00C74A88">
        <w:t>G</w:t>
      </w:r>
      <w:r w:rsidR="00257246" w:rsidRPr="00C74A88">
        <w:t xml:space="preserve">athered from the literature, these strategies have not shown to be </w:t>
      </w:r>
      <w:r w:rsidR="00B143C5" w:rsidRPr="00C74A88">
        <w:t>reliable;</w:t>
      </w:r>
      <w:r w:rsidR="00257246" w:rsidRPr="00C74A88">
        <w:t xml:space="preserve"> </w:t>
      </w:r>
      <w:r w:rsidRPr="00C74A88">
        <w:t>specifically,</w:t>
      </w:r>
      <w:r w:rsidR="00257246" w:rsidRPr="00C74A88">
        <w:t xml:space="preserve"> if those who plan to eradicate county lines have shown to not have the correct statistics and reports, who fail to understand and accommodate the needs of individuals involved whether a child or adult, to then dismiss concerns, the strategies are not likely to work. Most of the reports researched for this literature review speak of a need to address a certain gap or problem within county lines safeguarding, yet majority of these strategies remain outdated, or have not shown to improve; the serious violence strategy has not updated since 2018; the National Crime Agency Intelligence Assessment has not had an updated publication since 2019, and lastly the statutory guidance for </w:t>
      </w:r>
      <w:r w:rsidR="00257246" w:rsidRPr="00C74A88">
        <w:lastRenderedPageBreak/>
        <w:t xml:space="preserve">children who run away or go missing from home 2014 ‘have been repeatedly delayed’ (Wareham, 2021). These delays consequently stunt progress that needs to be made in order to see change in how these agencies operate to tackle county lines. </w:t>
      </w:r>
    </w:p>
    <w:p w14:paraId="275A67E7" w14:textId="77777777" w:rsidR="00E32973" w:rsidRPr="00C74A88" w:rsidRDefault="00E32973" w:rsidP="00C74A88">
      <w:pPr>
        <w:spacing w:line="480" w:lineRule="auto"/>
      </w:pPr>
    </w:p>
    <w:p w14:paraId="0DF3C7B4" w14:textId="7BF8FA90" w:rsidR="00257246" w:rsidRPr="00C74A88" w:rsidRDefault="00257246" w:rsidP="00C74A88">
      <w:pPr>
        <w:spacing w:line="480" w:lineRule="auto"/>
      </w:pPr>
      <w:r w:rsidRPr="00C74A88">
        <w:t xml:space="preserve"> The notes made by all the literature pieces observed for this study have concluded that as predicted, admittedly by the academics covered from Moyle, Stone, </w:t>
      </w:r>
      <w:proofErr w:type="spellStart"/>
      <w:r w:rsidRPr="00C74A88">
        <w:t>Blakeburn</w:t>
      </w:r>
      <w:proofErr w:type="spellEnd"/>
      <w:r w:rsidRPr="00C74A88">
        <w:t xml:space="preserve"> and Robinson </w:t>
      </w:r>
      <w:r w:rsidRPr="00C74A88">
        <w:rPr>
          <w:i/>
          <w:iCs/>
        </w:rPr>
        <w:t>et al</w:t>
      </w:r>
      <w:r w:rsidRPr="00C74A88">
        <w:t xml:space="preserve">, that there does not appear to be many specified sources available in regards to county lines; although much are credited towards drug trafficking and child exploitation and some parallels have been made, there is yet to be more studies specific to County Lines as it covers a vast and complex involvement of agencies, new methods and policies separate from just drug trafficking and exploitation. </w:t>
      </w:r>
      <w:r w:rsidR="009D1E94" w:rsidRPr="00C74A88">
        <w:t>A</w:t>
      </w:r>
      <w:r w:rsidRPr="00C74A88">
        <w:t xml:space="preserve">s </w:t>
      </w:r>
      <w:r w:rsidR="009D1E94" w:rsidRPr="00C74A88">
        <w:t>mentioned,</w:t>
      </w:r>
      <w:r w:rsidRPr="00C74A88">
        <w:t xml:space="preserve"> reports and government guidance is not up to date, which could explain the state of agencies handling county lines cases, the term ‘there is no guidance’ cropping up occasionally in the reading from a variety of reports viewed, exposes one of the many gaps discovered from this review. Secondly, from viewing the strategies proposed by governments and crime agencies, the actuality of these agencies portray polarising truths from children’s and missing people’s charities, both Moyle and </w:t>
      </w:r>
      <w:proofErr w:type="spellStart"/>
      <w:r w:rsidRPr="00C74A88">
        <w:t>Blakeburn</w:t>
      </w:r>
      <w:proofErr w:type="spellEnd"/>
      <w:r w:rsidRPr="00C74A88">
        <w:t xml:space="preserve"> stressed that the multiagency approach will only be effective if there is more dedication to proactively help victims; police agencies in particular were shown to propose a change in how policing would be carried out in hopes to decriminalise victims- but as Moyle pointed out with the inevitable arrests with the ‘zero tolerance’  approach from police agencies, with Robinson </w:t>
      </w:r>
      <w:r w:rsidRPr="00C74A88">
        <w:rPr>
          <w:i/>
          <w:iCs/>
        </w:rPr>
        <w:t>et al</w:t>
      </w:r>
      <w:r w:rsidRPr="00C74A88">
        <w:t xml:space="preserve"> noting the differences in police forces with only a select few effectively responding to county lines cases, it implies more needs to done to work towards effective treatment from authorities. Not many reports from the academics greatly focused on mistreatment of ethnic groups, other than Pitts research into racial prejudice surrounding gang culture and police agencies, therefore further research into agency care into underrepresented groups could prove useful in gathering data to determine </w:t>
      </w:r>
      <w:r w:rsidR="00B143C5" w:rsidRPr="00C74A88">
        <w:t xml:space="preserve">whether discrimination is a part cause for neglect, or is it due to lack of </w:t>
      </w:r>
      <w:r w:rsidR="00B143C5" w:rsidRPr="00C74A88">
        <w:lastRenderedPageBreak/>
        <w:t xml:space="preserve">understanding. </w:t>
      </w:r>
      <w:r w:rsidRPr="00C74A88">
        <w:t xml:space="preserve">A lastly noted occurrence within the reading had shown there was a great mistreatment of both genders involved in the county lines - specifically the way in which women and girls were sexualised and taken advantage, with care agencies dismissing concerns of the mental and physical health as addressed by Wareham, Sturrock and Holmes from the children’s charities; prior to researching county lines as a topic it was not realised how much gender plays a significant role in the way county lines is operated. From data given by the charities, in place of relying on government statistics, which have suggested to be estimated and not actual data, charities gather information from the user’s experiences therefore, it can be argued data would be more reliable from the </w:t>
      </w:r>
      <w:r w:rsidR="00EC5BC4" w:rsidRPr="00C74A88">
        <w:t>first-hand</w:t>
      </w:r>
      <w:r w:rsidRPr="00C74A88">
        <w:t xml:space="preserve"> reports. </w:t>
      </w:r>
    </w:p>
    <w:p w14:paraId="08093768" w14:textId="7722A2A2" w:rsidR="00257246" w:rsidRPr="00C74A88" w:rsidRDefault="00257246" w:rsidP="00C74A88">
      <w:pPr>
        <w:spacing w:line="480" w:lineRule="auto"/>
      </w:pPr>
      <w:r w:rsidRPr="00C74A88">
        <w:t xml:space="preserve"> These ‘gaps’ will be pertinent to the dissertation’s research, specifically in how further data gathering will be executed; no updated findings to report whether these strategies are </w:t>
      </w:r>
      <w:r w:rsidR="0004569F" w:rsidRPr="00C74A88">
        <w:t>effective</w:t>
      </w:r>
      <w:r w:rsidRPr="00C74A88">
        <w:t xml:space="preserve">, therefore it would be </w:t>
      </w:r>
      <w:r w:rsidR="0004569F" w:rsidRPr="00C74A88">
        <w:t>efficacious</w:t>
      </w:r>
      <w:r w:rsidRPr="00C74A88">
        <w:t xml:space="preserve"> to reach out to the agencies to discover </w:t>
      </w:r>
      <w:r w:rsidR="009D1E94" w:rsidRPr="00C74A88">
        <w:t xml:space="preserve">more </w:t>
      </w:r>
      <w:r w:rsidR="0004569F" w:rsidRPr="00C74A88">
        <w:t>up to date</w:t>
      </w:r>
      <w:r w:rsidRPr="00C74A88">
        <w:t xml:space="preserve"> findings. Moyle, Stone, </w:t>
      </w:r>
      <w:proofErr w:type="spellStart"/>
      <w:r w:rsidRPr="00C74A88">
        <w:t>Storrod</w:t>
      </w:r>
      <w:proofErr w:type="spellEnd"/>
      <w:r w:rsidRPr="00C74A88">
        <w:t xml:space="preserve"> and Densely noted limited findings for their articles, although it is agreed there is limitations, the literature chosen for this review has highlighted important themes and concerns that will be of use to the dissertation to effectively obtain the most relevant and credible sources. The key themes from all the academics used in this review predominantly portrayed the way agencies handle County Lines cases, however it was noted that the pieces mentioned vulnerable individuals, which includes those with additional needs and disabilities, not much sources focused on the effects county lines has on these particular victims - furthermore it would be advantageous to query further to the agencies to develop my understandings from all perspectives of vulnerable victims as not all the situations can be fit into one ‘box’ and treated the same as shown with the treatment of young children and adolescents, therefore it is felt further </w:t>
      </w:r>
      <w:r w:rsidR="009D1E94" w:rsidRPr="00C74A88">
        <w:t>research, preferably through agencies,</w:t>
      </w:r>
      <w:r w:rsidRPr="00C74A88">
        <w:t xml:space="preserve"> will be needed to conduct fair outcomes.</w:t>
      </w:r>
    </w:p>
    <w:p w14:paraId="4C806FDB" w14:textId="77777777" w:rsidR="00257246" w:rsidRPr="00C74A88" w:rsidRDefault="00257246" w:rsidP="00C74A88">
      <w:pPr>
        <w:spacing w:line="480" w:lineRule="auto"/>
      </w:pPr>
    </w:p>
    <w:p w14:paraId="76B41727" w14:textId="77777777" w:rsidR="00257246" w:rsidRDefault="00257246" w:rsidP="00257246"/>
    <w:p w14:paraId="0E9E12AD" w14:textId="77777777" w:rsidR="00257246" w:rsidRDefault="00257246" w:rsidP="00257246"/>
    <w:p w14:paraId="4F6A0246" w14:textId="1D701548" w:rsidR="00257246" w:rsidRPr="00E32973" w:rsidRDefault="00E32973" w:rsidP="00257246">
      <w:pPr>
        <w:rPr>
          <w:b/>
          <w:bCs/>
          <w:sz w:val="24"/>
          <w:szCs w:val="24"/>
        </w:rPr>
      </w:pPr>
      <w:r>
        <w:rPr>
          <w:b/>
          <w:bCs/>
          <w:sz w:val="24"/>
          <w:szCs w:val="24"/>
        </w:rPr>
        <w:t>Reference and Bibliography</w:t>
      </w:r>
    </w:p>
    <w:p w14:paraId="0376A9A9" w14:textId="77777777" w:rsidR="00257246" w:rsidRDefault="00257246" w:rsidP="00257246"/>
    <w:p w14:paraId="04203ABA" w14:textId="77777777" w:rsidR="00257246" w:rsidRDefault="00257246" w:rsidP="00257246"/>
    <w:p w14:paraId="10DA8F84" w14:textId="7A5759E2" w:rsidR="00257246" w:rsidRDefault="00257246" w:rsidP="00E32973">
      <w:pPr>
        <w:spacing w:line="480" w:lineRule="auto"/>
      </w:pPr>
      <w:r>
        <w:t>Assets.publishing.service.gov.uk. 2021. Covert Human Intelligence Sources: Revised Code of</w:t>
      </w:r>
    </w:p>
    <w:p w14:paraId="2BC077DF" w14:textId="77777777" w:rsidR="00257246" w:rsidRDefault="00257246" w:rsidP="00E32973">
      <w:pPr>
        <w:spacing w:line="480" w:lineRule="auto"/>
      </w:pPr>
      <w:r>
        <w:t>Practice. [online] Available at:</w:t>
      </w:r>
    </w:p>
    <w:p w14:paraId="11C37357" w14:textId="77777777" w:rsidR="00257246" w:rsidRDefault="00257246" w:rsidP="00E32973">
      <w:pPr>
        <w:spacing w:line="480" w:lineRule="auto"/>
      </w:pPr>
      <w:r>
        <w:t>&lt;https://assets.publishing.service.gov.uk/government/uploads/system/uploads/attachment_d</w:t>
      </w:r>
    </w:p>
    <w:p w14:paraId="122C9578" w14:textId="77777777" w:rsidR="00257246" w:rsidRDefault="00257246" w:rsidP="00E32973">
      <w:pPr>
        <w:spacing w:line="480" w:lineRule="auto"/>
      </w:pPr>
      <w:proofErr w:type="spellStart"/>
      <w:r>
        <w:t>ata</w:t>
      </w:r>
      <w:proofErr w:type="spellEnd"/>
      <w:r>
        <w:t>/file/742042/20180802_CHIS_code_.pdf&gt; [Accessed 2 August 2021].</w:t>
      </w:r>
    </w:p>
    <w:p w14:paraId="536ECD4C" w14:textId="77777777" w:rsidR="00257246" w:rsidRDefault="00257246" w:rsidP="00E32973">
      <w:pPr>
        <w:spacing w:line="480" w:lineRule="auto"/>
      </w:pPr>
      <w:r>
        <w:t>Assets.publishing.service.gov.uk. 2021. Serious Violence Strategy. [online] Available at:</w:t>
      </w:r>
    </w:p>
    <w:p w14:paraId="5CC6B8FF" w14:textId="77777777" w:rsidR="00257246" w:rsidRDefault="00257246" w:rsidP="00E32973">
      <w:pPr>
        <w:spacing w:line="480" w:lineRule="auto"/>
      </w:pPr>
      <w:r>
        <w:t>&lt;https://assets.publishing.service.gov.uk/government/uploads/system/uploads/attachment_d</w:t>
      </w:r>
    </w:p>
    <w:p w14:paraId="4EB3E70D" w14:textId="40F73DAA" w:rsidR="00257246" w:rsidRDefault="00257246" w:rsidP="00E32973">
      <w:pPr>
        <w:spacing w:line="480" w:lineRule="auto"/>
      </w:pPr>
      <w:proofErr w:type="spellStart"/>
      <w:r>
        <w:t>ata</w:t>
      </w:r>
      <w:proofErr w:type="spellEnd"/>
      <w:r>
        <w:t>/file/698009/serious-violence-strategy.pdf&gt; [Accessed 6 August 2021].</w:t>
      </w:r>
    </w:p>
    <w:p w14:paraId="2FCCCEA3" w14:textId="77777777" w:rsidR="00E32973" w:rsidRDefault="00E32973" w:rsidP="00E32973">
      <w:pPr>
        <w:spacing w:line="480" w:lineRule="auto"/>
      </w:pPr>
      <w:r>
        <w:t>Assets.publishing.service.gov.uk. 2018. Criminal Exploitation of Children and Vulnerable</w:t>
      </w:r>
    </w:p>
    <w:p w14:paraId="5F20029A" w14:textId="77777777" w:rsidR="00E32973" w:rsidRDefault="00E32973" w:rsidP="00E32973">
      <w:pPr>
        <w:spacing w:line="480" w:lineRule="auto"/>
      </w:pPr>
      <w:r>
        <w:t>Adults: County Lines Guidance. [online] Available at:</w:t>
      </w:r>
    </w:p>
    <w:p w14:paraId="6A10C168" w14:textId="77777777" w:rsidR="00E32973" w:rsidRDefault="00E32973" w:rsidP="00E32973">
      <w:pPr>
        <w:spacing w:line="480" w:lineRule="auto"/>
      </w:pPr>
      <w:r>
        <w:t>&lt;https://assets.publishing.service.gov.uk/government/uploads/system/uploads/attachment_d</w:t>
      </w:r>
    </w:p>
    <w:p w14:paraId="68057687" w14:textId="1FD8AF77" w:rsidR="00E32973" w:rsidRDefault="00E32973" w:rsidP="00E32973">
      <w:pPr>
        <w:spacing w:line="480" w:lineRule="auto"/>
      </w:pPr>
      <w:proofErr w:type="spellStart"/>
      <w:r>
        <w:t>ata</w:t>
      </w:r>
      <w:proofErr w:type="spellEnd"/>
      <w:r>
        <w:t>/file/863323/HOCountyLinesGuidance_-_Sept2018.pdf&gt; [Accessed 1 August 2021].</w:t>
      </w:r>
    </w:p>
    <w:p w14:paraId="66B3C473" w14:textId="77777777" w:rsidR="00257246" w:rsidRDefault="00257246" w:rsidP="00E32973">
      <w:pPr>
        <w:spacing w:line="480" w:lineRule="auto"/>
      </w:pPr>
      <w:r>
        <w:t>Bateman, T., 2015. Keeping up (tough) appearances: the age of criminal responsibility. Criminal</w:t>
      </w:r>
    </w:p>
    <w:p w14:paraId="19844ABE" w14:textId="77777777" w:rsidR="00257246" w:rsidRDefault="00257246" w:rsidP="00E32973">
      <w:pPr>
        <w:spacing w:line="480" w:lineRule="auto"/>
      </w:pPr>
      <w:r>
        <w:t>Justice Matters, [online] 102(1), pp.35-36. Available at:</w:t>
      </w:r>
    </w:p>
    <w:p w14:paraId="03342222" w14:textId="77777777" w:rsidR="00257246" w:rsidRDefault="00257246" w:rsidP="00E32973">
      <w:pPr>
        <w:spacing w:line="480" w:lineRule="auto"/>
      </w:pPr>
      <w:r>
        <w:t>&lt;https://www.crimeandjustice.org.uk/publications/cjm/article/keeping-tough-appearances-a</w:t>
      </w:r>
    </w:p>
    <w:p w14:paraId="020E344B" w14:textId="77777777" w:rsidR="00257246" w:rsidRDefault="00257246" w:rsidP="00E32973">
      <w:pPr>
        <w:spacing w:line="480" w:lineRule="auto"/>
      </w:pPr>
      <w:proofErr w:type="spellStart"/>
      <w:r>
        <w:t>ge</w:t>
      </w:r>
      <w:proofErr w:type="spellEnd"/>
      <w:r>
        <w:t>-criminal-responsibility&gt;.</w:t>
      </w:r>
    </w:p>
    <w:p w14:paraId="75F8CEBA" w14:textId="77777777" w:rsidR="00257246" w:rsidRDefault="00257246" w:rsidP="00E32973">
      <w:pPr>
        <w:spacing w:line="480" w:lineRule="auto"/>
      </w:pPr>
      <w:r>
        <w:t>British Transport Police Authority. 2021. Our strategy and plans for BTP - British Transport</w:t>
      </w:r>
    </w:p>
    <w:p w14:paraId="651FB039" w14:textId="77777777" w:rsidR="00257246" w:rsidRDefault="00257246" w:rsidP="00E32973">
      <w:pPr>
        <w:spacing w:line="480" w:lineRule="auto"/>
      </w:pPr>
      <w:r>
        <w:t>Police Authority. [online] Available at:</w:t>
      </w:r>
    </w:p>
    <w:p w14:paraId="0BB85A3E" w14:textId="77777777" w:rsidR="00257246" w:rsidRDefault="00257246" w:rsidP="00E32973">
      <w:pPr>
        <w:spacing w:line="480" w:lineRule="auto"/>
      </w:pPr>
      <w:r>
        <w:t>&lt;https://btpa.police.uk/police-strategy/our-strategy-and-plans-for-btp/&gt; [Accessed 27 July</w:t>
      </w:r>
    </w:p>
    <w:p w14:paraId="3A6AC6B4" w14:textId="091B69B1" w:rsidR="00257246" w:rsidRDefault="00257246" w:rsidP="00E32973">
      <w:pPr>
        <w:spacing w:line="480" w:lineRule="auto"/>
      </w:pPr>
      <w:r>
        <w:lastRenderedPageBreak/>
        <w:t>2021].</w:t>
      </w:r>
    </w:p>
    <w:p w14:paraId="3B8F0E3F" w14:textId="77777777" w:rsidR="00E32973" w:rsidRDefault="00E32973" w:rsidP="00E32973">
      <w:pPr>
        <w:spacing w:line="480" w:lineRule="auto"/>
      </w:pPr>
      <w:r>
        <w:t>Catch22. [online] Catch22. Available at:</w:t>
      </w:r>
    </w:p>
    <w:p w14:paraId="7BB2727B" w14:textId="7A225170" w:rsidR="00E32973" w:rsidRDefault="00E32973" w:rsidP="00E32973">
      <w:pPr>
        <w:spacing w:line="480" w:lineRule="auto"/>
      </w:pPr>
      <w:r>
        <w:t>&lt;https://www.catch-22.org.uk/news/imcd-what-is-missing/&gt; [Accessed 28 July 2021].</w:t>
      </w:r>
    </w:p>
    <w:p w14:paraId="2D55BA7D" w14:textId="77777777" w:rsidR="00257246" w:rsidRDefault="00257246" w:rsidP="00E32973">
      <w:pPr>
        <w:spacing w:line="480" w:lineRule="auto"/>
      </w:pPr>
      <w:r>
        <w:t>Childrenssociety.org.uk. 2021. Promoting online safety for children | The Children's Society.</w:t>
      </w:r>
    </w:p>
    <w:p w14:paraId="4CE011BF" w14:textId="77777777" w:rsidR="00257246" w:rsidRDefault="00257246" w:rsidP="00E32973">
      <w:pPr>
        <w:spacing w:line="480" w:lineRule="auto"/>
      </w:pPr>
      <w:r>
        <w:t>[online] Available at:</w:t>
      </w:r>
    </w:p>
    <w:p w14:paraId="4B15990A" w14:textId="77777777" w:rsidR="00257246" w:rsidRDefault="00257246" w:rsidP="00E32973">
      <w:pPr>
        <w:spacing w:line="480" w:lineRule="auto"/>
      </w:pPr>
      <w:r>
        <w:t>&lt;https://www.childrenssociety.org.uk/what-we-do/our-work/preventing-child-sexual-exploit</w:t>
      </w:r>
    </w:p>
    <w:p w14:paraId="169CE782" w14:textId="6140A1C3" w:rsidR="00257246" w:rsidRDefault="00257246" w:rsidP="00E32973">
      <w:pPr>
        <w:spacing w:line="480" w:lineRule="auto"/>
      </w:pPr>
      <w:proofErr w:type="spellStart"/>
      <w:r>
        <w:t>ation</w:t>
      </w:r>
      <w:proofErr w:type="spellEnd"/>
      <w:r>
        <w:t>/online-safety&gt; [Accessed 6 August 2021].</w:t>
      </w:r>
    </w:p>
    <w:p w14:paraId="20E7572A" w14:textId="77777777" w:rsidR="00E32973" w:rsidRDefault="00E32973" w:rsidP="00E32973">
      <w:pPr>
        <w:spacing w:line="480" w:lineRule="auto"/>
      </w:pPr>
      <w:proofErr w:type="spellStart"/>
      <w:r>
        <w:t>Coliandris</w:t>
      </w:r>
      <w:proofErr w:type="spellEnd"/>
      <w:r>
        <w:t>, G., 2015. County Lines and Wicked Problems: Exploring the need for improved</w:t>
      </w:r>
    </w:p>
    <w:p w14:paraId="6607B05C" w14:textId="77777777" w:rsidR="00E32973" w:rsidRDefault="00E32973" w:rsidP="00E32973">
      <w:pPr>
        <w:spacing w:line="480" w:lineRule="auto"/>
      </w:pPr>
      <w:r>
        <w:t>policing approaches to vulnerability and early intervention. Ai-Pol, [online] (Vol 7),</w:t>
      </w:r>
    </w:p>
    <w:p w14:paraId="5005ABE9" w14:textId="77777777" w:rsidR="00E32973" w:rsidRDefault="00E32973" w:rsidP="00E32973">
      <w:pPr>
        <w:spacing w:line="480" w:lineRule="auto"/>
      </w:pPr>
      <w:r>
        <w:t>pp.25-35. Available at:</w:t>
      </w:r>
    </w:p>
    <w:p w14:paraId="04A0F878" w14:textId="77777777" w:rsidR="00E32973" w:rsidRDefault="00E32973" w:rsidP="00E32973">
      <w:pPr>
        <w:spacing w:line="480" w:lineRule="auto"/>
      </w:pPr>
      <w:r>
        <w:t>&lt;http://www.aipol.org/wp-content/uploads/2016/11/AiPol-Volume-7-Number-2-2015.pdf#p</w:t>
      </w:r>
    </w:p>
    <w:p w14:paraId="078AB0F3" w14:textId="2A1E2153" w:rsidR="00E32973" w:rsidRDefault="00E32973" w:rsidP="00E32973">
      <w:pPr>
        <w:spacing w:line="480" w:lineRule="auto"/>
      </w:pPr>
      <w:r>
        <w:t>age=27&gt; [Accessed 5 August 2021].</w:t>
      </w:r>
    </w:p>
    <w:p w14:paraId="00A0BED2" w14:textId="77777777" w:rsidR="00234EA8" w:rsidRDefault="00234EA8" w:rsidP="00234EA8">
      <w:pPr>
        <w:spacing w:line="480" w:lineRule="auto"/>
      </w:pPr>
      <w:proofErr w:type="spellStart"/>
      <w:r>
        <w:t>Densley</w:t>
      </w:r>
      <w:proofErr w:type="spellEnd"/>
      <w:r>
        <w:t xml:space="preserve">, J., McLean, R., </w:t>
      </w:r>
      <w:proofErr w:type="spellStart"/>
      <w:r>
        <w:t>Deuchar</w:t>
      </w:r>
      <w:proofErr w:type="spellEnd"/>
      <w:r>
        <w:t>, R. and Harding, S., 2018. An altered state? Emergent changes</w:t>
      </w:r>
    </w:p>
    <w:p w14:paraId="31C53C7B" w14:textId="77777777" w:rsidR="00234EA8" w:rsidRDefault="00234EA8" w:rsidP="00234EA8">
      <w:pPr>
        <w:spacing w:line="480" w:lineRule="auto"/>
      </w:pPr>
      <w:r>
        <w:t xml:space="preserve">to illicit drug markets and distribution networks in </w:t>
      </w:r>
      <w:proofErr w:type="spellStart"/>
      <w:r>
        <w:t>scotland</w:t>
      </w:r>
      <w:proofErr w:type="spellEnd"/>
      <w:r>
        <w:t>. International Journal of Drug</w:t>
      </w:r>
    </w:p>
    <w:p w14:paraId="60F139BA" w14:textId="76AE0B61" w:rsidR="00234EA8" w:rsidRDefault="00234EA8" w:rsidP="00234EA8">
      <w:pPr>
        <w:spacing w:line="480" w:lineRule="auto"/>
      </w:pPr>
      <w:r>
        <w:t>Policy, 58, pp.113-120</w:t>
      </w:r>
    </w:p>
    <w:p w14:paraId="1C6A15A9" w14:textId="77777777" w:rsidR="00257246" w:rsidRDefault="00257246" w:rsidP="00E32973">
      <w:pPr>
        <w:spacing w:line="480" w:lineRule="auto"/>
      </w:pPr>
      <w:r>
        <w:t>Dictionary.cambridge.org. 2021. vulnerability. [online] Available at:</w:t>
      </w:r>
    </w:p>
    <w:p w14:paraId="2CCDA70C" w14:textId="77777777" w:rsidR="00257246" w:rsidRDefault="00257246" w:rsidP="00E32973">
      <w:pPr>
        <w:spacing w:line="480" w:lineRule="auto"/>
      </w:pPr>
      <w:r>
        <w:t>&lt;https://dictionary.cambridge.org/dictionary/english/vulnerability&gt; [Accessed 2 August</w:t>
      </w:r>
    </w:p>
    <w:p w14:paraId="688E491B" w14:textId="01CD3A8B" w:rsidR="00257246" w:rsidRDefault="00257246" w:rsidP="00E32973">
      <w:pPr>
        <w:spacing w:line="480" w:lineRule="auto"/>
      </w:pPr>
      <w:r>
        <w:t>2021].</w:t>
      </w:r>
    </w:p>
    <w:p w14:paraId="5B1CE12E" w14:textId="77777777" w:rsidR="00234EA8" w:rsidRDefault="00234EA8" w:rsidP="00234EA8">
      <w:pPr>
        <w:spacing w:line="480" w:lineRule="auto"/>
      </w:pPr>
      <w:r>
        <w:t>Ellis, K., 2018. Contested Vulnerability: A Case Study of Girls in secure care. Children and</w:t>
      </w:r>
    </w:p>
    <w:p w14:paraId="7DF78C68" w14:textId="77777777" w:rsidR="00234EA8" w:rsidRDefault="00234EA8" w:rsidP="00234EA8">
      <w:pPr>
        <w:spacing w:line="480" w:lineRule="auto"/>
      </w:pPr>
      <w:r>
        <w:t>Youth Services Review, 88, pp.156-163.</w:t>
      </w:r>
    </w:p>
    <w:p w14:paraId="1CD264CC" w14:textId="77777777" w:rsidR="00234EA8" w:rsidRDefault="00234EA8" w:rsidP="00234EA8">
      <w:pPr>
        <w:spacing w:line="480" w:lineRule="auto"/>
      </w:pPr>
      <w:r>
        <w:lastRenderedPageBreak/>
        <w:t>Fleetwood, J., 2015. Mafias, Markets, Mules: Gender Stereotypes in Discourses About Drug</w:t>
      </w:r>
    </w:p>
    <w:p w14:paraId="4E71B90E" w14:textId="77777777" w:rsidR="00234EA8" w:rsidRDefault="00234EA8" w:rsidP="00234EA8">
      <w:pPr>
        <w:spacing w:line="480" w:lineRule="auto"/>
      </w:pPr>
      <w:r>
        <w:t>Trafficking. Sociology Compass, 9(11), pp.962-976.</w:t>
      </w:r>
    </w:p>
    <w:p w14:paraId="7BD52AD8" w14:textId="77777777" w:rsidR="00234EA8" w:rsidRDefault="00234EA8" w:rsidP="00234EA8">
      <w:pPr>
        <w:spacing w:line="480" w:lineRule="auto"/>
      </w:pPr>
      <w:r>
        <w:t>Ford, S., 2018. County Lines National Summary. [online] Local.gov.uk. Available at:</w:t>
      </w:r>
    </w:p>
    <w:p w14:paraId="3BD99BBA" w14:textId="77777777" w:rsidR="00234EA8" w:rsidRDefault="00234EA8" w:rsidP="00234EA8">
      <w:pPr>
        <w:spacing w:line="480" w:lineRule="auto"/>
      </w:pPr>
      <w:r>
        <w:t>&lt;https://www.local.gov.uk/sites/default/files/documents/County%20Lines%20National%20</w:t>
      </w:r>
    </w:p>
    <w:p w14:paraId="263800C5" w14:textId="77777777" w:rsidR="00234EA8" w:rsidRDefault="00234EA8" w:rsidP="00234EA8">
      <w:pPr>
        <w:spacing w:line="480" w:lineRule="auto"/>
      </w:pPr>
      <w:r>
        <w:t>Summary%20-%20Simon%20Ford%20WEB.pdf&gt; [Accessed 1 August 2021].</w:t>
      </w:r>
    </w:p>
    <w:p w14:paraId="4D824302" w14:textId="77777777" w:rsidR="00234EA8" w:rsidRDefault="00234EA8" w:rsidP="00234EA8">
      <w:pPr>
        <w:spacing w:line="480" w:lineRule="auto"/>
      </w:pPr>
      <w:proofErr w:type="spellStart"/>
      <w:r>
        <w:t>Grundetjern</w:t>
      </w:r>
      <w:proofErr w:type="spellEnd"/>
      <w:r>
        <w:t>, H. and Sandberg, S., 2012. Dealing with a gendered economy: Female drug dealers</w:t>
      </w:r>
    </w:p>
    <w:p w14:paraId="394B8D62" w14:textId="19517B78" w:rsidR="00234EA8" w:rsidRDefault="00234EA8" w:rsidP="00234EA8">
      <w:pPr>
        <w:spacing w:line="480" w:lineRule="auto"/>
      </w:pPr>
      <w:r>
        <w:t>and street capital. European Journal of Criminology, 9(6), pp.621-635.</w:t>
      </w:r>
    </w:p>
    <w:p w14:paraId="3597712B" w14:textId="77777777" w:rsidR="00257246" w:rsidRDefault="00257246" w:rsidP="00E32973">
      <w:pPr>
        <w:spacing w:line="480" w:lineRule="auto"/>
      </w:pPr>
      <w:r>
        <w:t>Henderson, M., 2019. Stop Human Trafficking. Public Management, school of government UNC</w:t>
      </w:r>
    </w:p>
    <w:p w14:paraId="0DDD48BB" w14:textId="77777777" w:rsidR="00257246" w:rsidRDefault="00257246" w:rsidP="00E32973">
      <w:pPr>
        <w:spacing w:line="480" w:lineRule="auto"/>
      </w:pPr>
      <w:r>
        <w:t>Chapel Hill, 101, p.11.</w:t>
      </w:r>
    </w:p>
    <w:p w14:paraId="7D3BD3B2" w14:textId="77777777" w:rsidR="00257246" w:rsidRDefault="00257246" w:rsidP="00E32973">
      <w:pPr>
        <w:spacing w:line="480" w:lineRule="auto"/>
      </w:pPr>
      <w:proofErr w:type="spellStart"/>
      <w:r>
        <w:t>Hurrock</w:t>
      </w:r>
      <w:proofErr w:type="spellEnd"/>
      <w:r>
        <w:t>, R. and Holmes, L., 2015. Running the Risks: The links between gang involvement and</w:t>
      </w:r>
    </w:p>
    <w:p w14:paraId="7B35427B" w14:textId="77777777" w:rsidR="00257246" w:rsidRDefault="00257246" w:rsidP="00E32973">
      <w:pPr>
        <w:spacing w:line="480" w:lineRule="auto"/>
      </w:pPr>
      <w:r>
        <w:t>young people going missing. [online] www.basw.co.uk. Available at:</w:t>
      </w:r>
    </w:p>
    <w:p w14:paraId="45445B66" w14:textId="77777777" w:rsidR="00257246" w:rsidRDefault="00257246" w:rsidP="00E32973">
      <w:pPr>
        <w:spacing w:line="480" w:lineRule="auto"/>
      </w:pPr>
      <w:r>
        <w:t>&lt;https://www.basw.co.uk/resources/running-risks-links-between-gang-involvement-and-you</w:t>
      </w:r>
    </w:p>
    <w:p w14:paraId="6A73357D" w14:textId="0498604D" w:rsidR="00257246" w:rsidRDefault="00257246" w:rsidP="00E32973">
      <w:pPr>
        <w:spacing w:line="480" w:lineRule="auto"/>
      </w:pPr>
      <w:r>
        <w:t>ng-people-going-missing&gt; [Accessed 4 August 2021].</w:t>
      </w:r>
    </w:p>
    <w:p w14:paraId="6C482A76" w14:textId="77777777" w:rsidR="00E32973" w:rsidRDefault="00E32973" w:rsidP="00E32973">
      <w:pPr>
        <w:spacing w:line="480" w:lineRule="auto"/>
      </w:pPr>
      <w:proofErr w:type="spellStart"/>
      <w:r>
        <w:t>Jstor</w:t>
      </w:r>
      <w:proofErr w:type="spellEnd"/>
      <w:r>
        <w:t>, [online] p.p.13. Available at: &lt;https://www.jstor.org/stable/4132319&gt; [Accessed 29</w:t>
      </w:r>
    </w:p>
    <w:p w14:paraId="64B3144E" w14:textId="2791F15F" w:rsidR="00E32973" w:rsidRDefault="00E32973" w:rsidP="00E32973">
      <w:pPr>
        <w:spacing w:line="480" w:lineRule="auto"/>
      </w:pPr>
      <w:r>
        <w:t>July 2021].</w:t>
      </w:r>
    </w:p>
    <w:p w14:paraId="60D7E9A7" w14:textId="77777777" w:rsidR="00257246" w:rsidRDefault="00257246" w:rsidP="00E32973">
      <w:pPr>
        <w:spacing w:line="480" w:lineRule="auto"/>
      </w:pPr>
      <w:proofErr w:type="spellStart"/>
      <w:r>
        <w:t>Keay</w:t>
      </w:r>
      <w:proofErr w:type="spellEnd"/>
      <w:r>
        <w:t>, S. and Kirby, S., 2017. Defining Vulnerability: From the Conceptual to the Operational.</w:t>
      </w:r>
    </w:p>
    <w:p w14:paraId="562BA56D" w14:textId="77777777" w:rsidR="00257246" w:rsidRDefault="00257246" w:rsidP="00E32973">
      <w:pPr>
        <w:spacing w:line="480" w:lineRule="auto"/>
      </w:pPr>
      <w:r>
        <w:t>Policing: A Journal of Policy and Practice, 12(4), pp.428-438.</w:t>
      </w:r>
    </w:p>
    <w:p w14:paraId="637626CE" w14:textId="77777777" w:rsidR="00257246" w:rsidRDefault="00257246" w:rsidP="00E32973">
      <w:pPr>
        <w:spacing w:line="480" w:lineRule="auto"/>
      </w:pPr>
      <w:r>
        <w:t>Moyle, L., 2019. Situating Vulnerability and Exploitation in Street-Level Drug Markets:</w:t>
      </w:r>
    </w:p>
    <w:p w14:paraId="46BB8F5E" w14:textId="77777777" w:rsidR="00257246" w:rsidRDefault="00257246" w:rsidP="00E32973">
      <w:pPr>
        <w:spacing w:line="480" w:lineRule="auto"/>
      </w:pPr>
      <w:r>
        <w:t>Cuckooing, Commuting, and the “County Lines” Drug Supply Model. Journal of Drug</w:t>
      </w:r>
    </w:p>
    <w:p w14:paraId="2477DD85" w14:textId="326307D4" w:rsidR="00257246" w:rsidRDefault="00257246" w:rsidP="00E32973">
      <w:pPr>
        <w:spacing w:line="480" w:lineRule="auto"/>
      </w:pPr>
      <w:r>
        <w:t>Issues, 49(4), pp.740-755.</w:t>
      </w:r>
    </w:p>
    <w:p w14:paraId="221F822F" w14:textId="77777777" w:rsidR="00234EA8" w:rsidRDefault="00234EA8" w:rsidP="00234EA8">
      <w:pPr>
        <w:spacing w:line="480" w:lineRule="auto"/>
      </w:pPr>
      <w:r>
        <w:lastRenderedPageBreak/>
        <w:t>Nationalcrimeagency.gov.uk. 2018. County Lines Drug Supply, Vulnerability and Harm. [online]</w:t>
      </w:r>
    </w:p>
    <w:p w14:paraId="2DD1FE9F" w14:textId="77777777" w:rsidR="00234EA8" w:rsidRDefault="00234EA8" w:rsidP="00234EA8">
      <w:pPr>
        <w:spacing w:line="480" w:lineRule="auto"/>
      </w:pPr>
      <w:r>
        <w:t>Available at:</w:t>
      </w:r>
    </w:p>
    <w:p w14:paraId="6C21E06B" w14:textId="77777777" w:rsidR="00234EA8" w:rsidRDefault="00234EA8" w:rsidP="00234EA8">
      <w:pPr>
        <w:spacing w:line="480" w:lineRule="auto"/>
      </w:pPr>
      <w:r>
        <w:t>&lt;https://www.nationalcrimeagency.gov.uk/who-we-are/publications/257-county-lines-drugsupply-vulnerability-and-harm-2018/file&gt; [Accessed 1 August 2021].</w:t>
      </w:r>
    </w:p>
    <w:p w14:paraId="6AAB4DB9" w14:textId="77777777" w:rsidR="00234EA8" w:rsidRDefault="00234EA8" w:rsidP="00234EA8">
      <w:pPr>
        <w:spacing w:line="480" w:lineRule="auto"/>
      </w:pPr>
      <w:r>
        <w:t>Nationalcrimeagency.gov.uk. 2021. County Lines. [online] Available at:</w:t>
      </w:r>
    </w:p>
    <w:p w14:paraId="48D19EEE" w14:textId="77777777" w:rsidR="00234EA8" w:rsidRDefault="00234EA8" w:rsidP="00234EA8">
      <w:pPr>
        <w:spacing w:line="480" w:lineRule="auto"/>
      </w:pPr>
      <w:r>
        <w:t>&lt;https://www.nationalcrimeagency.gov.uk/what-we-do/crime-threats/drug-trafficking/count</w:t>
      </w:r>
    </w:p>
    <w:p w14:paraId="2CCAD971" w14:textId="77777777" w:rsidR="00234EA8" w:rsidRDefault="00234EA8" w:rsidP="00234EA8">
      <w:pPr>
        <w:spacing w:line="480" w:lineRule="auto"/>
      </w:pPr>
      <w:r>
        <w:t>y-lines&gt; [Accessed 1 August 2021].</w:t>
      </w:r>
    </w:p>
    <w:p w14:paraId="7D049ABD" w14:textId="77777777" w:rsidR="00234EA8" w:rsidRDefault="00234EA8" w:rsidP="00234EA8">
      <w:pPr>
        <w:spacing w:line="480" w:lineRule="auto"/>
      </w:pPr>
      <w:r>
        <w:t>Ons.gov.uk. 2021. Milestones: journeying into adulthood - Of ice for National Statistics. [online]</w:t>
      </w:r>
    </w:p>
    <w:p w14:paraId="34B14AEF" w14:textId="77777777" w:rsidR="00234EA8" w:rsidRDefault="00234EA8" w:rsidP="00234EA8">
      <w:pPr>
        <w:spacing w:line="480" w:lineRule="auto"/>
      </w:pPr>
      <w:r>
        <w:t>Available at:</w:t>
      </w:r>
    </w:p>
    <w:p w14:paraId="1094797C" w14:textId="77777777" w:rsidR="00234EA8" w:rsidRDefault="00234EA8" w:rsidP="00234EA8">
      <w:pPr>
        <w:spacing w:line="480" w:lineRule="auto"/>
      </w:pPr>
      <w:r>
        <w:t>&lt;https://www.ons.gov.uk/peoplepopulationandcommunity/populationandmigration/populati</w:t>
      </w:r>
    </w:p>
    <w:p w14:paraId="2B05488A" w14:textId="77777777" w:rsidR="00234EA8" w:rsidRDefault="00234EA8" w:rsidP="00234EA8">
      <w:pPr>
        <w:spacing w:line="480" w:lineRule="auto"/>
      </w:pPr>
      <w:r>
        <w:t>onestimates/articles/milestonesjourneyingintoadulthood/2019-02-18&gt; [Accessed 1 August</w:t>
      </w:r>
    </w:p>
    <w:p w14:paraId="1C301B19" w14:textId="04BC9C58" w:rsidR="00234EA8" w:rsidRDefault="00234EA8" w:rsidP="00234EA8">
      <w:pPr>
        <w:spacing w:line="480" w:lineRule="auto"/>
      </w:pPr>
      <w:r>
        <w:t>2021].</w:t>
      </w:r>
    </w:p>
    <w:p w14:paraId="2579FF06" w14:textId="77777777" w:rsidR="00257246" w:rsidRDefault="00257246" w:rsidP="00E32973">
      <w:pPr>
        <w:spacing w:line="480" w:lineRule="auto"/>
      </w:pPr>
      <w:r>
        <w:t>Pillay, B. and Singh, J., 2017. ‘Mental capacity’, ‘sufficient maturity’, and ‘capable of</w:t>
      </w:r>
    </w:p>
    <w:p w14:paraId="54395C80" w14:textId="77777777" w:rsidR="00257246" w:rsidRDefault="00257246" w:rsidP="00E32973">
      <w:pPr>
        <w:spacing w:line="480" w:lineRule="auto"/>
      </w:pPr>
      <w:r>
        <w:t>understanding’ in relation to children: how should health professionals interpret these</w:t>
      </w:r>
    </w:p>
    <w:p w14:paraId="379E73BE" w14:textId="54EC6FB3" w:rsidR="00257246" w:rsidRDefault="00257246" w:rsidP="00E32973">
      <w:pPr>
        <w:spacing w:line="480" w:lineRule="auto"/>
      </w:pPr>
      <w:r>
        <w:t>terms?. South African Journal of Psychology, 48(4), pp.543-552.</w:t>
      </w:r>
    </w:p>
    <w:p w14:paraId="33D728D0" w14:textId="77777777" w:rsidR="00E32973" w:rsidRDefault="00E32973" w:rsidP="00E32973">
      <w:pPr>
        <w:spacing w:line="480" w:lineRule="auto"/>
      </w:pPr>
      <w:r>
        <w:t>Researchbriefings.files.parliament.uk. 2018. County Lines Exploitation, London. [online]</w:t>
      </w:r>
    </w:p>
    <w:p w14:paraId="60457C8A" w14:textId="77777777" w:rsidR="00E32973" w:rsidRDefault="00E32973" w:rsidP="00E32973">
      <w:pPr>
        <w:spacing w:line="480" w:lineRule="auto"/>
      </w:pPr>
      <w:r>
        <w:t>Available at:</w:t>
      </w:r>
    </w:p>
    <w:p w14:paraId="64C7B730" w14:textId="77777777" w:rsidR="00E32973" w:rsidRDefault="00E32973" w:rsidP="00E32973">
      <w:pPr>
        <w:spacing w:line="480" w:lineRule="auto"/>
      </w:pPr>
      <w:r>
        <w:t>&lt;https://researchbriefings.files.parliament.uk/documents/CDP-2018-0009/CDP-2018-0009.</w:t>
      </w:r>
    </w:p>
    <w:p w14:paraId="0D85FB99" w14:textId="4F3BD4B4" w:rsidR="00E32973" w:rsidRDefault="00E32973" w:rsidP="00E32973">
      <w:pPr>
        <w:spacing w:line="480" w:lineRule="auto"/>
      </w:pPr>
      <w:r>
        <w:t>pdf&gt; [Accessed 23 July 2021].</w:t>
      </w:r>
    </w:p>
    <w:p w14:paraId="48092920" w14:textId="77777777" w:rsidR="00234EA8" w:rsidRDefault="00234EA8" w:rsidP="00234EA8">
      <w:pPr>
        <w:spacing w:line="480" w:lineRule="auto"/>
      </w:pPr>
      <w:r>
        <w:t>Ratcliffe, J., 2008. Intelligence- Led Policing. Willan Publishing, pp.7,8-13.</w:t>
      </w:r>
    </w:p>
    <w:p w14:paraId="227B8320" w14:textId="77777777" w:rsidR="00234EA8" w:rsidRDefault="00234EA8" w:rsidP="00234EA8">
      <w:pPr>
        <w:spacing w:line="480" w:lineRule="auto"/>
      </w:pPr>
      <w:r>
        <w:lastRenderedPageBreak/>
        <w:t xml:space="preserve">Robinson, G., McLean, R. and </w:t>
      </w:r>
      <w:proofErr w:type="spellStart"/>
      <w:r>
        <w:t>Densley</w:t>
      </w:r>
      <w:proofErr w:type="spellEnd"/>
      <w:r>
        <w:t>, J., 2018. Working County Lines: Child Criminal</w:t>
      </w:r>
    </w:p>
    <w:p w14:paraId="77621593" w14:textId="77777777" w:rsidR="00234EA8" w:rsidRDefault="00234EA8" w:rsidP="00234EA8">
      <w:pPr>
        <w:spacing w:line="480" w:lineRule="auto"/>
      </w:pPr>
      <w:r>
        <w:t>Exploitation and Illicit Drug Dealing in Glasgow and Merseyside. International Journal of</w:t>
      </w:r>
    </w:p>
    <w:p w14:paraId="08E29607" w14:textId="77777777" w:rsidR="00234EA8" w:rsidRDefault="00234EA8" w:rsidP="00234EA8">
      <w:pPr>
        <w:spacing w:line="480" w:lineRule="auto"/>
      </w:pPr>
      <w:r>
        <w:t>Of ender Therapy and Comparative Criminology, 63(5), pp.707-711.</w:t>
      </w:r>
    </w:p>
    <w:p w14:paraId="77A23420" w14:textId="77777777" w:rsidR="00234EA8" w:rsidRDefault="00234EA8" w:rsidP="00234EA8">
      <w:pPr>
        <w:spacing w:line="480" w:lineRule="auto"/>
      </w:pPr>
      <w:r>
        <w:t>Spicer, J., 2018. ‘That’s their brand, their business’: how police of icers are interpreting County</w:t>
      </w:r>
    </w:p>
    <w:p w14:paraId="24B6A890" w14:textId="77777777" w:rsidR="00234EA8" w:rsidRDefault="00234EA8" w:rsidP="00234EA8">
      <w:pPr>
        <w:spacing w:line="480" w:lineRule="auto"/>
      </w:pPr>
      <w:r>
        <w:t>Lines. [online] ResearchGate. Available at:</w:t>
      </w:r>
    </w:p>
    <w:p w14:paraId="0E6D5663" w14:textId="77777777" w:rsidR="00234EA8" w:rsidRDefault="00234EA8" w:rsidP="00234EA8">
      <w:pPr>
        <w:spacing w:line="480" w:lineRule="auto"/>
      </w:pPr>
      <w:r>
        <w:t>&lt;https://www.researchgate.net/publication/323452025_'That's_their_brand_their_business'_</w:t>
      </w:r>
    </w:p>
    <w:p w14:paraId="455BD25B" w14:textId="570E09F7" w:rsidR="00234EA8" w:rsidRDefault="00234EA8" w:rsidP="00234EA8">
      <w:pPr>
        <w:spacing w:line="480" w:lineRule="auto"/>
      </w:pPr>
      <w:proofErr w:type="spellStart"/>
      <w:r>
        <w:t>how_police_officers_are_interpreting_County_Lines</w:t>
      </w:r>
      <w:proofErr w:type="spellEnd"/>
      <w:r>
        <w:t>&gt; [Accessed 20 July 2021].</w:t>
      </w:r>
    </w:p>
    <w:p w14:paraId="073BA8AE" w14:textId="77777777" w:rsidR="00234EA8" w:rsidRDefault="00234EA8" w:rsidP="00234EA8">
      <w:pPr>
        <w:spacing w:line="480" w:lineRule="auto"/>
      </w:pPr>
      <w:r>
        <w:t xml:space="preserve">Spicer, J., Moyle, L. and </w:t>
      </w:r>
      <w:proofErr w:type="spellStart"/>
      <w:r>
        <w:t>Coomber</w:t>
      </w:r>
      <w:proofErr w:type="spellEnd"/>
      <w:r>
        <w:t>, R., 2019. The variable and evolving nature of ‘cuckooing’ as</w:t>
      </w:r>
    </w:p>
    <w:p w14:paraId="16C2DC67" w14:textId="77777777" w:rsidR="00234EA8" w:rsidRDefault="00234EA8" w:rsidP="00234EA8">
      <w:pPr>
        <w:spacing w:line="480" w:lineRule="auto"/>
      </w:pPr>
      <w:r>
        <w:t>a form of criminal exploitation in street level drug markets. Trends in Organized Crime,</w:t>
      </w:r>
    </w:p>
    <w:p w14:paraId="4C8E0FF1" w14:textId="77777777" w:rsidR="00234EA8" w:rsidRDefault="00234EA8" w:rsidP="00234EA8">
      <w:pPr>
        <w:spacing w:line="480" w:lineRule="auto"/>
      </w:pPr>
      <w:r>
        <w:t>23(4), pp.301-323.</w:t>
      </w:r>
    </w:p>
    <w:p w14:paraId="0106770F" w14:textId="77777777" w:rsidR="00234EA8" w:rsidRDefault="00234EA8" w:rsidP="00234EA8">
      <w:pPr>
        <w:spacing w:line="480" w:lineRule="auto"/>
      </w:pPr>
      <w:r>
        <w:t>Trickett, L., 2015. Birds and sluts. International Review of Victimology, 22(1), pp.25-44.</w:t>
      </w:r>
    </w:p>
    <w:p w14:paraId="70121A24" w14:textId="77777777" w:rsidR="00234EA8" w:rsidRDefault="00234EA8" w:rsidP="00234EA8">
      <w:pPr>
        <w:spacing w:line="480" w:lineRule="auto"/>
      </w:pPr>
      <w:r>
        <w:t>Windle, J. and Briggs, D., 2015. ‘It’s like working away for two weeks’: The harms associated</w:t>
      </w:r>
    </w:p>
    <w:p w14:paraId="0181D0EB" w14:textId="77777777" w:rsidR="00234EA8" w:rsidRDefault="00234EA8" w:rsidP="00234EA8">
      <w:pPr>
        <w:spacing w:line="480" w:lineRule="auto"/>
      </w:pPr>
      <w:r>
        <w:t>with young drug dealers commuting from a saturated London drug market. Crime</w:t>
      </w:r>
    </w:p>
    <w:p w14:paraId="50A13347" w14:textId="6C386D5B" w:rsidR="00234EA8" w:rsidRDefault="00234EA8" w:rsidP="00234EA8">
      <w:pPr>
        <w:spacing w:line="480" w:lineRule="auto"/>
      </w:pPr>
      <w:r>
        <w:t>Prevention and Community Safety, 17(2), pp.105-119</w:t>
      </w:r>
    </w:p>
    <w:p w14:paraId="54CB0050" w14:textId="77777777" w:rsidR="00257246" w:rsidRDefault="00257246" w:rsidP="00E32973">
      <w:pPr>
        <w:spacing w:line="480" w:lineRule="auto"/>
      </w:pPr>
      <w:r>
        <w:t>Stone, N., 2018. Child Criminal Exploitation: ‘County Lines’, Trafficking and Cuckooing. Youth</w:t>
      </w:r>
    </w:p>
    <w:p w14:paraId="0AD7D110" w14:textId="77777777" w:rsidR="00257246" w:rsidRDefault="00257246" w:rsidP="00E32973">
      <w:pPr>
        <w:spacing w:line="480" w:lineRule="auto"/>
      </w:pPr>
      <w:r>
        <w:t>Justice, 18(3), pp.285-293.</w:t>
      </w:r>
    </w:p>
    <w:p w14:paraId="147BF7AE" w14:textId="77777777" w:rsidR="00257246" w:rsidRDefault="00257246" w:rsidP="00E32973">
      <w:pPr>
        <w:spacing w:line="480" w:lineRule="auto"/>
      </w:pPr>
      <w:r>
        <w:t>Wareham, K., 2021. Exploitation risk to missing and runaway children too often ignored -</w:t>
      </w:r>
    </w:p>
    <w:p w14:paraId="456013A8" w14:textId="77777777" w:rsidR="00257246" w:rsidRDefault="00257246" w:rsidP="00E32973">
      <w:pPr>
        <w:spacing w:line="480" w:lineRule="auto"/>
      </w:pPr>
      <w:r>
        <w:t>Webster, J., 2002. Analysing the Past to Prepare for the Future: Writing a Literature Review.</w:t>
      </w:r>
    </w:p>
    <w:p w14:paraId="734807C1" w14:textId="77777777" w:rsidR="00257246" w:rsidRDefault="00257246" w:rsidP="00E32973">
      <w:pPr>
        <w:spacing w:line="480" w:lineRule="auto"/>
      </w:pPr>
      <w:r>
        <w:t xml:space="preserve">Windle, J., Moyle, L. and </w:t>
      </w:r>
      <w:proofErr w:type="spellStart"/>
      <w:r>
        <w:t>Coomber</w:t>
      </w:r>
      <w:proofErr w:type="spellEnd"/>
      <w:r>
        <w:t>, R., 2020. ‘Vulnerable’ Kids Going Country: Children and</w:t>
      </w:r>
    </w:p>
    <w:p w14:paraId="2D5E7E36" w14:textId="77777777" w:rsidR="00257246" w:rsidRDefault="00257246" w:rsidP="00E32973">
      <w:pPr>
        <w:spacing w:line="480" w:lineRule="auto"/>
      </w:pPr>
      <w:r>
        <w:t>Young People’s Involvement in County Lines Drug Dealing. Youth Justice, 20(1-2),</w:t>
      </w:r>
    </w:p>
    <w:p w14:paraId="0FA16223" w14:textId="54FF9BC8" w:rsidR="00257246" w:rsidRDefault="00257246" w:rsidP="00E32973">
      <w:pPr>
        <w:spacing w:line="480" w:lineRule="auto"/>
      </w:pPr>
      <w:r>
        <w:lastRenderedPageBreak/>
        <w:t>pp.64-78.</w:t>
      </w:r>
    </w:p>
    <w:p w14:paraId="02CAC278" w14:textId="3A33248D" w:rsidR="005C2ACC" w:rsidRDefault="005C2ACC" w:rsidP="00E32973">
      <w:pPr>
        <w:spacing w:line="480" w:lineRule="auto"/>
      </w:pPr>
    </w:p>
    <w:sectPr w:rsidR="005C2ACC" w:rsidSect="0025724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46"/>
    <w:rsid w:val="0004569F"/>
    <w:rsid w:val="001F4986"/>
    <w:rsid w:val="00234EA8"/>
    <w:rsid w:val="00257246"/>
    <w:rsid w:val="003E3DEA"/>
    <w:rsid w:val="0050641E"/>
    <w:rsid w:val="005C2ACC"/>
    <w:rsid w:val="007035AA"/>
    <w:rsid w:val="008A020F"/>
    <w:rsid w:val="009D1E94"/>
    <w:rsid w:val="00B143C5"/>
    <w:rsid w:val="00C74A88"/>
    <w:rsid w:val="00E32973"/>
    <w:rsid w:val="00E634AC"/>
    <w:rsid w:val="00EC5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BC01"/>
  <w15:chartTrackingRefBased/>
  <w15:docId w15:val="{E3EDBB4E-4D83-48F1-A426-A37B61BC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2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72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72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7246"/>
    <w:rPr>
      <w:rFonts w:eastAsiaTheme="minorEastAsia"/>
      <w:lang w:val="en-US"/>
    </w:rPr>
  </w:style>
  <w:style w:type="character" w:customStyle="1" w:styleId="Heading2Char">
    <w:name w:val="Heading 2 Char"/>
    <w:basedOn w:val="DefaultParagraphFont"/>
    <w:link w:val="Heading2"/>
    <w:uiPriority w:val="9"/>
    <w:rsid w:val="0025724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5724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1951</TotalTime>
  <Pages>16</Pages>
  <Words>4133</Words>
  <Characters>23562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Literature review</vt:lpstr>
    </vt:vector>
  </TitlesOfParts>
  <Company/>
  <LinksUpToDate>false</LinksUpToDate>
  <CharactersWithSpaces>27640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1550604</dc:subject>
  <dc:creator>Elyse</dc:creator>
  <cp:keywords/>
  <dc:description/>
  <cp:lastModifiedBy>Elyse</cp:lastModifiedBy>
  <cp:revision>7</cp:revision>
  <dcterms:created xsi:type="dcterms:W3CDTF">2021-08-18T13:24:00Z</dcterms:created>
  <dcterms:modified xsi:type="dcterms:W3CDTF">2021-08-25T16:28:00Z</dcterms:modified>
</cp:coreProperties>
</file>