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BE728" w14:textId="7A7CDA96" w:rsidR="005F7A7D" w:rsidRDefault="00AE2000">
      <w:r w:rsidRPr="00AE2000">
        <w:t>A</w:t>
      </w:r>
      <w:r w:rsidRPr="00AE2000">
        <w:t>cademic</w:t>
      </w:r>
      <w:r>
        <w:t xml:space="preserve"> skills</w:t>
      </w:r>
      <w:r w:rsidRPr="00AE2000">
        <w:t xml:space="preserve"> and employment skills</w:t>
      </w:r>
    </w:p>
    <w:p w14:paraId="374B9B00" w14:textId="762A180D" w:rsidR="00AE2000" w:rsidRDefault="00AE2000" w:rsidP="00AE2000">
      <w:pPr>
        <w:jc w:val="both"/>
      </w:pPr>
      <w:r w:rsidRPr="00AE2000">
        <w:t xml:space="preserve">For the purposes of this review, we use "academic skills development" as an umbrella term to encompass interventions aimed at enhancing students' capabilities for academic study, whether focused on general study strategies, English language proficiency, or discipline-specific literacies. However, we recognise debates around these terms and aim to be sensitive to different theoretical orientations. Our broad conception aligns with </w:t>
      </w:r>
      <w:proofErr w:type="spellStart"/>
      <w:r w:rsidRPr="00AE2000">
        <w:t>BlajWard's</w:t>
      </w:r>
      <w:proofErr w:type="spellEnd"/>
      <w:r w:rsidRPr="00AE2000">
        <w:t xml:space="preserve"> (2022) definition of "academic literacies provision" as learning activities designed to facilitate fuller academic experiences for students, increasing awareness of academic communication while developing language proficiency. Like Blaj-Ward, we see value in drawing on multiple strands of scholarship - including applied linguistics, language learning pedagogy, and higher education research - to inform effective academic support that is responsive to diverse student needs and aspirations.</w:t>
      </w:r>
      <w:r>
        <w:t xml:space="preserve"> </w:t>
      </w:r>
      <w:sdt>
        <w:sdtPr>
          <w:id w:val="233667850"/>
          <w:citation/>
        </w:sdtPr>
        <w:sdtContent>
          <w:r>
            <w:fldChar w:fldCharType="begin"/>
          </w:r>
          <w:r>
            <w:instrText xml:space="preserve"> CITATION Jor \l 2057 </w:instrText>
          </w:r>
          <w:r>
            <w:fldChar w:fldCharType="separate"/>
          </w:r>
          <w:r w:rsidR="0092783E" w:rsidRPr="0092783E">
            <w:rPr>
              <w:noProof/>
            </w:rPr>
            <w:t>[1]</w:t>
          </w:r>
          <w:r>
            <w:fldChar w:fldCharType="end"/>
          </w:r>
        </w:sdtContent>
      </w:sdt>
    </w:p>
    <w:p w14:paraId="4D2EA2E1" w14:textId="0CA07610" w:rsidR="00AE2000" w:rsidRDefault="00AE2000" w:rsidP="00AE2000">
      <w:pPr>
        <w:jc w:val="both"/>
      </w:pPr>
      <w:r w:rsidRPr="00AE2000">
        <w:t>These activities encourage the learner to concentrate on learning activities and tasks, spend more time learning, use efficient studying and learning strategies, and enjoy the help of others when needed, thus facilitating the achievement of academic goals.</w:t>
      </w:r>
      <w:sdt>
        <w:sdtPr>
          <w:id w:val="449063203"/>
          <w:citation/>
        </w:sdtPr>
        <w:sdtContent>
          <w:r w:rsidR="0092783E">
            <w:fldChar w:fldCharType="begin"/>
          </w:r>
          <w:r w:rsidR="0092783E">
            <w:instrText xml:space="preserve"> CITATION Fat \l 2057 </w:instrText>
          </w:r>
          <w:r w:rsidR="0092783E">
            <w:fldChar w:fldCharType="separate"/>
          </w:r>
          <w:r w:rsidR="0092783E">
            <w:rPr>
              <w:noProof/>
            </w:rPr>
            <w:t xml:space="preserve"> </w:t>
          </w:r>
          <w:r w:rsidR="0092783E" w:rsidRPr="0092783E">
            <w:rPr>
              <w:noProof/>
            </w:rPr>
            <w:t>[2]</w:t>
          </w:r>
          <w:r w:rsidR="0092783E">
            <w:fldChar w:fldCharType="end"/>
          </w:r>
        </w:sdtContent>
      </w:sdt>
    </w:p>
    <w:p w14:paraId="04DB4305" w14:textId="77777777" w:rsidR="00AE2000" w:rsidRDefault="00AE2000" w:rsidP="00AE2000">
      <w:pPr>
        <w:jc w:val="both"/>
      </w:pPr>
    </w:p>
    <w:p w14:paraId="18DCD141" w14:textId="77777777" w:rsidR="00AE2000" w:rsidRDefault="00AE2000" w:rsidP="00AE2000">
      <w:pPr>
        <w:jc w:val="both"/>
      </w:pPr>
    </w:p>
    <w:p w14:paraId="40C47460" w14:textId="77777777" w:rsidR="00AE2000" w:rsidRDefault="00AE2000" w:rsidP="00AE2000">
      <w:pPr>
        <w:jc w:val="both"/>
      </w:pPr>
    </w:p>
    <w:p w14:paraId="6C70F9D3" w14:textId="77777777" w:rsidR="00AE2000" w:rsidRDefault="00AE2000" w:rsidP="00AE2000">
      <w:pPr>
        <w:jc w:val="both"/>
      </w:pPr>
    </w:p>
    <w:p w14:paraId="6D3D0BDB" w14:textId="77777777" w:rsidR="00AE2000" w:rsidRDefault="00AE2000" w:rsidP="00AE2000">
      <w:pPr>
        <w:jc w:val="both"/>
      </w:pPr>
    </w:p>
    <w:p w14:paraId="4FC55E7C" w14:textId="77777777" w:rsidR="00AE2000" w:rsidRDefault="00AE2000" w:rsidP="00AE2000">
      <w:pPr>
        <w:jc w:val="both"/>
      </w:pPr>
    </w:p>
    <w:p w14:paraId="1AE8B307" w14:textId="77777777" w:rsidR="00AE2000" w:rsidRDefault="00AE2000" w:rsidP="00AE2000">
      <w:pPr>
        <w:jc w:val="both"/>
      </w:pPr>
    </w:p>
    <w:p w14:paraId="73DDB72F" w14:textId="77777777" w:rsidR="00AE2000" w:rsidRDefault="00AE2000" w:rsidP="00AE2000">
      <w:pPr>
        <w:jc w:val="both"/>
      </w:pPr>
    </w:p>
    <w:p w14:paraId="1ACFBEF6" w14:textId="77777777" w:rsidR="00AE2000" w:rsidRDefault="00AE2000" w:rsidP="00AE2000">
      <w:pPr>
        <w:jc w:val="both"/>
      </w:pPr>
    </w:p>
    <w:p w14:paraId="059D51E5" w14:textId="77777777" w:rsidR="00AE2000" w:rsidRDefault="00AE2000" w:rsidP="00AE2000">
      <w:pPr>
        <w:jc w:val="both"/>
      </w:pPr>
    </w:p>
    <w:p w14:paraId="72BCD7F0" w14:textId="77777777" w:rsidR="00AE2000" w:rsidRDefault="00AE2000" w:rsidP="00AE2000">
      <w:pPr>
        <w:jc w:val="both"/>
      </w:pPr>
    </w:p>
    <w:p w14:paraId="268486A2" w14:textId="77777777" w:rsidR="00AE2000" w:rsidRDefault="00AE2000" w:rsidP="00AE2000">
      <w:pPr>
        <w:jc w:val="both"/>
      </w:pPr>
    </w:p>
    <w:p w14:paraId="08765874" w14:textId="77777777" w:rsidR="00AE2000" w:rsidRDefault="00AE2000" w:rsidP="00AE2000">
      <w:pPr>
        <w:jc w:val="both"/>
      </w:pPr>
    </w:p>
    <w:p w14:paraId="164A2CA3" w14:textId="77777777" w:rsidR="00AE2000" w:rsidRDefault="00AE2000" w:rsidP="00AE2000">
      <w:pPr>
        <w:jc w:val="both"/>
      </w:pPr>
    </w:p>
    <w:p w14:paraId="11811F73" w14:textId="77777777" w:rsidR="00AE2000" w:rsidRDefault="00AE2000" w:rsidP="00AE2000">
      <w:pPr>
        <w:jc w:val="both"/>
      </w:pPr>
    </w:p>
    <w:p w14:paraId="1B050A28" w14:textId="77777777" w:rsidR="00AE2000" w:rsidRDefault="00AE2000" w:rsidP="00AE2000">
      <w:pPr>
        <w:jc w:val="both"/>
      </w:pPr>
    </w:p>
    <w:p w14:paraId="1F04A698" w14:textId="77777777" w:rsidR="00AE2000" w:rsidRDefault="00AE2000" w:rsidP="00AE2000">
      <w:pPr>
        <w:jc w:val="both"/>
      </w:pPr>
    </w:p>
    <w:p w14:paraId="637CCB3B" w14:textId="77777777" w:rsidR="00AE2000" w:rsidRDefault="00AE2000" w:rsidP="00AE2000">
      <w:pPr>
        <w:jc w:val="both"/>
      </w:pPr>
    </w:p>
    <w:p w14:paraId="634063BD" w14:textId="77777777" w:rsidR="00AE2000" w:rsidRDefault="00AE2000" w:rsidP="00AE2000">
      <w:pPr>
        <w:jc w:val="both"/>
      </w:pPr>
    </w:p>
    <w:sdt>
      <w:sdtPr>
        <w:id w:val="590129620"/>
        <w:docPartObj>
          <w:docPartGallery w:val="Bibliographies"/>
          <w:docPartUnique/>
        </w:docPartObj>
      </w:sdtPr>
      <w:sdtEndPr>
        <w:rPr>
          <w:rFonts w:asciiTheme="minorHAnsi" w:eastAsiaTheme="minorEastAsia" w:hAnsiTheme="minorHAnsi" w:cstheme="minorBidi"/>
          <w:color w:val="auto"/>
          <w:sz w:val="24"/>
          <w:szCs w:val="24"/>
        </w:rPr>
      </w:sdtEndPr>
      <w:sdtContent>
        <w:p w14:paraId="7122B22E" w14:textId="0B929623" w:rsidR="00AE2000" w:rsidRDefault="00AE2000">
          <w:pPr>
            <w:pStyle w:val="Heading1"/>
          </w:pPr>
          <w:r>
            <w:t>References</w:t>
          </w:r>
        </w:p>
        <w:sdt>
          <w:sdtPr>
            <w:id w:val="-573587230"/>
            <w:bibliography/>
          </w:sdtPr>
          <w:sdtContent>
            <w:p w14:paraId="5F9FBCBE" w14:textId="77777777" w:rsidR="0092783E" w:rsidRDefault="00AE200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3"/>
                <w:gridCol w:w="8733"/>
              </w:tblGrid>
              <w:tr w:rsidR="0092783E" w14:paraId="319FCF7C" w14:textId="77777777">
                <w:trPr>
                  <w:divId w:val="1341157191"/>
                  <w:tblCellSpacing w:w="15" w:type="dxa"/>
                </w:trPr>
                <w:tc>
                  <w:tcPr>
                    <w:tcW w:w="50" w:type="pct"/>
                    <w:hideMark/>
                  </w:tcPr>
                  <w:p w14:paraId="2EB58714" w14:textId="4D0BFAC2" w:rsidR="0092783E" w:rsidRDefault="0092783E">
                    <w:pPr>
                      <w:pStyle w:val="Bibliography"/>
                      <w:rPr>
                        <w:noProof/>
                        <w:kern w:val="0"/>
                        <w14:ligatures w14:val="none"/>
                      </w:rPr>
                    </w:pPr>
                    <w:r>
                      <w:rPr>
                        <w:noProof/>
                      </w:rPr>
                      <w:t xml:space="preserve">[1] </w:t>
                    </w:r>
                  </w:p>
                </w:tc>
                <w:tc>
                  <w:tcPr>
                    <w:tcW w:w="0" w:type="auto"/>
                    <w:hideMark/>
                  </w:tcPr>
                  <w:p w14:paraId="050BD2BA" w14:textId="77777777" w:rsidR="0092783E" w:rsidRDefault="0092783E">
                    <w:pPr>
                      <w:pStyle w:val="Bibliography"/>
                      <w:rPr>
                        <w:noProof/>
                      </w:rPr>
                    </w:pPr>
                    <w:r>
                      <w:rPr>
                        <w:noProof/>
                      </w:rPr>
                      <w:t>J. d. Henau, “university of Oxford,” Octomber 2024. [Online]. Available: https://www.ctl.ox.ac.uk/sites/default/files/ctl/documents/media/academic_skills_literature_review.pdf. [Accessed 25 June 2026].</w:t>
                    </w:r>
                  </w:p>
                </w:tc>
              </w:tr>
              <w:tr w:rsidR="0092783E" w14:paraId="1EED3823" w14:textId="77777777">
                <w:trPr>
                  <w:divId w:val="1341157191"/>
                  <w:tblCellSpacing w:w="15" w:type="dxa"/>
                </w:trPr>
                <w:tc>
                  <w:tcPr>
                    <w:tcW w:w="50" w:type="pct"/>
                    <w:hideMark/>
                  </w:tcPr>
                  <w:p w14:paraId="5AE79E70" w14:textId="77777777" w:rsidR="0092783E" w:rsidRDefault="0092783E">
                    <w:pPr>
                      <w:pStyle w:val="Bibliography"/>
                      <w:rPr>
                        <w:noProof/>
                      </w:rPr>
                    </w:pPr>
                    <w:r>
                      <w:rPr>
                        <w:noProof/>
                      </w:rPr>
                      <w:t xml:space="preserve">[2] </w:t>
                    </w:r>
                  </w:p>
                </w:tc>
                <w:tc>
                  <w:tcPr>
                    <w:tcW w:w="0" w:type="auto"/>
                    <w:hideMark/>
                  </w:tcPr>
                  <w:p w14:paraId="02B61917" w14:textId="77777777" w:rsidR="0092783E" w:rsidRDefault="0092783E">
                    <w:pPr>
                      <w:pStyle w:val="Bibliography"/>
                      <w:rPr>
                        <w:noProof/>
                      </w:rPr>
                    </w:pPr>
                    <w:r>
                      <w:rPr>
                        <w:noProof/>
                      </w:rPr>
                      <w:t>Fatemeh Kordsalarzehi, Sajad Salehipour, Mahsa Asadollahi Hamedani , Rokhsare Zarei Jahromi , Azizollah Arbabisarjou , Mahnaz Ghaljeh, “National Library of Medicine,” 28 February 2025. [Online]. Available: https://pmc.ncbi.nlm.nih.gov/articles/PMC11940016/. [Accessed 25 June 2026].</w:t>
                    </w:r>
                  </w:p>
                </w:tc>
              </w:tr>
            </w:tbl>
            <w:p w14:paraId="0D8F53B6" w14:textId="77777777" w:rsidR="0092783E" w:rsidRDefault="0092783E">
              <w:pPr>
                <w:divId w:val="1341157191"/>
                <w:rPr>
                  <w:rFonts w:eastAsia="Times New Roman"/>
                  <w:noProof/>
                </w:rPr>
              </w:pPr>
            </w:p>
            <w:p w14:paraId="5B1A8686" w14:textId="03165A4B" w:rsidR="00AE2000" w:rsidRDefault="00AE2000">
              <w:r>
                <w:rPr>
                  <w:b/>
                  <w:bCs/>
                  <w:noProof/>
                </w:rPr>
                <w:fldChar w:fldCharType="end"/>
              </w:r>
            </w:p>
          </w:sdtContent>
        </w:sdt>
      </w:sdtContent>
    </w:sdt>
    <w:p w14:paraId="6D2CEA09" w14:textId="77777777" w:rsidR="00AE2000" w:rsidRDefault="00AE2000" w:rsidP="00AE2000">
      <w:pPr>
        <w:jc w:val="both"/>
      </w:pPr>
    </w:p>
    <w:sectPr w:rsidR="00AE20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000"/>
    <w:rsid w:val="000443A9"/>
    <w:rsid w:val="005F7A7D"/>
    <w:rsid w:val="0092783E"/>
    <w:rsid w:val="00AE2000"/>
    <w:rsid w:val="00FF7B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886EC"/>
  <w15:chartTrackingRefBased/>
  <w15:docId w15:val="{7EC13585-3656-42AB-B7AC-BB803F95A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20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20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20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20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20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20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20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20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20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0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20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20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20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20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20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20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20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2000"/>
    <w:rPr>
      <w:rFonts w:eastAsiaTheme="majorEastAsia" w:cstheme="majorBidi"/>
      <w:color w:val="272727" w:themeColor="text1" w:themeTint="D8"/>
    </w:rPr>
  </w:style>
  <w:style w:type="paragraph" w:styleId="Title">
    <w:name w:val="Title"/>
    <w:basedOn w:val="Normal"/>
    <w:next w:val="Normal"/>
    <w:link w:val="TitleChar"/>
    <w:uiPriority w:val="10"/>
    <w:qFormat/>
    <w:rsid w:val="00AE2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20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20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20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2000"/>
    <w:pPr>
      <w:spacing w:before="160"/>
      <w:jc w:val="center"/>
    </w:pPr>
    <w:rPr>
      <w:i/>
      <w:iCs/>
      <w:color w:val="404040" w:themeColor="text1" w:themeTint="BF"/>
    </w:rPr>
  </w:style>
  <w:style w:type="character" w:customStyle="1" w:styleId="QuoteChar">
    <w:name w:val="Quote Char"/>
    <w:basedOn w:val="DefaultParagraphFont"/>
    <w:link w:val="Quote"/>
    <w:uiPriority w:val="29"/>
    <w:rsid w:val="00AE2000"/>
    <w:rPr>
      <w:i/>
      <w:iCs/>
      <w:color w:val="404040" w:themeColor="text1" w:themeTint="BF"/>
    </w:rPr>
  </w:style>
  <w:style w:type="paragraph" w:styleId="ListParagraph">
    <w:name w:val="List Paragraph"/>
    <w:basedOn w:val="Normal"/>
    <w:uiPriority w:val="34"/>
    <w:qFormat/>
    <w:rsid w:val="00AE2000"/>
    <w:pPr>
      <w:ind w:left="720"/>
      <w:contextualSpacing/>
    </w:pPr>
  </w:style>
  <w:style w:type="character" w:styleId="IntenseEmphasis">
    <w:name w:val="Intense Emphasis"/>
    <w:basedOn w:val="DefaultParagraphFont"/>
    <w:uiPriority w:val="21"/>
    <w:qFormat/>
    <w:rsid w:val="00AE2000"/>
    <w:rPr>
      <w:i/>
      <w:iCs/>
      <w:color w:val="0F4761" w:themeColor="accent1" w:themeShade="BF"/>
    </w:rPr>
  </w:style>
  <w:style w:type="paragraph" w:styleId="IntenseQuote">
    <w:name w:val="Intense Quote"/>
    <w:basedOn w:val="Normal"/>
    <w:next w:val="Normal"/>
    <w:link w:val="IntenseQuoteChar"/>
    <w:uiPriority w:val="30"/>
    <w:qFormat/>
    <w:rsid w:val="00AE20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2000"/>
    <w:rPr>
      <w:i/>
      <w:iCs/>
      <w:color w:val="0F4761" w:themeColor="accent1" w:themeShade="BF"/>
    </w:rPr>
  </w:style>
  <w:style w:type="character" w:styleId="IntenseReference">
    <w:name w:val="Intense Reference"/>
    <w:basedOn w:val="DefaultParagraphFont"/>
    <w:uiPriority w:val="32"/>
    <w:qFormat/>
    <w:rsid w:val="00AE2000"/>
    <w:rPr>
      <w:b/>
      <w:bCs/>
      <w:smallCaps/>
      <w:color w:val="0F4761" w:themeColor="accent1" w:themeShade="BF"/>
      <w:spacing w:val="5"/>
    </w:rPr>
  </w:style>
  <w:style w:type="paragraph" w:styleId="Bibliography">
    <w:name w:val="Bibliography"/>
    <w:basedOn w:val="Normal"/>
    <w:next w:val="Normal"/>
    <w:uiPriority w:val="37"/>
    <w:unhideWhenUsed/>
    <w:rsid w:val="00AE2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69543">
      <w:bodyDiv w:val="1"/>
      <w:marLeft w:val="0"/>
      <w:marRight w:val="0"/>
      <w:marTop w:val="0"/>
      <w:marBottom w:val="0"/>
      <w:divBdr>
        <w:top w:val="none" w:sz="0" w:space="0" w:color="auto"/>
        <w:left w:val="none" w:sz="0" w:space="0" w:color="auto"/>
        <w:bottom w:val="none" w:sz="0" w:space="0" w:color="auto"/>
        <w:right w:val="none" w:sz="0" w:space="0" w:color="auto"/>
      </w:divBdr>
    </w:div>
    <w:div w:id="636689241">
      <w:bodyDiv w:val="1"/>
      <w:marLeft w:val="0"/>
      <w:marRight w:val="0"/>
      <w:marTop w:val="0"/>
      <w:marBottom w:val="0"/>
      <w:divBdr>
        <w:top w:val="none" w:sz="0" w:space="0" w:color="auto"/>
        <w:left w:val="none" w:sz="0" w:space="0" w:color="auto"/>
        <w:bottom w:val="none" w:sz="0" w:space="0" w:color="auto"/>
        <w:right w:val="none" w:sz="0" w:space="0" w:color="auto"/>
      </w:divBdr>
    </w:div>
    <w:div w:id="1156720850">
      <w:bodyDiv w:val="1"/>
      <w:marLeft w:val="0"/>
      <w:marRight w:val="0"/>
      <w:marTop w:val="0"/>
      <w:marBottom w:val="0"/>
      <w:divBdr>
        <w:top w:val="none" w:sz="0" w:space="0" w:color="auto"/>
        <w:left w:val="none" w:sz="0" w:space="0" w:color="auto"/>
        <w:bottom w:val="none" w:sz="0" w:space="0" w:color="auto"/>
        <w:right w:val="none" w:sz="0" w:space="0" w:color="auto"/>
      </w:divBdr>
    </w:div>
    <w:div w:id="1265846433">
      <w:bodyDiv w:val="1"/>
      <w:marLeft w:val="0"/>
      <w:marRight w:val="0"/>
      <w:marTop w:val="0"/>
      <w:marBottom w:val="0"/>
      <w:divBdr>
        <w:top w:val="none" w:sz="0" w:space="0" w:color="auto"/>
        <w:left w:val="none" w:sz="0" w:space="0" w:color="auto"/>
        <w:bottom w:val="none" w:sz="0" w:space="0" w:color="auto"/>
        <w:right w:val="none" w:sz="0" w:space="0" w:color="auto"/>
      </w:divBdr>
    </w:div>
    <w:div w:id="1341157191">
      <w:bodyDiv w:val="1"/>
      <w:marLeft w:val="0"/>
      <w:marRight w:val="0"/>
      <w:marTop w:val="0"/>
      <w:marBottom w:val="0"/>
      <w:divBdr>
        <w:top w:val="none" w:sz="0" w:space="0" w:color="auto"/>
        <w:left w:val="none" w:sz="0" w:space="0" w:color="auto"/>
        <w:bottom w:val="none" w:sz="0" w:space="0" w:color="auto"/>
        <w:right w:val="none" w:sz="0" w:space="0" w:color="auto"/>
      </w:divBdr>
    </w:div>
    <w:div w:id="183418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Jor</b:Tag>
    <b:SourceType>DocumentFromInternetSite</b:SourceType>
    <b:Guid>{69688285-058F-4F25-9702-9824D72EC3E3}</b:Guid>
    <b:Author>
      <b:Author>
        <b:NameList>
          <b:Person>
            <b:Last>Henau</b:Last>
            <b:First>Joris</b:First>
            <b:Middle>de</b:Middle>
          </b:Person>
        </b:NameList>
      </b:Author>
    </b:Author>
    <b:Title>university of Oxford</b:Title>
    <b:Year>2024</b:Year>
    <b:Month>Octomber</b:Month>
    <b:YearAccessed>2026</b:YearAccessed>
    <b:MonthAccessed>June</b:MonthAccessed>
    <b:DayAccessed>25</b:DayAccessed>
    <b:URL>https://www.ctl.ox.ac.uk/sites/default/files/ctl/documents/media/academic_skills_literature_review.pdf</b:URL>
    <b:RefOrder>1</b:RefOrder>
  </b:Source>
  <b:Source>
    <b:Tag>Fat</b:Tag>
    <b:SourceType>InternetSite</b:SourceType>
    <b:Guid>{6D0D6BE0-3661-4F04-89D3-B4E5D9BF4F2D}</b:Guid>
    <b:Author>
      <b:Author>
        <b:Corporate>Fatemeh Kordsalarzehi, Sajad Salehipour, Mahsa Asadollahi Hamedani , Rokhsare Zarei Jahromi , Azizollah Arbabisarjou , Mahnaz Ghaljeh</b:Corporate>
      </b:Author>
    </b:Author>
    <b:Title>National Library of Medicine</b:Title>
    <b:Year>2025</b:Year>
    <b:Month>February </b:Month>
    <b:Day>28</b:Day>
    <b:YearAccessed>2026</b:YearAccessed>
    <b:MonthAccessed>June</b:MonthAccessed>
    <b:DayAccessed>25</b:DayAccessed>
    <b:URL>https://pmc.ncbi.nlm.nih.gov/articles/PMC11940016/</b:URL>
    <b:RefOrder>2</b:RefOrder>
  </b:Source>
</b:Sources>
</file>

<file path=customXml/itemProps1.xml><?xml version="1.0" encoding="utf-8"?>
<ds:datastoreItem xmlns:ds="http://schemas.openxmlformats.org/officeDocument/2006/customXml" ds:itemID="{D2D3A288-0428-49CB-AE5E-AE8D006CF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275</Words>
  <Characters>1572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Suneth Fernando</dc:creator>
  <cp:keywords/>
  <dc:description/>
  <cp:lastModifiedBy>Suneth Fernando</cp:lastModifiedBy>
  <cp:revision>1</cp:revision>
  <dcterms:created xsi:type="dcterms:W3CDTF">2026-06-25T09:09:00Z</dcterms:created>
  <dcterms:modified xsi:type="dcterms:W3CDTF">2026-06-25T09:22:00Z</dcterms:modified>
</cp:coreProperties>
</file>