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B26DE9" w14:textId="77777777" w:rsidR="00827DF4" w:rsidRDefault="00827DF4" w:rsidP="00827DF4">
      <w:pPr>
        <w:pStyle w:val="Photo"/>
        <w:rPr>
          <w:rFonts w:asciiTheme="majorHAnsi" w:eastAsiaTheme="majorEastAsia" w:hAnsiTheme="majorHAnsi" w:cstheme="majorBidi"/>
          <w:color w:val="3F251D" w:themeColor="accent1"/>
          <w:kern w:val="28"/>
          <w:sz w:val="60"/>
          <w:szCs w:val="60"/>
        </w:rPr>
      </w:pPr>
      <w:r>
        <w:rPr>
          <w:noProof/>
        </w:rPr>
        <w:drawing>
          <wp:inline distT="0" distB="0" distL="0" distR="0" wp14:anchorId="0A65B349" wp14:editId="21B31358">
            <wp:extent cx="4797631" cy="3229610"/>
            <wp:effectExtent l="0" t="0" r="3175" b="8890"/>
            <wp:docPr id="8" name="Picture 7"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defin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3808" cy="3260695"/>
                    </a:xfrm>
                    <a:prstGeom prst="rect">
                      <a:avLst/>
                    </a:prstGeom>
                    <a:noFill/>
                    <a:ln>
                      <a:noFill/>
                    </a:ln>
                  </pic:spPr>
                </pic:pic>
              </a:graphicData>
            </a:graphic>
          </wp:inline>
        </w:drawing>
      </w:r>
    </w:p>
    <w:p w14:paraId="26A4ABB2" w14:textId="3C125E24" w:rsidR="001638F6" w:rsidRPr="00827DF4" w:rsidRDefault="00262AAF" w:rsidP="00827DF4">
      <w:pPr>
        <w:pStyle w:val="Photo"/>
        <w:rPr>
          <w:rFonts w:asciiTheme="majorHAnsi" w:eastAsiaTheme="majorEastAsia" w:hAnsiTheme="majorHAnsi" w:cstheme="majorBidi"/>
          <w:color w:val="3F251D" w:themeColor="accent1"/>
          <w:kern w:val="28"/>
          <w:sz w:val="60"/>
          <w:szCs w:val="60"/>
        </w:rPr>
      </w:pPr>
      <w:r w:rsidRPr="00262AAF">
        <w:rPr>
          <w:rFonts w:asciiTheme="majorHAnsi" w:eastAsiaTheme="majorEastAsia" w:hAnsiTheme="majorHAnsi" w:cstheme="majorBidi"/>
          <w:color w:val="3F251D" w:themeColor="accent1"/>
          <w:kern w:val="28"/>
          <w:sz w:val="60"/>
          <w:szCs w:val="60"/>
        </w:rPr>
        <w:t>Risk Assessment &amp; ALARP Justification</w:t>
      </w:r>
    </w:p>
    <w:p w14:paraId="165BA222" w14:textId="345B9AB5" w:rsidR="001638F6" w:rsidRPr="00D5413C" w:rsidRDefault="00262AAF" w:rsidP="00D5413C">
      <w:pPr>
        <w:pStyle w:val="Subtitle"/>
      </w:pPr>
      <w:r>
        <w:t>115mm Large Calibre Gun</w:t>
      </w:r>
    </w:p>
    <w:p w14:paraId="0D99C358" w14:textId="77777777" w:rsidR="00485FD7" w:rsidRDefault="00262AAF" w:rsidP="00827DF4">
      <w:pPr>
        <w:pStyle w:val="ContactInfo"/>
        <w:rPr>
          <w:lang w:val="en-GB" w:bidi="en-GB"/>
        </w:rPr>
      </w:pPr>
      <w:r>
        <w:t>Fraser Goodwin</w:t>
      </w:r>
      <w:r w:rsidR="00D5413C">
        <w:rPr>
          <w:lang w:val="en-GB" w:bidi="en-GB"/>
        </w:rPr>
        <w:t xml:space="preserve"> |</w:t>
      </w:r>
      <w:r>
        <w:t xml:space="preserve"> ACDB 5013</w:t>
      </w:r>
      <w:r w:rsidR="00D5413C">
        <w:rPr>
          <w:lang w:val="en-GB" w:bidi="en-GB"/>
        </w:rPr>
        <w:t xml:space="preserve"> | </w:t>
      </w:r>
      <w:r w:rsidR="000A3A2A">
        <w:rPr>
          <w:lang w:val="en-GB" w:bidi="en-GB"/>
        </w:rPr>
        <w:t>1</w:t>
      </w:r>
      <w:r w:rsidR="00485FD7">
        <w:rPr>
          <w:lang w:val="en-GB" w:bidi="en-GB"/>
        </w:rPr>
        <w:t>8/07/2025</w:t>
      </w:r>
    </w:p>
    <w:sdt>
      <w:sdtPr>
        <w:rPr>
          <w:rFonts w:asciiTheme="minorHAnsi" w:eastAsiaTheme="minorEastAsia" w:hAnsiTheme="minorHAnsi" w:cstheme="minorBidi"/>
          <w:color w:val="4D322D" w:themeColor="text2"/>
          <w:sz w:val="22"/>
          <w:szCs w:val="22"/>
        </w:rPr>
        <w:id w:val="-1041662978"/>
        <w:docPartObj>
          <w:docPartGallery w:val="Table of Contents"/>
          <w:docPartUnique/>
        </w:docPartObj>
      </w:sdtPr>
      <w:sdtEndPr>
        <w:rPr>
          <w:b/>
          <w:bCs/>
          <w:noProof/>
        </w:rPr>
      </w:sdtEndPr>
      <w:sdtContent>
        <w:p w14:paraId="5EE7C036" w14:textId="24FEE073" w:rsidR="00485FD7" w:rsidRDefault="00485FD7">
          <w:pPr>
            <w:pStyle w:val="TOCHeading"/>
          </w:pPr>
          <w:r>
            <w:t>Contents</w:t>
          </w:r>
        </w:p>
        <w:p w14:paraId="03D0FBB1" w14:textId="5FEBA4AD" w:rsidR="00485FD7" w:rsidRDefault="00485FD7">
          <w:pPr>
            <w:pStyle w:val="TOC1"/>
            <w:tabs>
              <w:tab w:val="right" w:leader="dot" w:pos="8630"/>
            </w:tabs>
            <w:rPr>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203723528" w:history="1">
            <w:r w:rsidRPr="00082F8C">
              <w:rPr>
                <w:rStyle w:val="Hyperlink"/>
                <w:noProof/>
              </w:rPr>
              <w:t>Part 1 – Risk Assessment</w:t>
            </w:r>
            <w:r>
              <w:rPr>
                <w:noProof/>
                <w:webHidden/>
              </w:rPr>
              <w:tab/>
            </w:r>
            <w:r>
              <w:rPr>
                <w:noProof/>
                <w:webHidden/>
              </w:rPr>
              <w:fldChar w:fldCharType="begin"/>
            </w:r>
            <w:r>
              <w:rPr>
                <w:noProof/>
                <w:webHidden/>
              </w:rPr>
              <w:instrText xml:space="preserve"> PAGEREF _Toc203723528 \h </w:instrText>
            </w:r>
            <w:r>
              <w:rPr>
                <w:noProof/>
                <w:webHidden/>
              </w:rPr>
            </w:r>
            <w:r>
              <w:rPr>
                <w:noProof/>
                <w:webHidden/>
              </w:rPr>
              <w:fldChar w:fldCharType="separate"/>
            </w:r>
            <w:r>
              <w:rPr>
                <w:noProof/>
                <w:webHidden/>
              </w:rPr>
              <w:t>0</w:t>
            </w:r>
            <w:r>
              <w:rPr>
                <w:noProof/>
                <w:webHidden/>
              </w:rPr>
              <w:fldChar w:fldCharType="end"/>
            </w:r>
          </w:hyperlink>
        </w:p>
        <w:p w14:paraId="03546FD3" w14:textId="7B806B65" w:rsidR="00485FD7" w:rsidRDefault="00485FD7">
          <w:pPr>
            <w:pStyle w:val="TOC2"/>
            <w:tabs>
              <w:tab w:val="right" w:leader="dot" w:pos="8630"/>
            </w:tabs>
            <w:rPr>
              <w:noProof/>
              <w:color w:val="auto"/>
              <w:kern w:val="2"/>
              <w:sz w:val="24"/>
              <w:szCs w:val="24"/>
              <w:lang w:val="en-GB" w:eastAsia="en-GB"/>
              <w14:ligatures w14:val="standardContextual"/>
            </w:rPr>
          </w:pPr>
          <w:hyperlink w:anchor="_Toc203723529" w:history="1">
            <w:r w:rsidRPr="00082F8C">
              <w:rPr>
                <w:rStyle w:val="Hyperlink"/>
                <w:noProof/>
              </w:rPr>
              <w:t>Tabular Risk Assessment</w:t>
            </w:r>
            <w:r>
              <w:rPr>
                <w:noProof/>
                <w:webHidden/>
              </w:rPr>
              <w:tab/>
            </w:r>
            <w:r>
              <w:rPr>
                <w:noProof/>
                <w:webHidden/>
              </w:rPr>
              <w:fldChar w:fldCharType="begin"/>
            </w:r>
            <w:r>
              <w:rPr>
                <w:noProof/>
                <w:webHidden/>
              </w:rPr>
              <w:instrText xml:space="preserve"> PAGEREF _Toc203723529 \h </w:instrText>
            </w:r>
            <w:r>
              <w:rPr>
                <w:noProof/>
                <w:webHidden/>
              </w:rPr>
            </w:r>
            <w:r>
              <w:rPr>
                <w:noProof/>
                <w:webHidden/>
              </w:rPr>
              <w:fldChar w:fldCharType="separate"/>
            </w:r>
            <w:r>
              <w:rPr>
                <w:noProof/>
                <w:webHidden/>
              </w:rPr>
              <w:t>0</w:t>
            </w:r>
            <w:r>
              <w:rPr>
                <w:noProof/>
                <w:webHidden/>
              </w:rPr>
              <w:fldChar w:fldCharType="end"/>
            </w:r>
          </w:hyperlink>
        </w:p>
        <w:p w14:paraId="59529FCF" w14:textId="1BAF4FF6" w:rsidR="00485FD7" w:rsidRDefault="00485FD7">
          <w:pPr>
            <w:pStyle w:val="TOC2"/>
            <w:tabs>
              <w:tab w:val="right" w:leader="dot" w:pos="8630"/>
            </w:tabs>
            <w:rPr>
              <w:noProof/>
              <w:color w:val="auto"/>
              <w:kern w:val="2"/>
              <w:sz w:val="24"/>
              <w:szCs w:val="24"/>
              <w:lang w:val="en-GB" w:eastAsia="en-GB"/>
              <w14:ligatures w14:val="standardContextual"/>
            </w:rPr>
          </w:pPr>
          <w:hyperlink w:anchor="_Toc203723530" w:history="1">
            <w:r w:rsidRPr="00082F8C">
              <w:rPr>
                <w:rStyle w:val="Hyperlink"/>
                <w:noProof/>
              </w:rPr>
              <w:t>Risk Classification Matrix</w:t>
            </w:r>
            <w:r>
              <w:rPr>
                <w:noProof/>
                <w:webHidden/>
              </w:rPr>
              <w:tab/>
            </w:r>
            <w:r>
              <w:rPr>
                <w:noProof/>
                <w:webHidden/>
              </w:rPr>
              <w:fldChar w:fldCharType="begin"/>
            </w:r>
            <w:r>
              <w:rPr>
                <w:noProof/>
                <w:webHidden/>
              </w:rPr>
              <w:instrText xml:space="preserve"> PAGEREF _Toc203723530 \h </w:instrText>
            </w:r>
            <w:r>
              <w:rPr>
                <w:noProof/>
                <w:webHidden/>
              </w:rPr>
            </w:r>
            <w:r>
              <w:rPr>
                <w:noProof/>
                <w:webHidden/>
              </w:rPr>
              <w:fldChar w:fldCharType="separate"/>
            </w:r>
            <w:r>
              <w:rPr>
                <w:noProof/>
                <w:webHidden/>
              </w:rPr>
              <w:t>0</w:t>
            </w:r>
            <w:r>
              <w:rPr>
                <w:noProof/>
                <w:webHidden/>
              </w:rPr>
              <w:fldChar w:fldCharType="end"/>
            </w:r>
          </w:hyperlink>
        </w:p>
        <w:p w14:paraId="51C99DD8" w14:textId="03DA8835" w:rsidR="00485FD7" w:rsidRDefault="00485FD7">
          <w:pPr>
            <w:pStyle w:val="TOC1"/>
            <w:tabs>
              <w:tab w:val="right" w:leader="dot" w:pos="8630"/>
            </w:tabs>
            <w:rPr>
              <w:noProof/>
              <w:color w:val="auto"/>
              <w:kern w:val="2"/>
              <w:sz w:val="24"/>
              <w:szCs w:val="24"/>
              <w:lang w:val="en-GB" w:eastAsia="en-GB"/>
              <w14:ligatures w14:val="standardContextual"/>
            </w:rPr>
          </w:pPr>
          <w:hyperlink w:anchor="_Toc203723531" w:history="1">
            <w:r w:rsidRPr="00082F8C">
              <w:rPr>
                <w:rStyle w:val="Hyperlink"/>
                <w:noProof/>
              </w:rPr>
              <w:t>Part 2 – ALARP Justification</w:t>
            </w:r>
            <w:r>
              <w:rPr>
                <w:noProof/>
                <w:webHidden/>
              </w:rPr>
              <w:tab/>
            </w:r>
            <w:r>
              <w:rPr>
                <w:noProof/>
                <w:webHidden/>
              </w:rPr>
              <w:fldChar w:fldCharType="begin"/>
            </w:r>
            <w:r>
              <w:rPr>
                <w:noProof/>
                <w:webHidden/>
              </w:rPr>
              <w:instrText xml:space="preserve"> PAGEREF _Toc203723531 \h </w:instrText>
            </w:r>
            <w:r>
              <w:rPr>
                <w:noProof/>
                <w:webHidden/>
              </w:rPr>
            </w:r>
            <w:r>
              <w:rPr>
                <w:noProof/>
                <w:webHidden/>
              </w:rPr>
              <w:fldChar w:fldCharType="separate"/>
            </w:r>
            <w:r>
              <w:rPr>
                <w:noProof/>
                <w:webHidden/>
              </w:rPr>
              <w:t>2</w:t>
            </w:r>
            <w:r>
              <w:rPr>
                <w:noProof/>
                <w:webHidden/>
              </w:rPr>
              <w:fldChar w:fldCharType="end"/>
            </w:r>
          </w:hyperlink>
        </w:p>
        <w:p w14:paraId="3EB9498D" w14:textId="6E630147" w:rsidR="00485FD7" w:rsidRDefault="00485FD7">
          <w:pPr>
            <w:pStyle w:val="TOC2"/>
            <w:tabs>
              <w:tab w:val="right" w:leader="dot" w:pos="8630"/>
            </w:tabs>
            <w:rPr>
              <w:noProof/>
              <w:color w:val="auto"/>
              <w:kern w:val="2"/>
              <w:sz w:val="24"/>
              <w:szCs w:val="24"/>
              <w:lang w:val="en-GB" w:eastAsia="en-GB"/>
              <w14:ligatures w14:val="standardContextual"/>
            </w:rPr>
          </w:pPr>
          <w:hyperlink w:anchor="_Toc203723532" w:history="1">
            <w:r w:rsidRPr="00082F8C">
              <w:rPr>
                <w:rStyle w:val="Hyperlink"/>
                <w:noProof/>
              </w:rPr>
              <w:t>Introduction</w:t>
            </w:r>
            <w:r>
              <w:rPr>
                <w:noProof/>
                <w:webHidden/>
              </w:rPr>
              <w:tab/>
            </w:r>
            <w:r>
              <w:rPr>
                <w:noProof/>
                <w:webHidden/>
              </w:rPr>
              <w:fldChar w:fldCharType="begin"/>
            </w:r>
            <w:r>
              <w:rPr>
                <w:noProof/>
                <w:webHidden/>
              </w:rPr>
              <w:instrText xml:space="preserve"> PAGEREF _Toc203723532 \h </w:instrText>
            </w:r>
            <w:r>
              <w:rPr>
                <w:noProof/>
                <w:webHidden/>
              </w:rPr>
            </w:r>
            <w:r>
              <w:rPr>
                <w:noProof/>
                <w:webHidden/>
              </w:rPr>
              <w:fldChar w:fldCharType="separate"/>
            </w:r>
            <w:r>
              <w:rPr>
                <w:noProof/>
                <w:webHidden/>
              </w:rPr>
              <w:t>2</w:t>
            </w:r>
            <w:r>
              <w:rPr>
                <w:noProof/>
                <w:webHidden/>
              </w:rPr>
              <w:fldChar w:fldCharType="end"/>
            </w:r>
          </w:hyperlink>
        </w:p>
        <w:p w14:paraId="65477725" w14:textId="5346F29F" w:rsidR="00485FD7" w:rsidRDefault="00485FD7">
          <w:pPr>
            <w:pStyle w:val="TOC2"/>
            <w:tabs>
              <w:tab w:val="right" w:leader="dot" w:pos="8630"/>
            </w:tabs>
            <w:rPr>
              <w:noProof/>
              <w:color w:val="auto"/>
              <w:kern w:val="2"/>
              <w:sz w:val="24"/>
              <w:szCs w:val="24"/>
              <w:lang w:val="en-GB" w:eastAsia="en-GB"/>
              <w14:ligatures w14:val="standardContextual"/>
            </w:rPr>
          </w:pPr>
          <w:hyperlink w:anchor="_Toc203723533" w:history="1">
            <w:r w:rsidRPr="00082F8C">
              <w:rPr>
                <w:rStyle w:val="Hyperlink"/>
                <w:noProof/>
              </w:rPr>
              <w:t>Scope</w:t>
            </w:r>
            <w:r>
              <w:rPr>
                <w:noProof/>
                <w:webHidden/>
              </w:rPr>
              <w:tab/>
            </w:r>
            <w:r>
              <w:rPr>
                <w:noProof/>
                <w:webHidden/>
              </w:rPr>
              <w:fldChar w:fldCharType="begin"/>
            </w:r>
            <w:r>
              <w:rPr>
                <w:noProof/>
                <w:webHidden/>
              </w:rPr>
              <w:instrText xml:space="preserve"> PAGEREF _Toc203723533 \h </w:instrText>
            </w:r>
            <w:r>
              <w:rPr>
                <w:noProof/>
                <w:webHidden/>
              </w:rPr>
            </w:r>
            <w:r>
              <w:rPr>
                <w:noProof/>
                <w:webHidden/>
              </w:rPr>
              <w:fldChar w:fldCharType="separate"/>
            </w:r>
            <w:r>
              <w:rPr>
                <w:noProof/>
                <w:webHidden/>
              </w:rPr>
              <w:t>2</w:t>
            </w:r>
            <w:r>
              <w:rPr>
                <w:noProof/>
                <w:webHidden/>
              </w:rPr>
              <w:fldChar w:fldCharType="end"/>
            </w:r>
          </w:hyperlink>
        </w:p>
        <w:p w14:paraId="01B2A6E1" w14:textId="158D138C" w:rsidR="00485FD7" w:rsidRDefault="00485FD7">
          <w:pPr>
            <w:pStyle w:val="TOC2"/>
            <w:tabs>
              <w:tab w:val="right" w:leader="dot" w:pos="8630"/>
            </w:tabs>
            <w:rPr>
              <w:noProof/>
              <w:color w:val="auto"/>
              <w:kern w:val="2"/>
              <w:sz w:val="24"/>
              <w:szCs w:val="24"/>
              <w:lang w:val="en-GB" w:eastAsia="en-GB"/>
              <w14:ligatures w14:val="standardContextual"/>
            </w:rPr>
          </w:pPr>
          <w:hyperlink w:anchor="_Toc203723534" w:history="1">
            <w:r w:rsidRPr="00082F8C">
              <w:rPr>
                <w:rStyle w:val="Hyperlink"/>
                <w:noProof/>
              </w:rPr>
              <w:t>Causes</w:t>
            </w:r>
            <w:r>
              <w:rPr>
                <w:noProof/>
                <w:webHidden/>
              </w:rPr>
              <w:tab/>
            </w:r>
            <w:r>
              <w:rPr>
                <w:noProof/>
                <w:webHidden/>
              </w:rPr>
              <w:fldChar w:fldCharType="begin"/>
            </w:r>
            <w:r>
              <w:rPr>
                <w:noProof/>
                <w:webHidden/>
              </w:rPr>
              <w:instrText xml:space="preserve"> PAGEREF _Toc203723534 \h </w:instrText>
            </w:r>
            <w:r>
              <w:rPr>
                <w:noProof/>
                <w:webHidden/>
              </w:rPr>
            </w:r>
            <w:r>
              <w:rPr>
                <w:noProof/>
                <w:webHidden/>
              </w:rPr>
              <w:fldChar w:fldCharType="separate"/>
            </w:r>
            <w:r>
              <w:rPr>
                <w:noProof/>
                <w:webHidden/>
              </w:rPr>
              <w:t>2</w:t>
            </w:r>
            <w:r>
              <w:rPr>
                <w:noProof/>
                <w:webHidden/>
              </w:rPr>
              <w:fldChar w:fldCharType="end"/>
            </w:r>
          </w:hyperlink>
        </w:p>
        <w:p w14:paraId="3DB8B073" w14:textId="4D55661C" w:rsidR="00485FD7" w:rsidRDefault="00485FD7">
          <w:pPr>
            <w:pStyle w:val="TOC2"/>
            <w:tabs>
              <w:tab w:val="right" w:leader="dot" w:pos="8630"/>
            </w:tabs>
            <w:rPr>
              <w:noProof/>
              <w:color w:val="auto"/>
              <w:kern w:val="2"/>
              <w:sz w:val="24"/>
              <w:szCs w:val="24"/>
              <w:lang w:val="en-GB" w:eastAsia="en-GB"/>
              <w14:ligatures w14:val="standardContextual"/>
            </w:rPr>
          </w:pPr>
          <w:hyperlink w:anchor="_Toc203723535" w:history="1">
            <w:r w:rsidRPr="00082F8C">
              <w:rPr>
                <w:rStyle w:val="Hyperlink"/>
                <w:noProof/>
              </w:rPr>
              <w:t>Consequences</w:t>
            </w:r>
            <w:r>
              <w:rPr>
                <w:noProof/>
                <w:webHidden/>
              </w:rPr>
              <w:tab/>
            </w:r>
            <w:r>
              <w:rPr>
                <w:noProof/>
                <w:webHidden/>
              </w:rPr>
              <w:fldChar w:fldCharType="begin"/>
            </w:r>
            <w:r>
              <w:rPr>
                <w:noProof/>
                <w:webHidden/>
              </w:rPr>
              <w:instrText xml:space="preserve"> PAGEREF _Toc203723535 \h </w:instrText>
            </w:r>
            <w:r>
              <w:rPr>
                <w:noProof/>
                <w:webHidden/>
              </w:rPr>
            </w:r>
            <w:r>
              <w:rPr>
                <w:noProof/>
                <w:webHidden/>
              </w:rPr>
              <w:fldChar w:fldCharType="separate"/>
            </w:r>
            <w:r>
              <w:rPr>
                <w:noProof/>
                <w:webHidden/>
              </w:rPr>
              <w:t>3</w:t>
            </w:r>
            <w:r>
              <w:rPr>
                <w:noProof/>
                <w:webHidden/>
              </w:rPr>
              <w:fldChar w:fldCharType="end"/>
            </w:r>
          </w:hyperlink>
        </w:p>
        <w:p w14:paraId="7155F3C8" w14:textId="625208B1" w:rsidR="00485FD7" w:rsidRDefault="00485FD7">
          <w:pPr>
            <w:pStyle w:val="TOC2"/>
            <w:tabs>
              <w:tab w:val="right" w:leader="dot" w:pos="8630"/>
            </w:tabs>
            <w:rPr>
              <w:noProof/>
              <w:color w:val="auto"/>
              <w:kern w:val="2"/>
              <w:sz w:val="24"/>
              <w:szCs w:val="24"/>
              <w:lang w:val="en-GB" w:eastAsia="en-GB"/>
              <w14:ligatures w14:val="standardContextual"/>
            </w:rPr>
          </w:pPr>
          <w:hyperlink w:anchor="_Toc203723536" w:history="1">
            <w:r w:rsidRPr="00082F8C">
              <w:rPr>
                <w:rStyle w:val="Hyperlink"/>
                <w:noProof/>
              </w:rPr>
              <w:t>Controls and Mitigations</w:t>
            </w:r>
            <w:r>
              <w:rPr>
                <w:noProof/>
                <w:webHidden/>
              </w:rPr>
              <w:tab/>
            </w:r>
            <w:r>
              <w:rPr>
                <w:noProof/>
                <w:webHidden/>
              </w:rPr>
              <w:fldChar w:fldCharType="begin"/>
            </w:r>
            <w:r>
              <w:rPr>
                <w:noProof/>
                <w:webHidden/>
              </w:rPr>
              <w:instrText xml:space="preserve"> PAGEREF _Toc203723536 \h </w:instrText>
            </w:r>
            <w:r>
              <w:rPr>
                <w:noProof/>
                <w:webHidden/>
              </w:rPr>
            </w:r>
            <w:r>
              <w:rPr>
                <w:noProof/>
                <w:webHidden/>
              </w:rPr>
              <w:fldChar w:fldCharType="separate"/>
            </w:r>
            <w:r>
              <w:rPr>
                <w:noProof/>
                <w:webHidden/>
              </w:rPr>
              <w:t>3</w:t>
            </w:r>
            <w:r>
              <w:rPr>
                <w:noProof/>
                <w:webHidden/>
              </w:rPr>
              <w:fldChar w:fldCharType="end"/>
            </w:r>
          </w:hyperlink>
        </w:p>
        <w:p w14:paraId="097645DB" w14:textId="0EAD7274" w:rsidR="00485FD7" w:rsidRDefault="00485FD7">
          <w:pPr>
            <w:pStyle w:val="TOC2"/>
            <w:tabs>
              <w:tab w:val="right" w:leader="dot" w:pos="8630"/>
            </w:tabs>
            <w:rPr>
              <w:noProof/>
              <w:color w:val="auto"/>
              <w:kern w:val="2"/>
              <w:sz w:val="24"/>
              <w:szCs w:val="24"/>
              <w:lang w:val="en-GB" w:eastAsia="en-GB"/>
              <w14:ligatures w14:val="standardContextual"/>
            </w:rPr>
          </w:pPr>
          <w:hyperlink w:anchor="_Toc203723537" w:history="1">
            <w:r w:rsidRPr="00082F8C">
              <w:rPr>
                <w:rStyle w:val="Hyperlink"/>
                <w:noProof/>
              </w:rPr>
              <w:t>Other Considered Controls and Mitigations</w:t>
            </w:r>
            <w:r>
              <w:rPr>
                <w:noProof/>
                <w:webHidden/>
              </w:rPr>
              <w:tab/>
            </w:r>
            <w:r>
              <w:rPr>
                <w:noProof/>
                <w:webHidden/>
              </w:rPr>
              <w:fldChar w:fldCharType="begin"/>
            </w:r>
            <w:r>
              <w:rPr>
                <w:noProof/>
                <w:webHidden/>
              </w:rPr>
              <w:instrText xml:space="preserve"> PAGEREF _Toc203723537 \h </w:instrText>
            </w:r>
            <w:r>
              <w:rPr>
                <w:noProof/>
                <w:webHidden/>
              </w:rPr>
            </w:r>
            <w:r>
              <w:rPr>
                <w:noProof/>
                <w:webHidden/>
              </w:rPr>
              <w:fldChar w:fldCharType="separate"/>
            </w:r>
            <w:r>
              <w:rPr>
                <w:noProof/>
                <w:webHidden/>
              </w:rPr>
              <w:t>4</w:t>
            </w:r>
            <w:r>
              <w:rPr>
                <w:noProof/>
                <w:webHidden/>
              </w:rPr>
              <w:fldChar w:fldCharType="end"/>
            </w:r>
          </w:hyperlink>
        </w:p>
        <w:p w14:paraId="1962A253" w14:textId="791323E9" w:rsidR="00485FD7" w:rsidRDefault="00485FD7">
          <w:pPr>
            <w:pStyle w:val="TOC2"/>
            <w:tabs>
              <w:tab w:val="right" w:leader="dot" w:pos="8630"/>
            </w:tabs>
            <w:rPr>
              <w:noProof/>
              <w:color w:val="auto"/>
              <w:kern w:val="2"/>
              <w:sz w:val="24"/>
              <w:szCs w:val="24"/>
              <w:lang w:val="en-GB" w:eastAsia="en-GB"/>
              <w14:ligatures w14:val="standardContextual"/>
            </w:rPr>
          </w:pPr>
          <w:hyperlink w:anchor="_Toc203723538" w:history="1">
            <w:r w:rsidRPr="00082F8C">
              <w:rPr>
                <w:rStyle w:val="Hyperlink"/>
                <w:noProof/>
              </w:rPr>
              <w:t>ALARP Statement</w:t>
            </w:r>
            <w:r>
              <w:rPr>
                <w:noProof/>
                <w:webHidden/>
              </w:rPr>
              <w:tab/>
            </w:r>
            <w:r>
              <w:rPr>
                <w:noProof/>
                <w:webHidden/>
              </w:rPr>
              <w:fldChar w:fldCharType="begin"/>
            </w:r>
            <w:r>
              <w:rPr>
                <w:noProof/>
                <w:webHidden/>
              </w:rPr>
              <w:instrText xml:space="preserve"> PAGEREF _Toc203723538 \h </w:instrText>
            </w:r>
            <w:r>
              <w:rPr>
                <w:noProof/>
                <w:webHidden/>
              </w:rPr>
            </w:r>
            <w:r>
              <w:rPr>
                <w:noProof/>
                <w:webHidden/>
              </w:rPr>
              <w:fldChar w:fldCharType="separate"/>
            </w:r>
            <w:r>
              <w:rPr>
                <w:noProof/>
                <w:webHidden/>
              </w:rPr>
              <w:t>5</w:t>
            </w:r>
            <w:r>
              <w:rPr>
                <w:noProof/>
                <w:webHidden/>
              </w:rPr>
              <w:fldChar w:fldCharType="end"/>
            </w:r>
          </w:hyperlink>
        </w:p>
        <w:p w14:paraId="77FA13BB" w14:textId="223059CB" w:rsidR="00485FD7" w:rsidRDefault="00485FD7">
          <w:pPr>
            <w:pStyle w:val="TOC1"/>
            <w:tabs>
              <w:tab w:val="right" w:leader="dot" w:pos="8630"/>
            </w:tabs>
            <w:rPr>
              <w:noProof/>
              <w:color w:val="auto"/>
              <w:kern w:val="2"/>
              <w:sz w:val="24"/>
              <w:szCs w:val="24"/>
              <w:lang w:val="en-GB" w:eastAsia="en-GB"/>
              <w14:ligatures w14:val="standardContextual"/>
            </w:rPr>
          </w:pPr>
          <w:hyperlink w:anchor="_Toc203723539" w:history="1">
            <w:r w:rsidRPr="00082F8C">
              <w:rPr>
                <w:rStyle w:val="Hyperlink"/>
                <w:noProof/>
              </w:rPr>
              <w:t>References</w:t>
            </w:r>
            <w:r>
              <w:rPr>
                <w:noProof/>
                <w:webHidden/>
              </w:rPr>
              <w:tab/>
            </w:r>
            <w:r>
              <w:rPr>
                <w:noProof/>
                <w:webHidden/>
              </w:rPr>
              <w:fldChar w:fldCharType="begin"/>
            </w:r>
            <w:r>
              <w:rPr>
                <w:noProof/>
                <w:webHidden/>
              </w:rPr>
              <w:instrText xml:space="preserve"> PAGEREF _Toc203723539 \h </w:instrText>
            </w:r>
            <w:r>
              <w:rPr>
                <w:noProof/>
                <w:webHidden/>
              </w:rPr>
            </w:r>
            <w:r>
              <w:rPr>
                <w:noProof/>
                <w:webHidden/>
              </w:rPr>
              <w:fldChar w:fldCharType="separate"/>
            </w:r>
            <w:r>
              <w:rPr>
                <w:noProof/>
                <w:webHidden/>
              </w:rPr>
              <w:t>5</w:t>
            </w:r>
            <w:r>
              <w:rPr>
                <w:noProof/>
                <w:webHidden/>
              </w:rPr>
              <w:fldChar w:fldCharType="end"/>
            </w:r>
          </w:hyperlink>
        </w:p>
        <w:p w14:paraId="7BC5CF20" w14:textId="4FD3D502" w:rsidR="00485FD7" w:rsidRDefault="00485FD7">
          <w:r>
            <w:rPr>
              <w:b/>
              <w:bCs/>
              <w:noProof/>
            </w:rPr>
            <w:fldChar w:fldCharType="end"/>
          </w:r>
        </w:p>
      </w:sdtContent>
    </w:sdt>
    <w:p w14:paraId="040B11BF" w14:textId="726A34D2" w:rsidR="00485FD7" w:rsidRDefault="00485FD7">
      <w:pPr>
        <w:pStyle w:val="TableofFigures"/>
        <w:tabs>
          <w:tab w:val="right" w:leader="dot" w:pos="8630"/>
        </w:tabs>
        <w:rPr>
          <w:noProof/>
          <w:color w:val="auto"/>
          <w:kern w:val="2"/>
          <w:sz w:val="24"/>
          <w:szCs w:val="24"/>
          <w:lang w:val="en-GB" w:eastAsia="en-GB"/>
          <w14:ligatures w14:val="standardContextual"/>
        </w:rPr>
      </w:pPr>
      <w:r>
        <w:rPr>
          <w:lang w:val="en-GB" w:bidi="en-GB"/>
        </w:rPr>
        <w:fldChar w:fldCharType="begin"/>
      </w:r>
      <w:r>
        <w:rPr>
          <w:lang w:val="en-GB" w:bidi="en-GB"/>
        </w:rPr>
        <w:instrText xml:space="preserve"> TOC \h \z \c "Table" </w:instrText>
      </w:r>
      <w:r>
        <w:rPr>
          <w:lang w:val="en-GB" w:bidi="en-GB"/>
        </w:rPr>
        <w:fldChar w:fldCharType="separate"/>
      </w:r>
      <w:hyperlink w:anchor="_Toc203723540" w:history="1">
        <w:r w:rsidRPr="00135BC2">
          <w:rPr>
            <w:rStyle w:val="Hyperlink"/>
            <w:noProof/>
          </w:rPr>
          <w:t>Table 1 - Tabular Risk Assessment</w:t>
        </w:r>
        <w:r>
          <w:rPr>
            <w:noProof/>
            <w:webHidden/>
          </w:rPr>
          <w:tab/>
        </w:r>
        <w:r>
          <w:rPr>
            <w:noProof/>
            <w:webHidden/>
          </w:rPr>
          <w:fldChar w:fldCharType="begin"/>
        </w:r>
        <w:r>
          <w:rPr>
            <w:noProof/>
            <w:webHidden/>
          </w:rPr>
          <w:instrText xml:space="preserve"> PAGEREF _Toc203723540 \h </w:instrText>
        </w:r>
        <w:r>
          <w:rPr>
            <w:noProof/>
            <w:webHidden/>
          </w:rPr>
        </w:r>
        <w:r>
          <w:rPr>
            <w:noProof/>
            <w:webHidden/>
          </w:rPr>
          <w:fldChar w:fldCharType="separate"/>
        </w:r>
        <w:r>
          <w:rPr>
            <w:noProof/>
            <w:webHidden/>
          </w:rPr>
          <w:t>4</w:t>
        </w:r>
        <w:r>
          <w:rPr>
            <w:noProof/>
            <w:webHidden/>
          </w:rPr>
          <w:fldChar w:fldCharType="end"/>
        </w:r>
      </w:hyperlink>
    </w:p>
    <w:p w14:paraId="37B472AD" w14:textId="6B26FDFB" w:rsidR="00485FD7" w:rsidRDefault="00485FD7">
      <w:pPr>
        <w:pStyle w:val="TableofFigures"/>
        <w:tabs>
          <w:tab w:val="right" w:leader="dot" w:pos="8630"/>
        </w:tabs>
        <w:rPr>
          <w:noProof/>
          <w:color w:val="auto"/>
          <w:kern w:val="2"/>
          <w:sz w:val="24"/>
          <w:szCs w:val="24"/>
          <w:lang w:val="en-GB" w:eastAsia="en-GB"/>
          <w14:ligatures w14:val="standardContextual"/>
        </w:rPr>
      </w:pPr>
      <w:hyperlink w:anchor="_Toc203723541" w:history="1">
        <w:r w:rsidRPr="00135BC2">
          <w:rPr>
            <w:rStyle w:val="Hyperlink"/>
            <w:noProof/>
          </w:rPr>
          <w:t>Table 2 - Risk Classification Matrix</w:t>
        </w:r>
        <w:r>
          <w:rPr>
            <w:noProof/>
            <w:webHidden/>
          </w:rPr>
          <w:tab/>
        </w:r>
        <w:r>
          <w:rPr>
            <w:noProof/>
            <w:webHidden/>
          </w:rPr>
          <w:fldChar w:fldCharType="begin"/>
        </w:r>
        <w:r>
          <w:rPr>
            <w:noProof/>
            <w:webHidden/>
          </w:rPr>
          <w:instrText xml:space="preserve"> PAGEREF _Toc203723541 \h </w:instrText>
        </w:r>
        <w:r>
          <w:rPr>
            <w:noProof/>
            <w:webHidden/>
          </w:rPr>
        </w:r>
        <w:r>
          <w:rPr>
            <w:noProof/>
            <w:webHidden/>
          </w:rPr>
          <w:fldChar w:fldCharType="separate"/>
        </w:r>
        <w:r>
          <w:rPr>
            <w:noProof/>
            <w:webHidden/>
          </w:rPr>
          <w:t>0</w:t>
        </w:r>
        <w:r>
          <w:rPr>
            <w:noProof/>
            <w:webHidden/>
          </w:rPr>
          <w:fldChar w:fldCharType="end"/>
        </w:r>
      </w:hyperlink>
    </w:p>
    <w:p w14:paraId="20A029B8" w14:textId="77517A3D" w:rsidR="00485FD7" w:rsidRDefault="00485FD7">
      <w:pPr>
        <w:pStyle w:val="TableofFigures"/>
        <w:tabs>
          <w:tab w:val="right" w:leader="dot" w:pos="8630"/>
        </w:tabs>
        <w:rPr>
          <w:noProof/>
          <w:color w:val="auto"/>
          <w:kern w:val="2"/>
          <w:sz w:val="24"/>
          <w:szCs w:val="24"/>
          <w:lang w:val="en-GB" w:eastAsia="en-GB"/>
          <w14:ligatures w14:val="standardContextual"/>
        </w:rPr>
      </w:pPr>
      <w:hyperlink w:anchor="_Toc203723542" w:history="1">
        <w:r w:rsidRPr="00135BC2">
          <w:rPr>
            <w:rStyle w:val="Hyperlink"/>
            <w:noProof/>
          </w:rPr>
          <w:t>Table 3 - Accident Severity Thresholds</w:t>
        </w:r>
        <w:r>
          <w:rPr>
            <w:noProof/>
            <w:webHidden/>
          </w:rPr>
          <w:tab/>
        </w:r>
        <w:r>
          <w:rPr>
            <w:noProof/>
            <w:webHidden/>
          </w:rPr>
          <w:fldChar w:fldCharType="begin"/>
        </w:r>
        <w:r>
          <w:rPr>
            <w:noProof/>
            <w:webHidden/>
          </w:rPr>
          <w:instrText xml:space="preserve"> PAGEREF _Toc203723542 \h </w:instrText>
        </w:r>
        <w:r>
          <w:rPr>
            <w:noProof/>
            <w:webHidden/>
          </w:rPr>
        </w:r>
        <w:r>
          <w:rPr>
            <w:noProof/>
            <w:webHidden/>
          </w:rPr>
          <w:fldChar w:fldCharType="separate"/>
        </w:r>
        <w:r>
          <w:rPr>
            <w:noProof/>
            <w:webHidden/>
          </w:rPr>
          <w:t>0</w:t>
        </w:r>
        <w:r>
          <w:rPr>
            <w:noProof/>
            <w:webHidden/>
          </w:rPr>
          <w:fldChar w:fldCharType="end"/>
        </w:r>
      </w:hyperlink>
    </w:p>
    <w:p w14:paraId="3B6D4DA3" w14:textId="10E94CEC" w:rsidR="00485FD7" w:rsidRDefault="00485FD7">
      <w:pPr>
        <w:pStyle w:val="TableofFigures"/>
        <w:tabs>
          <w:tab w:val="right" w:leader="dot" w:pos="8630"/>
        </w:tabs>
        <w:rPr>
          <w:noProof/>
          <w:color w:val="auto"/>
          <w:kern w:val="2"/>
          <w:sz w:val="24"/>
          <w:szCs w:val="24"/>
          <w:lang w:val="en-GB" w:eastAsia="en-GB"/>
          <w14:ligatures w14:val="standardContextual"/>
        </w:rPr>
      </w:pPr>
      <w:hyperlink w:anchor="_Toc203723543" w:history="1">
        <w:r w:rsidRPr="00135BC2">
          <w:rPr>
            <w:rStyle w:val="Hyperlink"/>
            <w:noProof/>
          </w:rPr>
          <w:t>Table 4 - Accident Probability Thresholds</w:t>
        </w:r>
        <w:r>
          <w:rPr>
            <w:noProof/>
            <w:webHidden/>
          </w:rPr>
          <w:tab/>
        </w:r>
        <w:r>
          <w:rPr>
            <w:noProof/>
            <w:webHidden/>
          </w:rPr>
          <w:fldChar w:fldCharType="begin"/>
        </w:r>
        <w:r>
          <w:rPr>
            <w:noProof/>
            <w:webHidden/>
          </w:rPr>
          <w:instrText xml:space="preserve"> PAGEREF _Toc203723543 \h </w:instrText>
        </w:r>
        <w:r>
          <w:rPr>
            <w:noProof/>
            <w:webHidden/>
          </w:rPr>
        </w:r>
        <w:r>
          <w:rPr>
            <w:noProof/>
            <w:webHidden/>
          </w:rPr>
          <w:fldChar w:fldCharType="separate"/>
        </w:r>
        <w:r>
          <w:rPr>
            <w:noProof/>
            <w:webHidden/>
          </w:rPr>
          <w:t>1</w:t>
        </w:r>
        <w:r>
          <w:rPr>
            <w:noProof/>
            <w:webHidden/>
          </w:rPr>
          <w:fldChar w:fldCharType="end"/>
        </w:r>
      </w:hyperlink>
    </w:p>
    <w:p w14:paraId="6B483F3A" w14:textId="0B4DBE08" w:rsidR="00485FD7" w:rsidRDefault="00485FD7">
      <w:pPr>
        <w:pStyle w:val="TableofFigures"/>
        <w:tabs>
          <w:tab w:val="right" w:leader="dot" w:pos="8630"/>
        </w:tabs>
        <w:rPr>
          <w:noProof/>
          <w:color w:val="auto"/>
          <w:kern w:val="2"/>
          <w:sz w:val="24"/>
          <w:szCs w:val="24"/>
          <w:lang w:val="en-GB" w:eastAsia="en-GB"/>
          <w14:ligatures w14:val="standardContextual"/>
        </w:rPr>
      </w:pPr>
      <w:hyperlink w:anchor="_Toc203723544" w:history="1">
        <w:r w:rsidRPr="00135BC2">
          <w:rPr>
            <w:rStyle w:val="Hyperlink"/>
            <w:noProof/>
          </w:rPr>
          <w:t>Table 5 - Risk Classification Definitions</w:t>
        </w:r>
        <w:r>
          <w:rPr>
            <w:noProof/>
            <w:webHidden/>
          </w:rPr>
          <w:tab/>
        </w:r>
        <w:r>
          <w:rPr>
            <w:noProof/>
            <w:webHidden/>
          </w:rPr>
          <w:fldChar w:fldCharType="begin"/>
        </w:r>
        <w:r>
          <w:rPr>
            <w:noProof/>
            <w:webHidden/>
          </w:rPr>
          <w:instrText xml:space="preserve"> PAGEREF _Toc203723544 \h </w:instrText>
        </w:r>
        <w:r>
          <w:rPr>
            <w:noProof/>
            <w:webHidden/>
          </w:rPr>
        </w:r>
        <w:r>
          <w:rPr>
            <w:noProof/>
            <w:webHidden/>
          </w:rPr>
          <w:fldChar w:fldCharType="separate"/>
        </w:r>
        <w:r>
          <w:rPr>
            <w:noProof/>
            <w:webHidden/>
          </w:rPr>
          <w:t>1</w:t>
        </w:r>
        <w:r>
          <w:rPr>
            <w:noProof/>
            <w:webHidden/>
          </w:rPr>
          <w:fldChar w:fldCharType="end"/>
        </w:r>
      </w:hyperlink>
    </w:p>
    <w:p w14:paraId="6FB760A8" w14:textId="4DAE8C2E" w:rsidR="00827DF4" w:rsidRDefault="00485FD7" w:rsidP="00827DF4">
      <w:pPr>
        <w:pStyle w:val="ContactInfo"/>
        <w:rPr>
          <w:lang w:val="en-GB" w:bidi="en-GB"/>
        </w:rPr>
        <w:sectPr w:rsidR="00827DF4" w:rsidSect="00827DF4">
          <w:footerReference w:type="default" r:id="rId9"/>
          <w:pgSz w:w="12240" w:h="15840"/>
          <w:pgMar w:top="1440" w:right="1800" w:bottom="1440" w:left="1800" w:header="720" w:footer="720" w:gutter="0"/>
          <w:pgNumType w:start="0"/>
          <w:cols w:space="720"/>
          <w:titlePg/>
          <w:docGrid w:linePitch="360"/>
        </w:sectPr>
      </w:pPr>
      <w:r>
        <w:rPr>
          <w:lang w:val="en-GB" w:bidi="en-GB"/>
        </w:rPr>
        <w:fldChar w:fldCharType="end"/>
      </w:r>
    </w:p>
    <w:p w14:paraId="211F8510" w14:textId="514073A7" w:rsidR="00827DF4" w:rsidRPr="00827DF4" w:rsidRDefault="00827DF4" w:rsidP="00BC06BC">
      <w:pPr>
        <w:pStyle w:val="ContactInfo"/>
        <w:jc w:val="left"/>
        <w:rPr>
          <w:lang w:val="en-GB" w:bidi="en-GB"/>
        </w:rPr>
      </w:pPr>
    </w:p>
    <w:p w14:paraId="2AD81F15" w14:textId="6720E55A" w:rsidR="001638F6" w:rsidRDefault="00262AAF">
      <w:pPr>
        <w:pStyle w:val="Heading1"/>
      </w:pPr>
      <w:bookmarkStart w:id="0" w:name="_Toc203723528"/>
      <w:r>
        <w:t>Part 1 – Risk Assessment</w:t>
      </w:r>
      <w:bookmarkEnd w:id="0"/>
    </w:p>
    <w:p w14:paraId="2F462A73" w14:textId="05741D15" w:rsidR="007021DE" w:rsidRDefault="00262AAF" w:rsidP="00262AAF">
      <w:pPr>
        <w:pStyle w:val="Heading2"/>
      </w:pPr>
      <w:bookmarkStart w:id="1" w:name="_Toc203723529"/>
      <w:r>
        <w:t>Tabular Risk Assessment</w:t>
      </w:r>
      <w:bookmarkEnd w:id="1"/>
    </w:p>
    <w:p w14:paraId="6EE17460" w14:textId="68AFFF01" w:rsidR="00262AAF" w:rsidRDefault="00262AAF" w:rsidP="00262AAF">
      <w:r>
        <w:t>The following risk assessment was created following the groups Hazard Identification (HAZID) session which highlighted some key hazards associated with the 115mm Large Calibre Gun system.  The risk assessment includes the hazard, its cause and potential harm, an initial risk classification, controls and mitigations, and finally a post-control risk classification.  The full risk assessment can be seen in Table 1</w:t>
      </w:r>
      <w:r w:rsidR="00835F1E">
        <w:t xml:space="preserve"> where ‘L’ stands for </w:t>
      </w:r>
      <w:r w:rsidR="00CE28B3">
        <w:t>likelihood, ‘</w:t>
      </w:r>
      <w:r w:rsidR="00835F1E">
        <w:t>S’ stands for Severity, and ‘R’ stands for Risk.</w:t>
      </w:r>
    </w:p>
    <w:tbl>
      <w:tblPr>
        <w:tblStyle w:val="GridTable1Light"/>
        <w:tblW w:w="5029" w:type="pct"/>
        <w:tblLook w:val="04A0" w:firstRow="1" w:lastRow="0" w:firstColumn="1" w:lastColumn="0" w:noHBand="0" w:noVBand="1"/>
      </w:tblPr>
      <w:tblGrid>
        <w:gridCol w:w="2397"/>
        <w:gridCol w:w="2501"/>
        <w:gridCol w:w="510"/>
        <w:gridCol w:w="682"/>
        <w:gridCol w:w="648"/>
        <w:gridCol w:w="3899"/>
        <w:gridCol w:w="507"/>
        <w:gridCol w:w="1145"/>
        <w:gridCol w:w="736"/>
      </w:tblGrid>
      <w:tr w:rsidR="00262AAF" w:rsidRPr="00835F1E" w14:paraId="6DCB0423" w14:textId="77777777" w:rsidTr="005014B6">
        <w:trPr>
          <w:cnfStyle w:val="100000000000" w:firstRow="1" w:lastRow="0" w:firstColumn="0" w:lastColumn="0" w:oddVBand="0" w:evenVBand="0" w:oddHBand="0"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921" w:type="pct"/>
            <w:vMerge w:val="restart"/>
            <w:shd w:val="clear" w:color="auto" w:fill="D9D9D9" w:themeFill="background1" w:themeFillShade="D9"/>
          </w:tcPr>
          <w:p w14:paraId="4A283093" w14:textId="77777777" w:rsidR="00262AAF" w:rsidRPr="00835F1E" w:rsidRDefault="00262AAF" w:rsidP="005A156D">
            <w:r w:rsidRPr="00835F1E">
              <w:t>Hazard</w:t>
            </w:r>
          </w:p>
        </w:tc>
        <w:tc>
          <w:tcPr>
            <w:tcW w:w="961" w:type="pct"/>
            <w:vMerge w:val="restart"/>
            <w:shd w:val="clear" w:color="auto" w:fill="D9D9D9" w:themeFill="background1" w:themeFillShade="D9"/>
          </w:tcPr>
          <w:p w14:paraId="02DC4AA7" w14:textId="77777777" w:rsidR="00262AAF" w:rsidRPr="00835F1E" w:rsidRDefault="00262AAF" w:rsidP="005A156D">
            <w:pPr>
              <w:cnfStyle w:val="100000000000" w:firstRow="1" w:lastRow="0" w:firstColumn="0" w:lastColumn="0" w:oddVBand="0" w:evenVBand="0" w:oddHBand="0" w:evenHBand="0" w:firstRowFirstColumn="0" w:firstRowLastColumn="0" w:lastRowFirstColumn="0" w:lastRowLastColumn="0"/>
            </w:pPr>
            <w:r w:rsidRPr="00835F1E">
              <w:t>Cause</w:t>
            </w:r>
          </w:p>
        </w:tc>
        <w:tc>
          <w:tcPr>
            <w:tcW w:w="707" w:type="pct"/>
            <w:gridSpan w:val="3"/>
            <w:shd w:val="clear" w:color="auto" w:fill="D9D9D9" w:themeFill="background1" w:themeFillShade="D9"/>
          </w:tcPr>
          <w:p w14:paraId="58289493" w14:textId="77777777" w:rsidR="00262AAF" w:rsidRPr="00835F1E" w:rsidRDefault="00262AAF" w:rsidP="005A156D">
            <w:pPr>
              <w:jc w:val="center"/>
              <w:cnfStyle w:val="100000000000" w:firstRow="1" w:lastRow="0" w:firstColumn="0" w:lastColumn="0" w:oddVBand="0" w:evenVBand="0" w:oddHBand="0" w:evenHBand="0" w:firstRowFirstColumn="0" w:firstRowLastColumn="0" w:lastRowFirstColumn="0" w:lastRowLastColumn="0"/>
            </w:pPr>
            <w:r w:rsidRPr="00835F1E">
              <w:t>Initial Risk Classification</w:t>
            </w:r>
          </w:p>
        </w:tc>
        <w:tc>
          <w:tcPr>
            <w:tcW w:w="1497" w:type="pct"/>
            <w:vMerge w:val="restart"/>
            <w:shd w:val="clear" w:color="auto" w:fill="D9D9D9" w:themeFill="background1" w:themeFillShade="D9"/>
          </w:tcPr>
          <w:p w14:paraId="27D8B62E" w14:textId="77777777" w:rsidR="00262AAF" w:rsidRPr="00835F1E" w:rsidRDefault="00262AAF" w:rsidP="005A156D">
            <w:pPr>
              <w:cnfStyle w:val="100000000000" w:firstRow="1" w:lastRow="0" w:firstColumn="0" w:lastColumn="0" w:oddVBand="0" w:evenVBand="0" w:oddHBand="0" w:evenHBand="0" w:firstRowFirstColumn="0" w:firstRowLastColumn="0" w:lastRowFirstColumn="0" w:lastRowLastColumn="0"/>
            </w:pPr>
            <w:r w:rsidRPr="00835F1E">
              <w:t>Controls and Mitigations</w:t>
            </w:r>
          </w:p>
        </w:tc>
        <w:tc>
          <w:tcPr>
            <w:tcW w:w="914" w:type="pct"/>
            <w:gridSpan w:val="3"/>
            <w:shd w:val="clear" w:color="auto" w:fill="D9D9D9" w:themeFill="background1" w:themeFillShade="D9"/>
          </w:tcPr>
          <w:p w14:paraId="3FD1C6F9" w14:textId="77777777" w:rsidR="00262AAF" w:rsidRPr="00835F1E" w:rsidRDefault="00262AAF" w:rsidP="005A156D">
            <w:pPr>
              <w:cnfStyle w:val="100000000000" w:firstRow="1" w:lastRow="0" w:firstColumn="0" w:lastColumn="0" w:oddVBand="0" w:evenVBand="0" w:oddHBand="0" w:evenHBand="0" w:firstRowFirstColumn="0" w:firstRowLastColumn="0" w:lastRowFirstColumn="0" w:lastRowLastColumn="0"/>
            </w:pPr>
            <w:r w:rsidRPr="00835F1E">
              <w:t>Post-Control Classification</w:t>
            </w:r>
          </w:p>
        </w:tc>
      </w:tr>
      <w:tr w:rsidR="005014B6" w:rsidRPr="00835F1E" w14:paraId="5588C527" w14:textId="77777777" w:rsidTr="005014B6">
        <w:trPr>
          <w:trHeight w:val="423"/>
        </w:trPr>
        <w:tc>
          <w:tcPr>
            <w:cnfStyle w:val="001000000000" w:firstRow="0" w:lastRow="0" w:firstColumn="1" w:lastColumn="0" w:oddVBand="0" w:evenVBand="0" w:oddHBand="0" w:evenHBand="0" w:firstRowFirstColumn="0" w:firstRowLastColumn="0" w:lastRowFirstColumn="0" w:lastRowLastColumn="0"/>
            <w:tcW w:w="921" w:type="pct"/>
            <w:vMerge/>
            <w:shd w:val="clear" w:color="auto" w:fill="D9D9D9" w:themeFill="background1" w:themeFillShade="D9"/>
          </w:tcPr>
          <w:p w14:paraId="206AB012" w14:textId="77777777" w:rsidR="00262AAF" w:rsidRPr="00835F1E" w:rsidRDefault="00262AAF" w:rsidP="005A156D"/>
        </w:tc>
        <w:tc>
          <w:tcPr>
            <w:tcW w:w="961" w:type="pct"/>
            <w:vMerge/>
            <w:shd w:val="clear" w:color="auto" w:fill="D9D9D9" w:themeFill="background1" w:themeFillShade="D9"/>
          </w:tcPr>
          <w:p w14:paraId="37F17808"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rPr>
                <w:b/>
                <w:bCs/>
              </w:rPr>
            </w:pPr>
          </w:p>
        </w:tc>
        <w:tc>
          <w:tcPr>
            <w:tcW w:w="196" w:type="pct"/>
            <w:shd w:val="clear" w:color="auto" w:fill="D9D9D9" w:themeFill="background1" w:themeFillShade="D9"/>
          </w:tcPr>
          <w:p w14:paraId="4596AE69"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rPr>
                <w:b/>
                <w:bCs/>
              </w:rPr>
            </w:pPr>
            <w:r w:rsidRPr="00835F1E">
              <w:rPr>
                <w:b/>
                <w:bCs/>
              </w:rPr>
              <w:t>L</w:t>
            </w:r>
          </w:p>
        </w:tc>
        <w:tc>
          <w:tcPr>
            <w:tcW w:w="262" w:type="pct"/>
            <w:shd w:val="clear" w:color="auto" w:fill="D9D9D9" w:themeFill="background1" w:themeFillShade="D9"/>
          </w:tcPr>
          <w:p w14:paraId="40ADD460"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rPr>
                <w:b/>
                <w:bCs/>
              </w:rPr>
            </w:pPr>
            <w:r w:rsidRPr="00835F1E">
              <w:rPr>
                <w:b/>
                <w:bCs/>
              </w:rPr>
              <w:t>S</w:t>
            </w:r>
          </w:p>
        </w:tc>
        <w:tc>
          <w:tcPr>
            <w:tcW w:w="249" w:type="pct"/>
            <w:shd w:val="clear" w:color="auto" w:fill="D9D9D9" w:themeFill="background1" w:themeFillShade="D9"/>
          </w:tcPr>
          <w:p w14:paraId="67B945BB"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rPr>
                <w:b/>
                <w:bCs/>
              </w:rPr>
            </w:pPr>
            <w:r w:rsidRPr="00835F1E">
              <w:rPr>
                <w:b/>
                <w:bCs/>
              </w:rPr>
              <w:t>R</w:t>
            </w:r>
          </w:p>
        </w:tc>
        <w:tc>
          <w:tcPr>
            <w:tcW w:w="1497" w:type="pct"/>
            <w:vMerge/>
            <w:shd w:val="clear" w:color="auto" w:fill="D9D9D9" w:themeFill="background1" w:themeFillShade="D9"/>
          </w:tcPr>
          <w:p w14:paraId="49B5157D"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rPr>
                <w:b/>
                <w:bCs/>
              </w:rPr>
            </w:pPr>
          </w:p>
        </w:tc>
        <w:tc>
          <w:tcPr>
            <w:tcW w:w="191" w:type="pct"/>
            <w:shd w:val="clear" w:color="auto" w:fill="D9D9D9" w:themeFill="background1" w:themeFillShade="D9"/>
          </w:tcPr>
          <w:p w14:paraId="43062E3B"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rPr>
                <w:b/>
                <w:bCs/>
              </w:rPr>
            </w:pPr>
            <w:r w:rsidRPr="00835F1E">
              <w:rPr>
                <w:b/>
                <w:bCs/>
              </w:rPr>
              <w:t>L</w:t>
            </w:r>
          </w:p>
        </w:tc>
        <w:tc>
          <w:tcPr>
            <w:tcW w:w="440" w:type="pct"/>
            <w:shd w:val="clear" w:color="auto" w:fill="D9D9D9" w:themeFill="background1" w:themeFillShade="D9"/>
          </w:tcPr>
          <w:p w14:paraId="5F2874C2"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rPr>
                <w:b/>
                <w:bCs/>
              </w:rPr>
            </w:pPr>
            <w:r w:rsidRPr="00835F1E">
              <w:rPr>
                <w:b/>
                <w:bCs/>
              </w:rPr>
              <w:t>S</w:t>
            </w:r>
          </w:p>
        </w:tc>
        <w:tc>
          <w:tcPr>
            <w:tcW w:w="283" w:type="pct"/>
            <w:shd w:val="clear" w:color="auto" w:fill="D9D9D9" w:themeFill="background1" w:themeFillShade="D9"/>
          </w:tcPr>
          <w:p w14:paraId="2E1422D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rPr>
                <w:b/>
                <w:bCs/>
              </w:rPr>
            </w:pPr>
            <w:r w:rsidRPr="00835F1E">
              <w:rPr>
                <w:b/>
                <w:bCs/>
              </w:rPr>
              <w:t>R</w:t>
            </w:r>
          </w:p>
        </w:tc>
      </w:tr>
      <w:tr w:rsidR="00262AAF" w:rsidRPr="00835F1E" w14:paraId="0EEC0D6F" w14:textId="77777777" w:rsidTr="005A156D">
        <w:trPr>
          <w:trHeight w:val="336"/>
        </w:trPr>
        <w:tc>
          <w:tcPr>
            <w:cnfStyle w:val="001000000000" w:firstRow="0" w:lastRow="0" w:firstColumn="1" w:lastColumn="0" w:oddVBand="0" w:evenVBand="0" w:oddHBand="0" w:evenHBand="0" w:firstRowFirstColumn="0" w:firstRowLastColumn="0" w:lastRowFirstColumn="0" w:lastRowLastColumn="0"/>
            <w:tcW w:w="921" w:type="pct"/>
          </w:tcPr>
          <w:p w14:paraId="7B005476" w14:textId="4BE33CDE" w:rsidR="00262AAF" w:rsidRPr="00835F1E" w:rsidRDefault="00262AAF" w:rsidP="005A156D">
            <w:pPr>
              <w:rPr>
                <w:b w:val="0"/>
                <w:bCs w:val="0"/>
              </w:rPr>
            </w:pPr>
            <w:r w:rsidRPr="00835F1E">
              <w:rPr>
                <w:b w:val="0"/>
                <w:bCs w:val="0"/>
              </w:rPr>
              <w:t>Manual Handling Injuries</w:t>
            </w:r>
          </w:p>
        </w:tc>
        <w:tc>
          <w:tcPr>
            <w:tcW w:w="961" w:type="pct"/>
          </w:tcPr>
          <w:p w14:paraId="50D9387B" w14:textId="1F4B9D18" w:rsidR="00554EFD" w:rsidRDefault="00554EFD" w:rsidP="005A156D">
            <w:pPr>
              <w:cnfStyle w:val="000000000000" w:firstRow="0" w:lastRow="0" w:firstColumn="0" w:lastColumn="0" w:oddVBand="0" w:evenVBand="0" w:oddHBand="0" w:evenHBand="0" w:firstRowFirstColumn="0" w:firstRowLastColumn="0" w:lastRowFirstColumn="0" w:lastRowLastColumn="0"/>
            </w:pPr>
            <w:r>
              <w:t>Cause: M</w:t>
            </w:r>
            <w:r w:rsidRPr="00835F1E">
              <w:t>oving ammunition, cleaning gun and other activities</w:t>
            </w:r>
          </w:p>
          <w:p w14:paraId="39C2B57C"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41E2667E"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56B53744" w14:textId="7DB91EE0"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Harm: Musculoskeletal injuries, cut injuries, cuts</w:t>
            </w:r>
          </w:p>
        </w:tc>
        <w:tc>
          <w:tcPr>
            <w:tcW w:w="196" w:type="pct"/>
          </w:tcPr>
          <w:p w14:paraId="0116040C"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F</w:t>
            </w:r>
          </w:p>
        </w:tc>
        <w:tc>
          <w:tcPr>
            <w:tcW w:w="262" w:type="pct"/>
          </w:tcPr>
          <w:p w14:paraId="44A5F9C1"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M</w:t>
            </w:r>
          </w:p>
        </w:tc>
        <w:tc>
          <w:tcPr>
            <w:tcW w:w="249" w:type="pct"/>
            <w:shd w:val="clear" w:color="auto" w:fill="EE0000"/>
          </w:tcPr>
          <w:p w14:paraId="2E6B403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w:t>
            </w:r>
          </w:p>
        </w:tc>
        <w:tc>
          <w:tcPr>
            <w:tcW w:w="1497" w:type="pct"/>
          </w:tcPr>
          <w:p w14:paraId="638AB6B9"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Where manual handling tasks can’t be avoided, standard manual handling protocol is obeyed</w:t>
            </w:r>
          </w:p>
          <w:p w14:paraId="5B90BB0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5A6339D4"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Operators are trained in safe manual handling techniques</w:t>
            </w:r>
          </w:p>
          <w:p w14:paraId="2BAE6EC1"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5DDBBBCD"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Novel, repetitive or high-risk manual handling tasks are subject to a safety assessment</w:t>
            </w:r>
          </w:p>
          <w:p w14:paraId="51C09192"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639D6FAB"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Operators receive a safety brief detailing specific hazards for the activity prior to use</w:t>
            </w:r>
          </w:p>
          <w:p w14:paraId="29D1E6F6"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6F728992" w14:textId="77777777" w:rsidR="00262AAF" w:rsidRDefault="00262AAF" w:rsidP="005A156D">
            <w:pPr>
              <w:cnfStyle w:val="000000000000" w:firstRow="0" w:lastRow="0" w:firstColumn="0" w:lastColumn="0" w:oddVBand="0" w:evenVBand="0" w:oddHBand="0" w:evenHBand="0" w:firstRowFirstColumn="0" w:firstRowLastColumn="0" w:lastRowFirstColumn="0" w:lastRowLastColumn="0"/>
            </w:pPr>
            <w:r w:rsidRPr="00835F1E">
              <w:t>Operators are supervised when conducting manual handling tasks</w:t>
            </w:r>
          </w:p>
          <w:p w14:paraId="6A461556" w14:textId="77777777" w:rsidR="00E343AF" w:rsidRDefault="00E343AF" w:rsidP="005A156D">
            <w:pPr>
              <w:cnfStyle w:val="000000000000" w:firstRow="0" w:lastRow="0" w:firstColumn="0" w:lastColumn="0" w:oddVBand="0" w:evenVBand="0" w:oddHBand="0" w:evenHBand="0" w:firstRowFirstColumn="0" w:firstRowLastColumn="0" w:lastRowFirstColumn="0" w:lastRowLastColumn="0"/>
            </w:pPr>
          </w:p>
          <w:p w14:paraId="74963E29" w14:textId="1DAD7097" w:rsidR="00E343AF" w:rsidRPr="00835F1E" w:rsidRDefault="00E343AF" w:rsidP="005A156D">
            <w:pPr>
              <w:cnfStyle w:val="000000000000" w:firstRow="0" w:lastRow="0" w:firstColumn="0" w:lastColumn="0" w:oddVBand="0" w:evenVBand="0" w:oddHBand="0" w:evenHBand="0" w:firstRowFirstColumn="0" w:firstRowLastColumn="0" w:lastRowFirstColumn="0" w:lastRowLastColumn="0"/>
            </w:pPr>
            <w:r w:rsidRPr="00835F1E">
              <w:t>Operators receive safety brief detailing specific hazards for activity prior to firing</w:t>
            </w:r>
          </w:p>
        </w:tc>
        <w:tc>
          <w:tcPr>
            <w:tcW w:w="191" w:type="pct"/>
          </w:tcPr>
          <w:p w14:paraId="42DBA015"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lastRenderedPageBreak/>
              <w:t>Re</w:t>
            </w:r>
          </w:p>
        </w:tc>
        <w:tc>
          <w:tcPr>
            <w:tcW w:w="440" w:type="pct"/>
          </w:tcPr>
          <w:p w14:paraId="7E9922C3" w14:textId="72AEA19D"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N</w:t>
            </w:r>
          </w:p>
        </w:tc>
        <w:tc>
          <w:tcPr>
            <w:tcW w:w="283" w:type="pct"/>
            <w:shd w:val="clear" w:color="auto" w:fill="00B0F0"/>
          </w:tcPr>
          <w:p w14:paraId="53D78A9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D</w:t>
            </w:r>
          </w:p>
        </w:tc>
      </w:tr>
      <w:tr w:rsidR="00262AAF" w:rsidRPr="00835F1E" w14:paraId="38A8A82A" w14:textId="77777777" w:rsidTr="00E343AF">
        <w:trPr>
          <w:trHeight w:val="351"/>
        </w:trPr>
        <w:tc>
          <w:tcPr>
            <w:cnfStyle w:val="001000000000" w:firstRow="0" w:lastRow="0" w:firstColumn="1" w:lastColumn="0" w:oddVBand="0" w:evenVBand="0" w:oddHBand="0" w:evenHBand="0" w:firstRowFirstColumn="0" w:firstRowLastColumn="0" w:lastRowFirstColumn="0" w:lastRowLastColumn="0"/>
            <w:tcW w:w="921" w:type="pct"/>
          </w:tcPr>
          <w:p w14:paraId="10CC219C" w14:textId="77777777" w:rsidR="00262AAF" w:rsidRPr="00835F1E" w:rsidRDefault="00262AAF" w:rsidP="005A156D">
            <w:pPr>
              <w:rPr>
                <w:b w:val="0"/>
                <w:bCs w:val="0"/>
              </w:rPr>
            </w:pPr>
            <w:r w:rsidRPr="00835F1E">
              <w:rPr>
                <w:b w:val="0"/>
                <w:bCs w:val="0"/>
              </w:rPr>
              <w:t>Exposure to severe weather conditions</w:t>
            </w:r>
          </w:p>
        </w:tc>
        <w:tc>
          <w:tcPr>
            <w:tcW w:w="961" w:type="pct"/>
          </w:tcPr>
          <w:p w14:paraId="68ADF5DC" w14:textId="0831ED19" w:rsidR="00554EFD" w:rsidRDefault="00554EFD" w:rsidP="005A156D">
            <w:pPr>
              <w:cnfStyle w:val="000000000000" w:firstRow="0" w:lastRow="0" w:firstColumn="0" w:lastColumn="0" w:oddVBand="0" w:evenVBand="0" w:oddHBand="0" w:evenHBand="0" w:firstRowFirstColumn="0" w:firstRowLastColumn="0" w:lastRowFirstColumn="0" w:lastRowLastColumn="0"/>
            </w:pPr>
            <w:r>
              <w:t xml:space="preserve">Cause: </w:t>
            </w:r>
            <w:r w:rsidRPr="00554EFD">
              <w:rPr>
                <w:lang w:val="en-US"/>
              </w:rPr>
              <w:t>Exposure to severe weather conditions such as rain, high winds and extremes of temperature</w:t>
            </w:r>
          </w:p>
          <w:p w14:paraId="3710D20A"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647CB9A1"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02321FB0" w14:textId="1B569AC8"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Harm: Hypothermia or sun stroke due to weather conditions</w:t>
            </w:r>
          </w:p>
        </w:tc>
        <w:tc>
          <w:tcPr>
            <w:tcW w:w="196" w:type="pct"/>
          </w:tcPr>
          <w:p w14:paraId="57F6576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F</w:t>
            </w:r>
          </w:p>
        </w:tc>
        <w:tc>
          <w:tcPr>
            <w:tcW w:w="262" w:type="pct"/>
          </w:tcPr>
          <w:p w14:paraId="20835081"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M</w:t>
            </w:r>
          </w:p>
        </w:tc>
        <w:tc>
          <w:tcPr>
            <w:tcW w:w="249" w:type="pct"/>
            <w:shd w:val="clear" w:color="auto" w:fill="EE0000"/>
          </w:tcPr>
          <w:p w14:paraId="68B41FAE"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w:t>
            </w:r>
          </w:p>
        </w:tc>
        <w:tc>
          <w:tcPr>
            <w:tcW w:w="1497" w:type="pct"/>
          </w:tcPr>
          <w:p w14:paraId="6130469A"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Where weather conditions are hazardous to health, operators are rotated to provide shelter from the elements</w:t>
            </w:r>
          </w:p>
          <w:p w14:paraId="14116D78"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7BA1612B"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Job leader to stop activity if weather conditions are unfit for work</w:t>
            </w:r>
          </w:p>
          <w:p w14:paraId="7919A0E2"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673DFE74"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Operators call ‘stop’ when they begin to be affected by weather conditions</w:t>
            </w:r>
          </w:p>
          <w:p w14:paraId="505787D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490281C5"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Shelter is provided from weather conditions</w:t>
            </w:r>
          </w:p>
          <w:p w14:paraId="00392D6D"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2C904D52"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Safety brief covers that operators must tell job leader if anyone is displaying symptoms of climatic injury</w:t>
            </w:r>
          </w:p>
          <w:p w14:paraId="36F30866"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24960F77"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All PPE is checked for suitability with weather conditions</w:t>
            </w:r>
          </w:p>
        </w:tc>
        <w:tc>
          <w:tcPr>
            <w:tcW w:w="191" w:type="pct"/>
          </w:tcPr>
          <w:p w14:paraId="2BDC1CFA"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Re</w:t>
            </w:r>
          </w:p>
        </w:tc>
        <w:tc>
          <w:tcPr>
            <w:tcW w:w="440" w:type="pct"/>
          </w:tcPr>
          <w:p w14:paraId="36506702" w14:textId="2204175C" w:rsidR="00262AAF" w:rsidRPr="00835F1E" w:rsidRDefault="00E343AF" w:rsidP="005A156D">
            <w:pPr>
              <w:cnfStyle w:val="000000000000" w:firstRow="0" w:lastRow="0" w:firstColumn="0" w:lastColumn="0" w:oddVBand="0" w:evenVBand="0" w:oddHBand="0" w:evenHBand="0" w:firstRowFirstColumn="0" w:firstRowLastColumn="0" w:lastRowFirstColumn="0" w:lastRowLastColumn="0"/>
            </w:pPr>
            <w:r>
              <w:t>M</w:t>
            </w:r>
          </w:p>
        </w:tc>
        <w:tc>
          <w:tcPr>
            <w:tcW w:w="283" w:type="pct"/>
            <w:shd w:val="clear" w:color="auto" w:fill="92D050"/>
          </w:tcPr>
          <w:p w14:paraId="458C7671" w14:textId="46085CFC" w:rsidR="00262AAF" w:rsidRPr="00835F1E" w:rsidRDefault="00E343AF" w:rsidP="005A156D">
            <w:pPr>
              <w:cnfStyle w:val="000000000000" w:firstRow="0" w:lastRow="0" w:firstColumn="0" w:lastColumn="0" w:oddVBand="0" w:evenVBand="0" w:oddHBand="0" w:evenHBand="0" w:firstRowFirstColumn="0" w:firstRowLastColumn="0" w:lastRowFirstColumn="0" w:lastRowLastColumn="0"/>
            </w:pPr>
            <w:r>
              <w:t>C</w:t>
            </w:r>
          </w:p>
        </w:tc>
      </w:tr>
      <w:tr w:rsidR="00262AAF" w:rsidRPr="00835F1E" w14:paraId="7311D23C" w14:textId="77777777" w:rsidTr="005A156D">
        <w:trPr>
          <w:trHeight w:val="336"/>
        </w:trPr>
        <w:tc>
          <w:tcPr>
            <w:cnfStyle w:val="001000000000" w:firstRow="0" w:lastRow="0" w:firstColumn="1" w:lastColumn="0" w:oddVBand="0" w:evenVBand="0" w:oddHBand="0" w:evenHBand="0" w:firstRowFirstColumn="0" w:firstRowLastColumn="0" w:lastRowFirstColumn="0" w:lastRowLastColumn="0"/>
            <w:tcW w:w="921" w:type="pct"/>
          </w:tcPr>
          <w:p w14:paraId="3948284D" w14:textId="2322B176" w:rsidR="00262AAF" w:rsidRPr="00835F1E" w:rsidRDefault="00CE28B3" w:rsidP="005A156D">
            <w:pPr>
              <w:rPr>
                <w:b w:val="0"/>
                <w:bCs w:val="0"/>
              </w:rPr>
            </w:pPr>
            <w:r>
              <w:rPr>
                <w:b w:val="0"/>
                <w:bCs w:val="0"/>
              </w:rPr>
              <w:lastRenderedPageBreak/>
              <w:t>Weapon misfire</w:t>
            </w:r>
          </w:p>
        </w:tc>
        <w:tc>
          <w:tcPr>
            <w:tcW w:w="961" w:type="pct"/>
          </w:tcPr>
          <w:p w14:paraId="1BD83ADC" w14:textId="4DF1871D" w:rsidR="00554EFD" w:rsidRDefault="00554EFD" w:rsidP="005A156D">
            <w:pPr>
              <w:cnfStyle w:val="000000000000" w:firstRow="0" w:lastRow="0" w:firstColumn="0" w:lastColumn="0" w:oddVBand="0" w:evenVBand="0" w:oddHBand="0" w:evenHBand="0" w:firstRowFirstColumn="0" w:firstRowLastColumn="0" w:lastRowFirstColumn="0" w:lastRowLastColumn="0"/>
            </w:pPr>
            <w:r>
              <w:t>Cause: Unplanned asset initiation caused by weapon misfire</w:t>
            </w:r>
          </w:p>
          <w:p w14:paraId="747F7F2F"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203EF208" w14:textId="03F1F638"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Harm: Multiple fatalities, severe injuries by blast, frag, and heat effects</w:t>
            </w:r>
          </w:p>
        </w:tc>
        <w:tc>
          <w:tcPr>
            <w:tcW w:w="196" w:type="pct"/>
          </w:tcPr>
          <w:p w14:paraId="29D7F181" w14:textId="4737AD48" w:rsidR="00262AAF" w:rsidRPr="00835F1E" w:rsidRDefault="00E343AF" w:rsidP="005A156D">
            <w:pPr>
              <w:cnfStyle w:val="000000000000" w:firstRow="0" w:lastRow="0" w:firstColumn="0" w:lastColumn="0" w:oddVBand="0" w:evenVBand="0" w:oddHBand="0" w:evenHBand="0" w:firstRowFirstColumn="0" w:firstRowLastColumn="0" w:lastRowFirstColumn="0" w:lastRowLastColumn="0"/>
            </w:pPr>
            <w:r>
              <w:t>O</w:t>
            </w:r>
          </w:p>
        </w:tc>
        <w:tc>
          <w:tcPr>
            <w:tcW w:w="262" w:type="pct"/>
          </w:tcPr>
          <w:p w14:paraId="5C58981C"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Ca</w:t>
            </w:r>
          </w:p>
        </w:tc>
        <w:tc>
          <w:tcPr>
            <w:tcW w:w="249" w:type="pct"/>
            <w:shd w:val="clear" w:color="auto" w:fill="EE0000"/>
          </w:tcPr>
          <w:p w14:paraId="4DD0577E"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w:t>
            </w:r>
          </w:p>
        </w:tc>
        <w:tc>
          <w:tcPr>
            <w:tcW w:w="1497" w:type="pct"/>
          </w:tcPr>
          <w:p w14:paraId="4CB9572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Misfire is called and a 30 min safety wait must be adhered to</w:t>
            </w:r>
          </w:p>
          <w:p w14:paraId="7D50B5CC"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1C5B5C61"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Unloading of misfired ammunition is a one-man activity</w:t>
            </w:r>
          </w:p>
          <w:p w14:paraId="77F3C615"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5E031374"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All misfires dealt with in accordance with the established misfire procedure for equipment</w:t>
            </w:r>
          </w:p>
          <w:p w14:paraId="370E44D9"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39740E67"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All OME is subject to visual inspection by operator prior to loading</w:t>
            </w:r>
          </w:p>
          <w:p w14:paraId="34594987"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1313FB54" w14:textId="77777777" w:rsidR="00262AAF" w:rsidRDefault="00262AAF" w:rsidP="005A156D">
            <w:pPr>
              <w:cnfStyle w:val="000000000000" w:firstRow="0" w:lastRow="0" w:firstColumn="0" w:lastColumn="0" w:oddVBand="0" w:evenVBand="0" w:oddHBand="0" w:evenHBand="0" w:firstRowFirstColumn="0" w:firstRowLastColumn="0" w:lastRowFirstColumn="0" w:lastRowLastColumn="0"/>
            </w:pPr>
            <w:r w:rsidRPr="00835F1E">
              <w:t>Operators receive safety brief detailing specific hazards for activity prior to firing</w:t>
            </w:r>
          </w:p>
          <w:p w14:paraId="37B85199" w14:textId="77777777" w:rsidR="00BC06BC" w:rsidRDefault="00BC06BC" w:rsidP="005A156D">
            <w:pPr>
              <w:cnfStyle w:val="000000000000" w:firstRow="0" w:lastRow="0" w:firstColumn="0" w:lastColumn="0" w:oddVBand="0" w:evenVBand="0" w:oddHBand="0" w:evenHBand="0" w:firstRowFirstColumn="0" w:firstRowLastColumn="0" w:lastRowFirstColumn="0" w:lastRowLastColumn="0"/>
            </w:pPr>
          </w:p>
          <w:p w14:paraId="60669E27" w14:textId="66D5279A" w:rsidR="00BC06BC" w:rsidRPr="00835F1E" w:rsidRDefault="00BC06BC" w:rsidP="005A156D">
            <w:pPr>
              <w:cnfStyle w:val="000000000000" w:firstRow="0" w:lastRow="0" w:firstColumn="0" w:lastColumn="0" w:oddVBand="0" w:evenVBand="0" w:oddHBand="0" w:evenHBand="0" w:firstRowFirstColumn="0" w:firstRowLastColumn="0" w:lastRowFirstColumn="0" w:lastRowLastColumn="0"/>
            </w:pPr>
            <w:r>
              <w:t>All operators are trained for misfire situations and carry out periodic run-throughs of the process</w:t>
            </w:r>
          </w:p>
        </w:tc>
        <w:tc>
          <w:tcPr>
            <w:tcW w:w="191" w:type="pct"/>
          </w:tcPr>
          <w:p w14:paraId="5BCE1D67" w14:textId="78965ACF"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roofErr w:type="spellStart"/>
            <w:r w:rsidRPr="00835F1E">
              <w:t>I</w:t>
            </w:r>
            <w:r w:rsidR="00E343AF">
              <w:t>m</w:t>
            </w:r>
            <w:proofErr w:type="spellEnd"/>
          </w:p>
        </w:tc>
        <w:tc>
          <w:tcPr>
            <w:tcW w:w="440" w:type="pct"/>
          </w:tcPr>
          <w:p w14:paraId="0D4ACD17" w14:textId="0B1AEEF4"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C</w:t>
            </w:r>
            <w:r w:rsidR="00E343AF">
              <w:t>r</w:t>
            </w:r>
          </w:p>
        </w:tc>
        <w:tc>
          <w:tcPr>
            <w:tcW w:w="283" w:type="pct"/>
            <w:shd w:val="clear" w:color="auto" w:fill="92D050"/>
          </w:tcPr>
          <w:p w14:paraId="09AAA89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C</w:t>
            </w:r>
          </w:p>
        </w:tc>
      </w:tr>
      <w:tr w:rsidR="00262AAF" w:rsidRPr="00835F1E" w14:paraId="31FFFD3B" w14:textId="77777777" w:rsidTr="00E343AF">
        <w:trPr>
          <w:trHeight w:val="336"/>
        </w:trPr>
        <w:tc>
          <w:tcPr>
            <w:cnfStyle w:val="001000000000" w:firstRow="0" w:lastRow="0" w:firstColumn="1" w:lastColumn="0" w:oddVBand="0" w:evenVBand="0" w:oddHBand="0" w:evenHBand="0" w:firstRowFirstColumn="0" w:firstRowLastColumn="0" w:lastRowFirstColumn="0" w:lastRowLastColumn="0"/>
            <w:tcW w:w="921" w:type="pct"/>
          </w:tcPr>
          <w:p w14:paraId="0DBB48E7" w14:textId="06497DE4" w:rsidR="00262AAF" w:rsidRPr="00835F1E" w:rsidRDefault="00262AAF" w:rsidP="005A156D">
            <w:pPr>
              <w:rPr>
                <w:b w:val="0"/>
                <w:bCs w:val="0"/>
              </w:rPr>
            </w:pPr>
            <w:r w:rsidRPr="00835F1E">
              <w:rPr>
                <w:b w:val="0"/>
                <w:bCs w:val="0"/>
              </w:rPr>
              <w:t xml:space="preserve">Exposure to toxic/harmful/ irritant </w:t>
            </w:r>
            <w:r w:rsidR="00554EFD">
              <w:rPr>
                <w:b w:val="0"/>
                <w:bCs w:val="0"/>
              </w:rPr>
              <w:t>materials</w:t>
            </w:r>
            <w:r w:rsidRPr="00835F1E">
              <w:rPr>
                <w:b w:val="0"/>
                <w:bCs w:val="0"/>
              </w:rPr>
              <w:t xml:space="preserve"> and fumes after firing</w:t>
            </w:r>
          </w:p>
        </w:tc>
        <w:tc>
          <w:tcPr>
            <w:tcW w:w="961" w:type="pct"/>
          </w:tcPr>
          <w:p w14:paraId="3C61A309" w14:textId="7949D9EA" w:rsidR="00554EFD" w:rsidRDefault="00554EFD" w:rsidP="005A156D">
            <w:pPr>
              <w:cnfStyle w:val="000000000000" w:firstRow="0" w:lastRow="0" w:firstColumn="0" w:lastColumn="0" w:oddVBand="0" w:evenVBand="0" w:oddHBand="0" w:evenHBand="0" w:firstRowFirstColumn="0" w:firstRowLastColumn="0" w:lastRowFirstColumn="0" w:lastRowLastColumn="0"/>
            </w:pPr>
            <w:r>
              <w:t>Cause: Inhalation, absorption or ingestion of harmful substances post firing</w:t>
            </w:r>
          </w:p>
          <w:p w14:paraId="259AA80B"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64E87831" w14:textId="2139D534"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 xml:space="preserve">Harm: Severe or minor occupational illness </w:t>
            </w:r>
          </w:p>
        </w:tc>
        <w:tc>
          <w:tcPr>
            <w:tcW w:w="196" w:type="pct"/>
          </w:tcPr>
          <w:p w14:paraId="4557EB6F" w14:textId="54B61A6D" w:rsidR="00262AAF" w:rsidRPr="00835F1E" w:rsidRDefault="00E343AF" w:rsidP="005A156D">
            <w:pPr>
              <w:cnfStyle w:val="000000000000" w:firstRow="0" w:lastRow="0" w:firstColumn="0" w:lastColumn="0" w:oddVBand="0" w:evenVBand="0" w:oddHBand="0" w:evenHBand="0" w:firstRowFirstColumn="0" w:firstRowLastColumn="0" w:lastRowFirstColumn="0" w:lastRowLastColumn="0"/>
            </w:pPr>
            <w:r>
              <w:t>P</w:t>
            </w:r>
          </w:p>
        </w:tc>
        <w:tc>
          <w:tcPr>
            <w:tcW w:w="262" w:type="pct"/>
          </w:tcPr>
          <w:p w14:paraId="58EFCFEC"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Cr</w:t>
            </w:r>
          </w:p>
        </w:tc>
        <w:tc>
          <w:tcPr>
            <w:tcW w:w="249" w:type="pct"/>
            <w:shd w:val="clear" w:color="auto" w:fill="EE0000"/>
          </w:tcPr>
          <w:p w14:paraId="03087F55"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w:t>
            </w:r>
          </w:p>
        </w:tc>
        <w:tc>
          <w:tcPr>
            <w:tcW w:w="1497" w:type="pct"/>
          </w:tcPr>
          <w:p w14:paraId="7809973F"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All firing activities are conducted remotely and from covered buildings</w:t>
            </w:r>
          </w:p>
          <w:p w14:paraId="22FC550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1072D718" w14:textId="5497A010" w:rsidR="00262AAF" w:rsidRDefault="00262AAF" w:rsidP="005A156D">
            <w:pPr>
              <w:cnfStyle w:val="000000000000" w:firstRow="0" w:lastRow="0" w:firstColumn="0" w:lastColumn="0" w:oddVBand="0" w:evenVBand="0" w:oddHBand="0" w:evenHBand="0" w:firstRowFirstColumn="0" w:firstRowLastColumn="0" w:lastRowFirstColumn="0" w:lastRowLastColumn="0"/>
            </w:pPr>
            <w:r w:rsidRPr="00835F1E">
              <w:t>All smoke and fumes will dissipate before it reaches any inhabited area</w:t>
            </w:r>
          </w:p>
          <w:p w14:paraId="6E87033A" w14:textId="77777777" w:rsidR="00BC06BC" w:rsidRPr="00835F1E" w:rsidRDefault="00BC06BC" w:rsidP="005A156D">
            <w:pPr>
              <w:cnfStyle w:val="000000000000" w:firstRow="0" w:lastRow="0" w:firstColumn="0" w:lastColumn="0" w:oddVBand="0" w:evenVBand="0" w:oddHBand="0" w:evenHBand="0" w:firstRowFirstColumn="0" w:firstRowLastColumn="0" w:lastRowFirstColumn="0" w:lastRowLastColumn="0"/>
            </w:pPr>
          </w:p>
          <w:p w14:paraId="20B25E81"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lastRenderedPageBreak/>
              <w:t>All personnel are to stay undercover until the job leader indicates that all fumes/smoke have dissipated</w:t>
            </w:r>
          </w:p>
          <w:p w14:paraId="75E049D6"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387D81D1"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The gun operator will allow any excess smoke to dissipate upon opening the breech</w:t>
            </w:r>
          </w:p>
          <w:p w14:paraId="41E9F822"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47E0F596"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All operators will wear PPE in accordance with pre-task safety brief</w:t>
            </w:r>
          </w:p>
        </w:tc>
        <w:tc>
          <w:tcPr>
            <w:tcW w:w="191" w:type="pct"/>
          </w:tcPr>
          <w:p w14:paraId="1C3A4F0A" w14:textId="66D89759" w:rsidR="00262AAF" w:rsidRPr="00835F1E" w:rsidRDefault="00E343AF" w:rsidP="005A156D">
            <w:pPr>
              <w:cnfStyle w:val="000000000000" w:firstRow="0" w:lastRow="0" w:firstColumn="0" w:lastColumn="0" w:oddVBand="0" w:evenVBand="0" w:oddHBand="0" w:evenHBand="0" w:firstRowFirstColumn="0" w:firstRowLastColumn="0" w:lastRowFirstColumn="0" w:lastRowLastColumn="0"/>
            </w:pPr>
            <w:r>
              <w:lastRenderedPageBreak/>
              <w:t>Re</w:t>
            </w:r>
          </w:p>
        </w:tc>
        <w:tc>
          <w:tcPr>
            <w:tcW w:w="440" w:type="pct"/>
          </w:tcPr>
          <w:p w14:paraId="03F6FA6B" w14:textId="11EA3356"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M</w:t>
            </w:r>
          </w:p>
        </w:tc>
        <w:tc>
          <w:tcPr>
            <w:tcW w:w="283" w:type="pct"/>
            <w:shd w:val="clear" w:color="auto" w:fill="92D050"/>
          </w:tcPr>
          <w:p w14:paraId="34F18ECC" w14:textId="29B02C98" w:rsidR="00262AAF" w:rsidRPr="00835F1E" w:rsidRDefault="00E343AF" w:rsidP="005A156D">
            <w:pPr>
              <w:cnfStyle w:val="000000000000" w:firstRow="0" w:lastRow="0" w:firstColumn="0" w:lastColumn="0" w:oddVBand="0" w:evenVBand="0" w:oddHBand="0" w:evenHBand="0" w:firstRowFirstColumn="0" w:firstRowLastColumn="0" w:lastRowFirstColumn="0" w:lastRowLastColumn="0"/>
            </w:pPr>
            <w:r>
              <w:t>C</w:t>
            </w:r>
          </w:p>
        </w:tc>
      </w:tr>
      <w:tr w:rsidR="00262AAF" w:rsidRPr="00835F1E" w14:paraId="54EC6157" w14:textId="77777777" w:rsidTr="005A156D">
        <w:trPr>
          <w:trHeight w:val="336"/>
        </w:trPr>
        <w:tc>
          <w:tcPr>
            <w:cnfStyle w:val="001000000000" w:firstRow="0" w:lastRow="0" w:firstColumn="1" w:lastColumn="0" w:oddVBand="0" w:evenVBand="0" w:oddHBand="0" w:evenHBand="0" w:firstRowFirstColumn="0" w:firstRowLastColumn="0" w:lastRowFirstColumn="0" w:lastRowLastColumn="0"/>
            <w:tcW w:w="921" w:type="pct"/>
          </w:tcPr>
          <w:p w14:paraId="44A28119" w14:textId="5A8AFFA1" w:rsidR="00262AAF" w:rsidRPr="00835F1E" w:rsidRDefault="00262AAF" w:rsidP="005A156D">
            <w:pPr>
              <w:rPr>
                <w:b w:val="0"/>
                <w:bCs w:val="0"/>
              </w:rPr>
            </w:pPr>
            <w:r w:rsidRPr="00835F1E">
              <w:rPr>
                <w:b w:val="0"/>
                <w:bCs w:val="0"/>
              </w:rPr>
              <w:t>Noise exposure</w:t>
            </w:r>
          </w:p>
        </w:tc>
        <w:tc>
          <w:tcPr>
            <w:tcW w:w="961" w:type="pct"/>
          </w:tcPr>
          <w:p w14:paraId="68B6767B" w14:textId="316A6AAB" w:rsidR="00554EFD" w:rsidRDefault="00554EFD" w:rsidP="005A156D">
            <w:pPr>
              <w:cnfStyle w:val="000000000000" w:firstRow="0" w:lastRow="0" w:firstColumn="0" w:lastColumn="0" w:oddVBand="0" w:evenVBand="0" w:oddHBand="0" w:evenHBand="0" w:firstRowFirstColumn="0" w:firstRowLastColumn="0" w:lastRowFirstColumn="0" w:lastRowLastColumn="0"/>
            </w:pPr>
            <w:r>
              <w:t>Cause: Personnel being the in vicinity during weapon firing</w:t>
            </w:r>
          </w:p>
          <w:p w14:paraId="1207436A"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3361B6C8"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17AE43CE"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293F6C8F" w14:textId="3F68DD0E" w:rsidR="00262AAF" w:rsidRPr="00835F1E" w:rsidRDefault="00554EFD" w:rsidP="005A156D">
            <w:pPr>
              <w:cnfStyle w:val="000000000000" w:firstRow="0" w:lastRow="0" w:firstColumn="0" w:lastColumn="0" w:oddVBand="0" w:evenVBand="0" w:oddHBand="0" w:evenHBand="0" w:firstRowFirstColumn="0" w:firstRowLastColumn="0" w:lastRowFirstColumn="0" w:lastRowLastColumn="0"/>
            </w:pPr>
            <w:r>
              <w:t xml:space="preserve">Harm: </w:t>
            </w:r>
            <w:r w:rsidR="00262AAF" w:rsidRPr="00835F1E">
              <w:t>Serious and minor occupational illness due to high impulse noise exposure</w:t>
            </w:r>
          </w:p>
        </w:tc>
        <w:tc>
          <w:tcPr>
            <w:tcW w:w="196" w:type="pct"/>
          </w:tcPr>
          <w:p w14:paraId="01346093"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F</w:t>
            </w:r>
          </w:p>
        </w:tc>
        <w:tc>
          <w:tcPr>
            <w:tcW w:w="262" w:type="pct"/>
          </w:tcPr>
          <w:p w14:paraId="5169AAD6"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Cr</w:t>
            </w:r>
          </w:p>
        </w:tc>
        <w:tc>
          <w:tcPr>
            <w:tcW w:w="249" w:type="pct"/>
            <w:shd w:val="clear" w:color="auto" w:fill="FF0000"/>
          </w:tcPr>
          <w:p w14:paraId="5DCBBFDD"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w:t>
            </w:r>
          </w:p>
        </w:tc>
        <w:tc>
          <w:tcPr>
            <w:tcW w:w="1497" w:type="pct"/>
          </w:tcPr>
          <w:p w14:paraId="6C8C6AB5"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All firing activities are conducted remotely and from covered buildings</w:t>
            </w:r>
          </w:p>
          <w:p w14:paraId="61E69165"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6564C268"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Facility has a noise monitoring system that records the peak noise at multiple areas around the site.  The data from this is compared against the accepted criteria</w:t>
            </w:r>
          </w:p>
          <w:p w14:paraId="6582ED24"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57A6CE93" w14:textId="13351ACF" w:rsidR="00262AAF" w:rsidRDefault="00262AAF" w:rsidP="005A156D">
            <w:pPr>
              <w:cnfStyle w:val="000000000000" w:firstRow="0" w:lastRow="0" w:firstColumn="0" w:lastColumn="0" w:oddVBand="0" w:evenVBand="0" w:oddHBand="0" w:evenHBand="0" w:firstRowFirstColumn="0" w:firstRowLastColumn="0" w:lastRowFirstColumn="0" w:lastRowLastColumn="0"/>
            </w:pPr>
            <w:r w:rsidRPr="00835F1E">
              <w:t>Operators within hearing protection zones must wear ear protection at all times when weapon in use</w:t>
            </w:r>
          </w:p>
          <w:p w14:paraId="29E5165C" w14:textId="77777777" w:rsidR="00BC06BC" w:rsidRPr="00835F1E" w:rsidRDefault="00BC06BC" w:rsidP="005A156D">
            <w:pPr>
              <w:cnfStyle w:val="000000000000" w:firstRow="0" w:lastRow="0" w:firstColumn="0" w:lastColumn="0" w:oddVBand="0" w:evenVBand="0" w:oddHBand="0" w:evenHBand="0" w:firstRowFirstColumn="0" w:firstRowLastColumn="0" w:lastRowFirstColumn="0" w:lastRowLastColumn="0"/>
            </w:pPr>
          </w:p>
          <w:p w14:paraId="354FBD3D"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lastRenderedPageBreak/>
              <w:t>Operators that work in this area will receive periodic occupational hearing assessments</w:t>
            </w:r>
          </w:p>
          <w:p w14:paraId="4F1B8CD9"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1FD75009" w14:textId="59D3757E"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Operators receive safety brief detailing specific hazards for activity prior to firing</w:t>
            </w:r>
          </w:p>
        </w:tc>
        <w:tc>
          <w:tcPr>
            <w:tcW w:w="191" w:type="pct"/>
          </w:tcPr>
          <w:p w14:paraId="222627D6"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lastRenderedPageBreak/>
              <w:t>Re</w:t>
            </w:r>
          </w:p>
        </w:tc>
        <w:tc>
          <w:tcPr>
            <w:tcW w:w="440" w:type="pct"/>
          </w:tcPr>
          <w:p w14:paraId="2CD309EB" w14:textId="5F2B0EF8"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N</w:t>
            </w:r>
          </w:p>
        </w:tc>
        <w:tc>
          <w:tcPr>
            <w:tcW w:w="283" w:type="pct"/>
            <w:shd w:val="clear" w:color="auto" w:fill="00B0F0"/>
          </w:tcPr>
          <w:p w14:paraId="373059A8"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D</w:t>
            </w:r>
          </w:p>
        </w:tc>
      </w:tr>
      <w:tr w:rsidR="00262AAF" w:rsidRPr="00835F1E" w14:paraId="6735C149" w14:textId="77777777" w:rsidTr="005A156D">
        <w:trPr>
          <w:trHeight w:val="336"/>
        </w:trPr>
        <w:tc>
          <w:tcPr>
            <w:cnfStyle w:val="001000000000" w:firstRow="0" w:lastRow="0" w:firstColumn="1" w:lastColumn="0" w:oddVBand="0" w:evenVBand="0" w:oddHBand="0" w:evenHBand="0" w:firstRowFirstColumn="0" w:firstRowLastColumn="0" w:lastRowFirstColumn="0" w:lastRowLastColumn="0"/>
            <w:tcW w:w="921" w:type="pct"/>
          </w:tcPr>
          <w:p w14:paraId="0B5F223F" w14:textId="6964D58F" w:rsidR="00262AAF" w:rsidRPr="00835F1E" w:rsidRDefault="00262AAF" w:rsidP="005A156D">
            <w:pPr>
              <w:rPr>
                <w:b w:val="0"/>
                <w:bCs w:val="0"/>
              </w:rPr>
            </w:pPr>
            <w:r w:rsidRPr="00835F1E">
              <w:rPr>
                <w:b w:val="0"/>
                <w:bCs w:val="0"/>
              </w:rPr>
              <w:t xml:space="preserve">Unintended movement of the breech mechanism </w:t>
            </w:r>
          </w:p>
        </w:tc>
        <w:tc>
          <w:tcPr>
            <w:tcW w:w="961" w:type="pct"/>
          </w:tcPr>
          <w:p w14:paraId="36F99D99" w14:textId="21698D77" w:rsidR="00554EFD" w:rsidRDefault="00554EFD" w:rsidP="005A156D">
            <w:pPr>
              <w:cnfStyle w:val="000000000000" w:firstRow="0" w:lastRow="0" w:firstColumn="0" w:lastColumn="0" w:oddVBand="0" w:evenVBand="0" w:oddHBand="0" w:evenHBand="0" w:firstRowFirstColumn="0" w:firstRowLastColumn="0" w:lastRowFirstColumn="0" w:lastRowLastColumn="0"/>
            </w:pPr>
            <w:r>
              <w:t>Cause: Movement of breech during loading and unloading operations</w:t>
            </w:r>
          </w:p>
          <w:p w14:paraId="5CCACE0F"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7833922B"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3316B8C0" w14:textId="77777777" w:rsidR="00554EFD" w:rsidRDefault="00554EFD" w:rsidP="005A156D">
            <w:pPr>
              <w:cnfStyle w:val="000000000000" w:firstRow="0" w:lastRow="0" w:firstColumn="0" w:lastColumn="0" w:oddVBand="0" w:evenVBand="0" w:oddHBand="0" w:evenHBand="0" w:firstRowFirstColumn="0" w:firstRowLastColumn="0" w:lastRowFirstColumn="0" w:lastRowLastColumn="0"/>
            </w:pPr>
          </w:p>
          <w:p w14:paraId="5BB183FB" w14:textId="6D7B6D23" w:rsidR="00262AAF" w:rsidRPr="00835F1E" w:rsidRDefault="00554EFD" w:rsidP="005A156D">
            <w:pPr>
              <w:cnfStyle w:val="000000000000" w:firstRow="0" w:lastRow="0" w:firstColumn="0" w:lastColumn="0" w:oddVBand="0" w:evenVBand="0" w:oddHBand="0" w:evenHBand="0" w:firstRowFirstColumn="0" w:firstRowLastColumn="0" w:lastRowFirstColumn="0" w:lastRowLastColumn="0"/>
            </w:pPr>
            <w:r>
              <w:t xml:space="preserve">Harm: </w:t>
            </w:r>
            <w:r w:rsidR="00262AAF" w:rsidRPr="00835F1E">
              <w:t>Entrapment of operator within breech system causing severe injuries</w:t>
            </w:r>
          </w:p>
        </w:tc>
        <w:tc>
          <w:tcPr>
            <w:tcW w:w="196" w:type="pct"/>
          </w:tcPr>
          <w:p w14:paraId="44211DC2"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P</w:t>
            </w:r>
          </w:p>
        </w:tc>
        <w:tc>
          <w:tcPr>
            <w:tcW w:w="262" w:type="pct"/>
          </w:tcPr>
          <w:p w14:paraId="457F72B1"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Cr</w:t>
            </w:r>
          </w:p>
        </w:tc>
        <w:tc>
          <w:tcPr>
            <w:tcW w:w="249" w:type="pct"/>
            <w:shd w:val="clear" w:color="auto" w:fill="FF0000"/>
          </w:tcPr>
          <w:p w14:paraId="455FDAA0"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w:t>
            </w:r>
          </w:p>
        </w:tc>
        <w:tc>
          <w:tcPr>
            <w:tcW w:w="1497" w:type="pct"/>
          </w:tcPr>
          <w:p w14:paraId="0952FC4D"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Personnel not involved in loading and unloading are out with the weapon danger area when this is taking place</w:t>
            </w:r>
          </w:p>
          <w:p w14:paraId="4FA5D716"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28393AEA"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Only SQEP personnel are authorised to load/unload the weapon</w:t>
            </w:r>
          </w:p>
          <w:p w14:paraId="3695E745"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2FD607C0"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All operations are carried out in accordance with relevant work instructions and only authorised tooling is used</w:t>
            </w:r>
          </w:p>
          <w:p w14:paraId="40F427BE"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71A57970"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All operations are overseen by a supervisor and additionally by CCTV</w:t>
            </w:r>
          </w:p>
          <w:p w14:paraId="7430C096"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p>
          <w:p w14:paraId="0D5920EC"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Operators receive safety brief detailing specific hazards for activity prior to firing</w:t>
            </w:r>
          </w:p>
        </w:tc>
        <w:tc>
          <w:tcPr>
            <w:tcW w:w="191" w:type="pct"/>
          </w:tcPr>
          <w:p w14:paraId="2F50BCE6"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Re</w:t>
            </w:r>
          </w:p>
        </w:tc>
        <w:tc>
          <w:tcPr>
            <w:tcW w:w="440" w:type="pct"/>
          </w:tcPr>
          <w:p w14:paraId="476BA21D" w14:textId="77777777" w:rsidR="00262AAF" w:rsidRPr="00835F1E" w:rsidRDefault="00262AAF" w:rsidP="005A156D">
            <w:pPr>
              <w:cnfStyle w:val="000000000000" w:firstRow="0" w:lastRow="0" w:firstColumn="0" w:lastColumn="0" w:oddVBand="0" w:evenVBand="0" w:oddHBand="0" w:evenHBand="0" w:firstRowFirstColumn="0" w:firstRowLastColumn="0" w:lastRowFirstColumn="0" w:lastRowLastColumn="0"/>
            </w:pPr>
            <w:r w:rsidRPr="00835F1E">
              <w:t>M</w:t>
            </w:r>
          </w:p>
        </w:tc>
        <w:tc>
          <w:tcPr>
            <w:tcW w:w="283" w:type="pct"/>
            <w:shd w:val="clear" w:color="auto" w:fill="92D050"/>
          </w:tcPr>
          <w:p w14:paraId="07371538" w14:textId="77777777" w:rsidR="00262AAF" w:rsidRPr="00835F1E" w:rsidRDefault="00262AAF" w:rsidP="00835F1E">
            <w:pPr>
              <w:keepNext/>
              <w:cnfStyle w:val="000000000000" w:firstRow="0" w:lastRow="0" w:firstColumn="0" w:lastColumn="0" w:oddVBand="0" w:evenVBand="0" w:oddHBand="0" w:evenHBand="0" w:firstRowFirstColumn="0" w:firstRowLastColumn="0" w:lastRowFirstColumn="0" w:lastRowLastColumn="0"/>
            </w:pPr>
            <w:r w:rsidRPr="00835F1E">
              <w:t>C</w:t>
            </w:r>
          </w:p>
        </w:tc>
      </w:tr>
    </w:tbl>
    <w:p w14:paraId="43C2BCD4" w14:textId="77777777" w:rsidR="00827DF4" w:rsidRDefault="00835F1E" w:rsidP="00835F1E">
      <w:pPr>
        <w:pStyle w:val="Caption"/>
        <w:jc w:val="center"/>
        <w:sectPr w:rsidR="00827DF4" w:rsidSect="00827DF4">
          <w:pgSz w:w="15840" w:h="12240" w:orient="landscape"/>
          <w:pgMar w:top="1800" w:right="1440" w:bottom="1800" w:left="1440" w:header="720" w:footer="720" w:gutter="0"/>
          <w:pgNumType w:start="0"/>
          <w:cols w:space="720"/>
          <w:titlePg/>
          <w:docGrid w:linePitch="360"/>
        </w:sectPr>
      </w:pPr>
      <w:bookmarkStart w:id="2" w:name="_Toc203723540"/>
      <w:r>
        <w:t xml:space="preserve">Table </w:t>
      </w:r>
      <w:fldSimple w:instr=" SEQ Table \* ARABIC ">
        <w:r w:rsidR="005014B6">
          <w:rPr>
            <w:noProof/>
          </w:rPr>
          <w:t>1</w:t>
        </w:r>
      </w:fldSimple>
      <w:r>
        <w:t xml:space="preserve"> - Tabular Risk Assessment</w:t>
      </w:r>
      <w:bookmarkEnd w:id="2"/>
    </w:p>
    <w:p w14:paraId="2B0ADBC0" w14:textId="2CAA2346" w:rsidR="00835F1E" w:rsidRPr="00835F1E" w:rsidRDefault="00835F1E" w:rsidP="00835F1E">
      <w:pPr>
        <w:pStyle w:val="Caption"/>
        <w:jc w:val="center"/>
      </w:pPr>
    </w:p>
    <w:p w14:paraId="31D74DBA" w14:textId="4D2B7108" w:rsidR="00D5413C" w:rsidRPr="00D5413C" w:rsidRDefault="00835F1E" w:rsidP="00D5413C">
      <w:pPr>
        <w:pStyle w:val="Heading2"/>
      </w:pPr>
      <w:bookmarkStart w:id="3" w:name="_Toc203723530"/>
      <w:r>
        <w:t>Risk Classification Matrix</w:t>
      </w:r>
      <w:bookmarkEnd w:id="3"/>
    </w:p>
    <w:p w14:paraId="0C2B645D" w14:textId="63C77217" w:rsidR="001638F6" w:rsidRDefault="00835F1E" w:rsidP="00835F1E">
      <w:r>
        <w:t>The Risk Classification Matrix used to determine the risk class for each hazard in the Risk Assessment can be seen in Table 2.</w:t>
      </w:r>
    </w:p>
    <w:tbl>
      <w:tblPr>
        <w:tblW w:w="0" w:type="auto"/>
        <w:jc w:val="center"/>
        <w:tblLayout w:type="fixed"/>
        <w:tblCellMar>
          <w:left w:w="0" w:type="dxa"/>
          <w:right w:w="0" w:type="dxa"/>
        </w:tblCellMar>
        <w:tblLook w:val="0000" w:firstRow="0" w:lastRow="0" w:firstColumn="0" w:lastColumn="0" w:noHBand="0" w:noVBand="0"/>
      </w:tblPr>
      <w:tblGrid>
        <w:gridCol w:w="1421"/>
        <w:gridCol w:w="1560"/>
        <w:gridCol w:w="1377"/>
        <w:gridCol w:w="1397"/>
        <w:gridCol w:w="1416"/>
      </w:tblGrid>
      <w:tr w:rsidR="00835F1E" w14:paraId="2E1DCD11" w14:textId="77777777" w:rsidTr="00835F1E">
        <w:trPr>
          <w:trHeight w:hRule="exact" w:val="480"/>
          <w:jc w:val="center"/>
        </w:trPr>
        <w:tc>
          <w:tcPr>
            <w:tcW w:w="1421" w:type="dxa"/>
            <w:tcBorders>
              <w:top w:val="single" w:sz="5" w:space="0" w:color="000000"/>
              <w:left w:val="single" w:sz="5" w:space="0" w:color="000000"/>
              <w:bottom w:val="single" w:sz="5" w:space="0" w:color="000000"/>
              <w:right w:val="single" w:sz="5" w:space="0" w:color="000000"/>
            </w:tcBorders>
            <w:vAlign w:val="center"/>
          </w:tcPr>
          <w:p w14:paraId="61CA25B4" w14:textId="77777777" w:rsidR="00835F1E" w:rsidRDefault="00835F1E" w:rsidP="005A156D">
            <w:pPr>
              <w:spacing w:before="129" w:after="94" w:line="252" w:lineRule="exact"/>
              <w:jc w:val="center"/>
              <w:textAlignment w:val="baseline"/>
              <w:rPr>
                <w:rFonts w:ascii="Arial" w:eastAsia="Arial" w:hAnsi="Arial"/>
                <w:b/>
                <w:color w:val="000000"/>
              </w:rPr>
            </w:pPr>
            <w:r>
              <w:rPr>
                <w:rFonts w:ascii="Arial" w:eastAsia="Arial" w:hAnsi="Arial"/>
                <w:b/>
                <w:color w:val="000000"/>
              </w:rPr>
              <w:t>Probability</w:t>
            </w:r>
          </w:p>
        </w:tc>
        <w:tc>
          <w:tcPr>
            <w:tcW w:w="1560" w:type="dxa"/>
            <w:tcBorders>
              <w:top w:val="single" w:sz="5" w:space="0" w:color="000000"/>
              <w:left w:val="single" w:sz="5" w:space="0" w:color="000000"/>
              <w:bottom w:val="single" w:sz="5" w:space="0" w:color="000000"/>
              <w:right w:val="single" w:sz="5" w:space="0" w:color="000000"/>
            </w:tcBorders>
            <w:vAlign w:val="center"/>
          </w:tcPr>
          <w:p w14:paraId="23155790" w14:textId="5CCA0F6C" w:rsidR="00835F1E" w:rsidRPr="005014B6" w:rsidRDefault="00835F1E" w:rsidP="005A156D">
            <w:pPr>
              <w:spacing w:before="129" w:after="94" w:line="252" w:lineRule="exact"/>
              <w:jc w:val="center"/>
              <w:textAlignment w:val="baseline"/>
              <w:rPr>
                <w:rFonts w:ascii="Arial" w:eastAsia="Arial" w:hAnsi="Arial"/>
                <w:b/>
                <w:color w:val="000000"/>
                <w:sz w:val="18"/>
                <w:szCs w:val="18"/>
              </w:rPr>
            </w:pPr>
            <w:r w:rsidRPr="005014B6">
              <w:rPr>
                <w:rFonts w:ascii="Arial" w:eastAsia="Arial" w:hAnsi="Arial"/>
                <w:b/>
                <w:color w:val="000000"/>
                <w:sz w:val="18"/>
                <w:szCs w:val="18"/>
              </w:rPr>
              <w:t>Catastrophic</w:t>
            </w:r>
            <w:r w:rsidR="005014B6" w:rsidRPr="005014B6">
              <w:rPr>
                <w:rFonts w:ascii="Arial" w:eastAsia="Arial" w:hAnsi="Arial"/>
                <w:b/>
                <w:color w:val="000000"/>
                <w:sz w:val="18"/>
                <w:szCs w:val="18"/>
              </w:rPr>
              <w:t xml:space="preserve"> (Ca)</w:t>
            </w:r>
          </w:p>
        </w:tc>
        <w:tc>
          <w:tcPr>
            <w:tcW w:w="1377" w:type="dxa"/>
            <w:tcBorders>
              <w:top w:val="single" w:sz="5" w:space="0" w:color="000000"/>
              <w:left w:val="single" w:sz="5" w:space="0" w:color="000000"/>
              <w:bottom w:val="single" w:sz="5" w:space="0" w:color="000000"/>
              <w:right w:val="single" w:sz="5" w:space="0" w:color="000000"/>
            </w:tcBorders>
            <w:vAlign w:val="center"/>
          </w:tcPr>
          <w:p w14:paraId="04CCFBBE" w14:textId="77EA5880" w:rsidR="00835F1E" w:rsidRDefault="00835F1E" w:rsidP="005A156D">
            <w:pPr>
              <w:spacing w:before="129" w:after="94" w:line="252" w:lineRule="exact"/>
              <w:jc w:val="center"/>
              <w:textAlignment w:val="baseline"/>
              <w:rPr>
                <w:rFonts w:ascii="Arial" w:eastAsia="Arial" w:hAnsi="Arial"/>
                <w:b/>
                <w:color w:val="000000"/>
              </w:rPr>
            </w:pPr>
            <w:r>
              <w:rPr>
                <w:rFonts w:ascii="Arial" w:eastAsia="Arial" w:hAnsi="Arial"/>
                <w:b/>
                <w:color w:val="000000"/>
              </w:rPr>
              <w:t>Critical</w:t>
            </w:r>
            <w:r w:rsidR="005014B6">
              <w:rPr>
                <w:rFonts w:ascii="Arial" w:eastAsia="Arial" w:hAnsi="Arial"/>
                <w:b/>
                <w:color w:val="000000"/>
              </w:rPr>
              <w:t xml:space="preserve"> (Cr)</w:t>
            </w:r>
          </w:p>
        </w:tc>
        <w:tc>
          <w:tcPr>
            <w:tcW w:w="1397" w:type="dxa"/>
            <w:tcBorders>
              <w:top w:val="single" w:sz="5" w:space="0" w:color="000000"/>
              <w:left w:val="single" w:sz="5" w:space="0" w:color="000000"/>
              <w:bottom w:val="single" w:sz="5" w:space="0" w:color="000000"/>
              <w:right w:val="single" w:sz="5" w:space="0" w:color="000000"/>
            </w:tcBorders>
            <w:vAlign w:val="center"/>
          </w:tcPr>
          <w:p w14:paraId="46E265FD" w14:textId="4259B2F8" w:rsidR="00835F1E" w:rsidRDefault="00835F1E" w:rsidP="005A156D">
            <w:pPr>
              <w:spacing w:before="129" w:after="94" w:line="252" w:lineRule="exact"/>
              <w:jc w:val="center"/>
              <w:textAlignment w:val="baseline"/>
              <w:rPr>
                <w:rFonts w:ascii="Arial" w:eastAsia="Arial" w:hAnsi="Arial"/>
                <w:b/>
                <w:color w:val="000000"/>
              </w:rPr>
            </w:pPr>
            <w:r>
              <w:rPr>
                <w:rFonts w:ascii="Arial" w:eastAsia="Arial" w:hAnsi="Arial"/>
                <w:b/>
                <w:color w:val="000000"/>
              </w:rPr>
              <w:t>Marginal</w:t>
            </w:r>
            <w:r w:rsidR="005014B6">
              <w:rPr>
                <w:rFonts w:ascii="Arial" w:eastAsia="Arial" w:hAnsi="Arial"/>
                <w:b/>
                <w:color w:val="000000"/>
              </w:rPr>
              <w:t xml:space="preserve"> (M)</w:t>
            </w:r>
          </w:p>
        </w:tc>
        <w:tc>
          <w:tcPr>
            <w:tcW w:w="1416" w:type="dxa"/>
            <w:tcBorders>
              <w:top w:val="single" w:sz="5" w:space="0" w:color="000000"/>
              <w:left w:val="single" w:sz="5" w:space="0" w:color="000000"/>
              <w:bottom w:val="single" w:sz="5" w:space="0" w:color="000000"/>
              <w:right w:val="single" w:sz="5" w:space="0" w:color="000000"/>
            </w:tcBorders>
            <w:vAlign w:val="center"/>
          </w:tcPr>
          <w:p w14:paraId="766F7D10" w14:textId="1E5EB966" w:rsidR="00835F1E" w:rsidRPr="005014B6" w:rsidRDefault="00835F1E" w:rsidP="005A156D">
            <w:pPr>
              <w:spacing w:before="129" w:after="94" w:line="252" w:lineRule="exact"/>
              <w:jc w:val="center"/>
              <w:textAlignment w:val="baseline"/>
              <w:rPr>
                <w:rFonts w:ascii="Arial" w:eastAsia="Arial" w:hAnsi="Arial"/>
                <w:b/>
                <w:color w:val="000000"/>
                <w:sz w:val="20"/>
                <w:szCs w:val="20"/>
              </w:rPr>
            </w:pPr>
            <w:r w:rsidRPr="005014B6">
              <w:rPr>
                <w:rFonts w:ascii="Arial" w:eastAsia="Arial" w:hAnsi="Arial"/>
                <w:b/>
                <w:color w:val="000000"/>
                <w:sz w:val="20"/>
                <w:szCs w:val="20"/>
              </w:rPr>
              <w:t>Negligible</w:t>
            </w:r>
            <w:r w:rsidR="005014B6" w:rsidRPr="005014B6">
              <w:rPr>
                <w:rFonts w:ascii="Arial" w:eastAsia="Arial" w:hAnsi="Arial"/>
                <w:b/>
                <w:color w:val="000000"/>
                <w:sz w:val="20"/>
                <w:szCs w:val="20"/>
              </w:rPr>
              <w:t xml:space="preserve"> (N)</w:t>
            </w:r>
          </w:p>
        </w:tc>
      </w:tr>
      <w:tr w:rsidR="00835F1E" w14:paraId="6A53FE44" w14:textId="77777777" w:rsidTr="00835F1E">
        <w:trPr>
          <w:trHeight w:hRule="exact" w:val="307"/>
          <w:jc w:val="center"/>
        </w:trPr>
        <w:tc>
          <w:tcPr>
            <w:tcW w:w="1421" w:type="dxa"/>
            <w:tcBorders>
              <w:top w:val="single" w:sz="5" w:space="0" w:color="000000"/>
              <w:left w:val="single" w:sz="5" w:space="0" w:color="000000"/>
              <w:bottom w:val="single" w:sz="5" w:space="0" w:color="000000"/>
              <w:right w:val="single" w:sz="5" w:space="0" w:color="000000"/>
            </w:tcBorders>
            <w:vAlign w:val="center"/>
          </w:tcPr>
          <w:p w14:paraId="4850E190" w14:textId="3BEAE7B9" w:rsidR="00835F1E" w:rsidRDefault="00835F1E" w:rsidP="005A156D">
            <w:pPr>
              <w:spacing w:before="38" w:after="7" w:line="252" w:lineRule="exact"/>
              <w:jc w:val="center"/>
              <w:textAlignment w:val="baseline"/>
              <w:rPr>
                <w:rFonts w:ascii="Arial" w:eastAsia="Arial" w:hAnsi="Arial"/>
                <w:color w:val="000000"/>
              </w:rPr>
            </w:pPr>
            <w:r>
              <w:rPr>
                <w:rFonts w:ascii="Arial" w:eastAsia="Arial" w:hAnsi="Arial"/>
                <w:color w:val="000000"/>
              </w:rPr>
              <w:t>Frequent (F)</w:t>
            </w:r>
          </w:p>
        </w:tc>
        <w:tc>
          <w:tcPr>
            <w:tcW w:w="1560" w:type="dxa"/>
            <w:tcBorders>
              <w:top w:val="single" w:sz="5" w:space="0" w:color="000000"/>
              <w:left w:val="single" w:sz="5" w:space="0" w:color="000000"/>
              <w:bottom w:val="single" w:sz="5" w:space="0" w:color="000000"/>
              <w:right w:val="single" w:sz="5" w:space="0" w:color="000000"/>
            </w:tcBorders>
            <w:shd w:val="clear" w:color="FF0000" w:fill="FF0000"/>
            <w:vAlign w:val="center"/>
          </w:tcPr>
          <w:p w14:paraId="61EA29BA"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A</w:t>
            </w:r>
          </w:p>
        </w:tc>
        <w:tc>
          <w:tcPr>
            <w:tcW w:w="1377" w:type="dxa"/>
            <w:tcBorders>
              <w:top w:val="single" w:sz="5" w:space="0" w:color="000000"/>
              <w:left w:val="single" w:sz="5" w:space="0" w:color="000000"/>
              <w:bottom w:val="single" w:sz="5" w:space="0" w:color="000000"/>
              <w:right w:val="single" w:sz="5" w:space="0" w:color="000000"/>
            </w:tcBorders>
            <w:shd w:val="clear" w:color="FF0000" w:fill="FF0000"/>
            <w:vAlign w:val="center"/>
          </w:tcPr>
          <w:p w14:paraId="6F4FAB4B"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A</w:t>
            </w:r>
          </w:p>
        </w:tc>
        <w:tc>
          <w:tcPr>
            <w:tcW w:w="1397" w:type="dxa"/>
            <w:tcBorders>
              <w:top w:val="single" w:sz="5" w:space="0" w:color="000000"/>
              <w:left w:val="single" w:sz="5" w:space="0" w:color="000000"/>
              <w:bottom w:val="single" w:sz="5" w:space="0" w:color="000000"/>
              <w:right w:val="single" w:sz="5" w:space="0" w:color="000000"/>
            </w:tcBorders>
            <w:shd w:val="clear" w:color="FF0000" w:fill="FF0000"/>
            <w:vAlign w:val="center"/>
          </w:tcPr>
          <w:p w14:paraId="5E6B5D92"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A</w:t>
            </w:r>
          </w:p>
        </w:tc>
        <w:tc>
          <w:tcPr>
            <w:tcW w:w="1416" w:type="dxa"/>
            <w:tcBorders>
              <w:top w:val="single" w:sz="5" w:space="0" w:color="000000"/>
              <w:left w:val="single" w:sz="5" w:space="0" w:color="000000"/>
              <w:bottom w:val="single" w:sz="5" w:space="0" w:color="000000"/>
              <w:right w:val="single" w:sz="5" w:space="0" w:color="000000"/>
            </w:tcBorders>
            <w:shd w:val="clear" w:color="FFFF00" w:fill="FFFF00"/>
            <w:vAlign w:val="center"/>
          </w:tcPr>
          <w:p w14:paraId="57F197A8"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B</w:t>
            </w:r>
          </w:p>
        </w:tc>
      </w:tr>
      <w:tr w:rsidR="00835F1E" w14:paraId="7A22814D" w14:textId="77777777" w:rsidTr="00835F1E">
        <w:trPr>
          <w:trHeight w:hRule="exact" w:val="307"/>
          <w:jc w:val="center"/>
        </w:trPr>
        <w:tc>
          <w:tcPr>
            <w:tcW w:w="1421" w:type="dxa"/>
            <w:tcBorders>
              <w:top w:val="single" w:sz="5" w:space="0" w:color="000000"/>
              <w:left w:val="single" w:sz="5" w:space="0" w:color="000000"/>
              <w:bottom w:val="single" w:sz="5" w:space="0" w:color="000000"/>
              <w:right w:val="single" w:sz="5" w:space="0" w:color="000000"/>
            </w:tcBorders>
            <w:vAlign w:val="center"/>
          </w:tcPr>
          <w:p w14:paraId="334E68AC" w14:textId="08530008" w:rsidR="00835F1E" w:rsidRDefault="00835F1E" w:rsidP="005A156D">
            <w:pPr>
              <w:spacing w:before="38" w:after="2" w:line="252" w:lineRule="exact"/>
              <w:jc w:val="center"/>
              <w:textAlignment w:val="baseline"/>
              <w:rPr>
                <w:rFonts w:ascii="Arial" w:eastAsia="Arial" w:hAnsi="Arial"/>
                <w:color w:val="000000"/>
              </w:rPr>
            </w:pPr>
            <w:r>
              <w:rPr>
                <w:rFonts w:ascii="Arial" w:eastAsia="Arial" w:hAnsi="Arial"/>
                <w:color w:val="000000"/>
              </w:rPr>
              <w:t>Probable (P)</w:t>
            </w:r>
          </w:p>
        </w:tc>
        <w:tc>
          <w:tcPr>
            <w:tcW w:w="1560" w:type="dxa"/>
            <w:tcBorders>
              <w:top w:val="single" w:sz="5" w:space="0" w:color="000000"/>
              <w:left w:val="single" w:sz="5" w:space="0" w:color="000000"/>
              <w:bottom w:val="single" w:sz="5" w:space="0" w:color="000000"/>
              <w:right w:val="single" w:sz="5" w:space="0" w:color="000000"/>
            </w:tcBorders>
            <w:shd w:val="clear" w:color="FF0000" w:fill="FF0000"/>
            <w:vAlign w:val="center"/>
          </w:tcPr>
          <w:p w14:paraId="62124C86" w14:textId="77777777" w:rsidR="00835F1E" w:rsidRDefault="00835F1E" w:rsidP="005A156D">
            <w:pPr>
              <w:spacing w:before="38" w:after="2" w:line="252" w:lineRule="exact"/>
              <w:jc w:val="center"/>
              <w:textAlignment w:val="baseline"/>
              <w:rPr>
                <w:rFonts w:ascii="Arial" w:eastAsia="Arial" w:hAnsi="Arial"/>
                <w:b/>
                <w:color w:val="000000"/>
              </w:rPr>
            </w:pPr>
            <w:r>
              <w:rPr>
                <w:rFonts w:ascii="Arial" w:eastAsia="Arial" w:hAnsi="Arial"/>
                <w:b/>
                <w:color w:val="000000"/>
              </w:rPr>
              <w:t>A</w:t>
            </w:r>
          </w:p>
        </w:tc>
        <w:tc>
          <w:tcPr>
            <w:tcW w:w="1377" w:type="dxa"/>
            <w:tcBorders>
              <w:top w:val="single" w:sz="5" w:space="0" w:color="000000"/>
              <w:left w:val="single" w:sz="5" w:space="0" w:color="000000"/>
              <w:bottom w:val="single" w:sz="5" w:space="0" w:color="000000"/>
              <w:right w:val="single" w:sz="5" w:space="0" w:color="000000"/>
            </w:tcBorders>
            <w:shd w:val="clear" w:color="FF0000" w:fill="FF0000"/>
            <w:vAlign w:val="center"/>
          </w:tcPr>
          <w:p w14:paraId="730E99CD" w14:textId="77777777" w:rsidR="00835F1E" w:rsidRDefault="00835F1E" w:rsidP="005A156D">
            <w:pPr>
              <w:spacing w:before="38" w:after="2" w:line="252" w:lineRule="exact"/>
              <w:jc w:val="center"/>
              <w:textAlignment w:val="baseline"/>
              <w:rPr>
                <w:rFonts w:ascii="Arial" w:eastAsia="Arial" w:hAnsi="Arial"/>
                <w:b/>
                <w:color w:val="000000"/>
              </w:rPr>
            </w:pPr>
            <w:r>
              <w:rPr>
                <w:rFonts w:ascii="Arial" w:eastAsia="Arial" w:hAnsi="Arial"/>
                <w:b/>
                <w:color w:val="000000"/>
              </w:rPr>
              <w:t>A</w:t>
            </w:r>
          </w:p>
        </w:tc>
        <w:tc>
          <w:tcPr>
            <w:tcW w:w="1397" w:type="dxa"/>
            <w:tcBorders>
              <w:top w:val="single" w:sz="5" w:space="0" w:color="000000"/>
              <w:left w:val="single" w:sz="5" w:space="0" w:color="000000"/>
              <w:bottom w:val="single" w:sz="5" w:space="0" w:color="000000"/>
              <w:right w:val="single" w:sz="5" w:space="0" w:color="000000"/>
            </w:tcBorders>
            <w:shd w:val="clear" w:color="FFFF00" w:fill="FFFF00"/>
            <w:vAlign w:val="center"/>
          </w:tcPr>
          <w:p w14:paraId="122F479C" w14:textId="77777777" w:rsidR="00835F1E" w:rsidRDefault="00835F1E" w:rsidP="005A156D">
            <w:pPr>
              <w:spacing w:before="38" w:after="2" w:line="252" w:lineRule="exact"/>
              <w:jc w:val="center"/>
              <w:textAlignment w:val="baseline"/>
              <w:rPr>
                <w:rFonts w:ascii="Arial" w:eastAsia="Arial" w:hAnsi="Arial"/>
                <w:b/>
                <w:color w:val="000000"/>
              </w:rPr>
            </w:pPr>
            <w:r>
              <w:rPr>
                <w:rFonts w:ascii="Arial" w:eastAsia="Arial" w:hAnsi="Arial"/>
                <w:b/>
                <w:color w:val="000000"/>
              </w:rPr>
              <w:t>B</w:t>
            </w:r>
          </w:p>
        </w:tc>
        <w:tc>
          <w:tcPr>
            <w:tcW w:w="1416" w:type="dxa"/>
            <w:tcBorders>
              <w:top w:val="single" w:sz="5" w:space="0" w:color="000000"/>
              <w:left w:val="single" w:sz="5" w:space="0" w:color="000000"/>
              <w:bottom w:val="single" w:sz="5" w:space="0" w:color="000000"/>
              <w:right w:val="single" w:sz="5" w:space="0" w:color="000000"/>
            </w:tcBorders>
            <w:shd w:val="clear" w:color="00FF00" w:fill="00FF00"/>
            <w:vAlign w:val="center"/>
          </w:tcPr>
          <w:p w14:paraId="3ADAE225" w14:textId="77777777" w:rsidR="00835F1E" w:rsidRDefault="00835F1E" w:rsidP="005A156D">
            <w:pPr>
              <w:spacing w:before="38" w:after="2" w:line="252" w:lineRule="exact"/>
              <w:jc w:val="center"/>
              <w:textAlignment w:val="baseline"/>
              <w:rPr>
                <w:rFonts w:ascii="Arial" w:eastAsia="Arial" w:hAnsi="Arial"/>
                <w:b/>
                <w:color w:val="000000"/>
              </w:rPr>
            </w:pPr>
            <w:r>
              <w:rPr>
                <w:rFonts w:ascii="Arial" w:eastAsia="Arial" w:hAnsi="Arial"/>
                <w:b/>
                <w:color w:val="000000"/>
              </w:rPr>
              <w:t>C</w:t>
            </w:r>
          </w:p>
        </w:tc>
      </w:tr>
      <w:tr w:rsidR="00835F1E" w14:paraId="22D511D1" w14:textId="77777777" w:rsidTr="00835F1E">
        <w:trPr>
          <w:trHeight w:hRule="exact" w:val="308"/>
          <w:jc w:val="center"/>
        </w:trPr>
        <w:tc>
          <w:tcPr>
            <w:tcW w:w="1421" w:type="dxa"/>
            <w:tcBorders>
              <w:top w:val="single" w:sz="5" w:space="0" w:color="000000"/>
              <w:left w:val="single" w:sz="5" w:space="0" w:color="000000"/>
              <w:bottom w:val="single" w:sz="5" w:space="0" w:color="000000"/>
              <w:right w:val="single" w:sz="5" w:space="0" w:color="000000"/>
            </w:tcBorders>
            <w:vAlign w:val="center"/>
          </w:tcPr>
          <w:p w14:paraId="18C75B57" w14:textId="42918102" w:rsidR="00835F1E" w:rsidRPr="00835F1E" w:rsidRDefault="00835F1E" w:rsidP="005A156D">
            <w:pPr>
              <w:spacing w:before="38" w:after="12" w:line="252" w:lineRule="exact"/>
              <w:jc w:val="center"/>
              <w:textAlignment w:val="baseline"/>
              <w:rPr>
                <w:rFonts w:ascii="Arial" w:eastAsia="Arial" w:hAnsi="Arial"/>
                <w:color w:val="000000"/>
                <w:sz w:val="20"/>
                <w:szCs w:val="20"/>
              </w:rPr>
            </w:pPr>
            <w:r w:rsidRPr="00835F1E">
              <w:rPr>
                <w:rFonts w:ascii="Arial" w:eastAsia="Arial" w:hAnsi="Arial"/>
                <w:color w:val="000000"/>
                <w:sz w:val="20"/>
                <w:szCs w:val="20"/>
              </w:rPr>
              <w:t>Occasional (O)</w:t>
            </w:r>
          </w:p>
        </w:tc>
        <w:tc>
          <w:tcPr>
            <w:tcW w:w="1560" w:type="dxa"/>
            <w:tcBorders>
              <w:top w:val="single" w:sz="5" w:space="0" w:color="000000"/>
              <w:left w:val="single" w:sz="5" w:space="0" w:color="000000"/>
              <w:bottom w:val="single" w:sz="5" w:space="0" w:color="000000"/>
              <w:right w:val="single" w:sz="5" w:space="0" w:color="000000"/>
            </w:tcBorders>
            <w:shd w:val="clear" w:color="FF0000" w:fill="FF0000"/>
            <w:vAlign w:val="center"/>
          </w:tcPr>
          <w:p w14:paraId="3307CF87" w14:textId="77777777" w:rsidR="00835F1E" w:rsidRDefault="00835F1E" w:rsidP="005A156D">
            <w:pPr>
              <w:spacing w:before="38" w:after="12" w:line="252" w:lineRule="exact"/>
              <w:jc w:val="center"/>
              <w:textAlignment w:val="baseline"/>
              <w:rPr>
                <w:rFonts w:ascii="Arial" w:eastAsia="Arial" w:hAnsi="Arial"/>
                <w:b/>
                <w:color w:val="000000"/>
              </w:rPr>
            </w:pPr>
            <w:r>
              <w:rPr>
                <w:rFonts w:ascii="Arial" w:eastAsia="Arial" w:hAnsi="Arial"/>
                <w:b/>
                <w:color w:val="000000"/>
              </w:rPr>
              <w:t>A</w:t>
            </w:r>
          </w:p>
        </w:tc>
        <w:tc>
          <w:tcPr>
            <w:tcW w:w="1377" w:type="dxa"/>
            <w:tcBorders>
              <w:top w:val="single" w:sz="5" w:space="0" w:color="000000"/>
              <w:left w:val="single" w:sz="5" w:space="0" w:color="000000"/>
              <w:bottom w:val="single" w:sz="5" w:space="0" w:color="000000"/>
              <w:right w:val="single" w:sz="5" w:space="0" w:color="000000"/>
            </w:tcBorders>
            <w:shd w:val="clear" w:color="FFFF00" w:fill="FFFF00"/>
            <w:vAlign w:val="center"/>
          </w:tcPr>
          <w:p w14:paraId="4DB14D5A" w14:textId="77777777" w:rsidR="00835F1E" w:rsidRDefault="00835F1E" w:rsidP="005A156D">
            <w:pPr>
              <w:spacing w:before="38" w:after="12" w:line="252" w:lineRule="exact"/>
              <w:jc w:val="center"/>
              <w:textAlignment w:val="baseline"/>
              <w:rPr>
                <w:rFonts w:ascii="Arial" w:eastAsia="Arial" w:hAnsi="Arial"/>
                <w:b/>
                <w:color w:val="000000"/>
              </w:rPr>
            </w:pPr>
            <w:r>
              <w:rPr>
                <w:rFonts w:ascii="Arial" w:eastAsia="Arial" w:hAnsi="Arial"/>
                <w:b/>
                <w:color w:val="000000"/>
              </w:rPr>
              <w:t>B</w:t>
            </w:r>
          </w:p>
        </w:tc>
        <w:tc>
          <w:tcPr>
            <w:tcW w:w="1397" w:type="dxa"/>
            <w:tcBorders>
              <w:top w:val="single" w:sz="5" w:space="0" w:color="000000"/>
              <w:left w:val="single" w:sz="5" w:space="0" w:color="000000"/>
              <w:bottom w:val="single" w:sz="5" w:space="0" w:color="000000"/>
              <w:right w:val="single" w:sz="5" w:space="0" w:color="000000"/>
            </w:tcBorders>
            <w:shd w:val="clear" w:color="00FF00" w:fill="00FF00"/>
            <w:vAlign w:val="center"/>
          </w:tcPr>
          <w:p w14:paraId="25F15156" w14:textId="77777777" w:rsidR="00835F1E" w:rsidRDefault="00835F1E" w:rsidP="005A156D">
            <w:pPr>
              <w:spacing w:before="38" w:after="12" w:line="252" w:lineRule="exact"/>
              <w:jc w:val="center"/>
              <w:textAlignment w:val="baseline"/>
              <w:rPr>
                <w:rFonts w:ascii="Arial" w:eastAsia="Arial" w:hAnsi="Arial"/>
                <w:b/>
                <w:color w:val="000000"/>
              </w:rPr>
            </w:pPr>
            <w:r>
              <w:rPr>
                <w:rFonts w:ascii="Arial" w:eastAsia="Arial" w:hAnsi="Arial"/>
                <w:b/>
                <w:color w:val="000000"/>
              </w:rPr>
              <w:t>C</w:t>
            </w:r>
          </w:p>
        </w:tc>
        <w:tc>
          <w:tcPr>
            <w:tcW w:w="1416" w:type="dxa"/>
            <w:tcBorders>
              <w:top w:val="single" w:sz="5" w:space="0" w:color="000000"/>
              <w:left w:val="single" w:sz="5" w:space="0" w:color="000000"/>
              <w:bottom w:val="single" w:sz="5" w:space="0" w:color="000000"/>
              <w:right w:val="single" w:sz="5" w:space="0" w:color="000000"/>
            </w:tcBorders>
            <w:shd w:val="clear" w:color="20FF20" w:fill="20FF20"/>
            <w:vAlign w:val="center"/>
          </w:tcPr>
          <w:p w14:paraId="35CA0957" w14:textId="77777777" w:rsidR="00835F1E" w:rsidRDefault="00835F1E" w:rsidP="005A156D">
            <w:pPr>
              <w:spacing w:before="38" w:after="12" w:line="252" w:lineRule="exact"/>
              <w:jc w:val="center"/>
              <w:textAlignment w:val="baseline"/>
              <w:rPr>
                <w:rFonts w:ascii="Arial" w:eastAsia="Arial" w:hAnsi="Arial"/>
                <w:b/>
                <w:color w:val="000000"/>
              </w:rPr>
            </w:pPr>
            <w:r>
              <w:rPr>
                <w:rFonts w:ascii="Arial" w:eastAsia="Arial" w:hAnsi="Arial"/>
                <w:b/>
                <w:color w:val="000000"/>
              </w:rPr>
              <w:t>C</w:t>
            </w:r>
          </w:p>
        </w:tc>
      </w:tr>
      <w:tr w:rsidR="00835F1E" w14:paraId="6C3FECBB" w14:textId="77777777" w:rsidTr="00835F1E">
        <w:trPr>
          <w:trHeight w:hRule="exact" w:val="302"/>
          <w:jc w:val="center"/>
        </w:trPr>
        <w:tc>
          <w:tcPr>
            <w:tcW w:w="1421" w:type="dxa"/>
            <w:tcBorders>
              <w:top w:val="single" w:sz="5" w:space="0" w:color="000000"/>
              <w:left w:val="single" w:sz="5" w:space="0" w:color="000000"/>
              <w:bottom w:val="single" w:sz="5" w:space="0" w:color="000000"/>
              <w:right w:val="single" w:sz="5" w:space="0" w:color="000000"/>
            </w:tcBorders>
            <w:vAlign w:val="center"/>
          </w:tcPr>
          <w:p w14:paraId="63195624" w14:textId="2050DE7D" w:rsidR="00835F1E" w:rsidRDefault="00835F1E" w:rsidP="005A156D">
            <w:pPr>
              <w:spacing w:before="38" w:after="7" w:line="252" w:lineRule="exact"/>
              <w:jc w:val="center"/>
              <w:textAlignment w:val="baseline"/>
              <w:rPr>
                <w:rFonts w:ascii="Arial" w:eastAsia="Arial" w:hAnsi="Arial"/>
                <w:color w:val="000000"/>
              </w:rPr>
            </w:pPr>
            <w:r>
              <w:rPr>
                <w:rFonts w:ascii="Arial" w:eastAsia="Arial" w:hAnsi="Arial"/>
                <w:color w:val="000000"/>
              </w:rPr>
              <w:t>Remote (Re)</w:t>
            </w:r>
          </w:p>
        </w:tc>
        <w:tc>
          <w:tcPr>
            <w:tcW w:w="1560" w:type="dxa"/>
            <w:tcBorders>
              <w:top w:val="single" w:sz="5" w:space="0" w:color="000000"/>
              <w:left w:val="single" w:sz="5" w:space="0" w:color="000000"/>
              <w:bottom w:val="single" w:sz="5" w:space="0" w:color="000000"/>
              <w:right w:val="single" w:sz="5" w:space="0" w:color="000000"/>
            </w:tcBorders>
            <w:shd w:val="clear" w:color="FFFF00" w:fill="FFFF00"/>
            <w:vAlign w:val="center"/>
          </w:tcPr>
          <w:p w14:paraId="5E0A8D66"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B</w:t>
            </w:r>
          </w:p>
        </w:tc>
        <w:tc>
          <w:tcPr>
            <w:tcW w:w="1377" w:type="dxa"/>
            <w:tcBorders>
              <w:top w:val="single" w:sz="5" w:space="0" w:color="000000"/>
              <w:left w:val="single" w:sz="5" w:space="0" w:color="000000"/>
              <w:bottom w:val="single" w:sz="5" w:space="0" w:color="000000"/>
              <w:right w:val="single" w:sz="5" w:space="0" w:color="000000"/>
            </w:tcBorders>
            <w:shd w:val="clear" w:color="00FF00" w:fill="00FF00"/>
            <w:vAlign w:val="center"/>
          </w:tcPr>
          <w:p w14:paraId="55DF7897"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C</w:t>
            </w:r>
          </w:p>
        </w:tc>
        <w:tc>
          <w:tcPr>
            <w:tcW w:w="1397" w:type="dxa"/>
            <w:tcBorders>
              <w:top w:val="single" w:sz="5" w:space="0" w:color="000000"/>
              <w:left w:val="single" w:sz="5" w:space="0" w:color="000000"/>
              <w:bottom w:val="single" w:sz="5" w:space="0" w:color="000000"/>
              <w:right w:val="single" w:sz="5" w:space="0" w:color="000000"/>
            </w:tcBorders>
            <w:shd w:val="clear" w:color="20FF20" w:fill="20FF20"/>
            <w:vAlign w:val="center"/>
          </w:tcPr>
          <w:p w14:paraId="79222054"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C</w:t>
            </w:r>
          </w:p>
        </w:tc>
        <w:tc>
          <w:tcPr>
            <w:tcW w:w="1416" w:type="dxa"/>
            <w:tcBorders>
              <w:top w:val="single" w:sz="5" w:space="0" w:color="000000"/>
              <w:left w:val="single" w:sz="5" w:space="0" w:color="000000"/>
              <w:bottom w:val="single" w:sz="5" w:space="0" w:color="000000"/>
              <w:right w:val="single" w:sz="5" w:space="0" w:color="000000"/>
            </w:tcBorders>
            <w:shd w:val="clear" w:color="0099FF" w:fill="0099FF"/>
            <w:vAlign w:val="center"/>
          </w:tcPr>
          <w:p w14:paraId="2D3F30CD"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D</w:t>
            </w:r>
          </w:p>
        </w:tc>
      </w:tr>
      <w:tr w:rsidR="00835F1E" w14:paraId="4CBA1484" w14:textId="77777777" w:rsidTr="00835F1E">
        <w:trPr>
          <w:trHeight w:hRule="exact" w:val="307"/>
          <w:jc w:val="center"/>
        </w:trPr>
        <w:tc>
          <w:tcPr>
            <w:tcW w:w="1421" w:type="dxa"/>
            <w:tcBorders>
              <w:top w:val="single" w:sz="5" w:space="0" w:color="000000"/>
              <w:left w:val="single" w:sz="5" w:space="0" w:color="000000"/>
              <w:bottom w:val="single" w:sz="5" w:space="0" w:color="000000"/>
              <w:right w:val="single" w:sz="5" w:space="0" w:color="000000"/>
            </w:tcBorders>
            <w:vAlign w:val="center"/>
          </w:tcPr>
          <w:p w14:paraId="6B69ADFA" w14:textId="478C9666" w:rsidR="00835F1E" w:rsidRPr="005014B6" w:rsidRDefault="00835F1E" w:rsidP="005A156D">
            <w:pPr>
              <w:spacing w:before="38" w:after="7" w:line="252" w:lineRule="exact"/>
              <w:jc w:val="center"/>
              <w:textAlignment w:val="baseline"/>
              <w:rPr>
                <w:rFonts w:ascii="Arial" w:eastAsia="Arial" w:hAnsi="Arial"/>
                <w:color w:val="000000"/>
                <w:sz w:val="18"/>
                <w:szCs w:val="18"/>
              </w:rPr>
            </w:pPr>
            <w:r w:rsidRPr="005014B6">
              <w:rPr>
                <w:rFonts w:ascii="Arial" w:eastAsia="Arial" w:hAnsi="Arial"/>
                <w:color w:val="000000"/>
                <w:sz w:val="18"/>
                <w:szCs w:val="18"/>
              </w:rPr>
              <w:t>Improbable (</w:t>
            </w:r>
            <w:proofErr w:type="spellStart"/>
            <w:r w:rsidRPr="005014B6">
              <w:rPr>
                <w:rFonts w:ascii="Arial" w:eastAsia="Arial" w:hAnsi="Arial"/>
                <w:color w:val="000000"/>
                <w:sz w:val="18"/>
                <w:szCs w:val="18"/>
              </w:rPr>
              <w:t>I</w:t>
            </w:r>
            <w:r w:rsidR="005014B6">
              <w:rPr>
                <w:rFonts w:ascii="Arial" w:eastAsia="Arial" w:hAnsi="Arial"/>
                <w:color w:val="000000"/>
                <w:sz w:val="18"/>
                <w:szCs w:val="18"/>
              </w:rPr>
              <w:t>m</w:t>
            </w:r>
            <w:proofErr w:type="spellEnd"/>
            <w:r w:rsidRPr="005014B6">
              <w:rPr>
                <w:rFonts w:ascii="Arial" w:eastAsia="Arial" w:hAnsi="Arial"/>
                <w:color w:val="000000"/>
                <w:sz w:val="18"/>
                <w:szCs w:val="18"/>
              </w:rPr>
              <w:t>)</w:t>
            </w:r>
          </w:p>
        </w:tc>
        <w:tc>
          <w:tcPr>
            <w:tcW w:w="1560" w:type="dxa"/>
            <w:tcBorders>
              <w:top w:val="single" w:sz="5" w:space="0" w:color="000000"/>
              <w:left w:val="single" w:sz="5" w:space="0" w:color="000000"/>
              <w:bottom w:val="single" w:sz="5" w:space="0" w:color="000000"/>
              <w:right w:val="single" w:sz="5" w:space="0" w:color="000000"/>
            </w:tcBorders>
            <w:shd w:val="clear" w:color="00FF00" w:fill="00FF00"/>
            <w:vAlign w:val="center"/>
          </w:tcPr>
          <w:p w14:paraId="50444D53"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C</w:t>
            </w:r>
          </w:p>
        </w:tc>
        <w:tc>
          <w:tcPr>
            <w:tcW w:w="1377" w:type="dxa"/>
            <w:tcBorders>
              <w:top w:val="single" w:sz="5" w:space="0" w:color="000000"/>
              <w:left w:val="single" w:sz="5" w:space="0" w:color="000000"/>
              <w:bottom w:val="single" w:sz="5" w:space="0" w:color="000000"/>
              <w:right w:val="single" w:sz="5" w:space="0" w:color="000000"/>
            </w:tcBorders>
            <w:shd w:val="clear" w:color="00FF00" w:fill="00FF00"/>
            <w:vAlign w:val="center"/>
          </w:tcPr>
          <w:p w14:paraId="67574C95"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C</w:t>
            </w:r>
          </w:p>
        </w:tc>
        <w:tc>
          <w:tcPr>
            <w:tcW w:w="1397" w:type="dxa"/>
            <w:tcBorders>
              <w:top w:val="single" w:sz="5" w:space="0" w:color="000000"/>
              <w:left w:val="single" w:sz="5" w:space="0" w:color="000000"/>
              <w:bottom w:val="single" w:sz="5" w:space="0" w:color="000000"/>
              <w:right w:val="single" w:sz="5" w:space="0" w:color="000000"/>
            </w:tcBorders>
            <w:shd w:val="clear" w:color="0099FF" w:fill="0099FF"/>
            <w:vAlign w:val="center"/>
          </w:tcPr>
          <w:p w14:paraId="1B21CB65"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D</w:t>
            </w:r>
          </w:p>
        </w:tc>
        <w:tc>
          <w:tcPr>
            <w:tcW w:w="1416" w:type="dxa"/>
            <w:tcBorders>
              <w:top w:val="single" w:sz="5" w:space="0" w:color="000000"/>
              <w:left w:val="single" w:sz="5" w:space="0" w:color="000000"/>
              <w:bottom w:val="single" w:sz="5" w:space="0" w:color="000000"/>
              <w:right w:val="single" w:sz="5" w:space="0" w:color="000000"/>
            </w:tcBorders>
            <w:shd w:val="clear" w:color="0099FF" w:fill="0099FF"/>
            <w:vAlign w:val="center"/>
          </w:tcPr>
          <w:p w14:paraId="7A849E4E" w14:textId="77777777" w:rsidR="00835F1E" w:rsidRDefault="00835F1E" w:rsidP="005A156D">
            <w:pPr>
              <w:spacing w:before="38" w:after="7" w:line="252" w:lineRule="exact"/>
              <w:jc w:val="center"/>
              <w:textAlignment w:val="baseline"/>
              <w:rPr>
                <w:rFonts w:ascii="Arial" w:eastAsia="Arial" w:hAnsi="Arial"/>
                <w:b/>
                <w:color w:val="000000"/>
              </w:rPr>
            </w:pPr>
            <w:r>
              <w:rPr>
                <w:rFonts w:ascii="Arial" w:eastAsia="Arial" w:hAnsi="Arial"/>
                <w:b/>
                <w:color w:val="000000"/>
              </w:rPr>
              <w:t>D</w:t>
            </w:r>
          </w:p>
        </w:tc>
      </w:tr>
      <w:tr w:rsidR="00835F1E" w14:paraId="0ED117A1" w14:textId="77777777" w:rsidTr="00835F1E">
        <w:trPr>
          <w:trHeight w:hRule="exact" w:val="317"/>
          <w:jc w:val="center"/>
        </w:trPr>
        <w:tc>
          <w:tcPr>
            <w:tcW w:w="1421" w:type="dxa"/>
            <w:tcBorders>
              <w:top w:val="single" w:sz="5" w:space="0" w:color="000000"/>
              <w:left w:val="single" w:sz="5" w:space="0" w:color="000000"/>
              <w:bottom w:val="single" w:sz="5" w:space="0" w:color="000000"/>
              <w:right w:val="single" w:sz="5" w:space="0" w:color="000000"/>
            </w:tcBorders>
            <w:vAlign w:val="center"/>
          </w:tcPr>
          <w:p w14:paraId="19B1E14D" w14:textId="13623756" w:rsidR="00835F1E" w:rsidRDefault="00835F1E" w:rsidP="005A156D">
            <w:pPr>
              <w:spacing w:before="38" w:after="17" w:line="252" w:lineRule="exact"/>
              <w:jc w:val="center"/>
              <w:textAlignment w:val="baseline"/>
              <w:rPr>
                <w:rFonts w:ascii="Arial" w:eastAsia="Arial" w:hAnsi="Arial"/>
                <w:color w:val="000000"/>
              </w:rPr>
            </w:pPr>
            <w:r>
              <w:rPr>
                <w:rFonts w:ascii="Arial" w:eastAsia="Arial" w:hAnsi="Arial"/>
                <w:color w:val="000000"/>
              </w:rPr>
              <w:t>Incredible</w:t>
            </w:r>
            <w:r w:rsidR="005014B6">
              <w:rPr>
                <w:rFonts w:ascii="Arial" w:eastAsia="Arial" w:hAnsi="Arial"/>
                <w:color w:val="000000"/>
              </w:rPr>
              <w:t xml:space="preserve"> (In)</w:t>
            </w:r>
          </w:p>
        </w:tc>
        <w:tc>
          <w:tcPr>
            <w:tcW w:w="1560" w:type="dxa"/>
            <w:tcBorders>
              <w:top w:val="single" w:sz="5" w:space="0" w:color="000000"/>
              <w:left w:val="single" w:sz="5" w:space="0" w:color="000000"/>
              <w:bottom w:val="single" w:sz="5" w:space="0" w:color="000000"/>
              <w:right w:val="single" w:sz="5" w:space="0" w:color="000000"/>
            </w:tcBorders>
            <w:shd w:val="clear" w:color="00FF00" w:fill="00FF00"/>
            <w:vAlign w:val="center"/>
          </w:tcPr>
          <w:p w14:paraId="581CF62D" w14:textId="77777777" w:rsidR="00835F1E" w:rsidRDefault="00835F1E" w:rsidP="005A156D">
            <w:pPr>
              <w:spacing w:before="38" w:after="17" w:line="252" w:lineRule="exact"/>
              <w:jc w:val="center"/>
              <w:textAlignment w:val="baseline"/>
              <w:rPr>
                <w:rFonts w:ascii="Arial" w:eastAsia="Arial" w:hAnsi="Arial"/>
                <w:b/>
                <w:color w:val="000000"/>
              </w:rPr>
            </w:pPr>
            <w:r>
              <w:rPr>
                <w:rFonts w:ascii="Arial" w:eastAsia="Arial" w:hAnsi="Arial"/>
                <w:b/>
                <w:color w:val="000000"/>
              </w:rPr>
              <w:t>C</w:t>
            </w:r>
          </w:p>
        </w:tc>
        <w:tc>
          <w:tcPr>
            <w:tcW w:w="1377" w:type="dxa"/>
            <w:tcBorders>
              <w:top w:val="single" w:sz="5" w:space="0" w:color="000000"/>
              <w:left w:val="single" w:sz="5" w:space="0" w:color="000000"/>
              <w:bottom w:val="single" w:sz="5" w:space="0" w:color="000000"/>
              <w:right w:val="single" w:sz="5" w:space="0" w:color="000000"/>
            </w:tcBorders>
            <w:shd w:val="clear" w:color="0099FF" w:fill="0099FF"/>
            <w:vAlign w:val="center"/>
          </w:tcPr>
          <w:p w14:paraId="6A1D06D2" w14:textId="77777777" w:rsidR="00835F1E" w:rsidRDefault="00835F1E" w:rsidP="005A156D">
            <w:pPr>
              <w:spacing w:before="38" w:after="17" w:line="252" w:lineRule="exact"/>
              <w:jc w:val="center"/>
              <w:textAlignment w:val="baseline"/>
              <w:rPr>
                <w:rFonts w:ascii="Arial" w:eastAsia="Arial" w:hAnsi="Arial"/>
                <w:b/>
                <w:color w:val="000000"/>
              </w:rPr>
            </w:pPr>
            <w:r>
              <w:rPr>
                <w:rFonts w:ascii="Arial" w:eastAsia="Arial" w:hAnsi="Arial"/>
                <w:b/>
                <w:color w:val="000000"/>
              </w:rPr>
              <w:t>D</w:t>
            </w:r>
          </w:p>
        </w:tc>
        <w:tc>
          <w:tcPr>
            <w:tcW w:w="1397" w:type="dxa"/>
            <w:tcBorders>
              <w:top w:val="single" w:sz="5" w:space="0" w:color="000000"/>
              <w:left w:val="single" w:sz="5" w:space="0" w:color="000000"/>
              <w:bottom w:val="single" w:sz="5" w:space="0" w:color="000000"/>
              <w:right w:val="single" w:sz="5" w:space="0" w:color="000000"/>
            </w:tcBorders>
            <w:shd w:val="clear" w:color="0099FF" w:fill="0099FF"/>
            <w:vAlign w:val="center"/>
          </w:tcPr>
          <w:p w14:paraId="769B8465" w14:textId="77777777" w:rsidR="00835F1E" w:rsidRDefault="00835F1E" w:rsidP="005A156D">
            <w:pPr>
              <w:spacing w:before="38" w:after="17" w:line="252" w:lineRule="exact"/>
              <w:jc w:val="center"/>
              <w:textAlignment w:val="baseline"/>
              <w:rPr>
                <w:rFonts w:ascii="Arial" w:eastAsia="Arial" w:hAnsi="Arial"/>
                <w:b/>
                <w:color w:val="000000"/>
              </w:rPr>
            </w:pPr>
            <w:r>
              <w:rPr>
                <w:rFonts w:ascii="Arial" w:eastAsia="Arial" w:hAnsi="Arial"/>
                <w:b/>
                <w:color w:val="000000"/>
              </w:rPr>
              <w:t>D</w:t>
            </w:r>
          </w:p>
        </w:tc>
        <w:tc>
          <w:tcPr>
            <w:tcW w:w="1416" w:type="dxa"/>
            <w:tcBorders>
              <w:top w:val="single" w:sz="5" w:space="0" w:color="000000"/>
              <w:left w:val="single" w:sz="5" w:space="0" w:color="000000"/>
              <w:bottom w:val="single" w:sz="5" w:space="0" w:color="000000"/>
              <w:right w:val="single" w:sz="5" w:space="0" w:color="000000"/>
            </w:tcBorders>
            <w:shd w:val="clear" w:color="0099FF" w:fill="0099FF"/>
            <w:vAlign w:val="center"/>
          </w:tcPr>
          <w:p w14:paraId="47331C4A" w14:textId="77777777" w:rsidR="00835F1E" w:rsidRDefault="00835F1E" w:rsidP="005014B6">
            <w:pPr>
              <w:keepNext/>
              <w:spacing w:before="38" w:after="17" w:line="252" w:lineRule="exact"/>
              <w:jc w:val="center"/>
              <w:textAlignment w:val="baseline"/>
              <w:rPr>
                <w:rFonts w:ascii="Arial" w:eastAsia="Arial" w:hAnsi="Arial"/>
                <w:b/>
                <w:color w:val="000000"/>
              </w:rPr>
            </w:pPr>
            <w:r>
              <w:rPr>
                <w:rFonts w:ascii="Arial" w:eastAsia="Arial" w:hAnsi="Arial"/>
                <w:b/>
                <w:color w:val="000000"/>
              </w:rPr>
              <w:t>D</w:t>
            </w:r>
          </w:p>
        </w:tc>
      </w:tr>
    </w:tbl>
    <w:p w14:paraId="796F336F" w14:textId="47B267A1" w:rsidR="00835F1E" w:rsidRDefault="005014B6" w:rsidP="005014B6">
      <w:pPr>
        <w:pStyle w:val="Caption"/>
        <w:jc w:val="center"/>
      </w:pPr>
      <w:bookmarkStart w:id="4" w:name="_Toc203723541"/>
      <w:r>
        <w:t xml:space="preserve">Table </w:t>
      </w:r>
      <w:fldSimple w:instr=" SEQ Table \* ARABIC ">
        <w:r>
          <w:rPr>
            <w:noProof/>
          </w:rPr>
          <w:t>2</w:t>
        </w:r>
      </w:fldSimple>
      <w:r>
        <w:t xml:space="preserve"> - Risk Classification Matrix</w:t>
      </w:r>
      <w:bookmarkEnd w:id="4"/>
    </w:p>
    <w:p w14:paraId="33AEC5F3" w14:textId="3D733ADE" w:rsidR="005014B6" w:rsidRDefault="005014B6" w:rsidP="005014B6">
      <w:r>
        <w:t>The Accident Severity and Accident Probability Thresholds can be seen in Tables 3 and 4.</w:t>
      </w:r>
    </w:p>
    <w:p w14:paraId="5F5A585E" w14:textId="77777777" w:rsidR="005014B6" w:rsidRDefault="005014B6" w:rsidP="005014B6"/>
    <w:tbl>
      <w:tblPr>
        <w:tblW w:w="8540" w:type="dxa"/>
        <w:jc w:val="center"/>
        <w:tblLayout w:type="fixed"/>
        <w:tblCellMar>
          <w:left w:w="0" w:type="dxa"/>
          <w:right w:w="0" w:type="dxa"/>
        </w:tblCellMar>
        <w:tblLook w:val="0000" w:firstRow="0" w:lastRow="0" w:firstColumn="0" w:lastColumn="0" w:noHBand="0" w:noVBand="0"/>
      </w:tblPr>
      <w:tblGrid>
        <w:gridCol w:w="1554"/>
        <w:gridCol w:w="3381"/>
        <w:gridCol w:w="3605"/>
      </w:tblGrid>
      <w:tr w:rsidR="005014B6" w14:paraId="1E771CD6" w14:textId="77777777" w:rsidTr="00C66D6D">
        <w:trPr>
          <w:trHeight w:hRule="exact" w:val="896"/>
          <w:jc w:val="center"/>
        </w:trPr>
        <w:tc>
          <w:tcPr>
            <w:tcW w:w="1554" w:type="dxa"/>
            <w:tcBorders>
              <w:top w:val="single" w:sz="5" w:space="0" w:color="000000"/>
              <w:left w:val="single" w:sz="5" w:space="0" w:color="000000"/>
              <w:bottom w:val="single" w:sz="5" w:space="0" w:color="000000"/>
              <w:right w:val="single" w:sz="5" w:space="0" w:color="000000"/>
            </w:tcBorders>
            <w:shd w:val="clear" w:color="auto" w:fill="D9D9D9" w:themeFill="background1" w:themeFillShade="D9"/>
          </w:tcPr>
          <w:p w14:paraId="7147602D" w14:textId="77777777" w:rsidR="005014B6" w:rsidRDefault="005014B6" w:rsidP="005A156D">
            <w:pPr>
              <w:spacing w:after="492" w:line="254" w:lineRule="exact"/>
              <w:ind w:right="287"/>
              <w:jc w:val="right"/>
              <w:textAlignment w:val="baseline"/>
              <w:rPr>
                <w:rFonts w:ascii="Arial" w:eastAsia="Arial" w:hAnsi="Arial"/>
                <w:b/>
                <w:color w:val="000000"/>
              </w:rPr>
            </w:pPr>
            <w:r>
              <w:rPr>
                <w:rFonts w:ascii="Arial" w:eastAsia="Arial" w:hAnsi="Arial"/>
                <w:b/>
                <w:color w:val="000000"/>
              </w:rPr>
              <w:t>Category</w:t>
            </w:r>
          </w:p>
        </w:tc>
        <w:tc>
          <w:tcPr>
            <w:tcW w:w="3381" w:type="dxa"/>
            <w:tcBorders>
              <w:top w:val="single" w:sz="5" w:space="0" w:color="000000"/>
              <w:left w:val="single" w:sz="5" w:space="0" w:color="000000"/>
              <w:bottom w:val="single" w:sz="5" w:space="0" w:color="000000"/>
              <w:right w:val="single" w:sz="5" w:space="0" w:color="000000"/>
            </w:tcBorders>
            <w:shd w:val="clear" w:color="auto" w:fill="D9D9D9" w:themeFill="background1" w:themeFillShade="D9"/>
          </w:tcPr>
          <w:p w14:paraId="5A418872" w14:textId="77777777" w:rsidR="005014B6" w:rsidRDefault="005014B6" w:rsidP="005A156D">
            <w:pPr>
              <w:spacing w:after="237" w:line="254" w:lineRule="exact"/>
              <w:jc w:val="center"/>
              <w:textAlignment w:val="baseline"/>
              <w:rPr>
                <w:rFonts w:ascii="Arial" w:eastAsia="Arial" w:hAnsi="Arial"/>
                <w:b/>
                <w:color w:val="000000"/>
              </w:rPr>
            </w:pPr>
            <w:r>
              <w:rPr>
                <w:rFonts w:ascii="Arial" w:eastAsia="Arial" w:hAnsi="Arial"/>
                <w:b/>
                <w:color w:val="000000"/>
              </w:rPr>
              <w:t xml:space="preserve">1st Party / Associated Personnel </w:t>
            </w:r>
            <w:r>
              <w:rPr>
                <w:rFonts w:ascii="Arial" w:eastAsia="Arial" w:hAnsi="Arial"/>
                <w:b/>
                <w:color w:val="000000"/>
              </w:rPr>
              <w:br/>
              <w:t>(Persons directly involved)</w:t>
            </w:r>
          </w:p>
        </w:tc>
        <w:tc>
          <w:tcPr>
            <w:tcW w:w="3605" w:type="dxa"/>
            <w:tcBorders>
              <w:top w:val="single" w:sz="5" w:space="0" w:color="000000"/>
              <w:left w:val="single" w:sz="5" w:space="0" w:color="000000"/>
              <w:bottom w:val="single" w:sz="5" w:space="0" w:color="000000"/>
              <w:right w:val="single" w:sz="5" w:space="0" w:color="000000"/>
            </w:tcBorders>
            <w:shd w:val="clear" w:color="auto" w:fill="D9D9D9" w:themeFill="background1" w:themeFillShade="D9"/>
          </w:tcPr>
          <w:p w14:paraId="1F1C5F0C" w14:textId="77777777" w:rsidR="005014B6" w:rsidRDefault="005014B6" w:rsidP="005A156D">
            <w:pPr>
              <w:spacing w:line="250" w:lineRule="exact"/>
              <w:jc w:val="center"/>
              <w:textAlignment w:val="baseline"/>
              <w:rPr>
                <w:rFonts w:ascii="Arial" w:eastAsia="Arial" w:hAnsi="Arial"/>
                <w:b/>
                <w:color w:val="000000"/>
              </w:rPr>
            </w:pPr>
            <w:r>
              <w:rPr>
                <w:rFonts w:ascii="Arial" w:eastAsia="Arial" w:hAnsi="Arial"/>
                <w:b/>
                <w:color w:val="000000"/>
              </w:rPr>
              <w:t xml:space="preserve">3rd Party / Non-Associated </w:t>
            </w:r>
            <w:r>
              <w:rPr>
                <w:rFonts w:ascii="Arial" w:eastAsia="Arial" w:hAnsi="Arial"/>
                <w:b/>
                <w:color w:val="000000"/>
              </w:rPr>
              <w:br/>
              <w:t xml:space="preserve">Personnel (Persons not directly </w:t>
            </w:r>
            <w:r>
              <w:rPr>
                <w:rFonts w:ascii="Arial" w:eastAsia="Arial" w:hAnsi="Arial"/>
                <w:b/>
                <w:color w:val="000000"/>
              </w:rPr>
              <w:br/>
              <w:t>involved)</w:t>
            </w:r>
          </w:p>
        </w:tc>
      </w:tr>
      <w:tr w:rsidR="005014B6" w14:paraId="3365A674" w14:textId="77777777" w:rsidTr="00C66D6D">
        <w:trPr>
          <w:trHeight w:hRule="exact" w:val="1041"/>
          <w:jc w:val="center"/>
        </w:trPr>
        <w:tc>
          <w:tcPr>
            <w:tcW w:w="1554" w:type="dxa"/>
            <w:tcBorders>
              <w:top w:val="single" w:sz="5" w:space="0" w:color="000000"/>
              <w:left w:val="single" w:sz="5" w:space="0" w:color="000000"/>
              <w:bottom w:val="single" w:sz="5" w:space="0" w:color="000000"/>
              <w:right w:val="single" w:sz="5" w:space="0" w:color="000000"/>
            </w:tcBorders>
          </w:tcPr>
          <w:p w14:paraId="5A9A1089" w14:textId="77777777" w:rsidR="005014B6" w:rsidRDefault="005014B6" w:rsidP="005A156D">
            <w:pPr>
              <w:spacing w:after="502" w:line="254" w:lineRule="exact"/>
              <w:ind w:left="125"/>
              <w:textAlignment w:val="baseline"/>
              <w:rPr>
                <w:rFonts w:ascii="Arial" w:eastAsia="Arial" w:hAnsi="Arial"/>
                <w:b/>
                <w:color w:val="000000"/>
              </w:rPr>
            </w:pPr>
            <w:r>
              <w:rPr>
                <w:rFonts w:ascii="Arial" w:eastAsia="Arial" w:hAnsi="Arial"/>
                <w:b/>
                <w:color w:val="000000"/>
              </w:rPr>
              <w:t>Catastrophic</w:t>
            </w:r>
          </w:p>
        </w:tc>
        <w:tc>
          <w:tcPr>
            <w:tcW w:w="3381" w:type="dxa"/>
            <w:tcBorders>
              <w:top w:val="single" w:sz="5" w:space="0" w:color="000000"/>
              <w:left w:val="single" w:sz="5" w:space="0" w:color="000000"/>
              <w:bottom w:val="single" w:sz="5" w:space="0" w:color="000000"/>
              <w:right w:val="single" w:sz="5" w:space="0" w:color="000000"/>
            </w:tcBorders>
          </w:tcPr>
          <w:p w14:paraId="63794CF5" w14:textId="77777777" w:rsidR="005014B6" w:rsidRDefault="005014B6" w:rsidP="005A156D">
            <w:pPr>
              <w:spacing w:after="502" w:line="254" w:lineRule="exact"/>
              <w:ind w:left="105"/>
              <w:textAlignment w:val="baseline"/>
              <w:rPr>
                <w:rFonts w:ascii="Arial" w:eastAsia="Arial" w:hAnsi="Arial"/>
                <w:color w:val="000000"/>
              </w:rPr>
            </w:pPr>
            <w:r>
              <w:rPr>
                <w:rFonts w:ascii="Arial" w:eastAsia="Arial" w:hAnsi="Arial"/>
                <w:color w:val="000000"/>
              </w:rPr>
              <w:t>Multiple deaths</w:t>
            </w:r>
          </w:p>
        </w:tc>
        <w:tc>
          <w:tcPr>
            <w:tcW w:w="3605" w:type="dxa"/>
            <w:tcBorders>
              <w:top w:val="single" w:sz="5" w:space="0" w:color="000000"/>
              <w:left w:val="single" w:sz="5" w:space="0" w:color="000000"/>
              <w:bottom w:val="single" w:sz="5" w:space="0" w:color="000000"/>
              <w:right w:val="single" w:sz="5" w:space="0" w:color="000000"/>
            </w:tcBorders>
          </w:tcPr>
          <w:p w14:paraId="3F8A3024" w14:textId="77777777" w:rsidR="005014B6" w:rsidRDefault="005014B6" w:rsidP="005A156D">
            <w:pPr>
              <w:spacing w:line="254" w:lineRule="exact"/>
              <w:ind w:left="108" w:right="216"/>
              <w:textAlignment w:val="baseline"/>
              <w:rPr>
                <w:rFonts w:ascii="Arial" w:eastAsia="Arial" w:hAnsi="Arial"/>
                <w:color w:val="000000"/>
              </w:rPr>
            </w:pPr>
            <w:r>
              <w:rPr>
                <w:rFonts w:ascii="Arial" w:eastAsia="Arial" w:hAnsi="Arial"/>
                <w:color w:val="000000"/>
              </w:rPr>
              <w:t>A single death and / or multiple severe injuries or equivalent occupational illness.</w:t>
            </w:r>
          </w:p>
        </w:tc>
      </w:tr>
      <w:tr w:rsidR="005014B6" w14:paraId="6D9998DB" w14:textId="77777777" w:rsidTr="00C66D6D">
        <w:trPr>
          <w:trHeight w:hRule="exact" w:val="1186"/>
          <w:jc w:val="center"/>
        </w:trPr>
        <w:tc>
          <w:tcPr>
            <w:tcW w:w="1554" w:type="dxa"/>
            <w:tcBorders>
              <w:top w:val="single" w:sz="5" w:space="0" w:color="000000"/>
              <w:left w:val="single" w:sz="5" w:space="0" w:color="000000"/>
              <w:bottom w:val="single" w:sz="5" w:space="0" w:color="000000"/>
              <w:right w:val="single" w:sz="5" w:space="0" w:color="000000"/>
            </w:tcBorders>
          </w:tcPr>
          <w:p w14:paraId="5DAF6DA8" w14:textId="77777777" w:rsidR="005014B6" w:rsidRDefault="005014B6" w:rsidP="005A156D">
            <w:pPr>
              <w:spacing w:after="492" w:line="254" w:lineRule="exact"/>
              <w:ind w:left="125"/>
              <w:textAlignment w:val="baseline"/>
              <w:rPr>
                <w:rFonts w:ascii="Arial" w:eastAsia="Arial" w:hAnsi="Arial"/>
                <w:b/>
                <w:color w:val="000000"/>
              </w:rPr>
            </w:pPr>
            <w:r>
              <w:rPr>
                <w:rFonts w:ascii="Arial" w:eastAsia="Arial" w:hAnsi="Arial"/>
                <w:b/>
                <w:color w:val="000000"/>
              </w:rPr>
              <w:t>Critical</w:t>
            </w:r>
          </w:p>
        </w:tc>
        <w:tc>
          <w:tcPr>
            <w:tcW w:w="3381" w:type="dxa"/>
            <w:tcBorders>
              <w:top w:val="single" w:sz="5" w:space="0" w:color="000000"/>
              <w:left w:val="single" w:sz="5" w:space="0" w:color="000000"/>
              <w:bottom w:val="single" w:sz="5" w:space="0" w:color="000000"/>
              <w:right w:val="single" w:sz="5" w:space="0" w:color="000000"/>
            </w:tcBorders>
          </w:tcPr>
          <w:p w14:paraId="2E0EA4BE" w14:textId="77777777" w:rsidR="005014B6" w:rsidRDefault="005014B6" w:rsidP="005A156D">
            <w:pPr>
              <w:spacing w:line="252" w:lineRule="exact"/>
              <w:ind w:left="108" w:right="792"/>
              <w:textAlignment w:val="baseline"/>
              <w:rPr>
                <w:rFonts w:ascii="Arial" w:eastAsia="Arial" w:hAnsi="Arial"/>
                <w:color w:val="000000"/>
                <w:spacing w:val="-2"/>
              </w:rPr>
            </w:pPr>
            <w:r>
              <w:rPr>
                <w:rFonts w:ascii="Arial" w:eastAsia="Arial" w:hAnsi="Arial"/>
                <w:color w:val="000000"/>
                <w:spacing w:val="-2"/>
              </w:rPr>
              <w:t>A single death and / or multiple severe injuries or equivalent occupational illness.</w:t>
            </w:r>
          </w:p>
        </w:tc>
        <w:tc>
          <w:tcPr>
            <w:tcW w:w="3605" w:type="dxa"/>
            <w:tcBorders>
              <w:top w:val="single" w:sz="5" w:space="0" w:color="000000"/>
              <w:left w:val="single" w:sz="5" w:space="0" w:color="000000"/>
              <w:bottom w:val="single" w:sz="5" w:space="0" w:color="000000"/>
              <w:right w:val="single" w:sz="5" w:space="0" w:color="000000"/>
            </w:tcBorders>
          </w:tcPr>
          <w:p w14:paraId="02D2D748" w14:textId="77777777" w:rsidR="005014B6" w:rsidRDefault="005014B6" w:rsidP="005A156D">
            <w:pPr>
              <w:spacing w:line="252" w:lineRule="exact"/>
              <w:ind w:left="108" w:right="360"/>
              <w:jc w:val="both"/>
              <w:textAlignment w:val="baseline"/>
              <w:rPr>
                <w:rFonts w:ascii="Arial" w:eastAsia="Arial" w:hAnsi="Arial"/>
                <w:color w:val="000000"/>
                <w:spacing w:val="-2"/>
              </w:rPr>
            </w:pPr>
            <w:r>
              <w:rPr>
                <w:rFonts w:ascii="Arial" w:eastAsia="Arial" w:hAnsi="Arial"/>
                <w:color w:val="000000"/>
                <w:spacing w:val="-2"/>
              </w:rPr>
              <w:t>A single severe injury or occupational illness and / or multiple minor injuries or minor occupational illness.</w:t>
            </w:r>
          </w:p>
        </w:tc>
      </w:tr>
      <w:tr w:rsidR="005014B6" w14:paraId="4EB69B7F" w14:textId="77777777" w:rsidTr="00C66D6D">
        <w:trPr>
          <w:trHeight w:hRule="exact" w:val="1147"/>
          <w:jc w:val="center"/>
        </w:trPr>
        <w:tc>
          <w:tcPr>
            <w:tcW w:w="1554" w:type="dxa"/>
            <w:tcBorders>
              <w:top w:val="single" w:sz="5" w:space="0" w:color="000000"/>
              <w:left w:val="single" w:sz="5" w:space="0" w:color="000000"/>
              <w:bottom w:val="single" w:sz="5" w:space="0" w:color="000000"/>
              <w:right w:val="single" w:sz="5" w:space="0" w:color="000000"/>
            </w:tcBorders>
          </w:tcPr>
          <w:p w14:paraId="3889F023" w14:textId="77777777" w:rsidR="005014B6" w:rsidRDefault="005014B6" w:rsidP="005A156D">
            <w:pPr>
              <w:spacing w:after="487" w:line="254" w:lineRule="exact"/>
              <w:ind w:left="125"/>
              <w:textAlignment w:val="baseline"/>
              <w:rPr>
                <w:rFonts w:ascii="Arial" w:eastAsia="Arial" w:hAnsi="Arial"/>
                <w:b/>
                <w:color w:val="000000"/>
              </w:rPr>
            </w:pPr>
            <w:r>
              <w:rPr>
                <w:rFonts w:ascii="Arial" w:eastAsia="Arial" w:hAnsi="Arial"/>
                <w:b/>
                <w:color w:val="000000"/>
              </w:rPr>
              <w:t>Marginal</w:t>
            </w:r>
          </w:p>
        </w:tc>
        <w:tc>
          <w:tcPr>
            <w:tcW w:w="3381" w:type="dxa"/>
            <w:tcBorders>
              <w:top w:val="single" w:sz="5" w:space="0" w:color="000000"/>
              <w:left w:val="single" w:sz="5" w:space="0" w:color="000000"/>
              <w:bottom w:val="single" w:sz="5" w:space="0" w:color="000000"/>
              <w:right w:val="single" w:sz="5" w:space="0" w:color="000000"/>
            </w:tcBorders>
          </w:tcPr>
          <w:p w14:paraId="1ECE52BF" w14:textId="77777777" w:rsidR="005014B6" w:rsidRDefault="005014B6" w:rsidP="005A156D">
            <w:pPr>
              <w:spacing w:line="250" w:lineRule="exact"/>
              <w:ind w:left="108" w:right="180"/>
              <w:jc w:val="both"/>
              <w:textAlignment w:val="baseline"/>
              <w:rPr>
                <w:rFonts w:ascii="Arial" w:eastAsia="Arial" w:hAnsi="Arial"/>
                <w:color w:val="000000"/>
                <w:spacing w:val="-2"/>
              </w:rPr>
            </w:pPr>
            <w:r>
              <w:rPr>
                <w:rFonts w:ascii="Arial" w:eastAsia="Arial" w:hAnsi="Arial"/>
                <w:color w:val="000000"/>
                <w:spacing w:val="-2"/>
              </w:rPr>
              <w:t>A single severe injury or occupational illness and / or multiple minor injuries or minor occupational illness.</w:t>
            </w:r>
          </w:p>
        </w:tc>
        <w:tc>
          <w:tcPr>
            <w:tcW w:w="3605" w:type="dxa"/>
            <w:tcBorders>
              <w:top w:val="single" w:sz="5" w:space="0" w:color="000000"/>
              <w:left w:val="single" w:sz="5" w:space="0" w:color="000000"/>
              <w:bottom w:val="single" w:sz="5" w:space="0" w:color="000000"/>
              <w:right w:val="single" w:sz="5" w:space="0" w:color="000000"/>
            </w:tcBorders>
          </w:tcPr>
          <w:p w14:paraId="6C492FAB" w14:textId="77777777" w:rsidR="005014B6" w:rsidRDefault="005014B6" w:rsidP="005A156D">
            <w:pPr>
              <w:spacing w:after="237" w:line="254" w:lineRule="exact"/>
              <w:ind w:left="108" w:right="324"/>
              <w:textAlignment w:val="baseline"/>
              <w:rPr>
                <w:rFonts w:ascii="Arial" w:eastAsia="Arial" w:hAnsi="Arial"/>
                <w:color w:val="000000"/>
              </w:rPr>
            </w:pPr>
            <w:r>
              <w:rPr>
                <w:rFonts w:ascii="Arial" w:eastAsia="Arial" w:hAnsi="Arial"/>
                <w:color w:val="000000"/>
              </w:rPr>
              <w:t>At most a single minor injury or minor occupational illness.</w:t>
            </w:r>
          </w:p>
        </w:tc>
      </w:tr>
      <w:tr w:rsidR="005014B6" w14:paraId="0903E366" w14:textId="77777777" w:rsidTr="00C66D6D">
        <w:trPr>
          <w:trHeight w:hRule="exact" w:val="1995"/>
          <w:jc w:val="center"/>
        </w:trPr>
        <w:tc>
          <w:tcPr>
            <w:tcW w:w="1554" w:type="dxa"/>
            <w:tcBorders>
              <w:top w:val="single" w:sz="5" w:space="0" w:color="000000"/>
              <w:left w:val="single" w:sz="5" w:space="0" w:color="000000"/>
              <w:bottom w:val="single" w:sz="5" w:space="0" w:color="000000"/>
              <w:right w:val="single" w:sz="5" w:space="0" w:color="000000"/>
            </w:tcBorders>
          </w:tcPr>
          <w:p w14:paraId="4E783206" w14:textId="77777777" w:rsidR="005014B6" w:rsidRDefault="005014B6" w:rsidP="005A156D">
            <w:pPr>
              <w:spacing w:after="1260" w:line="254" w:lineRule="exact"/>
              <w:ind w:left="125"/>
              <w:textAlignment w:val="baseline"/>
              <w:rPr>
                <w:rFonts w:ascii="Arial" w:eastAsia="Arial" w:hAnsi="Arial"/>
                <w:b/>
                <w:color w:val="000000"/>
              </w:rPr>
            </w:pPr>
            <w:r>
              <w:rPr>
                <w:rFonts w:ascii="Arial" w:eastAsia="Arial" w:hAnsi="Arial"/>
                <w:b/>
                <w:color w:val="000000"/>
              </w:rPr>
              <w:t>Negligible</w:t>
            </w:r>
          </w:p>
        </w:tc>
        <w:tc>
          <w:tcPr>
            <w:tcW w:w="3381" w:type="dxa"/>
            <w:tcBorders>
              <w:top w:val="single" w:sz="5" w:space="0" w:color="000000"/>
              <w:left w:val="single" w:sz="5" w:space="0" w:color="000000"/>
              <w:bottom w:val="single" w:sz="5" w:space="0" w:color="000000"/>
              <w:right w:val="single" w:sz="5" w:space="0" w:color="000000"/>
            </w:tcBorders>
          </w:tcPr>
          <w:p w14:paraId="7423F6AE" w14:textId="77777777" w:rsidR="005014B6" w:rsidRDefault="005014B6" w:rsidP="005A156D">
            <w:pPr>
              <w:spacing w:line="253" w:lineRule="exact"/>
              <w:ind w:left="108" w:right="180"/>
              <w:textAlignment w:val="baseline"/>
              <w:rPr>
                <w:rFonts w:ascii="Arial" w:eastAsia="Arial" w:hAnsi="Arial"/>
                <w:color w:val="000000"/>
              </w:rPr>
            </w:pPr>
            <w:r>
              <w:rPr>
                <w:rFonts w:ascii="Arial" w:eastAsia="Arial" w:hAnsi="Arial"/>
                <w:color w:val="000000"/>
              </w:rPr>
              <w:t>At most a single minor injury or minor occupational illness. A non-sporting injury requiring professional medical attention (may include a Medical Orderly or an Army Combat Medical Technician).</w:t>
            </w:r>
          </w:p>
        </w:tc>
        <w:tc>
          <w:tcPr>
            <w:tcW w:w="3605" w:type="dxa"/>
            <w:tcBorders>
              <w:top w:val="single" w:sz="5" w:space="0" w:color="000000"/>
              <w:left w:val="single" w:sz="5" w:space="0" w:color="000000"/>
              <w:bottom w:val="single" w:sz="5" w:space="0" w:color="000000"/>
              <w:right w:val="single" w:sz="5" w:space="0" w:color="000000"/>
            </w:tcBorders>
          </w:tcPr>
          <w:p w14:paraId="22BB5DA2" w14:textId="77777777" w:rsidR="005014B6" w:rsidRDefault="005014B6" w:rsidP="005014B6">
            <w:pPr>
              <w:keepNext/>
              <w:spacing w:after="1006" w:line="254" w:lineRule="exact"/>
              <w:ind w:left="108" w:right="720"/>
              <w:textAlignment w:val="baseline"/>
              <w:rPr>
                <w:rFonts w:ascii="Arial" w:eastAsia="Arial" w:hAnsi="Arial"/>
                <w:color w:val="000000"/>
                <w:spacing w:val="-2"/>
              </w:rPr>
            </w:pPr>
            <w:r>
              <w:rPr>
                <w:rFonts w:ascii="Arial" w:eastAsia="Arial" w:hAnsi="Arial"/>
                <w:color w:val="000000"/>
                <w:spacing w:val="-2"/>
              </w:rPr>
              <w:t>Any injury or occupational illness, however minor.</w:t>
            </w:r>
          </w:p>
        </w:tc>
      </w:tr>
    </w:tbl>
    <w:p w14:paraId="5F857316" w14:textId="6D7C6198" w:rsidR="005014B6" w:rsidRDefault="005014B6" w:rsidP="005014B6">
      <w:pPr>
        <w:pStyle w:val="Caption"/>
        <w:jc w:val="center"/>
      </w:pPr>
      <w:bookmarkStart w:id="5" w:name="_Toc203723542"/>
      <w:r>
        <w:t xml:space="preserve">Table </w:t>
      </w:r>
      <w:fldSimple w:instr=" SEQ Table \* ARABIC ">
        <w:r>
          <w:rPr>
            <w:noProof/>
          </w:rPr>
          <w:t>3</w:t>
        </w:r>
      </w:fldSimple>
      <w:r>
        <w:t xml:space="preserve"> - Accident Severity Thresholds</w:t>
      </w:r>
      <w:bookmarkEnd w:id="5"/>
    </w:p>
    <w:p w14:paraId="25B2683D" w14:textId="77777777" w:rsidR="00827DF4" w:rsidRPr="00827DF4" w:rsidRDefault="00827DF4" w:rsidP="00827DF4"/>
    <w:tbl>
      <w:tblPr>
        <w:tblW w:w="8129" w:type="dxa"/>
        <w:jc w:val="center"/>
        <w:tblLayout w:type="fixed"/>
        <w:tblCellMar>
          <w:left w:w="0" w:type="dxa"/>
          <w:right w:w="0" w:type="dxa"/>
        </w:tblCellMar>
        <w:tblLook w:val="0000" w:firstRow="0" w:lastRow="0" w:firstColumn="0" w:lastColumn="0" w:noHBand="0" w:noVBand="0"/>
      </w:tblPr>
      <w:tblGrid>
        <w:gridCol w:w="2032"/>
        <w:gridCol w:w="3941"/>
        <w:gridCol w:w="2156"/>
      </w:tblGrid>
      <w:tr w:rsidR="005014B6" w14:paraId="0EBC20D6" w14:textId="77777777" w:rsidTr="00827DF4">
        <w:trPr>
          <w:trHeight w:hRule="exact" w:val="614"/>
          <w:jc w:val="center"/>
        </w:trPr>
        <w:tc>
          <w:tcPr>
            <w:tcW w:w="2032" w:type="dxa"/>
            <w:tcBorders>
              <w:top w:val="single" w:sz="5" w:space="0" w:color="000000"/>
              <w:left w:val="single" w:sz="5" w:space="0" w:color="000000"/>
              <w:bottom w:val="single" w:sz="5" w:space="0" w:color="000000"/>
              <w:right w:val="single" w:sz="5" w:space="0" w:color="000000"/>
            </w:tcBorders>
            <w:shd w:val="clear" w:color="auto" w:fill="D9D9D9" w:themeFill="background1" w:themeFillShade="D9"/>
          </w:tcPr>
          <w:p w14:paraId="5A81721A" w14:textId="77777777" w:rsidR="005014B6" w:rsidRDefault="005014B6" w:rsidP="005A156D">
            <w:pPr>
              <w:spacing w:line="254" w:lineRule="exact"/>
              <w:jc w:val="center"/>
              <w:textAlignment w:val="baseline"/>
              <w:rPr>
                <w:rFonts w:ascii="Arial" w:eastAsia="Arial" w:hAnsi="Arial"/>
                <w:b/>
                <w:color w:val="000000"/>
              </w:rPr>
            </w:pPr>
            <w:r>
              <w:rPr>
                <w:rFonts w:ascii="Arial" w:eastAsia="Arial" w:hAnsi="Arial"/>
                <w:b/>
                <w:color w:val="000000"/>
              </w:rPr>
              <w:lastRenderedPageBreak/>
              <w:t xml:space="preserve">Qualitative </w:t>
            </w:r>
            <w:r>
              <w:rPr>
                <w:rFonts w:ascii="Arial" w:eastAsia="Arial" w:hAnsi="Arial"/>
                <w:b/>
                <w:color w:val="000000"/>
              </w:rPr>
              <w:br/>
              <w:t>Probability</w:t>
            </w:r>
          </w:p>
        </w:tc>
        <w:tc>
          <w:tcPr>
            <w:tcW w:w="3941" w:type="dxa"/>
            <w:tcBorders>
              <w:top w:val="single" w:sz="5" w:space="0" w:color="000000"/>
              <w:left w:val="single" w:sz="5" w:space="0" w:color="000000"/>
              <w:bottom w:val="single" w:sz="5" w:space="0" w:color="000000"/>
              <w:right w:val="single" w:sz="5" w:space="0" w:color="000000"/>
            </w:tcBorders>
            <w:shd w:val="clear" w:color="auto" w:fill="D9D9D9" w:themeFill="background1" w:themeFillShade="D9"/>
          </w:tcPr>
          <w:p w14:paraId="33032CF5" w14:textId="77777777" w:rsidR="005014B6" w:rsidRDefault="005014B6" w:rsidP="005A156D">
            <w:pPr>
              <w:spacing w:after="247" w:line="252" w:lineRule="exact"/>
              <w:ind w:right="974"/>
              <w:jc w:val="right"/>
              <w:textAlignment w:val="baseline"/>
              <w:rPr>
                <w:rFonts w:ascii="Arial" w:eastAsia="Arial" w:hAnsi="Arial"/>
                <w:b/>
                <w:color w:val="000000"/>
              </w:rPr>
            </w:pPr>
            <w:r>
              <w:rPr>
                <w:rFonts w:ascii="Arial" w:eastAsia="Arial" w:hAnsi="Arial"/>
                <w:b/>
                <w:color w:val="000000"/>
              </w:rPr>
              <w:t>Description (Through life)</w:t>
            </w:r>
          </w:p>
        </w:tc>
        <w:tc>
          <w:tcPr>
            <w:tcW w:w="2156" w:type="dxa"/>
            <w:tcBorders>
              <w:top w:val="single" w:sz="5" w:space="0" w:color="000000"/>
              <w:left w:val="single" w:sz="5" w:space="0" w:color="000000"/>
              <w:bottom w:val="single" w:sz="5" w:space="0" w:color="000000"/>
              <w:right w:val="single" w:sz="5" w:space="0" w:color="000000"/>
            </w:tcBorders>
            <w:shd w:val="clear" w:color="auto" w:fill="D9D9D9" w:themeFill="background1" w:themeFillShade="D9"/>
          </w:tcPr>
          <w:p w14:paraId="1BE080DB" w14:textId="77777777" w:rsidR="005014B6" w:rsidRDefault="005014B6" w:rsidP="005A156D">
            <w:pPr>
              <w:spacing w:line="254" w:lineRule="exact"/>
              <w:jc w:val="center"/>
              <w:textAlignment w:val="baseline"/>
              <w:rPr>
                <w:rFonts w:ascii="Arial" w:eastAsia="Arial" w:hAnsi="Arial"/>
                <w:b/>
                <w:color w:val="000000"/>
              </w:rPr>
            </w:pPr>
            <w:r>
              <w:rPr>
                <w:rFonts w:ascii="Arial" w:eastAsia="Arial" w:hAnsi="Arial"/>
                <w:b/>
                <w:color w:val="000000"/>
              </w:rPr>
              <w:t xml:space="preserve">Quantitative </w:t>
            </w:r>
            <w:r>
              <w:rPr>
                <w:rFonts w:ascii="Arial" w:eastAsia="Arial" w:hAnsi="Arial"/>
                <w:b/>
                <w:color w:val="000000"/>
              </w:rPr>
              <w:br/>
              <w:t>Equivalent</w:t>
            </w:r>
          </w:p>
        </w:tc>
      </w:tr>
      <w:tr w:rsidR="005014B6" w14:paraId="66932804" w14:textId="77777777" w:rsidTr="00827DF4">
        <w:trPr>
          <w:trHeight w:hRule="exact" w:val="673"/>
          <w:jc w:val="center"/>
        </w:trPr>
        <w:tc>
          <w:tcPr>
            <w:tcW w:w="2032" w:type="dxa"/>
            <w:tcBorders>
              <w:top w:val="single" w:sz="5" w:space="0" w:color="000000"/>
              <w:left w:val="single" w:sz="5" w:space="0" w:color="000000"/>
              <w:bottom w:val="single" w:sz="5" w:space="0" w:color="000000"/>
              <w:right w:val="single" w:sz="5" w:space="0" w:color="000000"/>
            </w:tcBorders>
          </w:tcPr>
          <w:p w14:paraId="62446BF6" w14:textId="77777777" w:rsidR="005014B6" w:rsidRDefault="005014B6" w:rsidP="005A156D">
            <w:pPr>
              <w:spacing w:after="194" w:line="252" w:lineRule="exact"/>
              <w:ind w:left="125"/>
              <w:textAlignment w:val="baseline"/>
              <w:rPr>
                <w:rFonts w:ascii="Arial" w:eastAsia="Arial" w:hAnsi="Arial"/>
                <w:color w:val="000000"/>
              </w:rPr>
            </w:pPr>
            <w:r>
              <w:rPr>
                <w:rFonts w:ascii="Arial" w:eastAsia="Arial" w:hAnsi="Arial"/>
                <w:color w:val="000000"/>
              </w:rPr>
              <w:t>Frequent</w:t>
            </w:r>
          </w:p>
        </w:tc>
        <w:tc>
          <w:tcPr>
            <w:tcW w:w="3941" w:type="dxa"/>
            <w:tcBorders>
              <w:top w:val="single" w:sz="5" w:space="0" w:color="000000"/>
              <w:left w:val="single" w:sz="5" w:space="0" w:color="000000"/>
              <w:bottom w:val="single" w:sz="5" w:space="0" w:color="000000"/>
              <w:right w:val="single" w:sz="5" w:space="0" w:color="000000"/>
            </w:tcBorders>
          </w:tcPr>
          <w:p w14:paraId="75EE9B60" w14:textId="77777777" w:rsidR="005014B6" w:rsidRDefault="005014B6" w:rsidP="005A156D">
            <w:pPr>
              <w:spacing w:line="224" w:lineRule="exact"/>
              <w:ind w:left="108" w:right="180"/>
              <w:jc w:val="both"/>
              <w:textAlignment w:val="baseline"/>
              <w:rPr>
                <w:rFonts w:ascii="Arial" w:eastAsia="Arial" w:hAnsi="Arial"/>
                <w:color w:val="000000"/>
                <w:sz w:val="20"/>
              </w:rPr>
            </w:pPr>
            <w:r>
              <w:rPr>
                <w:rFonts w:ascii="Arial" w:eastAsia="Arial" w:hAnsi="Arial"/>
                <w:color w:val="000000"/>
                <w:sz w:val="20"/>
              </w:rPr>
              <w:t>Likely to be continually experienced during the life of the system.</w:t>
            </w:r>
          </w:p>
        </w:tc>
        <w:tc>
          <w:tcPr>
            <w:tcW w:w="2156" w:type="dxa"/>
            <w:tcBorders>
              <w:top w:val="single" w:sz="5" w:space="0" w:color="000000"/>
              <w:left w:val="single" w:sz="5" w:space="0" w:color="000000"/>
              <w:bottom w:val="single" w:sz="5" w:space="0" w:color="000000"/>
              <w:right w:val="single" w:sz="5" w:space="0" w:color="000000"/>
            </w:tcBorders>
            <w:vAlign w:val="center"/>
          </w:tcPr>
          <w:p w14:paraId="5DCB9800" w14:textId="77777777" w:rsidR="005014B6" w:rsidRDefault="005014B6" w:rsidP="005A156D">
            <w:pPr>
              <w:spacing w:before="109" w:after="121" w:line="230" w:lineRule="exact"/>
              <w:ind w:left="124"/>
              <w:textAlignment w:val="baseline"/>
              <w:rPr>
                <w:rFonts w:ascii="Arial" w:eastAsia="Arial" w:hAnsi="Arial"/>
                <w:color w:val="000000"/>
                <w:sz w:val="20"/>
              </w:rPr>
            </w:pPr>
            <w:r>
              <w:rPr>
                <w:rFonts w:ascii="Arial" w:eastAsia="Arial" w:hAnsi="Arial"/>
                <w:color w:val="000000"/>
                <w:sz w:val="20"/>
              </w:rPr>
              <w:t>&gt;1x10</w:t>
            </w:r>
            <w:r>
              <w:rPr>
                <w:rFonts w:ascii="Arial" w:eastAsia="Arial" w:hAnsi="Arial"/>
                <w:color w:val="000000"/>
                <w:sz w:val="13"/>
              </w:rPr>
              <w:t>-3</w:t>
            </w:r>
          </w:p>
        </w:tc>
      </w:tr>
      <w:tr w:rsidR="005014B6" w14:paraId="02EC6574" w14:textId="77777777" w:rsidTr="00827DF4">
        <w:trPr>
          <w:trHeight w:hRule="exact" w:val="416"/>
          <w:jc w:val="center"/>
        </w:trPr>
        <w:tc>
          <w:tcPr>
            <w:tcW w:w="2032" w:type="dxa"/>
            <w:tcBorders>
              <w:top w:val="single" w:sz="5" w:space="0" w:color="000000"/>
              <w:left w:val="single" w:sz="5" w:space="0" w:color="000000"/>
              <w:bottom w:val="single" w:sz="5" w:space="0" w:color="000000"/>
              <w:right w:val="single" w:sz="5" w:space="0" w:color="000000"/>
            </w:tcBorders>
          </w:tcPr>
          <w:p w14:paraId="3673107F" w14:textId="77777777" w:rsidR="005014B6" w:rsidRDefault="005014B6" w:rsidP="005A156D">
            <w:pPr>
              <w:spacing w:after="199" w:line="252" w:lineRule="exact"/>
              <w:ind w:left="125"/>
              <w:textAlignment w:val="baseline"/>
              <w:rPr>
                <w:rFonts w:ascii="Arial" w:eastAsia="Arial" w:hAnsi="Arial"/>
                <w:color w:val="000000"/>
              </w:rPr>
            </w:pPr>
            <w:r>
              <w:rPr>
                <w:rFonts w:ascii="Arial" w:eastAsia="Arial" w:hAnsi="Arial"/>
                <w:color w:val="000000"/>
              </w:rPr>
              <w:t>Probable</w:t>
            </w:r>
          </w:p>
        </w:tc>
        <w:tc>
          <w:tcPr>
            <w:tcW w:w="3941" w:type="dxa"/>
            <w:tcBorders>
              <w:top w:val="single" w:sz="5" w:space="0" w:color="000000"/>
              <w:left w:val="single" w:sz="5" w:space="0" w:color="000000"/>
              <w:bottom w:val="single" w:sz="5" w:space="0" w:color="000000"/>
              <w:right w:val="single" w:sz="5" w:space="0" w:color="000000"/>
            </w:tcBorders>
          </w:tcPr>
          <w:p w14:paraId="774CB951" w14:textId="77777777" w:rsidR="005014B6" w:rsidRDefault="005014B6" w:rsidP="005A156D">
            <w:pPr>
              <w:spacing w:after="224" w:line="230" w:lineRule="exact"/>
              <w:ind w:left="110"/>
              <w:textAlignment w:val="baseline"/>
              <w:rPr>
                <w:rFonts w:ascii="Arial" w:eastAsia="Arial" w:hAnsi="Arial"/>
                <w:color w:val="000000"/>
                <w:sz w:val="20"/>
              </w:rPr>
            </w:pPr>
            <w:r>
              <w:rPr>
                <w:rFonts w:ascii="Arial" w:eastAsia="Arial" w:hAnsi="Arial"/>
                <w:color w:val="000000"/>
                <w:sz w:val="20"/>
              </w:rPr>
              <w:t>Likely to occur often during the life of the system.</w:t>
            </w:r>
          </w:p>
        </w:tc>
        <w:tc>
          <w:tcPr>
            <w:tcW w:w="2156" w:type="dxa"/>
            <w:tcBorders>
              <w:top w:val="single" w:sz="5" w:space="0" w:color="000000"/>
              <w:left w:val="single" w:sz="5" w:space="0" w:color="000000"/>
              <w:bottom w:val="single" w:sz="5" w:space="0" w:color="000000"/>
              <w:right w:val="single" w:sz="5" w:space="0" w:color="000000"/>
            </w:tcBorders>
            <w:vAlign w:val="center"/>
          </w:tcPr>
          <w:p w14:paraId="556E48D1" w14:textId="77777777" w:rsidR="005014B6" w:rsidRDefault="005014B6" w:rsidP="005A156D">
            <w:pPr>
              <w:spacing w:before="108" w:after="126" w:line="230" w:lineRule="exact"/>
              <w:ind w:left="124"/>
              <w:textAlignment w:val="baseline"/>
              <w:rPr>
                <w:rFonts w:ascii="Arial" w:eastAsia="Arial" w:hAnsi="Arial"/>
                <w:color w:val="000000"/>
                <w:sz w:val="20"/>
              </w:rPr>
            </w:pPr>
            <w:r>
              <w:rPr>
                <w:rFonts w:ascii="Arial" w:eastAsia="Arial" w:hAnsi="Arial"/>
                <w:color w:val="000000"/>
                <w:sz w:val="20"/>
              </w:rPr>
              <w:t>1x10</w:t>
            </w:r>
            <w:r>
              <w:rPr>
                <w:rFonts w:ascii="Arial" w:eastAsia="Arial" w:hAnsi="Arial"/>
                <w:color w:val="000000"/>
                <w:sz w:val="20"/>
                <w:vertAlign w:val="superscript"/>
              </w:rPr>
              <w:t>-3</w:t>
            </w:r>
            <w:r>
              <w:rPr>
                <w:rFonts w:ascii="Arial" w:eastAsia="Arial" w:hAnsi="Arial"/>
                <w:color w:val="000000"/>
                <w:sz w:val="20"/>
              </w:rPr>
              <w:t xml:space="preserve"> to 1x10</w:t>
            </w:r>
            <w:r>
              <w:rPr>
                <w:rFonts w:ascii="Arial" w:eastAsia="Arial" w:hAnsi="Arial"/>
                <w:color w:val="000000"/>
                <w:sz w:val="20"/>
                <w:vertAlign w:val="superscript"/>
              </w:rPr>
              <w:t>-4</w:t>
            </w:r>
            <w:r>
              <w:rPr>
                <w:rFonts w:ascii="Arial" w:eastAsia="Arial" w:hAnsi="Arial"/>
                <w:color w:val="000000"/>
                <w:sz w:val="13"/>
              </w:rPr>
              <w:t xml:space="preserve"> </w:t>
            </w:r>
          </w:p>
        </w:tc>
      </w:tr>
      <w:tr w:rsidR="005014B6" w14:paraId="73319117" w14:textId="77777777" w:rsidTr="00827DF4">
        <w:trPr>
          <w:trHeight w:hRule="exact" w:val="599"/>
          <w:jc w:val="center"/>
        </w:trPr>
        <w:tc>
          <w:tcPr>
            <w:tcW w:w="2032" w:type="dxa"/>
            <w:tcBorders>
              <w:top w:val="single" w:sz="5" w:space="0" w:color="000000"/>
              <w:left w:val="single" w:sz="5" w:space="0" w:color="000000"/>
              <w:bottom w:val="single" w:sz="5" w:space="0" w:color="000000"/>
              <w:right w:val="single" w:sz="5" w:space="0" w:color="000000"/>
            </w:tcBorders>
          </w:tcPr>
          <w:p w14:paraId="41FCB95B" w14:textId="77777777" w:rsidR="005014B6" w:rsidRDefault="005014B6" w:rsidP="005A156D">
            <w:pPr>
              <w:spacing w:after="204" w:line="252" w:lineRule="exact"/>
              <w:ind w:left="125"/>
              <w:textAlignment w:val="baseline"/>
              <w:rPr>
                <w:rFonts w:ascii="Arial" w:eastAsia="Arial" w:hAnsi="Arial"/>
                <w:color w:val="000000"/>
              </w:rPr>
            </w:pPr>
            <w:r>
              <w:rPr>
                <w:rFonts w:ascii="Arial" w:eastAsia="Arial" w:hAnsi="Arial"/>
                <w:color w:val="000000"/>
              </w:rPr>
              <w:t>Occasional</w:t>
            </w:r>
          </w:p>
        </w:tc>
        <w:tc>
          <w:tcPr>
            <w:tcW w:w="3941" w:type="dxa"/>
            <w:tcBorders>
              <w:top w:val="single" w:sz="5" w:space="0" w:color="000000"/>
              <w:left w:val="single" w:sz="5" w:space="0" w:color="000000"/>
              <w:bottom w:val="single" w:sz="5" w:space="0" w:color="000000"/>
              <w:right w:val="single" w:sz="5" w:space="0" w:color="000000"/>
            </w:tcBorders>
          </w:tcPr>
          <w:p w14:paraId="175FA3F7" w14:textId="77777777" w:rsidR="005014B6" w:rsidRDefault="005014B6" w:rsidP="005A156D">
            <w:pPr>
              <w:spacing w:line="230" w:lineRule="exact"/>
              <w:ind w:left="108" w:right="252"/>
              <w:textAlignment w:val="baseline"/>
              <w:rPr>
                <w:rFonts w:ascii="Arial" w:eastAsia="Arial" w:hAnsi="Arial"/>
                <w:color w:val="000000"/>
                <w:sz w:val="20"/>
              </w:rPr>
            </w:pPr>
            <w:r>
              <w:rPr>
                <w:rFonts w:ascii="Arial" w:eastAsia="Arial" w:hAnsi="Arial"/>
                <w:color w:val="000000"/>
                <w:sz w:val="20"/>
              </w:rPr>
              <w:t>Likely to occur several times during the life of the system.</w:t>
            </w:r>
          </w:p>
        </w:tc>
        <w:tc>
          <w:tcPr>
            <w:tcW w:w="2156" w:type="dxa"/>
            <w:tcBorders>
              <w:top w:val="single" w:sz="5" w:space="0" w:color="000000"/>
              <w:left w:val="single" w:sz="5" w:space="0" w:color="000000"/>
              <w:bottom w:val="single" w:sz="5" w:space="0" w:color="000000"/>
              <w:right w:val="single" w:sz="5" w:space="0" w:color="000000"/>
            </w:tcBorders>
            <w:vAlign w:val="center"/>
          </w:tcPr>
          <w:p w14:paraId="4B220549" w14:textId="77777777" w:rsidR="005014B6" w:rsidRDefault="005014B6" w:rsidP="005A156D">
            <w:pPr>
              <w:spacing w:before="109" w:after="131" w:line="230" w:lineRule="exact"/>
              <w:ind w:left="124"/>
              <w:textAlignment w:val="baseline"/>
              <w:rPr>
                <w:rFonts w:ascii="Arial" w:eastAsia="Arial" w:hAnsi="Arial"/>
                <w:color w:val="000000"/>
                <w:sz w:val="20"/>
              </w:rPr>
            </w:pPr>
            <w:r>
              <w:rPr>
                <w:rFonts w:ascii="Arial" w:eastAsia="Arial" w:hAnsi="Arial"/>
                <w:color w:val="000000"/>
                <w:sz w:val="20"/>
              </w:rPr>
              <w:t>1x10</w:t>
            </w:r>
            <w:r>
              <w:rPr>
                <w:rFonts w:ascii="Arial" w:eastAsia="Arial" w:hAnsi="Arial"/>
                <w:color w:val="000000"/>
                <w:sz w:val="20"/>
                <w:vertAlign w:val="superscript"/>
              </w:rPr>
              <w:t>-4</w:t>
            </w:r>
            <w:r>
              <w:rPr>
                <w:rFonts w:ascii="Arial" w:eastAsia="Arial" w:hAnsi="Arial"/>
                <w:color w:val="000000"/>
                <w:sz w:val="20"/>
              </w:rPr>
              <w:t xml:space="preserve"> to 1x10</w:t>
            </w:r>
            <w:r>
              <w:rPr>
                <w:rFonts w:ascii="Arial" w:eastAsia="Arial" w:hAnsi="Arial"/>
                <w:color w:val="000000"/>
                <w:sz w:val="20"/>
                <w:vertAlign w:val="superscript"/>
              </w:rPr>
              <w:t>-5</w:t>
            </w:r>
            <w:r>
              <w:rPr>
                <w:rFonts w:ascii="Arial" w:eastAsia="Arial" w:hAnsi="Arial"/>
                <w:color w:val="000000"/>
                <w:sz w:val="13"/>
              </w:rPr>
              <w:t xml:space="preserve"> </w:t>
            </w:r>
          </w:p>
        </w:tc>
      </w:tr>
      <w:tr w:rsidR="005014B6" w14:paraId="3D095125" w14:textId="77777777" w:rsidTr="00827DF4">
        <w:trPr>
          <w:trHeight w:hRule="exact" w:val="632"/>
          <w:jc w:val="center"/>
        </w:trPr>
        <w:tc>
          <w:tcPr>
            <w:tcW w:w="2032" w:type="dxa"/>
            <w:tcBorders>
              <w:top w:val="single" w:sz="5" w:space="0" w:color="000000"/>
              <w:left w:val="single" w:sz="5" w:space="0" w:color="000000"/>
              <w:bottom w:val="single" w:sz="5" w:space="0" w:color="000000"/>
              <w:right w:val="single" w:sz="5" w:space="0" w:color="000000"/>
            </w:tcBorders>
          </w:tcPr>
          <w:p w14:paraId="4F981BD0" w14:textId="77777777" w:rsidR="005014B6" w:rsidRDefault="005014B6" w:rsidP="005A156D">
            <w:pPr>
              <w:spacing w:after="199" w:line="252" w:lineRule="exact"/>
              <w:ind w:left="125"/>
              <w:textAlignment w:val="baseline"/>
              <w:rPr>
                <w:rFonts w:ascii="Arial" w:eastAsia="Arial" w:hAnsi="Arial"/>
                <w:color w:val="000000"/>
              </w:rPr>
            </w:pPr>
            <w:r>
              <w:rPr>
                <w:rFonts w:ascii="Arial" w:eastAsia="Arial" w:hAnsi="Arial"/>
                <w:color w:val="000000"/>
              </w:rPr>
              <w:t>Remote</w:t>
            </w:r>
          </w:p>
        </w:tc>
        <w:tc>
          <w:tcPr>
            <w:tcW w:w="3941" w:type="dxa"/>
            <w:tcBorders>
              <w:top w:val="single" w:sz="5" w:space="0" w:color="000000"/>
              <w:left w:val="single" w:sz="5" w:space="0" w:color="000000"/>
              <w:bottom w:val="single" w:sz="5" w:space="0" w:color="000000"/>
              <w:right w:val="single" w:sz="5" w:space="0" w:color="000000"/>
            </w:tcBorders>
          </w:tcPr>
          <w:p w14:paraId="196FC92A" w14:textId="77777777" w:rsidR="005014B6" w:rsidRDefault="005014B6" w:rsidP="005A156D">
            <w:pPr>
              <w:spacing w:line="227" w:lineRule="exact"/>
              <w:ind w:left="108" w:right="576"/>
              <w:textAlignment w:val="baseline"/>
              <w:rPr>
                <w:rFonts w:ascii="Arial" w:eastAsia="Arial" w:hAnsi="Arial"/>
                <w:color w:val="000000"/>
                <w:sz w:val="20"/>
              </w:rPr>
            </w:pPr>
            <w:r>
              <w:rPr>
                <w:rFonts w:ascii="Arial" w:eastAsia="Arial" w:hAnsi="Arial"/>
                <w:color w:val="000000"/>
                <w:sz w:val="20"/>
              </w:rPr>
              <w:t>Likely to occur sometime during the life of the system.</w:t>
            </w:r>
          </w:p>
        </w:tc>
        <w:tc>
          <w:tcPr>
            <w:tcW w:w="2156" w:type="dxa"/>
            <w:tcBorders>
              <w:top w:val="single" w:sz="5" w:space="0" w:color="000000"/>
              <w:left w:val="single" w:sz="5" w:space="0" w:color="000000"/>
              <w:bottom w:val="single" w:sz="5" w:space="0" w:color="000000"/>
              <w:right w:val="single" w:sz="5" w:space="0" w:color="000000"/>
            </w:tcBorders>
            <w:vAlign w:val="center"/>
          </w:tcPr>
          <w:p w14:paraId="7085187C" w14:textId="77777777" w:rsidR="005014B6" w:rsidRDefault="005014B6" w:rsidP="005A156D">
            <w:pPr>
              <w:spacing w:before="119" w:after="126" w:line="230" w:lineRule="exact"/>
              <w:ind w:left="124"/>
              <w:textAlignment w:val="baseline"/>
              <w:rPr>
                <w:rFonts w:ascii="Arial" w:eastAsia="Arial" w:hAnsi="Arial"/>
                <w:color w:val="000000"/>
                <w:sz w:val="20"/>
              </w:rPr>
            </w:pPr>
            <w:r>
              <w:rPr>
                <w:rFonts w:ascii="Arial" w:eastAsia="Arial" w:hAnsi="Arial"/>
                <w:color w:val="000000"/>
                <w:sz w:val="20"/>
              </w:rPr>
              <w:t>1x10</w:t>
            </w:r>
            <w:r>
              <w:rPr>
                <w:rFonts w:ascii="Arial" w:eastAsia="Arial" w:hAnsi="Arial"/>
                <w:color w:val="000000"/>
                <w:sz w:val="20"/>
                <w:vertAlign w:val="superscript"/>
              </w:rPr>
              <w:t>-5</w:t>
            </w:r>
            <w:r>
              <w:rPr>
                <w:rFonts w:ascii="Arial" w:eastAsia="Arial" w:hAnsi="Arial"/>
                <w:color w:val="000000"/>
                <w:sz w:val="20"/>
              </w:rPr>
              <w:t xml:space="preserve"> to 1x10</w:t>
            </w:r>
            <w:r>
              <w:rPr>
                <w:rFonts w:ascii="Arial" w:eastAsia="Arial" w:hAnsi="Arial"/>
                <w:color w:val="000000"/>
                <w:sz w:val="20"/>
                <w:vertAlign w:val="superscript"/>
              </w:rPr>
              <w:t>-6</w:t>
            </w:r>
            <w:r>
              <w:rPr>
                <w:rFonts w:ascii="Arial" w:eastAsia="Arial" w:hAnsi="Arial"/>
                <w:color w:val="000000"/>
                <w:sz w:val="13"/>
              </w:rPr>
              <w:t xml:space="preserve"> </w:t>
            </w:r>
          </w:p>
        </w:tc>
      </w:tr>
      <w:tr w:rsidR="005014B6" w14:paraId="56F92F56" w14:textId="77777777" w:rsidTr="00827DF4">
        <w:trPr>
          <w:trHeight w:hRule="exact" w:val="627"/>
          <w:jc w:val="center"/>
        </w:trPr>
        <w:tc>
          <w:tcPr>
            <w:tcW w:w="2032" w:type="dxa"/>
            <w:tcBorders>
              <w:top w:val="single" w:sz="5" w:space="0" w:color="000000"/>
              <w:left w:val="single" w:sz="5" w:space="0" w:color="000000"/>
              <w:bottom w:val="single" w:sz="5" w:space="0" w:color="000000"/>
              <w:right w:val="single" w:sz="5" w:space="0" w:color="000000"/>
            </w:tcBorders>
          </w:tcPr>
          <w:p w14:paraId="297ADB46" w14:textId="77777777" w:rsidR="005014B6" w:rsidRDefault="005014B6" w:rsidP="005A156D">
            <w:pPr>
              <w:spacing w:after="194" w:line="252" w:lineRule="exact"/>
              <w:ind w:left="125"/>
              <w:textAlignment w:val="baseline"/>
              <w:rPr>
                <w:rFonts w:ascii="Arial" w:eastAsia="Arial" w:hAnsi="Arial"/>
                <w:color w:val="000000"/>
              </w:rPr>
            </w:pPr>
            <w:r>
              <w:rPr>
                <w:rFonts w:ascii="Arial" w:eastAsia="Arial" w:hAnsi="Arial"/>
                <w:color w:val="000000"/>
              </w:rPr>
              <w:t>Improbable</w:t>
            </w:r>
          </w:p>
        </w:tc>
        <w:tc>
          <w:tcPr>
            <w:tcW w:w="3941" w:type="dxa"/>
            <w:tcBorders>
              <w:top w:val="single" w:sz="5" w:space="0" w:color="000000"/>
              <w:left w:val="single" w:sz="5" w:space="0" w:color="000000"/>
              <w:bottom w:val="single" w:sz="5" w:space="0" w:color="000000"/>
              <w:right w:val="single" w:sz="5" w:space="0" w:color="000000"/>
            </w:tcBorders>
          </w:tcPr>
          <w:p w14:paraId="693AD64F" w14:textId="77777777" w:rsidR="005014B6" w:rsidRDefault="005014B6" w:rsidP="005A156D">
            <w:pPr>
              <w:spacing w:line="225" w:lineRule="exact"/>
              <w:ind w:left="108" w:right="360"/>
              <w:textAlignment w:val="baseline"/>
              <w:rPr>
                <w:rFonts w:ascii="Arial" w:eastAsia="Arial" w:hAnsi="Arial"/>
                <w:color w:val="000000"/>
                <w:sz w:val="20"/>
              </w:rPr>
            </w:pPr>
            <w:r>
              <w:rPr>
                <w:rFonts w:ascii="Arial" w:eastAsia="Arial" w:hAnsi="Arial"/>
                <w:color w:val="000000"/>
                <w:sz w:val="20"/>
              </w:rPr>
              <w:t>Unlikely, but may exceptionally occur during the life of the system.</w:t>
            </w:r>
          </w:p>
        </w:tc>
        <w:tc>
          <w:tcPr>
            <w:tcW w:w="2156" w:type="dxa"/>
            <w:tcBorders>
              <w:top w:val="single" w:sz="5" w:space="0" w:color="000000"/>
              <w:left w:val="single" w:sz="5" w:space="0" w:color="000000"/>
              <w:bottom w:val="single" w:sz="5" w:space="0" w:color="000000"/>
              <w:right w:val="single" w:sz="5" w:space="0" w:color="000000"/>
            </w:tcBorders>
            <w:vAlign w:val="center"/>
          </w:tcPr>
          <w:p w14:paraId="113C724A" w14:textId="77777777" w:rsidR="005014B6" w:rsidRDefault="005014B6" w:rsidP="005A156D">
            <w:pPr>
              <w:spacing w:before="119" w:after="121" w:line="230" w:lineRule="exact"/>
              <w:ind w:left="124"/>
              <w:textAlignment w:val="baseline"/>
              <w:rPr>
                <w:rFonts w:ascii="Arial" w:eastAsia="Arial" w:hAnsi="Arial"/>
                <w:color w:val="000000"/>
                <w:sz w:val="20"/>
              </w:rPr>
            </w:pPr>
            <w:r>
              <w:rPr>
                <w:rFonts w:ascii="Arial" w:eastAsia="Arial" w:hAnsi="Arial"/>
                <w:color w:val="000000"/>
                <w:sz w:val="20"/>
              </w:rPr>
              <w:t>1x10</w:t>
            </w:r>
            <w:r>
              <w:rPr>
                <w:rFonts w:ascii="Arial" w:eastAsia="Arial" w:hAnsi="Arial"/>
                <w:color w:val="000000"/>
                <w:sz w:val="20"/>
                <w:vertAlign w:val="superscript"/>
              </w:rPr>
              <w:t>-6</w:t>
            </w:r>
            <w:r>
              <w:rPr>
                <w:rFonts w:ascii="Arial" w:eastAsia="Arial" w:hAnsi="Arial"/>
                <w:color w:val="000000"/>
                <w:sz w:val="20"/>
              </w:rPr>
              <w:t xml:space="preserve"> to 1x10</w:t>
            </w:r>
            <w:r>
              <w:rPr>
                <w:rFonts w:ascii="Arial" w:eastAsia="Arial" w:hAnsi="Arial"/>
                <w:color w:val="000000"/>
                <w:sz w:val="20"/>
                <w:vertAlign w:val="superscript"/>
              </w:rPr>
              <w:t>-7</w:t>
            </w:r>
            <w:r>
              <w:rPr>
                <w:rFonts w:ascii="Arial" w:eastAsia="Arial" w:hAnsi="Arial"/>
                <w:color w:val="000000"/>
                <w:sz w:val="13"/>
              </w:rPr>
              <w:t xml:space="preserve"> </w:t>
            </w:r>
          </w:p>
        </w:tc>
      </w:tr>
      <w:tr w:rsidR="005014B6" w14:paraId="0340B417" w14:textId="77777777" w:rsidTr="00827DF4">
        <w:trPr>
          <w:trHeight w:hRule="exact" w:val="623"/>
          <w:jc w:val="center"/>
        </w:trPr>
        <w:tc>
          <w:tcPr>
            <w:tcW w:w="2032" w:type="dxa"/>
            <w:tcBorders>
              <w:top w:val="single" w:sz="5" w:space="0" w:color="000000"/>
              <w:left w:val="single" w:sz="5" w:space="0" w:color="000000"/>
              <w:bottom w:val="single" w:sz="5" w:space="0" w:color="000000"/>
              <w:right w:val="single" w:sz="5" w:space="0" w:color="000000"/>
            </w:tcBorders>
          </w:tcPr>
          <w:p w14:paraId="3099E7C3" w14:textId="77777777" w:rsidR="005014B6" w:rsidRDefault="005014B6" w:rsidP="005A156D">
            <w:pPr>
              <w:spacing w:after="204" w:line="252" w:lineRule="exact"/>
              <w:ind w:left="125"/>
              <w:textAlignment w:val="baseline"/>
              <w:rPr>
                <w:rFonts w:ascii="Arial" w:eastAsia="Arial" w:hAnsi="Arial"/>
                <w:color w:val="000000"/>
              </w:rPr>
            </w:pPr>
            <w:r>
              <w:rPr>
                <w:rFonts w:ascii="Arial" w:eastAsia="Arial" w:hAnsi="Arial"/>
                <w:color w:val="000000"/>
              </w:rPr>
              <w:t>Incredible</w:t>
            </w:r>
          </w:p>
        </w:tc>
        <w:tc>
          <w:tcPr>
            <w:tcW w:w="3941" w:type="dxa"/>
            <w:tcBorders>
              <w:top w:val="single" w:sz="5" w:space="0" w:color="000000"/>
              <w:left w:val="single" w:sz="5" w:space="0" w:color="000000"/>
              <w:bottom w:val="single" w:sz="5" w:space="0" w:color="000000"/>
              <w:right w:val="single" w:sz="5" w:space="0" w:color="000000"/>
            </w:tcBorders>
          </w:tcPr>
          <w:p w14:paraId="1B5CDE70" w14:textId="77777777" w:rsidR="005014B6" w:rsidRDefault="005014B6" w:rsidP="005A156D">
            <w:pPr>
              <w:spacing w:line="229" w:lineRule="exact"/>
              <w:ind w:left="108" w:right="216"/>
              <w:textAlignment w:val="baseline"/>
              <w:rPr>
                <w:rFonts w:ascii="Arial" w:eastAsia="Arial" w:hAnsi="Arial"/>
                <w:color w:val="000000"/>
                <w:sz w:val="20"/>
              </w:rPr>
            </w:pPr>
            <w:r>
              <w:rPr>
                <w:rFonts w:ascii="Arial" w:eastAsia="Arial" w:hAnsi="Arial"/>
                <w:color w:val="000000"/>
                <w:sz w:val="20"/>
              </w:rPr>
              <w:t>Extremely unlikely that the event will occur during the life of the system.</w:t>
            </w:r>
          </w:p>
        </w:tc>
        <w:tc>
          <w:tcPr>
            <w:tcW w:w="2156" w:type="dxa"/>
            <w:tcBorders>
              <w:top w:val="single" w:sz="5" w:space="0" w:color="000000"/>
              <w:left w:val="single" w:sz="5" w:space="0" w:color="000000"/>
              <w:bottom w:val="single" w:sz="5" w:space="0" w:color="000000"/>
              <w:right w:val="single" w:sz="5" w:space="0" w:color="000000"/>
            </w:tcBorders>
            <w:vAlign w:val="center"/>
          </w:tcPr>
          <w:p w14:paraId="54CE23D0" w14:textId="77777777" w:rsidR="005014B6" w:rsidRDefault="005014B6" w:rsidP="005014B6">
            <w:pPr>
              <w:keepNext/>
              <w:spacing w:before="119" w:after="131" w:line="230" w:lineRule="exact"/>
              <w:ind w:left="124"/>
              <w:textAlignment w:val="baseline"/>
              <w:rPr>
                <w:rFonts w:ascii="Arial" w:eastAsia="Arial" w:hAnsi="Arial"/>
                <w:color w:val="000000"/>
                <w:sz w:val="20"/>
              </w:rPr>
            </w:pPr>
            <w:r>
              <w:rPr>
                <w:rFonts w:ascii="Arial" w:eastAsia="Arial" w:hAnsi="Arial"/>
                <w:color w:val="000000"/>
                <w:sz w:val="20"/>
              </w:rPr>
              <w:t>&lt; 1x10</w:t>
            </w:r>
            <w:r>
              <w:rPr>
                <w:rFonts w:ascii="Arial" w:eastAsia="Arial" w:hAnsi="Arial"/>
                <w:color w:val="000000"/>
                <w:sz w:val="20"/>
                <w:vertAlign w:val="superscript"/>
              </w:rPr>
              <w:t>-7</w:t>
            </w:r>
            <w:r>
              <w:rPr>
                <w:rFonts w:ascii="Arial" w:eastAsia="Arial" w:hAnsi="Arial"/>
                <w:color w:val="000000"/>
                <w:sz w:val="13"/>
              </w:rPr>
              <w:t xml:space="preserve"> </w:t>
            </w:r>
          </w:p>
        </w:tc>
      </w:tr>
    </w:tbl>
    <w:p w14:paraId="7B8A1E7C" w14:textId="6207A707" w:rsidR="005014B6" w:rsidRDefault="005014B6" w:rsidP="005014B6">
      <w:pPr>
        <w:pStyle w:val="Caption"/>
        <w:jc w:val="center"/>
      </w:pPr>
      <w:bookmarkStart w:id="6" w:name="_Toc203723543"/>
      <w:r>
        <w:t xml:space="preserve">Table </w:t>
      </w:r>
      <w:fldSimple w:instr=" SEQ Table \* ARABIC ">
        <w:r>
          <w:rPr>
            <w:noProof/>
          </w:rPr>
          <w:t>4</w:t>
        </w:r>
      </w:fldSimple>
      <w:r>
        <w:t xml:space="preserve"> - Accident Probability Thresholds</w:t>
      </w:r>
      <w:bookmarkEnd w:id="6"/>
    </w:p>
    <w:p w14:paraId="78DD610D" w14:textId="4ADFF01B" w:rsidR="005014B6" w:rsidRDefault="005014B6" w:rsidP="005014B6">
      <w:r>
        <w:t>By using the information in Tables 3 and 4, each hazards risk was determined and given a Risk Classification where the definition for each classification can be seen in Table 5.</w:t>
      </w:r>
    </w:p>
    <w:p w14:paraId="5DCFFF38" w14:textId="77777777" w:rsidR="005014B6" w:rsidRDefault="005014B6" w:rsidP="005014B6"/>
    <w:tbl>
      <w:tblPr>
        <w:tblW w:w="8460" w:type="dxa"/>
        <w:jc w:val="center"/>
        <w:tblLayout w:type="fixed"/>
        <w:tblCellMar>
          <w:left w:w="0" w:type="dxa"/>
          <w:right w:w="0" w:type="dxa"/>
        </w:tblCellMar>
        <w:tblLook w:val="0000" w:firstRow="0" w:lastRow="0" w:firstColumn="0" w:lastColumn="0" w:noHBand="0" w:noVBand="0"/>
      </w:tblPr>
      <w:tblGrid>
        <w:gridCol w:w="645"/>
        <w:gridCol w:w="2141"/>
        <w:gridCol w:w="5674"/>
      </w:tblGrid>
      <w:tr w:rsidR="005014B6" w14:paraId="40C45B0D" w14:textId="77777777" w:rsidTr="00827DF4">
        <w:trPr>
          <w:trHeight w:hRule="exact" w:val="538"/>
          <w:jc w:val="center"/>
        </w:trPr>
        <w:tc>
          <w:tcPr>
            <w:tcW w:w="2786" w:type="dxa"/>
            <w:gridSpan w:val="2"/>
            <w:tcBorders>
              <w:top w:val="single" w:sz="5" w:space="0" w:color="000000"/>
              <w:left w:val="single" w:sz="5" w:space="0" w:color="000000"/>
              <w:bottom w:val="single" w:sz="5" w:space="0" w:color="000000"/>
              <w:right w:val="single" w:sz="5" w:space="0" w:color="000000"/>
            </w:tcBorders>
            <w:shd w:val="clear" w:color="auto" w:fill="D9D9D9" w:themeFill="background1" w:themeFillShade="D9"/>
            <w:vAlign w:val="center"/>
          </w:tcPr>
          <w:p w14:paraId="35897331" w14:textId="0F7EEC80" w:rsidR="005014B6" w:rsidRDefault="005014B6" w:rsidP="005A156D">
            <w:pPr>
              <w:spacing w:before="119" w:after="94" w:line="252" w:lineRule="exact"/>
              <w:ind w:left="794"/>
              <w:textAlignment w:val="baseline"/>
              <w:rPr>
                <w:rFonts w:ascii="Arial" w:eastAsia="Arial" w:hAnsi="Arial"/>
                <w:b/>
                <w:color w:val="000000"/>
              </w:rPr>
            </w:pPr>
            <w:r>
              <w:rPr>
                <w:rFonts w:ascii="Arial" w:eastAsia="Arial" w:hAnsi="Arial"/>
                <w:b/>
                <w:color w:val="000000"/>
              </w:rPr>
              <w:t>Risk Class</w:t>
            </w:r>
          </w:p>
        </w:tc>
        <w:tc>
          <w:tcPr>
            <w:tcW w:w="5674" w:type="dxa"/>
            <w:tcBorders>
              <w:top w:val="single" w:sz="5" w:space="0" w:color="000000"/>
              <w:left w:val="single" w:sz="5" w:space="0" w:color="000000"/>
              <w:bottom w:val="single" w:sz="5" w:space="0" w:color="000000"/>
              <w:right w:val="single" w:sz="5" w:space="0" w:color="000000"/>
            </w:tcBorders>
            <w:shd w:val="clear" w:color="auto" w:fill="D9D9D9" w:themeFill="background1" w:themeFillShade="D9"/>
            <w:vAlign w:val="center"/>
          </w:tcPr>
          <w:p w14:paraId="7514F9E9" w14:textId="77777777" w:rsidR="005014B6" w:rsidRDefault="005014B6" w:rsidP="005A156D">
            <w:pPr>
              <w:spacing w:before="119" w:after="94" w:line="252" w:lineRule="exact"/>
              <w:jc w:val="center"/>
              <w:textAlignment w:val="baseline"/>
              <w:rPr>
                <w:rFonts w:ascii="Arial" w:eastAsia="Arial" w:hAnsi="Arial"/>
                <w:b/>
                <w:color w:val="000000"/>
              </w:rPr>
            </w:pPr>
            <w:r>
              <w:rPr>
                <w:rFonts w:ascii="Arial" w:eastAsia="Arial" w:hAnsi="Arial"/>
                <w:b/>
                <w:color w:val="000000"/>
              </w:rPr>
              <w:t>Description</w:t>
            </w:r>
          </w:p>
        </w:tc>
      </w:tr>
      <w:tr w:rsidR="005014B6" w14:paraId="1DED5673" w14:textId="77777777" w:rsidTr="00827DF4">
        <w:trPr>
          <w:trHeight w:hRule="exact" w:val="1102"/>
          <w:jc w:val="center"/>
        </w:trPr>
        <w:tc>
          <w:tcPr>
            <w:tcW w:w="645" w:type="dxa"/>
            <w:tcBorders>
              <w:top w:val="single" w:sz="5" w:space="0" w:color="000000"/>
              <w:left w:val="single" w:sz="5" w:space="0" w:color="000000"/>
              <w:bottom w:val="single" w:sz="5" w:space="0" w:color="000000"/>
              <w:right w:val="single" w:sz="5" w:space="0" w:color="000000"/>
            </w:tcBorders>
            <w:shd w:val="clear" w:color="FF0000" w:fill="FF0000"/>
            <w:vAlign w:val="center"/>
          </w:tcPr>
          <w:p w14:paraId="47E5E1DB" w14:textId="77777777" w:rsidR="005014B6" w:rsidRDefault="005014B6" w:rsidP="005A156D">
            <w:pPr>
              <w:spacing w:before="268" w:after="249" w:line="250" w:lineRule="exact"/>
              <w:ind w:right="105"/>
              <w:jc w:val="right"/>
              <w:textAlignment w:val="baseline"/>
              <w:rPr>
                <w:rFonts w:ascii="Arial" w:eastAsia="Arial" w:hAnsi="Arial"/>
                <w:color w:val="000000"/>
              </w:rPr>
            </w:pPr>
            <w:r>
              <w:rPr>
                <w:rFonts w:ascii="Arial" w:eastAsia="Arial" w:hAnsi="Arial"/>
                <w:color w:val="000000"/>
              </w:rPr>
              <w:t>A</w:t>
            </w:r>
          </w:p>
        </w:tc>
        <w:tc>
          <w:tcPr>
            <w:tcW w:w="2140" w:type="dxa"/>
            <w:tcBorders>
              <w:top w:val="single" w:sz="5" w:space="0" w:color="000000"/>
              <w:left w:val="single" w:sz="5" w:space="0" w:color="000000"/>
              <w:bottom w:val="single" w:sz="5" w:space="0" w:color="000000"/>
              <w:right w:val="single" w:sz="5" w:space="0" w:color="000000"/>
            </w:tcBorders>
            <w:shd w:val="clear" w:color="FF0000" w:fill="FF0000"/>
            <w:vAlign w:val="center"/>
          </w:tcPr>
          <w:p w14:paraId="59166A1F" w14:textId="77777777" w:rsidR="005014B6" w:rsidRDefault="005014B6" w:rsidP="005A156D">
            <w:pPr>
              <w:spacing w:before="268" w:after="249" w:line="250" w:lineRule="exact"/>
              <w:jc w:val="center"/>
              <w:textAlignment w:val="baseline"/>
              <w:rPr>
                <w:rFonts w:ascii="Arial" w:eastAsia="Arial" w:hAnsi="Arial"/>
                <w:color w:val="000000"/>
              </w:rPr>
            </w:pPr>
            <w:r>
              <w:rPr>
                <w:rFonts w:ascii="Arial" w:eastAsia="Arial" w:hAnsi="Arial"/>
                <w:color w:val="000000"/>
              </w:rPr>
              <w:t>Intolerable</w:t>
            </w:r>
          </w:p>
        </w:tc>
        <w:tc>
          <w:tcPr>
            <w:tcW w:w="5674" w:type="dxa"/>
            <w:tcBorders>
              <w:top w:val="single" w:sz="5" w:space="0" w:color="000000"/>
              <w:left w:val="single" w:sz="5" w:space="0" w:color="000000"/>
              <w:bottom w:val="single" w:sz="5" w:space="0" w:color="000000"/>
              <w:right w:val="single" w:sz="5" w:space="0" w:color="000000"/>
            </w:tcBorders>
          </w:tcPr>
          <w:p w14:paraId="4BF1FFC0" w14:textId="77777777" w:rsidR="005014B6" w:rsidRDefault="005014B6" w:rsidP="005A156D">
            <w:pPr>
              <w:spacing w:line="253" w:lineRule="exact"/>
              <w:jc w:val="center"/>
              <w:textAlignment w:val="baseline"/>
              <w:rPr>
                <w:rFonts w:ascii="Arial" w:eastAsia="Arial" w:hAnsi="Arial"/>
                <w:color w:val="000000"/>
              </w:rPr>
            </w:pPr>
            <w:r>
              <w:rPr>
                <w:rFonts w:ascii="Arial" w:eastAsia="Arial" w:hAnsi="Arial"/>
                <w:color w:val="000000"/>
              </w:rPr>
              <w:t xml:space="preserve">Intolerable, and shall not be accepted. A formally </w:t>
            </w:r>
            <w:r>
              <w:rPr>
                <w:rFonts w:ascii="Arial" w:eastAsia="Arial" w:hAnsi="Arial"/>
                <w:color w:val="000000"/>
              </w:rPr>
              <w:br/>
              <w:t xml:space="preserve">delegated person may only accept this risk in </w:t>
            </w:r>
            <w:r>
              <w:rPr>
                <w:rFonts w:ascii="Arial" w:eastAsia="Arial" w:hAnsi="Arial"/>
                <w:color w:val="000000"/>
              </w:rPr>
              <w:br/>
              <w:t>extraordinary circumstances.</w:t>
            </w:r>
          </w:p>
        </w:tc>
      </w:tr>
      <w:tr w:rsidR="005014B6" w14:paraId="27B15DC3" w14:textId="77777777" w:rsidTr="00827DF4">
        <w:trPr>
          <w:trHeight w:hRule="exact" w:val="648"/>
          <w:jc w:val="center"/>
        </w:trPr>
        <w:tc>
          <w:tcPr>
            <w:tcW w:w="645" w:type="dxa"/>
            <w:tcBorders>
              <w:top w:val="single" w:sz="5" w:space="0" w:color="000000"/>
              <w:left w:val="single" w:sz="5" w:space="0" w:color="000000"/>
              <w:bottom w:val="single" w:sz="5" w:space="0" w:color="000000"/>
              <w:right w:val="single" w:sz="5" w:space="0" w:color="000000"/>
            </w:tcBorders>
            <w:shd w:val="clear" w:color="FFFF00" w:fill="FFFF00"/>
            <w:vAlign w:val="center"/>
          </w:tcPr>
          <w:p w14:paraId="351A2A42" w14:textId="77777777" w:rsidR="005014B6" w:rsidRDefault="005014B6" w:rsidP="005A156D">
            <w:pPr>
              <w:spacing w:before="172" w:after="139" w:line="250" w:lineRule="exact"/>
              <w:ind w:right="105"/>
              <w:jc w:val="right"/>
              <w:textAlignment w:val="baseline"/>
              <w:rPr>
                <w:rFonts w:ascii="Arial" w:eastAsia="Arial" w:hAnsi="Arial"/>
                <w:color w:val="000000"/>
              </w:rPr>
            </w:pPr>
            <w:r>
              <w:rPr>
                <w:rFonts w:ascii="Arial" w:eastAsia="Arial" w:hAnsi="Arial"/>
                <w:color w:val="000000"/>
              </w:rPr>
              <w:t>B</w:t>
            </w:r>
          </w:p>
        </w:tc>
        <w:tc>
          <w:tcPr>
            <w:tcW w:w="2140" w:type="dxa"/>
            <w:tcBorders>
              <w:top w:val="single" w:sz="5" w:space="0" w:color="000000"/>
              <w:left w:val="single" w:sz="5" w:space="0" w:color="000000"/>
              <w:bottom w:val="single" w:sz="5" w:space="0" w:color="000000"/>
              <w:right w:val="single" w:sz="5" w:space="0" w:color="000000"/>
            </w:tcBorders>
            <w:shd w:val="clear" w:color="FFFF00" w:fill="FFFF00"/>
            <w:vAlign w:val="center"/>
          </w:tcPr>
          <w:p w14:paraId="47D3ED75" w14:textId="77777777" w:rsidR="005014B6" w:rsidRDefault="005014B6" w:rsidP="005A156D">
            <w:pPr>
              <w:spacing w:before="172" w:after="139" w:line="250" w:lineRule="exact"/>
              <w:jc w:val="center"/>
              <w:textAlignment w:val="baseline"/>
              <w:rPr>
                <w:rFonts w:ascii="Arial" w:eastAsia="Arial" w:hAnsi="Arial"/>
                <w:color w:val="000000"/>
              </w:rPr>
            </w:pPr>
            <w:r>
              <w:rPr>
                <w:rFonts w:ascii="Arial" w:eastAsia="Arial" w:hAnsi="Arial"/>
                <w:color w:val="000000"/>
              </w:rPr>
              <w:t>Undesirable</w:t>
            </w:r>
          </w:p>
        </w:tc>
        <w:tc>
          <w:tcPr>
            <w:tcW w:w="5674" w:type="dxa"/>
            <w:tcBorders>
              <w:top w:val="single" w:sz="5" w:space="0" w:color="000000"/>
              <w:left w:val="single" w:sz="5" w:space="0" w:color="000000"/>
              <w:bottom w:val="single" w:sz="5" w:space="0" w:color="000000"/>
              <w:right w:val="single" w:sz="5" w:space="0" w:color="000000"/>
            </w:tcBorders>
          </w:tcPr>
          <w:p w14:paraId="28498649" w14:textId="77777777" w:rsidR="005014B6" w:rsidRDefault="005014B6" w:rsidP="005A156D">
            <w:pPr>
              <w:spacing w:before="39" w:after="14" w:line="254" w:lineRule="exact"/>
              <w:ind w:left="180" w:right="180"/>
              <w:jc w:val="both"/>
              <w:textAlignment w:val="baseline"/>
              <w:rPr>
                <w:rFonts w:ascii="Arial" w:eastAsia="Arial" w:hAnsi="Arial"/>
                <w:color w:val="000000"/>
                <w:spacing w:val="-1"/>
              </w:rPr>
            </w:pPr>
            <w:r>
              <w:rPr>
                <w:rFonts w:ascii="Arial" w:eastAsia="Arial" w:hAnsi="Arial"/>
                <w:color w:val="000000"/>
                <w:spacing w:val="-1"/>
              </w:rPr>
              <w:t>Undesirable, and shall only be accepted by the PTL, or equivalent, when further risk reduction is impracticable.</w:t>
            </w:r>
          </w:p>
        </w:tc>
      </w:tr>
      <w:tr w:rsidR="005014B6" w14:paraId="1819EDD1" w14:textId="77777777" w:rsidTr="00827DF4">
        <w:trPr>
          <w:trHeight w:hRule="exact" w:val="644"/>
          <w:jc w:val="center"/>
        </w:trPr>
        <w:tc>
          <w:tcPr>
            <w:tcW w:w="645" w:type="dxa"/>
            <w:tcBorders>
              <w:top w:val="single" w:sz="5" w:space="0" w:color="000000"/>
              <w:left w:val="single" w:sz="5" w:space="0" w:color="000000"/>
              <w:bottom w:val="single" w:sz="5" w:space="0" w:color="000000"/>
              <w:right w:val="single" w:sz="5" w:space="0" w:color="000000"/>
            </w:tcBorders>
            <w:shd w:val="clear" w:color="00FF00" w:fill="00FF00"/>
            <w:vAlign w:val="center"/>
          </w:tcPr>
          <w:p w14:paraId="5A66C101" w14:textId="77777777" w:rsidR="005014B6" w:rsidRDefault="005014B6" w:rsidP="005A156D">
            <w:pPr>
              <w:spacing w:before="173" w:after="143" w:line="250" w:lineRule="exact"/>
              <w:ind w:right="105"/>
              <w:jc w:val="right"/>
              <w:textAlignment w:val="baseline"/>
              <w:rPr>
                <w:rFonts w:ascii="Arial" w:eastAsia="Arial" w:hAnsi="Arial"/>
                <w:color w:val="000000"/>
              </w:rPr>
            </w:pPr>
            <w:r>
              <w:rPr>
                <w:rFonts w:ascii="Arial" w:eastAsia="Arial" w:hAnsi="Arial"/>
                <w:color w:val="000000"/>
              </w:rPr>
              <w:t>C</w:t>
            </w:r>
          </w:p>
        </w:tc>
        <w:tc>
          <w:tcPr>
            <w:tcW w:w="2140" w:type="dxa"/>
            <w:tcBorders>
              <w:top w:val="single" w:sz="5" w:space="0" w:color="000000"/>
              <w:left w:val="single" w:sz="5" w:space="0" w:color="000000"/>
              <w:bottom w:val="single" w:sz="5" w:space="0" w:color="000000"/>
              <w:right w:val="single" w:sz="5" w:space="0" w:color="000000"/>
            </w:tcBorders>
            <w:shd w:val="clear" w:color="00FF00" w:fill="00FF00"/>
            <w:vAlign w:val="center"/>
          </w:tcPr>
          <w:p w14:paraId="330721ED" w14:textId="77777777" w:rsidR="005014B6" w:rsidRDefault="005014B6" w:rsidP="005A156D">
            <w:pPr>
              <w:spacing w:before="173" w:after="143" w:line="250" w:lineRule="exact"/>
              <w:jc w:val="center"/>
              <w:textAlignment w:val="baseline"/>
              <w:rPr>
                <w:rFonts w:ascii="Arial" w:eastAsia="Arial" w:hAnsi="Arial"/>
                <w:color w:val="000000"/>
              </w:rPr>
            </w:pPr>
            <w:r>
              <w:rPr>
                <w:rFonts w:ascii="Arial" w:eastAsia="Arial" w:hAnsi="Arial"/>
                <w:color w:val="000000"/>
              </w:rPr>
              <w:t>Tolerable</w:t>
            </w:r>
          </w:p>
        </w:tc>
        <w:tc>
          <w:tcPr>
            <w:tcW w:w="5674" w:type="dxa"/>
            <w:tcBorders>
              <w:top w:val="single" w:sz="5" w:space="0" w:color="000000"/>
              <w:left w:val="single" w:sz="5" w:space="0" w:color="000000"/>
              <w:bottom w:val="single" w:sz="5" w:space="0" w:color="000000"/>
              <w:right w:val="single" w:sz="5" w:space="0" w:color="000000"/>
            </w:tcBorders>
          </w:tcPr>
          <w:p w14:paraId="33AD3D6A" w14:textId="77777777" w:rsidR="005014B6" w:rsidRDefault="005014B6" w:rsidP="005A156D">
            <w:pPr>
              <w:spacing w:before="39" w:after="19" w:line="254" w:lineRule="exact"/>
              <w:jc w:val="center"/>
              <w:textAlignment w:val="baseline"/>
              <w:rPr>
                <w:rFonts w:ascii="Arial" w:eastAsia="Arial" w:hAnsi="Arial"/>
                <w:color w:val="000000"/>
              </w:rPr>
            </w:pPr>
            <w:r>
              <w:rPr>
                <w:rFonts w:ascii="Arial" w:eastAsia="Arial" w:hAnsi="Arial"/>
                <w:color w:val="000000"/>
              </w:rPr>
              <w:t xml:space="preserve">Tolerable with the endorsement of the Safety </w:t>
            </w:r>
            <w:r>
              <w:rPr>
                <w:rFonts w:ascii="Arial" w:eastAsia="Arial" w:hAnsi="Arial"/>
                <w:color w:val="000000"/>
              </w:rPr>
              <w:br/>
              <w:t>Committee if risk is demonstrated to be ALARP.</w:t>
            </w:r>
          </w:p>
        </w:tc>
      </w:tr>
      <w:tr w:rsidR="005014B6" w14:paraId="555E6C0E" w14:textId="77777777" w:rsidTr="00827DF4">
        <w:trPr>
          <w:trHeight w:hRule="exact" w:val="724"/>
          <w:jc w:val="center"/>
        </w:trPr>
        <w:tc>
          <w:tcPr>
            <w:tcW w:w="645" w:type="dxa"/>
            <w:tcBorders>
              <w:top w:val="single" w:sz="5" w:space="0" w:color="000000"/>
              <w:left w:val="single" w:sz="5" w:space="0" w:color="000000"/>
              <w:bottom w:val="single" w:sz="5" w:space="0" w:color="000000"/>
              <w:right w:val="single" w:sz="5" w:space="0" w:color="000000"/>
            </w:tcBorders>
            <w:shd w:val="clear" w:color="0099FF" w:fill="0099FF"/>
            <w:vAlign w:val="center"/>
          </w:tcPr>
          <w:p w14:paraId="35C52A64" w14:textId="77777777" w:rsidR="005014B6" w:rsidRDefault="005014B6" w:rsidP="005A156D">
            <w:pPr>
              <w:spacing w:before="201" w:after="182" w:line="250" w:lineRule="exact"/>
              <w:ind w:right="105"/>
              <w:jc w:val="right"/>
              <w:textAlignment w:val="baseline"/>
              <w:rPr>
                <w:rFonts w:ascii="Arial" w:eastAsia="Arial" w:hAnsi="Arial"/>
                <w:color w:val="000000"/>
              </w:rPr>
            </w:pPr>
            <w:r>
              <w:rPr>
                <w:rFonts w:ascii="Arial" w:eastAsia="Arial" w:hAnsi="Arial"/>
                <w:color w:val="000000"/>
              </w:rPr>
              <w:t>D</w:t>
            </w:r>
          </w:p>
        </w:tc>
        <w:tc>
          <w:tcPr>
            <w:tcW w:w="2140" w:type="dxa"/>
            <w:tcBorders>
              <w:top w:val="single" w:sz="5" w:space="0" w:color="000000"/>
              <w:left w:val="single" w:sz="5" w:space="0" w:color="000000"/>
              <w:bottom w:val="single" w:sz="5" w:space="0" w:color="000000"/>
              <w:right w:val="single" w:sz="5" w:space="0" w:color="000000"/>
            </w:tcBorders>
            <w:shd w:val="clear" w:color="0099FF" w:fill="0099FF"/>
          </w:tcPr>
          <w:p w14:paraId="67F81265" w14:textId="77777777" w:rsidR="005014B6" w:rsidRDefault="005014B6" w:rsidP="005A156D">
            <w:pPr>
              <w:spacing w:before="76" w:after="57" w:line="250" w:lineRule="exact"/>
              <w:jc w:val="center"/>
              <w:textAlignment w:val="baseline"/>
              <w:rPr>
                <w:rFonts w:ascii="Arial" w:eastAsia="Arial" w:hAnsi="Arial"/>
                <w:color w:val="000000"/>
              </w:rPr>
            </w:pPr>
            <w:r>
              <w:rPr>
                <w:rFonts w:ascii="Arial" w:eastAsia="Arial" w:hAnsi="Arial"/>
                <w:color w:val="000000"/>
              </w:rPr>
              <w:t xml:space="preserve">Broadly </w:t>
            </w:r>
            <w:r>
              <w:rPr>
                <w:rFonts w:ascii="Arial" w:eastAsia="Arial" w:hAnsi="Arial"/>
                <w:color w:val="000000"/>
              </w:rPr>
              <w:br/>
              <w:t>Acceptable</w:t>
            </w:r>
          </w:p>
        </w:tc>
        <w:tc>
          <w:tcPr>
            <w:tcW w:w="5674" w:type="dxa"/>
            <w:tcBorders>
              <w:top w:val="single" w:sz="5" w:space="0" w:color="000000"/>
              <w:left w:val="single" w:sz="5" w:space="0" w:color="000000"/>
              <w:bottom w:val="single" w:sz="5" w:space="0" w:color="000000"/>
              <w:right w:val="single" w:sz="5" w:space="0" w:color="000000"/>
            </w:tcBorders>
          </w:tcPr>
          <w:p w14:paraId="32E6A541" w14:textId="77777777" w:rsidR="005014B6" w:rsidRDefault="005014B6" w:rsidP="005014B6">
            <w:pPr>
              <w:keepNext/>
              <w:spacing w:before="76" w:after="57" w:line="250" w:lineRule="exact"/>
              <w:jc w:val="center"/>
              <w:textAlignment w:val="baseline"/>
              <w:rPr>
                <w:rFonts w:ascii="Arial" w:eastAsia="Arial" w:hAnsi="Arial"/>
                <w:color w:val="000000"/>
              </w:rPr>
            </w:pPr>
            <w:r>
              <w:rPr>
                <w:rFonts w:ascii="Arial" w:eastAsia="Arial" w:hAnsi="Arial"/>
                <w:color w:val="000000"/>
              </w:rPr>
              <w:t xml:space="preserve">Broadly acceptable, but risk shall be monitored by the </w:t>
            </w:r>
            <w:r>
              <w:rPr>
                <w:rFonts w:ascii="Arial" w:eastAsia="Arial" w:hAnsi="Arial"/>
                <w:color w:val="000000"/>
              </w:rPr>
              <w:br/>
              <w:t>Safety Committee to ensure that it remains ALARP.</w:t>
            </w:r>
          </w:p>
        </w:tc>
      </w:tr>
    </w:tbl>
    <w:p w14:paraId="14B6D55C" w14:textId="71F4BC28" w:rsidR="00AF62EC" w:rsidRDefault="005014B6" w:rsidP="005014B6">
      <w:pPr>
        <w:pStyle w:val="Caption"/>
        <w:jc w:val="center"/>
      </w:pPr>
      <w:bookmarkStart w:id="7" w:name="_Toc203723544"/>
      <w:r>
        <w:t xml:space="preserve">Table </w:t>
      </w:r>
      <w:fldSimple w:instr=" SEQ Table \* ARABIC ">
        <w:r>
          <w:rPr>
            <w:noProof/>
          </w:rPr>
          <w:t>5</w:t>
        </w:r>
      </w:fldSimple>
      <w:r>
        <w:t xml:space="preserve"> - Risk Classification Definitions</w:t>
      </w:r>
      <w:bookmarkEnd w:id="7"/>
    </w:p>
    <w:p w14:paraId="54E32D23" w14:textId="77777777" w:rsidR="00AF62EC" w:rsidRDefault="00AF62EC">
      <w:pPr>
        <w:rPr>
          <w:i/>
          <w:iCs/>
          <w:szCs w:val="18"/>
        </w:rPr>
      </w:pPr>
      <w:r>
        <w:br w:type="page"/>
      </w:r>
    </w:p>
    <w:p w14:paraId="1183377F" w14:textId="77777777" w:rsidR="005014B6" w:rsidRDefault="005014B6" w:rsidP="005014B6">
      <w:pPr>
        <w:pStyle w:val="Caption"/>
        <w:jc w:val="center"/>
      </w:pPr>
    </w:p>
    <w:p w14:paraId="1BE4D355" w14:textId="71B6CB01" w:rsidR="00827DF4" w:rsidRDefault="00827DF4" w:rsidP="00827DF4">
      <w:pPr>
        <w:pStyle w:val="Heading1"/>
      </w:pPr>
      <w:bookmarkStart w:id="8" w:name="_Toc203723531"/>
      <w:r>
        <w:t>Part 2 – ALARP Justification</w:t>
      </w:r>
      <w:bookmarkEnd w:id="8"/>
    </w:p>
    <w:p w14:paraId="2EE1E204" w14:textId="52CCC42B" w:rsidR="00554EFD" w:rsidRPr="00554EFD" w:rsidRDefault="00554EFD" w:rsidP="00554EFD">
      <w:pPr>
        <w:pStyle w:val="Heading2"/>
      </w:pPr>
      <w:bookmarkStart w:id="9" w:name="_Toc203723532"/>
      <w:r>
        <w:t>Introduction</w:t>
      </w:r>
      <w:bookmarkEnd w:id="9"/>
    </w:p>
    <w:p w14:paraId="6503B785" w14:textId="0ED42C36" w:rsidR="006C5319" w:rsidRDefault="00C66D6D" w:rsidP="00244E68">
      <w:pPr>
        <w:tabs>
          <w:tab w:val="left" w:pos="567"/>
        </w:tabs>
      </w:pPr>
      <w:r>
        <w:t xml:space="preserve">Although the Risk Assessment in Table 1 includes a Risk Classification for each hazard, </w:t>
      </w:r>
      <w:r w:rsidR="00A076A6">
        <w:t xml:space="preserve">a </w:t>
      </w:r>
      <w:r>
        <w:t xml:space="preserve">safety justification will be made to ensure that all </w:t>
      </w:r>
      <w:r w:rsidR="00084032">
        <w:t>risks associated</w:t>
      </w:r>
      <w:r>
        <w:t xml:space="preserve"> with </w:t>
      </w:r>
      <w:r w:rsidR="00176D53">
        <w:t>the</w:t>
      </w:r>
      <w:r>
        <w:t xml:space="preserve"> hazard</w:t>
      </w:r>
      <w:r w:rsidR="00176D53">
        <w:t>s</w:t>
      </w:r>
      <w:r>
        <w:t xml:space="preserve"> are discovered and reduced to As Low </w:t>
      </w:r>
      <w:proofErr w:type="gramStart"/>
      <w:r>
        <w:t>As</w:t>
      </w:r>
      <w:proofErr w:type="gramEnd"/>
      <w:r>
        <w:t xml:space="preserve"> Reasonably Practicable (ALARP).  </w:t>
      </w:r>
      <w:r w:rsidR="00084032">
        <w:t xml:space="preserve">This involves weighing a risk against the time, effort and money needed to control it and is the level to which the HSE expects to see workplace risks controlled.  This is normally done through referring to relevant good practice that has been established over many years.  The decision that </w:t>
      </w:r>
      <w:r w:rsidR="00E45B9C">
        <w:t>the risk</w:t>
      </w:r>
      <w:r w:rsidR="00084032">
        <w:t xml:space="preserve"> has been reduced to ALARP is </w:t>
      </w:r>
      <w:r w:rsidR="00CE28B3">
        <w:t>weighed</w:t>
      </w:r>
      <w:r w:rsidR="00084032">
        <w:t xml:space="preserve"> in favour of health and safety as the presumption is that the duty-holder should </w:t>
      </w:r>
      <w:r w:rsidR="00244E68">
        <w:t>implement the risk reduction measure.  Duty-holders must be able to show that it would be grossly disproportionate to the benefits of the risk reduction that would be achieved.</w:t>
      </w:r>
      <w:sdt>
        <w:sdtPr>
          <w:id w:val="-74670530"/>
          <w:citation/>
        </w:sdtPr>
        <w:sdtEndPr/>
        <w:sdtContent>
          <w:r w:rsidR="00CC2799">
            <w:fldChar w:fldCharType="begin"/>
          </w:r>
          <w:r w:rsidR="00CC2799">
            <w:rPr>
              <w:lang w:val="en-GB"/>
            </w:rPr>
            <w:instrText xml:space="preserve"> CITATION ALA25 \l 2057 </w:instrText>
          </w:r>
          <w:r w:rsidR="00CC2799">
            <w:fldChar w:fldCharType="separate"/>
          </w:r>
          <w:r w:rsidR="00CC2799">
            <w:rPr>
              <w:noProof/>
              <w:lang w:val="en-GB"/>
            </w:rPr>
            <w:t xml:space="preserve"> </w:t>
          </w:r>
          <w:r w:rsidR="00CC2799" w:rsidRPr="00CC2799">
            <w:rPr>
              <w:noProof/>
              <w:lang w:val="en-GB"/>
            </w:rPr>
            <w:t>[1]</w:t>
          </w:r>
          <w:r w:rsidR="00CC2799">
            <w:fldChar w:fldCharType="end"/>
          </w:r>
        </w:sdtContent>
      </w:sdt>
      <w:r w:rsidR="00244E68">
        <w:t xml:space="preserve">  In this report, an ALARP justification will be made for the ‘Misfire</w:t>
      </w:r>
      <w:r w:rsidR="00244E68" w:rsidRPr="00244E68">
        <w:t xml:space="preserve"> leading to an unintentional initiation of OME</w:t>
      </w:r>
      <w:r w:rsidR="00244E68">
        <w:t>’</w:t>
      </w:r>
      <w:r w:rsidR="00244E68" w:rsidRPr="00244E68">
        <w:t xml:space="preserve"> </w:t>
      </w:r>
      <w:r w:rsidR="00244E68">
        <w:t xml:space="preserve">hazard for </w:t>
      </w:r>
      <w:r w:rsidR="00E45B9C">
        <w:t>a</w:t>
      </w:r>
      <w:r w:rsidR="00244E68">
        <w:t xml:space="preserve"> 115mm </w:t>
      </w:r>
      <w:r w:rsidR="00E45B9C">
        <w:t>l</w:t>
      </w:r>
      <w:r w:rsidR="00244E68">
        <w:t xml:space="preserve">arge </w:t>
      </w:r>
      <w:r w:rsidR="00E45B9C">
        <w:t>c</w:t>
      </w:r>
      <w:r w:rsidR="00244E68">
        <w:t xml:space="preserve">alibre </w:t>
      </w:r>
      <w:r w:rsidR="00E45B9C">
        <w:t>g</w:t>
      </w:r>
      <w:r w:rsidR="00244E68">
        <w:t>un</w:t>
      </w:r>
      <w:r w:rsidR="00E45B9C">
        <w:t>.</w:t>
      </w:r>
    </w:p>
    <w:p w14:paraId="7ABCA6A9" w14:textId="78BCC8E5" w:rsidR="006C5319" w:rsidRDefault="006C5319" w:rsidP="006C5319">
      <w:pPr>
        <w:pStyle w:val="Heading2"/>
      </w:pPr>
      <w:bookmarkStart w:id="10" w:name="_Toc203723533"/>
      <w:r>
        <w:t>Scope</w:t>
      </w:r>
      <w:bookmarkEnd w:id="10"/>
    </w:p>
    <w:p w14:paraId="61C990C0" w14:textId="64733434" w:rsidR="006C5319" w:rsidRDefault="00BD1099" w:rsidP="006C5319">
      <w:r>
        <w:t xml:space="preserve">For a 115mm Large Calibre Gun one of the main hazards assessed was a ‘Misfire leading to an unintentional initiation of OME’.  This hazard has the potential to cause multiple deaths if not </w:t>
      </w:r>
      <w:r w:rsidR="00CE28B3">
        <w:t>mitigated</w:t>
      </w:r>
      <w:r>
        <w:t xml:space="preserve"> properly.  This justification aims to show that the hazard of a weapon misfire when the weapon is in use has been reduced to an ALARP </w:t>
      </w:r>
      <w:r w:rsidR="0029280B">
        <w:t>level.  This has been achieved by carrying out Hazard Identification techniques for the weapon system then subsequently putting together a series of controls and mitigations which are in place to prevent the consequence.  Each control or mitigation will be systematically evaluated to justify its integrity with supporting evidence and guidance from relevant good practice.  It will then be shown how these risk reduction measures have reduced the risk of the hazard down to an ALARP level.</w:t>
      </w:r>
    </w:p>
    <w:p w14:paraId="45B13D3B" w14:textId="268AF6FC" w:rsidR="0029280B" w:rsidRDefault="0028587E" w:rsidP="0029280B">
      <w:pPr>
        <w:pStyle w:val="Heading2"/>
      </w:pPr>
      <w:bookmarkStart w:id="11" w:name="_Toc203723534"/>
      <w:r>
        <w:t>Causes</w:t>
      </w:r>
      <w:bookmarkEnd w:id="11"/>
    </w:p>
    <w:p w14:paraId="0530401D" w14:textId="287D63E6" w:rsidR="0028587E" w:rsidRDefault="0010417E" w:rsidP="0028587E">
      <w:r>
        <w:t xml:space="preserve">To understand the causes of a weapon misfire, it is essential to firstly understand what a misfire is exactly.  A misfire isn’t just a generic term for a gun not firing, it is a specific type of failure tied to the firing sequence.  A misfire occurs when despite </w:t>
      </w:r>
      <w:r w:rsidR="007B5D0E">
        <w:t>all</w:t>
      </w:r>
      <w:r>
        <w:t xml:space="preserve"> the individual firing components of the gun appear to be in working order, the primer fails to ignite the propellant which provide motive force for the projectile.  This means that the firing pin strikes the primer but for whatever reason the primer fails to ignite the propellant.  There are many reasons for this happening, several of which will be explored.</w:t>
      </w:r>
      <w:sdt>
        <w:sdtPr>
          <w:id w:val="189423809"/>
          <w:citation/>
        </w:sdtPr>
        <w:sdtEndPr/>
        <w:sdtContent>
          <w:r w:rsidR="00CC2799">
            <w:fldChar w:fldCharType="begin"/>
          </w:r>
          <w:r w:rsidR="00CC2799">
            <w:rPr>
              <w:lang w:val="en-GB"/>
            </w:rPr>
            <w:instrText xml:space="preserve"> CITATION Fle24 \l 2057 </w:instrText>
          </w:r>
          <w:r w:rsidR="00CC2799">
            <w:fldChar w:fldCharType="separate"/>
          </w:r>
          <w:r w:rsidR="00CC2799">
            <w:rPr>
              <w:noProof/>
              <w:lang w:val="en-GB"/>
            </w:rPr>
            <w:t xml:space="preserve"> </w:t>
          </w:r>
          <w:r w:rsidR="00CC2799" w:rsidRPr="00CC2799">
            <w:rPr>
              <w:noProof/>
              <w:lang w:val="en-GB"/>
            </w:rPr>
            <w:t>[2]</w:t>
          </w:r>
          <w:r w:rsidR="00CC2799">
            <w:fldChar w:fldCharType="end"/>
          </w:r>
        </w:sdtContent>
      </w:sdt>
      <w:r>
        <w:t xml:space="preserve">  </w:t>
      </w:r>
    </w:p>
    <w:p w14:paraId="5C02A302" w14:textId="031DA1EF" w:rsidR="00947F51" w:rsidRDefault="00947F51" w:rsidP="0028587E">
      <w:r>
        <w:t xml:space="preserve">The first cause for misfire considered is </w:t>
      </w:r>
      <w:r w:rsidRPr="008E4CE5">
        <w:rPr>
          <w:b/>
          <w:bCs/>
        </w:rPr>
        <w:t>mechanical issues within the firearm</w:t>
      </w:r>
      <w:r>
        <w:t>.  One thing causing this could be a weak or broken firing pin</w:t>
      </w:r>
      <w:r w:rsidR="008E4CE5">
        <w:t xml:space="preserve"> thus meaning the primer does not get struck with enough force to ignite, in turn igniting the propellant.  Another cause of </w:t>
      </w:r>
      <w:r w:rsidR="008E4CE5">
        <w:lastRenderedPageBreak/>
        <w:t xml:space="preserve">this is the round not correctly being seated in the chamber which could be due to operator </w:t>
      </w:r>
      <w:r w:rsidR="00CC2799">
        <w:t xml:space="preserve">loading </w:t>
      </w:r>
      <w:r w:rsidR="008E4CE5">
        <w:t xml:space="preserve">error or obstructions within the breech such as dirt or dust which is to be expected in most operating environments. </w:t>
      </w:r>
      <w:sdt>
        <w:sdtPr>
          <w:id w:val="728953835"/>
          <w:citation/>
        </w:sdtPr>
        <w:sdtEndPr/>
        <w:sdtContent>
          <w:r w:rsidR="003D6093">
            <w:fldChar w:fldCharType="begin"/>
          </w:r>
          <w:r w:rsidR="003D6093">
            <w:rPr>
              <w:lang w:val="en-GB"/>
            </w:rPr>
            <w:instrText xml:space="preserve"> CITATION NRA23 \l 2057 </w:instrText>
          </w:r>
          <w:r w:rsidR="003D6093">
            <w:fldChar w:fldCharType="separate"/>
          </w:r>
          <w:r w:rsidR="003D6093" w:rsidRPr="003D6093">
            <w:rPr>
              <w:noProof/>
              <w:lang w:val="en-GB"/>
            </w:rPr>
            <w:t>[3]</w:t>
          </w:r>
          <w:r w:rsidR="003D6093">
            <w:fldChar w:fldCharType="end"/>
          </w:r>
        </w:sdtContent>
      </w:sdt>
    </w:p>
    <w:p w14:paraId="268AE59F" w14:textId="50EC950E" w:rsidR="00B837BB" w:rsidRDefault="008E4CE5" w:rsidP="0028587E">
      <w:r>
        <w:t xml:space="preserve">Another reason for a weapon misfire is issues with </w:t>
      </w:r>
      <w:r w:rsidRPr="008E4CE5">
        <w:rPr>
          <w:b/>
          <w:bCs/>
        </w:rPr>
        <w:t>ammunition</w:t>
      </w:r>
      <w:r>
        <w:t xml:space="preserve">. There could be issues with the primer itself </w:t>
      </w:r>
      <w:r w:rsidR="00B837BB">
        <w:t>may it be incorrectly manufactured, contaminated or deteriorated with age.  Another cause could be the storage conditions the primer is kept in.  Exposure to moisture or extreme temperatures can cause explosive elements to lose reliability and performance.  Dropped or damaged rounds may also be the reason for a misfire which if normal operating environments are considered</w:t>
      </w:r>
      <w:r w:rsidR="00CE28B3">
        <w:t xml:space="preserve">, </w:t>
      </w:r>
      <w:r w:rsidR="00B837BB">
        <w:t>is feasible.</w:t>
      </w:r>
      <w:r w:rsidR="003D6093">
        <w:t xml:space="preserve"> </w:t>
      </w:r>
      <w:sdt>
        <w:sdtPr>
          <w:id w:val="1077485036"/>
          <w:citation/>
        </w:sdtPr>
        <w:sdtEndPr/>
        <w:sdtContent>
          <w:r w:rsidR="003D6093">
            <w:fldChar w:fldCharType="begin"/>
          </w:r>
          <w:r w:rsidR="003D6093">
            <w:rPr>
              <w:lang w:val="en-GB"/>
            </w:rPr>
            <w:instrText xml:space="preserve"> CITATION GAS18 \l 2057 </w:instrText>
          </w:r>
          <w:r w:rsidR="003D6093">
            <w:fldChar w:fldCharType="separate"/>
          </w:r>
          <w:r w:rsidR="003D6093" w:rsidRPr="003D6093">
            <w:rPr>
              <w:noProof/>
              <w:lang w:val="en-GB"/>
            </w:rPr>
            <w:t>[4]</w:t>
          </w:r>
          <w:r w:rsidR="003D6093">
            <w:fldChar w:fldCharType="end"/>
          </w:r>
        </w:sdtContent>
      </w:sdt>
    </w:p>
    <w:p w14:paraId="76A40759" w14:textId="6DAF187B" w:rsidR="00814DC3" w:rsidRPr="00485FD7" w:rsidRDefault="000F0FB7" w:rsidP="00485FD7">
      <w:pPr>
        <w:rPr>
          <w:rStyle w:val="Hyperlink"/>
          <w:color w:val="4D322D" w:themeColor="text2"/>
          <w:u w:val="none"/>
        </w:rPr>
      </w:pPr>
      <w:r>
        <w:t xml:space="preserve">The third cause identified leading to a misfire is </w:t>
      </w:r>
      <w:r w:rsidRPr="000F0FB7">
        <w:rPr>
          <w:b/>
          <w:bCs/>
        </w:rPr>
        <w:t>human error</w:t>
      </w:r>
      <w:r>
        <w:t>.  This was considered as there is human interaction with the weapon all the way through the process.  The ammunition could be loaded incorrectly or loaded with the wrong ammunition which could lead to misfire or worse.  Poor maintenance programme could also lead to misfire as regular inspection and cleaning are essential to prevent mechanical issues.  Failure to follow firing procedures can also cause a misfire and additionally not following misfire procedures can make the consequences even higher.</w:t>
      </w:r>
      <w:sdt>
        <w:sdtPr>
          <w:id w:val="-1577115623"/>
          <w:citation/>
        </w:sdtPr>
        <w:sdtEndPr/>
        <w:sdtContent>
          <w:r w:rsidR="003D6093">
            <w:fldChar w:fldCharType="begin"/>
          </w:r>
          <w:r w:rsidR="003D6093">
            <w:rPr>
              <w:lang w:val="en-GB"/>
            </w:rPr>
            <w:instrText xml:space="preserve"> CITATION Gun18 \l 2057 </w:instrText>
          </w:r>
          <w:r w:rsidR="003D6093">
            <w:fldChar w:fldCharType="separate"/>
          </w:r>
          <w:r w:rsidR="003D6093">
            <w:rPr>
              <w:noProof/>
              <w:lang w:val="en-GB"/>
            </w:rPr>
            <w:t xml:space="preserve"> </w:t>
          </w:r>
          <w:r w:rsidR="003D6093" w:rsidRPr="003D6093">
            <w:rPr>
              <w:noProof/>
              <w:lang w:val="en-GB"/>
            </w:rPr>
            <w:t>[5]</w:t>
          </w:r>
          <w:r w:rsidR="003D6093">
            <w:fldChar w:fldCharType="end"/>
          </w:r>
        </w:sdtContent>
      </w:sdt>
    </w:p>
    <w:p w14:paraId="60EDF6B8" w14:textId="4D6CEBB5" w:rsidR="00B837BB" w:rsidRDefault="00B837BB" w:rsidP="00B837BB">
      <w:pPr>
        <w:pStyle w:val="Heading2"/>
      </w:pPr>
      <w:bookmarkStart w:id="12" w:name="_Toc203723535"/>
      <w:r>
        <w:t>Consequences</w:t>
      </w:r>
      <w:bookmarkEnd w:id="12"/>
    </w:p>
    <w:p w14:paraId="40CB6C29" w14:textId="664611A9" w:rsidR="000F0FB7" w:rsidRDefault="000F0FB7" w:rsidP="00B837BB">
      <w:r>
        <w:t>The un-mitigated event of a misfire was judged to have the potential to cause multiple deaths</w:t>
      </w:r>
      <w:r w:rsidR="00090203">
        <w:t xml:space="preserve"> due to the unplanned initiation of OME.</w:t>
      </w:r>
      <w:r>
        <w:t xml:space="preserve">  </w:t>
      </w:r>
      <w:r w:rsidR="00090203">
        <w:t>This could come to realisation in several ways which cause different types of harm to personnel.  When</w:t>
      </w:r>
      <w:r w:rsidR="00236275">
        <w:t xml:space="preserve"> a gun is fired and the projectile does not fire, it is initially impossible to determine if it was a misfire or a hang fire, a hang fire being that the round initiates but has a delayed effect due to many potential reasons. </w:t>
      </w:r>
      <w:r w:rsidR="006B4B46">
        <w:t xml:space="preserve">This has </w:t>
      </w:r>
      <w:r w:rsidR="007B5D0E">
        <w:t>the</w:t>
      </w:r>
      <w:r w:rsidR="006B4B46">
        <w:t xml:space="preserve"> potential to cause multiple deaths as the operator may lower their guard assuming the weapon to be inoperable or start to disassemble it placing themselves or others directly in the firing line.  </w:t>
      </w:r>
      <w:sdt>
        <w:sdtPr>
          <w:id w:val="173085152"/>
          <w:citation/>
        </w:sdtPr>
        <w:sdtEndPr/>
        <w:sdtContent>
          <w:r w:rsidR="003D6093">
            <w:fldChar w:fldCharType="begin"/>
          </w:r>
          <w:r w:rsidR="003D6093">
            <w:rPr>
              <w:lang w:val="en-GB"/>
            </w:rPr>
            <w:instrText xml:space="preserve"> CITATION Fle24 \l 2057 </w:instrText>
          </w:r>
          <w:r w:rsidR="003D6093">
            <w:fldChar w:fldCharType="separate"/>
          </w:r>
          <w:r w:rsidR="003D6093" w:rsidRPr="003D6093">
            <w:rPr>
              <w:noProof/>
              <w:lang w:val="en-GB"/>
            </w:rPr>
            <w:t>[2]</w:t>
          </w:r>
          <w:r w:rsidR="003D6093">
            <w:fldChar w:fldCharType="end"/>
          </w:r>
        </w:sdtContent>
      </w:sdt>
      <w:sdt>
        <w:sdtPr>
          <w:id w:val="926776561"/>
          <w:citation/>
        </w:sdtPr>
        <w:sdtEndPr/>
        <w:sdtContent>
          <w:r w:rsidR="003D6093">
            <w:fldChar w:fldCharType="begin"/>
          </w:r>
          <w:r w:rsidR="003D6093">
            <w:rPr>
              <w:lang w:val="en-GB"/>
            </w:rPr>
            <w:instrText xml:space="preserve"> CITATION NRA23 \l 2057 </w:instrText>
          </w:r>
          <w:r w:rsidR="003D6093">
            <w:fldChar w:fldCharType="separate"/>
          </w:r>
          <w:r w:rsidR="003D6093">
            <w:rPr>
              <w:noProof/>
              <w:lang w:val="en-GB"/>
            </w:rPr>
            <w:t xml:space="preserve"> </w:t>
          </w:r>
          <w:r w:rsidR="003D6093" w:rsidRPr="003D6093">
            <w:rPr>
              <w:noProof/>
              <w:lang w:val="en-GB"/>
            </w:rPr>
            <w:t>[3]</w:t>
          </w:r>
          <w:r w:rsidR="003D6093">
            <w:fldChar w:fldCharType="end"/>
          </w:r>
        </w:sdtContent>
      </w:sdt>
    </w:p>
    <w:p w14:paraId="55800E1E" w14:textId="60D099F8" w:rsidR="006B4B46" w:rsidRDefault="006B4B46" w:rsidP="00B837BB">
      <w:r>
        <w:t xml:space="preserve">Other severe injuries by blast or fragmentation were also considered as if the OME asset initiates inside the barrel this could cause the gun to shatter and disperse fragmentation over nearby areas.  </w:t>
      </w:r>
      <w:r w:rsidR="00D45E91">
        <w:t>Also,</w:t>
      </w:r>
      <w:r>
        <w:t xml:space="preserve"> if a gun operator is close to the weapon they could experience blast effects projecting them into potentially other objects.</w:t>
      </w:r>
    </w:p>
    <w:p w14:paraId="681AE22C" w14:textId="7E42B4F4" w:rsidR="00D45E91" w:rsidRPr="003D6093" w:rsidRDefault="00D45E91" w:rsidP="003D6093">
      <w:r>
        <w:t>Due to the serious nature of the consequences, several substantiated safety measures must be in places to protect personnel and surrounding</w:t>
      </w:r>
      <w:r w:rsidR="003D6093">
        <w:t>s.</w:t>
      </w:r>
    </w:p>
    <w:p w14:paraId="4DF5C1DC" w14:textId="196D2179" w:rsidR="00D45E91" w:rsidRDefault="00D45E91" w:rsidP="00D45E91">
      <w:pPr>
        <w:pStyle w:val="Heading2"/>
      </w:pPr>
      <w:bookmarkStart w:id="13" w:name="_Toc203723536"/>
      <w:r>
        <w:t>Controls and Mitigations</w:t>
      </w:r>
      <w:bookmarkEnd w:id="13"/>
    </w:p>
    <w:p w14:paraId="16F60F44" w14:textId="3FF657A4" w:rsidR="00D45E91" w:rsidRDefault="00CE28B3" w:rsidP="00B837BB">
      <w:r>
        <w:t xml:space="preserve">In the event of a suspected misfire, the gun operator will </w:t>
      </w:r>
      <w:r w:rsidR="00754F61">
        <w:t xml:space="preserve">call a misfire which will </w:t>
      </w:r>
      <w:r w:rsidR="00A4269E">
        <w:t xml:space="preserve">start a </w:t>
      </w:r>
      <w:r w:rsidR="00CC2799" w:rsidRPr="00A4269E">
        <w:rPr>
          <w:b/>
          <w:bCs/>
        </w:rPr>
        <w:t>30-minute</w:t>
      </w:r>
      <w:r w:rsidR="00A4269E" w:rsidRPr="00A4269E">
        <w:rPr>
          <w:b/>
          <w:bCs/>
        </w:rPr>
        <w:t xml:space="preserve"> safety wait </w:t>
      </w:r>
      <w:r w:rsidR="00A4269E">
        <w:t>until any interference with the weapon is taken.   NATO and many military standards recommend 30 minutes for large calibre misfires, so this is seen as relevant good practice.</w:t>
      </w:r>
      <w:sdt>
        <w:sdtPr>
          <w:id w:val="1077395237"/>
          <w:citation/>
        </w:sdtPr>
        <w:sdtEndPr/>
        <w:sdtContent>
          <w:r w:rsidR="003D6093">
            <w:fldChar w:fldCharType="begin"/>
          </w:r>
          <w:r w:rsidR="003D6093">
            <w:rPr>
              <w:lang w:val="en-GB"/>
            </w:rPr>
            <w:instrText xml:space="preserve"> CITATION EVA25 \l 2057 </w:instrText>
          </w:r>
          <w:r w:rsidR="003D6093">
            <w:fldChar w:fldCharType="separate"/>
          </w:r>
          <w:r w:rsidR="003D6093">
            <w:rPr>
              <w:noProof/>
              <w:lang w:val="en-GB"/>
            </w:rPr>
            <w:t xml:space="preserve"> </w:t>
          </w:r>
          <w:r w:rsidR="003D6093" w:rsidRPr="003D6093">
            <w:rPr>
              <w:noProof/>
              <w:lang w:val="en-GB"/>
            </w:rPr>
            <w:t>[6]</w:t>
          </w:r>
          <w:r w:rsidR="003D6093">
            <w:fldChar w:fldCharType="end"/>
          </w:r>
        </w:sdtContent>
      </w:sdt>
      <w:r w:rsidR="00A4269E">
        <w:t xml:space="preserve">  This time allows for delayed ignitions in the case of a ‘hang fire’ so the gun operators can be certain that there is no initiated charges present in the </w:t>
      </w:r>
      <w:r w:rsidR="00A4269E">
        <w:lastRenderedPageBreak/>
        <w:t>weapon.  During this team the weapons breech system is not touched, and the gun is pointed downrange maintaining full control of where the barrel is pointing.</w:t>
      </w:r>
    </w:p>
    <w:p w14:paraId="26755D34" w14:textId="7F856928" w:rsidR="001D0BB2" w:rsidRDefault="001D0BB2" w:rsidP="00B837BB">
      <w:r>
        <w:t xml:space="preserve">Secondly, after the 30 minutes wait period has been adhered to the extraction of a misfired round is a </w:t>
      </w:r>
      <w:r w:rsidRPr="001D0BB2">
        <w:rPr>
          <w:b/>
          <w:bCs/>
        </w:rPr>
        <w:t>one-man activity</w:t>
      </w:r>
      <w:r>
        <w:t>.  This immediately brings the Severity of the hazard from Catastrophic down to Critical, see Table 3.  This is because in the case that there was to be an accident involving an operator unloading a misfired round, then the consequences is lessened as only one person is in the weapon danger area.</w:t>
      </w:r>
    </w:p>
    <w:p w14:paraId="36588872" w14:textId="62BD832A" w:rsidR="001D0BB2" w:rsidRDefault="00B37A90" w:rsidP="00B837BB">
      <w:r>
        <w:t xml:space="preserve">Another control is that there will be a </w:t>
      </w:r>
      <w:r w:rsidRPr="00B37A90">
        <w:rPr>
          <w:b/>
          <w:bCs/>
        </w:rPr>
        <w:t>Standard Operating Procedure (SOP) for misfires</w:t>
      </w:r>
      <w:r>
        <w:t xml:space="preserve"> specific to the 115mm large calibre gun.  Every organisation must have SOPs for all activities involving explosive ordnance in accordance with DSA03 OME Part 2.</w:t>
      </w:r>
      <w:sdt>
        <w:sdtPr>
          <w:id w:val="-30801503"/>
          <w:citation/>
        </w:sdtPr>
        <w:sdtEndPr/>
        <w:sdtContent>
          <w:r w:rsidR="00485FD7">
            <w:fldChar w:fldCharType="begin"/>
          </w:r>
          <w:r w:rsidR="00485FD7">
            <w:rPr>
              <w:lang w:val="en-GB"/>
            </w:rPr>
            <w:instrText xml:space="preserve"> CITATION DOS19 \l 2057 </w:instrText>
          </w:r>
          <w:r w:rsidR="00485FD7">
            <w:fldChar w:fldCharType="separate"/>
          </w:r>
          <w:r w:rsidR="00485FD7">
            <w:rPr>
              <w:noProof/>
              <w:lang w:val="en-GB"/>
            </w:rPr>
            <w:t xml:space="preserve"> </w:t>
          </w:r>
          <w:r w:rsidR="00485FD7" w:rsidRPr="00485FD7">
            <w:rPr>
              <w:noProof/>
              <w:lang w:val="en-GB"/>
            </w:rPr>
            <w:t>[7]</w:t>
          </w:r>
          <w:r w:rsidR="00485FD7">
            <w:fldChar w:fldCharType="end"/>
          </w:r>
        </w:sdtContent>
      </w:sdt>
      <w:r>
        <w:t xml:space="preserve">  This means that there are specific procedures in place in the event of a misfire which must be followed.  These will outline how to deal with the </w:t>
      </w:r>
      <w:r w:rsidR="006C0F26">
        <w:t xml:space="preserve">situation in a safe manner preserving the safety of personnel and surroundings.  These SOPs will also be carried out by </w:t>
      </w:r>
      <w:r w:rsidR="006C0F26" w:rsidRPr="00613920">
        <w:rPr>
          <w:b/>
          <w:bCs/>
        </w:rPr>
        <w:t>trained operators</w:t>
      </w:r>
      <w:r w:rsidR="006C0F26">
        <w:t xml:space="preserve"> who are Suitably </w:t>
      </w:r>
      <w:r w:rsidR="00EA7313">
        <w:t>Qualified and Experienced Personnel (SQEP)</w:t>
      </w:r>
      <w:r w:rsidR="00386898">
        <w:t>.  This means that they will have carried out training for misfire proce</w:t>
      </w:r>
      <w:r w:rsidR="00352C1E">
        <w:t>dures and know how to detect it and defuse the situation safely</w:t>
      </w:r>
      <w:r w:rsidR="00E65538">
        <w:t>, thus bringing the likelihood for the cons</w:t>
      </w:r>
      <w:r w:rsidR="005E07A4">
        <w:t>equence down.</w:t>
      </w:r>
      <w:r w:rsidR="00955182">
        <w:t xml:space="preserve">  </w:t>
      </w:r>
    </w:p>
    <w:p w14:paraId="27D93A30" w14:textId="799261BD" w:rsidR="0013580C" w:rsidRDefault="0013580C" w:rsidP="00B837BB">
      <w:r>
        <w:t xml:space="preserve">All operators will also receive a </w:t>
      </w:r>
      <w:r w:rsidRPr="005501A3">
        <w:rPr>
          <w:b/>
          <w:bCs/>
        </w:rPr>
        <w:t xml:space="preserve">safety brief </w:t>
      </w:r>
      <w:r>
        <w:t xml:space="preserve">prior to </w:t>
      </w:r>
      <w:r w:rsidR="0044447C">
        <w:t>undertaking firing</w:t>
      </w:r>
      <w:r>
        <w:t xml:space="preserve"> activities that will outline all the hazards associated with the activity.  </w:t>
      </w:r>
      <w:r w:rsidR="0044447C">
        <w:t xml:space="preserve">Misfires will be covered under this so it will be fresh in the </w:t>
      </w:r>
      <w:r w:rsidR="00B630FF">
        <w:t>operators’</w:t>
      </w:r>
      <w:r w:rsidR="0044447C">
        <w:t xml:space="preserve"> head how to deal </w:t>
      </w:r>
      <w:r w:rsidR="009D6FFF">
        <w:t>with them safely</w:t>
      </w:r>
      <w:r w:rsidR="008121D4">
        <w:t>.</w:t>
      </w:r>
      <w:r w:rsidR="00B630FF">
        <w:t xml:space="preserve">  </w:t>
      </w:r>
      <w:r w:rsidR="000A4085">
        <w:t xml:space="preserve">This will include </w:t>
      </w:r>
      <w:r w:rsidR="004A6DF4">
        <w:t>the requirements for resolving misfires, segregation and the disposal of the misfired round.</w:t>
      </w:r>
    </w:p>
    <w:p w14:paraId="4DEC454E" w14:textId="75CCDCC3" w:rsidR="00821E74" w:rsidRDefault="00821E74" w:rsidP="00B837BB">
      <w:r>
        <w:t xml:space="preserve">All these forementioned safety measures are considered ALARP as </w:t>
      </w:r>
      <w:r w:rsidR="004D7B86">
        <w:t>the</w:t>
      </w:r>
      <w:r w:rsidR="00391DDC">
        <w:t xml:space="preserve"> cost, time and effort of implementing them does not outweigh the safety benefit achieved through having them in place.</w:t>
      </w:r>
    </w:p>
    <w:p w14:paraId="1DAA0E1F" w14:textId="16D455CF" w:rsidR="00A52CD7" w:rsidRDefault="009A73F1" w:rsidP="00A52CD7">
      <w:pPr>
        <w:pStyle w:val="Heading2"/>
      </w:pPr>
      <w:bookmarkStart w:id="14" w:name="_Toc203723537"/>
      <w:r>
        <w:t>Other Considered Controls and Mitigations</w:t>
      </w:r>
      <w:bookmarkEnd w:id="14"/>
    </w:p>
    <w:p w14:paraId="0D29540F" w14:textId="41200C06" w:rsidR="00C860E6" w:rsidRDefault="005F3661" w:rsidP="009A73F1">
      <w:r>
        <w:t xml:space="preserve">One control that was evaluated but subsequently deemed as not being ALARP was </w:t>
      </w:r>
      <w:r w:rsidR="00BB42E5">
        <w:t xml:space="preserve">having an </w:t>
      </w:r>
      <w:r w:rsidR="00BB42E5" w:rsidRPr="00BB42E5">
        <w:rPr>
          <w:b/>
          <w:bCs/>
        </w:rPr>
        <w:t>autoloading system</w:t>
      </w:r>
      <w:r w:rsidR="00BB42E5">
        <w:t xml:space="preserve"> for the gun.  This brings several safety benefits </w:t>
      </w:r>
      <w:r w:rsidR="005E231F">
        <w:t xml:space="preserve">as it </w:t>
      </w:r>
      <w:r w:rsidR="000E5AC3">
        <w:t xml:space="preserve">minimises human contact with the OME.  </w:t>
      </w:r>
      <w:r w:rsidR="004D084D">
        <w:t xml:space="preserve">It </w:t>
      </w:r>
      <w:r w:rsidR="00D53B4C">
        <w:t>control</w:t>
      </w:r>
      <w:r w:rsidR="004D084D">
        <w:t>s the potential h</w:t>
      </w:r>
      <w:r w:rsidR="00D53B4C">
        <w:t>uman error of loading the munition incorrectly which can lead to a misfire</w:t>
      </w:r>
      <w:r w:rsidR="00B40C33">
        <w:t xml:space="preserve"> whilst also mitigating against the </w:t>
      </w:r>
      <w:r w:rsidR="005207D0">
        <w:t>consequence of harm to personnel due to no one being in the weapon danger area.</w:t>
      </w:r>
      <w:r w:rsidR="006933AA">
        <w:t xml:space="preserve">  </w:t>
      </w:r>
      <w:r w:rsidR="006504AC">
        <w:t xml:space="preserve">Despite the safety benefits an autoloader brings, </w:t>
      </w:r>
      <w:r w:rsidR="002C5033">
        <w:t xml:space="preserve">it </w:t>
      </w:r>
      <w:r w:rsidR="00F62893">
        <w:t xml:space="preserve">was deemed as grossly disproportionate to </w:t>
      </w:r>
      <w:r w:rsidR="00C37E91">
        <w:t xml:space="preserve">time, effort and cost of implementing and upkeeping it.  </w:t>
      </w:r>
      <w:r w:rsidR="00A15BFA">
        <w:t xml:space="preserve">This is due to </w:t>
      </w:r>
      <w:r w:rsidR="002318E8">
        <w:t xml:space="preserve">the mechanical complexity of the autoloading system which if it breaks, takes time to fix.  There is also </w:t>
      </w:r>
      <w:r w:rsidR="00552C5B">
        <w:t xml:space="preserve">time and money spent training operators on how to use it along with maintenance costs to upkeep the </w:t>
      </w:r>
      <w:r w:rsidR="002B22CC">
        <w:t>system’s</w:t>
      </w:r>
      <w:r w:rsidR="00B53047">
        <w:t xml:space="preserve"> reliability</w:t>
      </w:r>
      <w:r w:rsidR="008E0C46">
        <w:t xml:space="preserve">.  Due to this the </w:t>
      </w:r>
      <w:r w:rsidR="002B22CC">
        <w:t xml:space="preserve">autoloader was excluded from the ALARP argument </w:t>
      </w:r>
      <w:r w:rsidR="00741B83">
        <w:t xml:space="preserve">for the time being but may be implemented in the future if the </w:t>
      </w:r>
      <w:r w:rsidR="009A6632">
        <w:t>technology develops.</w:t>
      </w:r>
      <w:r w:rsidR="00C860E6">
        <w:t xml:space="preserve"> </w:t>
      </w:r>
      <w:sdt>
        <w:sdtPr>
          <w:id w:val="1209449838"/>
          <w:citation/>
        </w:sdtPr>
        <w:sdtEndPr/>
        <w:sdtContent>
          <w:r w:rsidR="00485FD7">
            <w:fldChar w:fldCharType="begin"/>
          </w:r>
          <w:r w:rsidR="00485FD7">
            <w:rPr>
              <w:lang w:val="en-GB"/>
            </w:rPr>
            <w:instrText xml:space="preserve"> CITATION Ell25 \l 2057 </w:instrText>
          </w:r>
          <w:r w:rsidR="00485FD7">
            <w:fldChar w:fldCharType="separate"/>
          </w:r>
          <w:r w:rsidR="00485FD7" w:rsidRPr="00485FD7">
            <w:rPr>
              <w:noProof/>
              <w:lang w:val="en-GB"/>
            </w:rPr>
            <w:t>[8]</w:t>
          </w:r>
          <w:r w:rsidR="00485FD7">
            <w:fldChar w:fldCharType="end"/>
          </w:r>
        </w:sdtContent>
      </w:sdt>
    </w:p>
    <w:p w14:paraId="4597305C" w14:textId="2FE8E533" w:rsidR="009E7AF8" w:rsidRDefault="009E7AF8" w:rsidP="009E7AF8">
      <w:pPr>
        <w:pStyle w:val="Heading2"/>
      </w:pPr>
      <w:bookmarkStart w:id="15" w:name="_Toc203723538"/>
      <w:r>
        <w:lastRenderedPageBreak/>
        <w:t>ALARP Statement</w:t>
      </w:r>
      <w:bookmarkEnd w:id="15"/>
    </w:p>
    <w:p w14:paraId="61F78B51" w14:textId="5A88527F" w:rsidR="009E7AF8" w:rsidRDefault="00B23056" w:rsidP="009E7AF8">
      <w:r>
        <w:t>The narrative provided in this justification shows how</w:t>
      </w:r>
      <w:r w:rsidR="00286356">
        <w:t xml:space="preserve"> the risks associated with the hazard of a ‘weapon misfire’ for a 115mm large calibre gun </w:t>
      </w:r>
      <w:r w:rsidR="00302B2F">
        <w:t xml:space="preserve">have been reduced to ALARP.  </w:t>
      </w:r>
      <w:r w:rsidR="00B51CBC">
        <w:t xml:space="preserve">From the Risk Assessment in Table 1, </w:t>
      </w:r>
      <w:r w:rsidR="00C67FB7">
        <w:t>the</w:t>
      </w:r>
      <w:r w:rsidR="009F51E8">
        <w:t xml:space="preserve"> risk classification has been decreased from ‘Intolerable’ to ‘Tolerable’ </w:t>
      </w:r>
      <w:r w:rsidR="00C67FB7">
        <w:t>through several controls and mitigations.  These safety measures have been explained and substantiated</w:t>
      </w:r>
      <w:r w:rsidR="002E49DE">
        <w:t xml:space="preserve"> </w:t>
      </w:r>
      <w:r w:rsidR="002C67CF">
        <w:t>using</w:t>
      </w:r>
      <w:r w:rsidR="00D91D15">
        <w:t xml:space="preserve"> </w:t>
      </w:r>
      <w:r w:rsidR="00110500">
        <w:t>regulations</w:t>
      </w:r>
      <w:r w:rsidR="00D91D15">
        <w:t xml:space="preserve"> </w:t>
      </w:r>
      <w:r w:rsidR="002C67CF">
        <w:t xml:space="preserve">and </w:t>
      </w:r>
      <w:r w:rsidR="00D91D15">
        <w:t>l</w:t>
      </w:r>
      <w:r w:rsidR="00110500">
        <w:t>egislation</w:t>
      </w:r>
      <w:r w:rsidR="00D91D15">
        <w:t xml:space="preserve"> along with</w:t>
      </w:r>
      <w:r w:rsidR="00110500">
        <w:t xml:space="preserve"> relevant good practice </w:t>
      </w:r>
      <w:r w:rsidR="00D91D15">
        <w:t>and</w:t>
      </w:r>
      <w:r w:rsidR="00110500">
        <w:t xml:space="preserve"> engineering judgement.</w:t>
      </w:r>
    </w:p>
    <w:bookmarkStart w:id="16" w:name="_Toc203723539" w:displacedByCustomXml="next"/>
    <w:sdt>
      <w:sdtPr>
        <w:rPr>
          <w:rFonts w:asciiTheme="minorHAnsi" w:eastAsiaTheme="minorEastAsia" w:hAnsiTheme="minorHAnsi" w:cstheme="minorBidi"/>
          <w:color w:val="4D322D" w:themeColor="text2"/>
          <w:sz w:val="22"/>
          <w:szCs w:val="22"/>
        </w:rPr>
        <w:id w:val="-1697853024"/>
        <w:docPartObj>
          <w:docPartGallery w:val="Bibliographies"/>
          <w:docPartUnique/>
        </w:docPartObj>
      </w:sdtPr>
      <w:sdtEndPr/>
      <w:sdtContent>
        <w:p w14:paraId="3282AC9D" w14:textId="356A630A" w:rsidR="00485FD7" w:rsidRDefault="00485FD7">
          <w:pPr>
            <w:pStyle w:val="Heading1"/>
          </w:pPr>
          <w:r>
            <w:t>References</w:t>
          </w:r>
          <w:bookmarkEnd w:id="16"/>
        </w:p>
        <w:sdt>
          <w:sdtPr>
            <w:id w:val="-573587230"/>
            <w:bibliography/>
          </w:sdtPr>
          <w:sdtEndPr/>
          <w:sdtContent>
            <w:p w14:paraId="14A47F89" w14:textId="77777777" w:rsidR="00485FD7" w:rsidRDefault="00485F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3"/>
                <w:gridCol w:w="8427"/>
              </w:tblGrid>
              <w:tr w:rsidR="00485FD7" w14:paraId="76A41EE5" w14:textId="77777777">
                <w:trPr>
                  <w:divId w:val="1616517022"/>
                  <w:tblCellSpacing w:w="15" w:type="dxa"/>
                </w:trPr>
                <w:tc>
                  <w:tcPr>
                    <w:tcW w:w="50" w:type="pct"/>
                    <w:hideMark/>
                  </w:tcPr>
                  <w:p w14:paraId="0C474276" w14:textId="5EFC6B12" w:rsidR="00485FD7" w:rsidRDefault="00485FD7">
                    <w:pPr>
                      <w:pStyle w:val="Bibliography"/>
                      <w:rPr>
                        <w:noProof/>
                        <w:sz w:val="24"/>
                        <w:szCs w:val="24"/>
                      </w:rPr>
                    </w:pPr>
                    <w:r>
                      <w:rPr>
                        <w:noProof/>
                      </w:rPr>
                      <w:t xml:space="preserve">[1] </w:t>
                    </w:r>
                  </w:p>
                </w:tc>
                <w:tc>
                  <w:tcPr>
                    <w:tcW w:w="0" w:type="auto"/>
                    <w:hideMark/>
                  </w:tcPr>
                  <w:p w14:paraId="24CD64E3" w14:textId="77777777" w:rsidR="00485FD7" w:rsidRDefault="00485FD7">
                    <w:pPr>
                      <w:pStyle w:val="Bibliography"/>
                      <w:rPr>
                        <w:noProof/>
                      </w:rPr>
                    </w:pPr>
                    <w:r>
                      <w:rPr>
                        <w:noProof/>
                      </w:rPr>
                      <w:t>"ALARP "at a glance"," [Online]. Available: https://webarchive.nationalarchives.gov.uk/ukgwa/20230703110525/https:/www.hse.gov.uk/enforce/expert/alarpglance.htm. [Accessed 18 July 2025].</w:t>
                    </w:r>
                  </w:p>
                </w:tc>
              </w:tr>
              <w:tr w:rsidR="00485FD7" w14:paraId="36C6E27B" w14:textId="77777777">
                <w:trPr>
                  <w:divId w:val="1616517022"/>
                  <w:tblCellSpacing w:w="15" w:type="dxa"/>
                </w:trPr>
                <w:tc>
                  <w:tcPr>
                    <w:tcW w:w="50" w:type="pct"/>
                    <w:hideMark/>
                  </w:tcPr>
                  <w:p w14:paraId="11422D82" w14:textId="77777777" w:rsidR="00485FD7" w:rsidRDefault="00485FD7">
                    <w:pPr>
                      <w:pStyle w:val="Bibliography"/>
                      <w:rPr>
                        <w:noProof/>
                      </w:rPr>
                    </w:pPr>
                    <w:r>
                      <w:rPr>
                        <w:noProof/>
                      </w:rPr>
                      <w:t xml:space="preserve">[2] </w:t>
                    </w:r>
                  </w:p>
                </w:tc>
                <w:tc>
                  <w:tcPr>
                    <w:tcW w:w="0" w:type="auto"/>
                    <w:hideMark/>
                  </w:tcPr>
                  <w:p w14:paraId="32D88083" w14:textId="77777777" w:rsidR="00485FD7" w:rsidRDefault="00485FD7">
                    <w:pPr>
                      <w:pStyle w:val="Bibliography"/>
                      <w:rPr>
                        <w:noProof/>
                      </w:rPr>
                    </w:pPr>
                    <w:r>
                      <w:rPr>
                        <w:noProof/>
                      </w:rPr>
                      <w:t>W. Fletcher, "What is a misfire in a gun?," 22 April 2024. [Online]. Available: https://thegunzone.com/what-is-a-misfire-in-a-gun/. [Accessed 18 July 2025].</w:t>
                    </w:r>
                  </w:p>
                </w:tc>
              </w:tr>
              <w:tr w:rsidR="00485FD7" w14:paraId="75E3C139" w14:textId="77777777">
                <w:trPr>
                  <w:divId w:val="1616517022"/>
                  <w:tblCellSpacing w:w="15" w:type="dxa"/>
                </w:trPr>
                <w:tc>
                  <w:tcPr>
                    <w:tcW w:w="50" w:type="pct"/>
                    <w:hideMark/>
                  </w:tcPr>
                  <w:p w14:paraId="06EB47B4" w14:textId="77777777" w:rsidR="00485FD7" w:rsidRDefault="00485FD7">
                    <w:pPr>
                      <w:pStyle w:val="Bibliography"/>
                      <w:rPr>
                        <w:noProof/>
                      </w:rPr>
                    </w:pPr>
                    <w:r>
                      <w:rPr>
                        <w:noProof/>
                      </w:rPr>
                      <w:t xml:space="preserve">[3] </w:t>
                    </w:r>
                  </w:p>
                </w:tc>
                <w:tc>
                  <w:tcPr>
                    <w:tcW w:w="0" w:type="auto"/>
                    <w:hideMark/>
                  </w:tcPr>
                  <w:p w14:paraId="0B2A6EA7" w14:textId="77777777" w:rsidR="00485FD7" w:rsidRDefault="00485FD7">
                    <w:pPr>
                      <w:pStyle w:val="Bibliography"/>
                      <w:rPr>
                        <w:noProof/>
                      </w:rPr>
                    </w:pPr>
                    <w:r>
                      <w:rPr>
                        <w:noProof/>
                      </w:rPr>
                      <w:t>NRA Staff, "Gun Safety: What Are Misfires/Hangfires?," 17 November 2023. [Online]. Available: https://www.nrafamily.org/content/gun-safety-what-are-misfires-hangfires/. [Accessed 18 July 2025].</w:t>
                    </w:r>
                  </w:p>
                </w:tc>
              </w:tr>
              <w:tr w:rsidR="00485FD7" w14:paraId="5FB8C24B" w14:textId="77777777">
                <w:trPr>
                  <w:divId w:val="1616517022"/>
                  <w:tblCellSpacing w:w="15" w:type="dxa"/>
                </w:trPr>
                <w:tc>
                  <w:tcPr>
                    <w:tcW w:w="50" w:type="pct"/>
                    <w:hideMark/>
                  </w:tcPr>
                  <w:p w14:paraId="3D78AFA1" w14:textId="77777777" w:rsidR="00485FD7" w:rsidRDefault="00485FD7">
                    <w:pPr>
                      <w:pStyle w:val="Bibliography"/>
                      <w:rPr>
                        <w:noProof/>
                      </w:rPr>
                    </w:pPr>
                    <w:r>
                      <w:rPr>
                        <w:noProof/>
                      </w:rPr>
                      <w:t xml:space="preserve">[4] </w:t>
                    </w:r>
                  </w:p>
                </w:tc>
                <w:tc>
                  <w:tcPr>
                    <w:tcW w:w="0" w:type="auto"/>
                    <w:hideMark/>
                  </w:tcPr>
                  <w:p w14:paraId="59F67A25" w14:textId="77777777" w:rsidR="00485FD7" w:rsidRDefault="00485FD7">
                    <w:pPr>
                      <w:pStyle w:val="Bibliography"/>
                      <w:rPr>
                        <w:noProof/>
                      </w:rPr>
                    </w:pPr>
                    <w:r>
                      <w:rPr>
                        <w:noProof/>
                      </w:rPr>
                      <w:t>G&amp;A Staff, "Understanding a Gun Misfire," 27 June 2018. [Online]. Available: https://www.gunsandammo.com/editorial/understanding-misfires/248092. [Accessed 18 July 2025].</w:t>
                    </w:r>
                  </w:p>
                </w:tc>
              </w:tr>
              <w:tr w:rsidR="00485FD7" w14:paraId="59231DD0" w14:textId="77777777">
                <w:trPr>
                  <w:divId w:val="1616517022"/>
                  <w:tblCellSpacing w:w="15" w:type="dxa"/>
                </w:trPr>
                <w:tc>
                  <w:tcPr>
                    <w:tcW w:w="50" w:type="pct"/>
                    <w:hideMark/>
                  </w:tcPr>
                  <w:p w14:paraId="4E02A3D1" w14:textId="77777777" w:rsidR="00485FD7" w:rsidRDefault="00485FD7">
                    <w:pPr>
                      <w:pStyle w:val="Bibliography"/>
                      <w:rPr>
                        <w:noProof/>
                      </w:rPr>
                    </w:pPr>
                    <w:r>
                      <w:rPr>
                        <w:noProof/>
                      </w:rPr>
                      <w:t xml:space="preserve">[5] </w:t>
                    </w:r>
                  </w:p>
                </w:tc>
                <w:tc>
                  <w:tcPr>
                    <w:tcW w:w="0" w:type="auto"/>
                    <w:hideMark/>
                  </w:tcPr>
                  <w:p w14:paraId="56536A55" w14:textId="77777777" w:rsidR="00485FD7" w:rsidRDefault="00485FD7">
                    <w:pPr>
                      <w:pStyle w:val="Bibliography"/>
                      <w:rPr>
                        <w:noProof/>
                      </w:rPr>
                    </w:pPr>
                    <w:r>
                      <w:rPr>
                        <w:noProof/>
                      </w:rPr>
                      <w:t>Guns &amp; Ammo Staff, "Ammo Primer Misfires - Why They Happen," 29 November 2018. [Online]. Available: https://www.gunsandammo.com/editorial/the-truth-about-primer-misfires/247980#:~:text=The%20most%20common%20general%20cause%20of%20misfires%20is,it%20several%20times%2C%20and%20it%20still%20didn%27t%20go.%22. [Accessed 18 July 2025].</w:t>
                    </w:r>
                  </w:p>
                </w:tc>
              </w:tr>
              <w:tr w:rsidR="00485FD7" w14:paraId="5F19C4FB" w14:textId="77777777">
                <w:trPr>
                  <w:divId w:val="1616517022"/>
                  <w:tblCellSpacing w:w="15" w:type="dxa"/>
                </w:trPr>
                <w:tc>
                  <w:tcPr>
                    <w:tcW w:w="50" w:type="pct"/>
                    <w:hideMark/>
                  </w:tcPr>
                  <w:p w14:paraId="333B93B9" w14:textId="77777777" w:rsidR="00485FD7" w:rsidRDefault="00485FD7">
                    <w:pPr>
                      <w:pStyle w:val="Bibliography"/>
                      <w:rPr>
                        <w:noProof/>
                      </w:rPr>
                    </w:pPr>
                    <w:r>
                      <w:rPr>
                        <w:noProof/>
                      </w:rPr>
                      <w:t xml:space="preserve">[6] </w:t>
                    </w:r>
                  </w:p>
                </w:tc>
                <w:tc>
                  <w:tcPr>
                    <w:tcW w:w="0" w:type="auto"/>
                    <w:hideMark/>
                  </w:tcPr>
                  <w:p w14:paraId="0F9EEDE9" w14:textId="77777777" w:rsidR="00485FD7" w:rsidRDefault="00485FD7">
                    <w:pPr>
                      <w:pStyle w:val="Bibliography"/>
                      <w:rPr>
                        <w:noProof/>
                      </w:rPr>
                    </w:pPr>
                    <w:r>
                      <w:rPr>
                        <w:noProof/>
                      </w:rPr>
                      <w:t>"EVALUATION OF CANNON TUBES - ARMY - TM 9-1000-202-14," [Online]. Available: https://standards.globalspec.com/std/1837484/tm-9-1000-202-14. [Accessed 18 July 2025].</w:t>
                    </w:r>
                  </w:p>
                </w:tc>
              </w:tr>
              <w:tr w:rsidR="00485FD7" w14:paraId="0D70FCDF" w14:textId="77777777">
                <w:trPr>
                  <w:divId w:val="1616517022"/>
                  <w:tblCellSpacing w:w="15" w:type="dxa"/>
                </w:trPr>
                <w:tc>
                  <w:tcPr>
                    <w:tcW w:w="50" w:type="pct"/>
                    <w:hideMark/>
                  </w:tcPr>
                  <w:p w14:paraId="7AA6BA01" w14:textId="77777777" w:rsidR="00485FD7" w:rsidRDefault="00485FD7">
                    <w:pPr>
                      <w:pStyle w:val="Bibliography"/>
                      <w:rPr>
                        <w:noProof/>
                      </w:rPr>
                    </w:pPr>
                    <w:r>
                      <w:rPr>
                        <w:noProof/>
                      </w:rPr>
                      <w:lastRenderedPageBreak/>
                      <w:t xml:space="preserve">[7] </w:t>
                    </w:r>
                  </w:p>
                </w:tc>
                <w:tc>
                  <w:tcPr>
                    <w:tcW w:w="0" w:type="auto"/>
                    <w:hideMark/>
                  </w:tcPr>
                  <w:p w14:paraId="693ABCFC" w14:textId="77777777" w:rsidR="00485FD7" w:rsidRDefault="00485FD7">
                    <w:pPr>
                      <w:pStyle w:val="Bibliography"/>
                      <w:rPr>
                        <w:noProof/>
                      </w:rPr>
                    </w:pPr>
                    <w:r>
                      <w:rPr>
                        <w:noProof/>
                      </w:rPr>
                      <w:t>DOSR, "DSA 03.OME Part 2 (JSP 482)," 2019.</w:t>
                    </w:r>
                  </w:p>
                </w:tc>
              </w:tr>
              <w:tr w:rsidR="00485FD7" w14:paraId="29D19741" w14:textId="77777777">
                <w:trPr>
                  <w:divId w:val="1616517022"/>
                  <w:tblCellSpacing w:w="15" w:type="dxa"/>
                </w:trPr>
                <w:tc>
                  <w:tcPr>
                    <w:tcW w:w="50" w:type="pct"/>
                    <w:hideMark/>
                  </w:tcPr>
                  <w:p w14:paraId="42A1AB03" w14:textId="77777777" w:rsidR="00485FD7" w:rsidRDefault="00485FD7">
                    <w:pPr>
                      <w:pStyle w:val="Bibliography"/>
                      <w:rPr>
                        <w:noProof/>
                      </w:rPr>
                    </w:pPr>
                    <w:r>
                      <w:rPr>
                        <w:noProof/>
                      </w:rPr>
                      <w:t xml:space="preserve">[8] </w:t>
                    </w:r>
                  </w:p>
                </w:tc>
                <w:tc>
                  <w:tcPr>
                    <w:tcW w:w="0" w:type="auto"/>
                    <w:hideMark/>
                  </w:tcPr>
                  <w:p w14:paraId="4F2A6E2D" w14:textId="77777777" w:rsidR="00485FD7" w:rsidRDefault="00485FD7">
                    <w:pPr>
                      <w:pStyle w:val="Bibliography"/>
                      <w:rPr>
                        <w:noProof/>
                      </w:rPr>
                    </w:pPr>
                    <w:r>
                      <w:rPr>
                        <w:noProof/>
                      </w:rPr>
                      <w:t>H. Ellis, "Tank Autoloaders Explained: Are They Better Than Manual Loaders?," 5 June 2025. [Online]. Available: https://defensefeeds.com/analysis/weapons/tank-autoloader/. [Accessed 18 July 2025].</w:t>
                    </w:r>
                  </w:p>
                </w:tc>
              </w:tr>
            </w:tbl>
            <w:p w14:paraId="68A46975" w14:textId="77777777" w:rsidR="00485FD7" w:rsidRDefault="00485FD7">
              <w:pPr>
                <w:divId w:val="1616517022"/>
                <w:rPr>
                  <w:rFonts w:eastAsia="Times New Roman"/>
                  <w:noProof/>
                </w:rPr>
              </w:pPr>
            </w:p>
            <w:p w14:paraId="5A24E3D7" w14:textId="508FBD9F" w:rsidR="00485FD7" w:rsidRDefault="00485FD7">
              <w:r>
                <w:rPr>
                  <w:b/>
                  <w:bCs/>
                  <w:noProof/>
                </w:rPr>
                <w:fldChar w:fldCharType="end"/>
              </w:r>
            </w:p>
          </w:sdtContent>
        </w:sdt>
      </w:sdtContent>
    </w:sdt>
    <w:p w14:paraId="7DE1D0DF" w14:textId="77777777" w:rsidR="00485FD7" w:rsidRPr="009E7AF8" w:rsidRDefault="00485FD7" w:rsidP="009E7AF8"/>
    <w:p w14:paraId="0B4B1E1A" w14:textId="77777777" w:rsidR="005E07A4" w:rsidRPr="001D0BB2" w:rsidRDefault="005E07A4" w:rsidP="00B837BB"/>
    <w:p w14:paraId="631D9413" w14:textId="77777777" w:rsidR="00D45E91" w:rsidRPr="00B837BB" w:rsidRDefault="00D45E91" w:rsidP="00B837BB"/>
    <w:sectPr w:rsidR="00D45E91" w:rsidRPr="00B837BB">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A44ED" w14:textId="77777777" w:rsidR="00220FF0" w:rsidRDefault="00220FF0">
      <w:pPr>
        <w:spacing w:before="0" w:after="0" w:line="240" w:lineRule="auto"/>
      </w:pPr>
      <w:r>
        <w:separator/>
      </w:r>
    </w:p>
  </w:endnote>
  <w:endnote w:type="continuationSeparator" w:id="0">
    <w:p w14:paraId="7691629A" w14:textId="77777777" w:rsidR="00220FF0" w:rsidRDefault="00220F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833306"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8F013" w14:textId="77777777" w:rsidR="00220FF0" w:rsidRDefault="00220FF0">
      <w:pPr>
        <w:spacing w:before="0" w:after="0" w:line="240" w:lineRule="auto"/>
      </w:pPr>
      <w:r>
        <w:separator/>
      </w:r>
    </w:p>
  </w:footnote>
  <w:footnote w:type="continuationSeparator" w:id="0">
    <w:p w14:paraId="49BB6EEE" w14:textId="77777777" w:rsidR="00220FF0" w:rsidRDefault="00220F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FDF3E87"/>
    <w:multiLevelType w:val="hybridMultilevel"/>
    <w:tmpl w:val="0A48B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387724514">
    <w:abstractNumId w:val="9"/>
  </w:num>
  <w:num w:numId="2" w16cid:durableId="898173576">
    <w:abstractNumId w:val="9"/>
  </w:num>
  <w:num w:numId="3" w16cid:durableId="2135829843">
    <w:abstractNumId w:val="8"/>
  </w:num>
  <w:num w:numId="4" w16cid:durableId="133987350">
    <w:abstractNumId w:val="8"/>
  </w:num>
  <w:num w:numId="5" w16cid:durableId="401103031">
    <w:abstractNumId w:val="9"/>
  </w:num>
  <w:num w:numId="6" w16cid:durableId="946161924">
    <w:abstractNumId w:val="8"/>
  </w:num>
  <w:num w:numId="7" w16cid:durableId="2129350516">
    <w:abstractNumId w:val="11"/>
  </w:num>
  <w:num w:numId="8" w16cid:durableId="1182358567">
    <w:abstractNumId w:val="10"/>
  </w:num>
  <w:num w:numId="9" w16cid:durableId="423108389">
    <w:abstractNumId w:val="13"/>
  </w:num>
  <w:num w:numId="10" w16cid:durableId="1469975486">
    <w:abstractNumId w:val="12"/>
  </w:num>
  <w:num w:numId="11" w16cid:durableId="420176511">
    <w:abstractNumId w:val="16"/>
  </w:num>
  <w:num w:numId="12" w16cid:durableId="155148861">
    <w:abstractNumId w:val="15"/>
  </w:num>
  <w:num w:numId="13" w16cid:durableId="1449084789">
    <w:abstractNumId w:val="7"/>
  </w:num>
  <w:num w:numId="14" w16cid:durableId="202907974">
    <w:abstractNumId w:val="6"/>
  </w:num>
  <w:num w:numId="15" w16cid:durableId="1960841022">
    <w:abstractNumId w:val="5"/>
  </w:num>
  <w:num w:numId="16" w16cid:durableId="347950753">
    <w:abstractNumId w:val="4"/>
  </w:num>
  <w:num w:numId="17" w16cid:durableId="1250428359">
    <w:abstractNumId w:val="3"/>
  </w:num>
  <w:num w:numId="18" w16cid:durableId="49156614">
    <w:abstractNumId w:val="2"/>
  </w:num>
  <w:num w:numId="19" w16cid:durableId="1225725999">
    <w:abstractNumId w:val="1"/>
  </w:num>
  <w:num w:numId="20" w16cid:durableId="1439568915">
    <w:abstractNumId w:val="0"/>
  </w:num>
  <w:num w:numId="21" w16cid:durableId="202671121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AAF"/>
    <w:rsid w:val="00014C71"/>
    <w:rsid w:val="000748AA"/>
    <w:rsid w:val="00084032"/>
    <w:rsid w:val="00090203"/>
    <w:rsid w:val="000A3A2A"/>
    <w:rsid w:val="000A4085"/>
    <w:rsid w:val="000E5AC3"/>
    <w:rsid w:val="000F0FB7"/>
    <w:rsid w:val="0010417E"/>
    <w:rsid w:val="00110500"/>
    <w:rsid w:val="0013580C"/>
    <w:rsid w:val="00144B1E"/>
    <w:rsid w:val="00152059"/>
    <w:rsid w:val="001638F6"/>
    <w:rsid w:val="0017000E"/>
    <w:rsid w:val="00176D53"/>
    <w:rsid w:val="001A2000"/>
    <w:rsid w:val="001B2976"/>
    <w:rsid w:val="001D0BB2"/>
    <w:rsid w:val="00220A01"/>
    <w:rsid w:val="00220FF0"/>
    <w:rsid w:val="002318E8"/>
    <w:rsid w:val="00236275"/>
    <w:rsid w:val="00244E68"/>
    <w:rsid w:val="00262AAF"/>
    <w:rsid w:val="0028587E"/>
    <w:rsid w:val="00286356"/>
    <w:rsid w:val="0029280B"/>
    <w:rsid w:val="00293026"/>
    <w:rsid w:val="002963DF"/>
    <w:rsid w:val="002B22CC"/>
    <w:rsid w:val="002C1206"/>
    <w:rsid w:val="002C5033"/>
    <w:rsid w:val="002C67CF"/>
    <w:rsid w:val="002E49DE"/>
    <w:rsid w:val="00302B2F"/>
    <w:rsid w:val="003209D6"/>
    <w:rsid w:val="00334A73"/>
    <w:rsid w:val="003422FF"/>
    <w:rsid w:val="00352C1E"/>
    <w:rsid w:val="00386898"/>
    <w:rsid w:val="00391DDC"/>
    <w:rsid w:val="003B1633"/>
    <w:rsid w:val="003D6093"/>
    <w:rsid w:val="0044447C"/>
    <w:rsid w:val="00485FD7"/>
    <w:rsid w:val="004952C4"/>
    <w:rsid w:val="004A6DF4"/>
    <w:rsid w:val="004D084D"/>
    <w:rsid w:val="004D7B86"/>
    <w:rsid w:val="005014B6"/>
    <w:rsid w:val="005207D0"/>
    <w:rsid w:val="005501A3"/>
    <w:rsid w:val="00552C5B"/>
    <w:rsid w:val="00554EFD"/>
    <w:rsid w:val="005A1C5A"/>
    <w:rsid w:val="005E07A4"/>
    <w:rsid w:val="005E231F"/>
    <w:rsid w:val="005F3661"/>
    <w:rsid w:val="00613920"/>
    <w:rsid w:val="006504AC"/>
    <w:rsid w:val="00690EFD"/>
    <w:rsid w:val="006933AA"/>
    <w:rsid w:val="006B4B46"/>
    <w:rsid w:val="006C0F26"/>
    <w:rsid w:val="006C5319"/>
    <w:rsid w:val="006E2D6F"/>
    <w:rsid w:val="007021DE"/>
    <w:rsid w:val="00732607"/>
    <w:rsid w:val="00741B83"/>
    <w:rsid w:val="00754F61"/>
    <w:rsid w:val="00772B00"/>
    <w:rsid w:val="007B5D0E"/>
    <w:rsid w:val="00803218"/>
    <w:rsid w:val="008121D4"/>
    <w:rsid w:val="00814DC3"/>
    <w:rsid w:val="00821E74"/>
    <w:rsid w:val="00827DF4"/>
    <w:rsid w:val="00835F1E"/>
    <w:rsid w:val="00844483"/>
    <w:rsid w:val="008E0C46"/>
    <w:rsid w:val="008E4CE5"/>
    <w:rsid w:val="00927739"/>
    <w:rsid w:val="00934F1C"/>
    <w:rsid w:val="00947F51"/>
    <w:rsid w:val="00955182"/>
    <w:rsid w:val="009A4970"/>
    <w:rsid w:val="009A6632"/>
    <w:rsid w:val="009A73F1"/>
    <w:rsid w:val="009D2231"/>
    <w:rsid w:val="009D374E"/>
    <w:rsid w:val="009D6FFF"/>
    <w:rsid w:val="009E7AF8"/>
    <w:rsid w:val="009F51E8"/>
    <w:rsid w:val="00A0101E"/>
    <w:rsid w:val="00A01100"/>
    <w:rsid w:val="00A076A6"/>
    <w:rsid w:val="00A122DB"/>
    <w:rsid w:val="00A15BFA"/>
    <w:rsid w:val="00A4269E"/>
    <w:rsid w:val="00A52CD7"/>
    <w:rsid w:val="00AD165F"/>
    <w:rsid w:val="00AF62EC"/>
    <w:rsid w:val="00B23056"/>
    <w:rsid w:val="00B37A90"/>
    <w:rsid w:val="00B40C33"/>
    <w:rsid w:val="00B47B7A"/>
    <w:rsid w:val="00B51CBC"/>
    <w:rsid w:val="00B53047"/>
    <w:rsid w:val="00B630FF"/>
    <w:rsid w:val="00B646B8"/>
    <w:rsid w:val="00B8378B"/>
    <w:rsid w:val="00B837BB"/>
    <w:rsid w:val="00BB314E"/>
    <w:rsid w:val="00BB42E5"/>
    <w:rsid w:val="00BC06BC"/>
    <w:rsid w:val="00BD0995"/>
    <w:rsid w:val="00BD1099"/>
    <w:rsid w:val="00C37E91"/>
    <w:rsid w:val="00C66D6D"/>
    <w:rsid w:val="00C67FB7"/>
    <w:rsid w:val="00C80BD4"/>
    <w:rsid w:val="00C860E6"/>
    <w:rsid w:val="00C928F5"/>
    <w:rsid w:val="00CC2799"/>
    <w:rsid w:val="00CC54F6"/>
    <w:rsid w:val="00CE28B3"/>
    <w:rsid w:val="00CF3A42"/>
    <w:rsid w:val="00D407C8"/>
    <w:rsid w:val="00D45E91"/>
    <w:rsid w:val="00D53B4C"/>
    <w:rsid w:val="00D5413C"/>
    <w:rsid w:val="00D63D7E"/>
    <w:rsid w:val="00D91D15"/>
    <w:rsid w:val="00DC07A3"/>
    <w:rsid w:val="00DF6B27"/>
    <w:rsid w:val="00E11B8A"/>
    <w:rsid w:val="00E24E7E"/>
    <w:rsid w:val="00E343AF"/>
    <w:rsid w:val="00E45B9C"/>
    <w:rsid w:val="00E65538"/>
    <w:rsid w:val="00EA7313"/>
    <w:rsid w:val="00F62893"/>
    <w:rsid w:val="00F677F9"/>
    <w:rsid w:val="00F912B0"/>
    <w:rsid w:val="00F97E33"/>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FEBC5DA"/>
  <w15:chartTrackingRefBased/>
  <w15:docId w15:val="{102B63C5-465E-4542-946B-397EB88F5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table" w:styleId="GridTable1Light">
    <w:name w:val="Grid Table 1 Light"/>
    <w:basedOn w:val="TableNormal"/>
    <w:uiPriority w:val="46"/>
    <w:rsid w:val="00262AAF"/>
    <w:pPr>
      <w:spacing w:before="0" w:after="0" w:line="240" w:lineRule="auto"/>
    </w:pPr>
    <w:rPr>
      <w:rFonts w:eastAsiaTheme="minorHAnsi"/>
      <w:color w:val="auto"/>
      <w:kern w:val="2"/>
      <w:sz w:val="24"/>
      <w:szCs w:val="24"/>
      <w:lang w:val="en-GB" w:eastAsia="en-US"/>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semiHidden/>
    <w:qFormat/>
    <w:rsid w:val="00835F1E"/>
    <w:pPr>
      <w:ind w:left="720"/>
      <w:contextualSpacing/>
    </w:pPr>
  </w:style>
  <w:style w:type="character" w:styleId="Hyperlink">
    <w:name w:val="Hyperlink"/>
    <w:basedOn w:val="DefaultParagraphFont"/>
    <w:uiPriority w:val="99"/>
    <w:unhideWhenUsed/>
    <w:rsid w:val="00084032"/>
    <w:rPr>
      <w:color w:val="0000FF"/>
      <w:u w:val="single"/>
    </w:rPr>
  </w:style>
  <w:style w:type="character" w:styleId="UnresolvedMention">
    <w:name w:val="Unresolved Mention"/>
    <w:basedOn w:val="DefaultParagraphFont"/>
    <w:uiPriority w:val="99"/>
    <w:semiHidden/>
    <w:unhideWhenUsed/>
    <w:rsid w:val="0010417E"/>
    <w:rPr>
      <w:color w:val="605E5C"/>
      <w:shd w:val="clear" w:color="auto" w:fill="E1DFDD"/>
    </w:rPr>
  </w:style>
  <w:style w:type="character" w:styleId="FollowedHyperlink">
    <w:name w:val="FollowedHyperlink"/>
    <w:basedOn w:val="DefaultParagraphFont"/>
    <w:uiPriority w:val="99"/>
    <w:semiHidden/>
    <w:unhideWhenUsed/>
    <w:rsid w:val="00BC06BC"/>
    <w:rPr>
      <w:color w:val="956400" w:themeColor="followedHyperlink"/>
      <w:u w:val="single"/>
    </w:rPr>
  </w:style>
  <w:style w:type="paragraph" w:styleId="TableofFigures">
    <w:name w:val="table of figures"/>
    <w:basedOn w:val="Normal"/>
    <w:next w:val="Normal"/>
    <w:uiPriority w:val="99"/>
    <w:unhideWhenUsed/>
    <w:rsid w:val="00485FD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501971">
      <w:bodyDiv w:val="1"/>
      <w:marLeft w:val="0"/>
      <w:marRight w:val="0"/>
      <w:marTop w:val="0"/>
      <w:marBottom w:val="0"/>
      <w:divBdr>
        <w:top w:val="none" w:sz="0" w:space="0" w:color="auto"/>
        <w:left w:val="none" w:sz="0" w:space="0" w:color="auto"/>
        <w:bottom w:val="none" w:sz="0" w:space="0" w:color="auto"/>
        <w:right w:val="none" w:sz="0" w:space="0" w:color="auto"/>
      </w:divBdr>
    </w:div>
    <w:div w:id="334118125">
      <w:bodyDiv w:val="1"/>
      <w:marLeft w:val="0"/>
      <w:marRight w:val="0"/>
      <w:marTop w:val="0"/>
      <w:marBottom w:val="0"/>
      <w:divBdr>
        <w:top w:val="none" w:sz="0" w:space="0" w:color="auto"/>
        <w:left w:val="none" w:sz="0" w:space="0" w:color="auto"/>
        <w:bottom w:val="none" w:sz="0" w:space="0" w:color="auto"/>
        <w:right w:val="none" w:sz="0" w:space="0" w:color="auto"/>
      </w:divBdr>
    </w:div>
    <w:div w:id="466046320">
      <w:bodyDiv w:val="1"/>
      <w:marLeft w:val="0"/>
      <w:marRight w:val="0"/>
      <w:marTop w:val="0"/>
      <w:marBottom w:val="0"/>
      <w:divBdr>
        <w:top w:val="none" w:sz="0" w:space="0" w:color="auto"/>
        <w:left w:val="none" w:sz="0" w:space="0" w:color="auto"/>
        <w:bottom w:val="none" w:sz="0" w:space="0" w:color="auto"/>
        <w:right w:val="none" w:sz="0" w:space="0" w:color="auto"/>
      </w:divBdr>
    </w:div>
    <w:div w:id="897128750">
      <w:bodyDiv w:val="1"/>
      <w:marLeft w:val="0"/>
      <w:marRight w:val="0"/>
      <w:marTop w:val="0"/>
      <w:marBottom w:val="0"/>
      <w:divBdr>
        <w:top w:val="none" w:sz="0" w:space="0" w:color="auto"/>
        <w:left w:val="none" w:sz="0" w:space="0" w:color="auto"/>
        <w:bottom w:val="none" w:sz="0" w:space="0" w:color="auto"/>
        <w:right w:val="none" w:sz="0" w:space="0" w:color="auto"/>
      </w:divBdr>
    </w:div>
    <w:div w:id="968130410">
      <w:bodyDiv w:val="1"/>
      <w:marLeft w:val="0"/>
      <w:marRight w:val="0"/>
      <w:marTop w:val="0"/>
      <w:marBottom w:val="0"/>
      <w:divBdr>
        <w:top w:val="none" w:sz="0" w:space="0" w:color="auto"/>
        <w:left w:val="none" w:sz="0" w:space="0" w:color="auto"/>
        <w:bottom w:val="none" w:sz="0" w:space="0" w:color="auto"/>
        <w:right w:val="none" w:sz="0" w:space="0" w:color="auto"/>
      </w:divBdr>
    </w:div>
    <w:div w:id="1035959520">
      <w:bodyDiv w:val="1"/>
      <w:marLeft w:val="0"/>
      <w:marRight w:val="0"/>
      <w:marTop w:val="0"/>
      <w:marBottom w:val="0"/>
      <w:divBdr>
        <w:top w:val="none" w:sz="0" w:space="0" w:color="auto"/>
        <w:left w:val="none" w:sz="0" w:space="0" w:color="auto"/>
        <w:bottom w:val="none" w:sz="0" w:space="0" w:color="auto"/>
        <w:right w:val="none" w:sz="0" w:space="0" w:color="auto"/>
      </w:divBdr>
    </w:div>
    <w:div w:id="1241017056">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16517022">
      <w:bodyDiv w:val="1"/>
      <w:marLeft w:val="0"/>
      <w:marRight w:val="0"/>
      <w:marTop w:val="0"/>
      <w:marBottom w:val="0"/>
      <w:divBdr>
        <w:top w:val="none" w:sz="0" w:space="0" w:color="auto"/>
        <w:left w:val="none" w:sz="0" w:space="0" w:color="auto"/>
        <w:bottom w:val="none" w:sz="0" w:space="0" w:color="auto"/>
        <w:right w:val="none" w:sz="0" w:space="0" w:color="auto"/>
      </w:divBdr>
    </w:div>
    <w:div w:id="1634405756">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92822490">
      <w:bodyDiv w:val="1"/>
      <w:marLeft w:val="0"/>
      <w:marRight w:val="0"/>
      <w:marTop w:val="0"/>
      <w:marBottom w:val="0"/>
      <w:divBdr>
        <w:top w:val="none" w:sz="0" w:space="0" w:color="auto"/>
        <w:left w:val="none" w:sz="0" w:space="0" w:color="auto"/>
        <w:bottom w:val="none" w:sz="0" w:space="0" w:color="auto"/>
        <w:right w:val="none" w:sz="0" w:space="0" w:color="auto"/>
      </w:divBdr>
    </w:div>
    <w:div w:id="2015372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se\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ALA25</b:Tag>
    <b:SourceType>InternetSite</b:SourceType>
    <b:Guid>{38840FA5-447D-429F-AA07-2779E3BA31EE}</b:Guid>
    <b:Title>ALARP "at a glance"</b:Title>
    <b:YearAccessed>2025</b:YearAccessed>
    <b:MonthAccessed>July</b:MonthAccessed>
    <b:DayAccessed>18</b:DayAccessed>
    <b:URL>https://webarchive.nationalarchives.gov.uk/ukgwa/20230703110525/https:/www.hse.gov.uk/enforce/expert/alarpglance.htm</b:URL>
    <b:InternetSiteTitle>The National Archives</b:InternetSiteTitle>
    <b:RefOrder>1</b:RefOrder>
  </b:Source>
  <b:Source>
    <b:Tag>Fle24</b:Tag>
    <b:SourceType>InternetSite</b:SourceType>
    <b:Guid>{4D45FD72-17BD-4F8D-A49E-87FB52F382EF}</b:Guid>
    <b:Title>What is a misfire in a gun?</b:Title>
    <b:Year>2024</b:Year>
    <b:Month>April</b:Month>
    <b:Day>22</b:Day>
    <b:YearAccessed>2025</b:YearAccessed>
    <b:MonthAccessed>July</b:MonthAccessed>
    <b:DayAccessed>18</b:DayAccessed>
    <b:URL>https://thegunzone.com/what-is-a-misfire-in-a-gun/</b:URL>
    <b:Author>
      <b:Author>
        <b:NameList>
          <b:Person>
            <b:Last>Fletcher</b:Last>
            <b:First>Wayne</b:First>
          </b:Person>
        </b:NameList>
      </b:Author>
    </b:Author>
    <b:InternetSiteTitle>The Gun Zone</b:InternetSiteTitle>
    <b:RefOrder>2</b:RefOrder>
  </b:Source>
  <b:Source>
    <b:Tag>NRA23</b:Tag>
    <b:SourceType>InternetSite</b:SourceType>
    <b:Guid>{9A0F4B88-01C1-413F-9B21-797098820537}</b:Guid>
    <b:Title>Gun Safety: What Are Misfires/Hangfires?</b:Title>
    <b:Year>2023</b:Year>
    <b:Month>November</b:Month>
    <b:Day>17</b:Day>
    <b:YearAccessed>2025</b:YearAccessed>
    <b:MonthAccessed>July</b:MonthAccessed>
    <b:DayAccessed>18</b:DayAccessed>
    <b:URL>https://www.nrafamily.org/content/gun-safety-what-are-misfires-hangfires/</b:URL>
    <b:Author>
      <b:Author>
        <b:Corporate>NRA Staff</b:Corporate>
      </b:Author>
    </b:Author>
    <b:InternetSiteTitle>NRA Family</b:InternetSiteTitle>
    <b:RefOrder>3</b:RefOrder>
  </b:Source>
  <b:Source>
    <b:Tag>GAS18</b:Tag>
    <b:SourceType>InternetSite</b:SourceType>
    <b:Guid>{6160F33C-3392-4D85-BBA8-B7D9B8EA79BE}</b:Guid>
    <b:Title>Understanding a Gun Misfire</b:Title>
    <b:Year>2018</b:Year>
    <b:Month>June</b:Month>
    <b:Day>27</b:Day>
    <b:YearAccessed>2025</b:YearAccessed>
    <b:MonthAccessed>July</b:MonthAccessed>
    <b:DayAccessed>18</b:DayAccessed>
    <b:URL>https://www.gunsandammo.com/editorial/understanding-misfires/248092</b:URL>
    <b:Author>
      <b:Author>
        <b:Corporate>G&amp;A Staff</b:Corporate>
      </b:Author>
    </b:Author>
    <b:InternetSiteTitle>Guns &amp; Ammo</b:InternetSiteTitle>
    <b:RefOrder>4</b:RefOrder>
  </b:Source>
  <b:Source>
    <b:Tag>Gun18</b:Tag>
    <b:SourceType>InternetSite</b:SourceType>
    <b:Guid>{B4BA6582-2973-4E06-ABD2-E6EBABD1C448}</b:Guid>
    <b:Title>Ammo Primer Misfires - Why They Happen</b:Title>
    <b:Year>2018</b:Year>
    <b:Month>November</b:Month>
    <b:Day>29</b:Day>
    <b:YearAccessed>2025</b:YearAccessed>
    <b:MonthAccessed>July</b:MonthAccessed>
    <b:DayAccessed>18</b:DayAccessed>
    <b:URL>https://www.gunsandammo.com/editorial/the-truth-about-primer-misfires/247980#:~:text=The%20most%20common%20general%20cause%20of%20misfires%20is,it%20several%20times%2C%20and%20it%20still%20didn%27t%20go.%22</b:URL>
    <b:Author>
      <b:Author>
        <b:Corporate>Guns &amp; Ammo Staff</b:Corporate>
      </b:Author>
    </b:Author>
    <b:InternetSiteTitle>Guns &amp; Ammo</b:InternetSiteTitle>
    <b:RefOrder>5</b:RefOrder>
  </b:Source>
  <b:Source>
    <b:Tag>EVA25</b:Tag>
    <b:SourceType>DocumentFromInternetSite</b:SourceType>
    <b:Guid>{4474AACB-0925-47FD-A3EA-AEAB74A19808}</b:Guid>
    <b:Title>EVALUATION OF CANNON TUBES - ARMY - TM 9-1000-202-14</b:Title>
    <b:YearAccessed>2025</b:YearAccessed>
    <b:MonthAccessed>July</b:MonthAccessed>
    <b:DayAccessed>18</b:DayAccessed>
    <b:URL>https://standards.globalspec.com/std/1837484/tm-9-1000-202-14</b:URL>
    <b:InternetSiteTitle>GlobalSpec</b:InternetSiteTitle>
    <b:RefOrder>6</b:RefOrder>
  </b:Source>
  <b:Source>
    <b:Tag>DOS19</b:Tag>
    <b:SourceType>Report</b:SourceType>
    <b:Guid>{6E765FC5-6DC3-4EE6-B49F-D46673D815FE}</b:Guid>
    <b:Title>DSA 03.OME Part 2 (JSP 482) </b:Title>
    <b:Year>2019</b:Year>
    <b:YearAccessed>2025</b:YearAccessed>
    <b:MonthAccessed>July</b:MonthAccessed>
    <b:DayAccessed>18</b:DayAccessed>
    <b:URL>https://assets.publishing.service.gov.uk/government/uploads/system/uploads/attachment_data/file/892790/DSA_03_OME_PART_2__JSP_482__CH_24__Nov_19__-_mod_gov_uk.pdf</b:URL>
    <b:Author>
      <b:Author>
        <b:Corporate>DOSR</b:Corporate>
      </b:Author>
    </b:Author>
    <b:RefOrder>7</b:RefOrder>
  </b:Source>
  <b:Source>
    <b:Tag>Ell25</b:Tag>
    <b:SourceType>InternetSite</b:SourceType>
    <b:Guid>{129F1899-75E5-4C14-B1E8-4CF2BF690C0C}</b:Guid>
    <b:Title>Tank Autoloaders Explained: Are They Better Than Manual Loaders?</b:Title>
    <b:Year>2025</b:Year>
    <b:Month>June</b:Month>
    <b:Day>5</b:Day>
    <b:YearAccessed>2025</b:YearAccessed>
    <b:MonthAccessed>July</b:MonthAccessed>
    <b:DayAccessed>18</b:DayAccessed>
    <b:URL>https://defensefeeds.com/analysis/weapons/tank-autoloader/</b:URL>
    <b:Author>
      <b:Author>
        <b:NameList>
          <b:Person>
            <b:Last>Ellis</b:Last>
            <b:First>Harper</b:First>
          </b:Person>
        </b:NameList>
      </b:Author>
    </b:Author>
    <b:InternetSiteTitle>DefenseFeeds</b:InternetSiteTitle>
    <b:RefOrder>8</b:RefOrder>
  </b:Source>
</b:Sources>
</file>

<file path=customXml/itemProps1.xml><?xml version="1.0" encoding="utf-8"?>
<ds:datastoreItem xmlns:ds="http://schemas.openxmlformats.org/officeDocument/2006/customXml" ds:itemID="{CA2CD15C-9BA5-4F9E-95C9-0FB318C14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0</TotalTime>
  <Pages>14</Pages>
  <Words>3017</Words>
  <Characters>17198</Characters>
  <Application>Microsoft Office Word</Application>
  <DocSecurity>4</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goodwinf100</dc:creator>
  <cp:keywords/>
  <cp:lastModifiedBy>Fraser Goodwin</cp:lastModifiedBy>
  <cp:revision>2</cp:revision>
  <dcterms:created xsi:type="dcterms:W3CDTF">2025-07-18T08:37:00Z</dcterms:created>
  <dcterms:modified xsi:type="dcterms:W3CDTF">2025-07-18T08:37:00Z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2025-07-14T14:18:20Z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a850ba82-30e8-4bdf-a288-8204e2a23b08</vt:lpwstr>
  </property>
  <property fmtid="{D5CDD505-2E9C-101B-9397-08002B2CF9AE}" pid="8" name="MSIP_Label_8e28611e-2819-430a-bdf7-3581be6cbbdd_ContentBits">
    <vt:lpwstr>0</vt:lpwstr>
  </property>
</Properties>
</file>