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0DD420" w14:textId="77777777" w:rsidR="00E039DD" w:rsidRPr="00BE6EF2" w:rsidRDefault="00F739EC" w:rsidP="00E039DD">
      <w:pPr>
        <w:spacing w:before="1440" w:after="480" w:line="360" w:lineRule="auto"/>
        <w:jc w:val="center"/>
        <w:rPr>
          <w:rFonts w:ascii="Arial" w:hAnsi="Arial" w:cs="Arial"/>
          <w:b/>
          <w:bCs/>
          <w:color w:val="000000" w:themeColor="text1"/>
          <w:sz w:val="38"/>
          <w:szCs w:val="38"/>
        </w:rPr>
      </w:pPr>
      <w:r w:rsidRPr="00BE6EF2">
        <w:rPr>
          <w:rFonts w:ascii="Arial" w:hAnsi="Arial" w:cs="Arial"/>
          <w:noProof/>
        </w:rPr>
        <w:drawing>
          <wp:inline distT="0" distB="0" distL="0" distR="0" wp14:anchorId="4C087C9D" wp14:editId="46B5A8E3">
            <wp:extent cx="2741915" cy="1145100"/>
            <wp:effectExtent l="0" t="0" r="1905" b="0"/>
            <wp:docPr id="569311831"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80021" cy="1161014"/>
                    </a:xfrm>
                    <a:prstGeom prst="rect">
                      <a:avLst/>
                    </a:prstGeom>
                    <a:noFill/>
                    <a:ln>
                      <a:noFill/>
                    </a:ln>
                  </pic:spPr>
                </pic:pic>
              </a:graphicData>
            </a:graphic>
          </wp:inline>
        </w:drawing>
      </w:r>
    </w:p>
    <w:p w14:paraId="4C70B712" w14:textId="0D27F5D0" w:rsidR="00623CBC" w:rsidRPr="00BE6EF2" w:rsidRDefault="00E43203" w:rsidP="00902AC3">
      <w:pPr>
        <w:spacing w:before="1440" w:after="480" w:line="360" w:lineRule="auto"/>
        <w:jc w:val="both"/>
        <w:rPr>
          <w:rFonts w:ascii="Arial" w:hAnsi="Arial" w:cs="Arial"/>
          <w:color w:val="000000" w:themeColor="text1"/>
        </w:rPr>
      </w:pPr>
      <w:r w:rsidRPr="00BE6EF2">
        <w:rPr>
          <w:rFonts w:ascii="Arial" w:hAnsi="Arial" w:cs="Arial"/>
          <w:b/>
          <w:bCs/>
          <w:color w:val="000000" w:themeColor="text1"/>
          <w:sz w:val="38"/>
          <w:szCs w:val="38"/>
        </w:rPr>
        <w:t>Barriers to Accessing Primary Healthcare Services in Rural Communities in the United Kingdom</w:t>
      </w:r>
    </w:p>
    <w:p w14:paraId="1B2C1B63" w14:textId="77777777" w:rsidR="00623CBC" w:rsidRPr="00BE6EF2" w:rsidRDefault="00E43203" w:rsidP="00902AC3">
      <w:pPr>
        <w:spacing w:after="480" w:line="360" w:lineRule="auto"/>
        <w:jc w:val="both"/>
        <w:rPr>
          <w:rFonts w:ascii="Arial" w:hAnsi="Arial" w:cs="Arial"/>
          <w:color w:val="000000" w:themeColor="text1"/>
        </w:rPr>
      </w:pPr>
      <w:r w:rsidRPr="00BE6EF2">
        <w:rPr>
          <w:rFonts w:ascii="Arial" w:hAnsi="Arial" w:cs="Arial"/>
          <w:i/>
          <w:iCs/>
          <w:color w:val="000000" w:themeColor="text1"/>
          <w:sz w:val="26"/>
          <w:szCs w:val="26"/>
        </w:rPr>
        <w:t>A Systematic Literature Review Proposal</w:t>
      </w:r>
    </w:p>
    <w:p w14:paraId="6DE953F9" w14:textId="697321AC" w:rsidR="00F16003" w:rsidRPr="00BE6EF2" w:rsidRDefault="009B048F" w:rsidP="000D3863">
      <w:pPr>
        <w:pBdr>
          <w:top w:val="single" w:sz="6" w:space="8" w:color="B8860B"/>
        </w:pBdr>
        <w:spacing w:after="120" w:line="360" w:lineRule="auto"/>
        <w:jc w:val="center"/>
        <w:rPr>
          <w:rFonts w:ascii="Arial" w:hAnsi="Arial" w:cs="Arial"/>
          <w:color w:val="000000" w:themeColor="text1"/>
        </w:rPr>
      </w:pPr>
      <w:r w:rsidRPr="00BE6EF2">
        <w:rPr>
          <w:rFonts w:ascii="Arial" w:hAnsi="Arial" w:cs="Arial"/>
          <w:color w:val="000000" w:themeColor="text1"/>
        </w:rPr>
        <w:t>Name</w:t>
      </w:r>
      <w:r w:rsidR="000D3863" w:rsidRPr="00BE6EF2">
        <w:rPr>
          <w:rFonts w:ascii="Arial" w:hAnsi="Arial" w:cs="Arial"/>
          <w:color w:val="000000" w:themeColor="text1"/>
        </w:rPr>
        <w:t xml:space="preserve">: </w:t>
      </w:r>
      <w:r w:rsidR="00D1163B" w:rsidRPr="00BE6EF2">
        <w:rPr>
          <w:rFonts w:ascii="Arial" w:hAnsi="Arial" w:cs="Arial"/>
          <w:color w:val="000000" w:themeColor="text1"/>
        </w:rPr>
        <w:t xml:space="preserve">Hetvi </w:t>
      </w:r>
      <w:proofErr w:type="spellStart"/>
      <w:r w:rsidR="000D3863" w:rsidRPr="00BE6EF2">
        <w:rPr>
          <w:rFonts w:ascii="Arial" w:hAnsi="Arial" w:cs="Arial"/>
          <w:color w:val="000000" w:themeColor="text1"/>
        </w:rPr>
        <w:t>Rajendrasinh</w:t>
      </w:r>
      <w:proofErr w:type="spellEnd"/>
      <w:r w:rsidR="000D3863" w:rsidRPr="00BE6EF2">
        <w:rPr>
          <w:rFonts w:ascii="Arial" w:hAnsi="Arial" w:cs="Arial"/>
          <w:color w:val="000000" w:themeColor="text1"/>
        </w:rPr>
        <w:t xml:space="preserve"> </w:t>
      </w:r>
      <w:r w:rsidR="00C43007" w:rsidRPr="00BE6EF2">
        <w:rPr>
          <w:rFonts w:ascii="Arial" w:hAnsi="Arial" w:cs="Arial"/>
          <w:color w:val="000000" w:themeColor="text1"/>
        </w:rPr>
        <w:t>Sangdot</w:t>
      </w:r>
    </w:p>
    <w:p w14:paraId="6DC613D5" w14:textId="35DB901A" w:rsidR="00C43007" w:rsidRPr="00BE6EF2" w:rsidRDefault="00C43007" w:rsidP="000D3863">
      <w:pPr>
        <w:pBdr>
          <w:top w:val="single" w:sz="6" w:space="8" w:color="B8860B"/>
        </w:pBdr>
        <w:spacing w:after="120" w:line="360" w:lineRule="auto"/>
        <w:jc w:val="center"/>
        <w:rPr>
          <w:rFonts w:ascii="Arial" w:hAnsi="Arial" w:cs="Arial"/>
          <w:color w:val="000000" w:themeColor="text1"/>
        </w:rPr>
      </w:pPr>
      <w:r w:rsidRPr="00BE6EF2">
        <w:rPr>
          <w:rFonts w:ascii="Arial" w:hAnsi="Arial" w:cs="Arial"/>
          <w:color w:val="000000" w:themeColor="text1"/>
        </w:rPr>
        <w:t xml:space="preserve">Student </w:t>
      </w:r>
      <w:r w:rsidR="000D3863" w:rsidRPr="00BE6EF2">
        <w:rPr>
          <w:rFonts w:ascii="Arial" w:hAnsi="Arial" w:cs="Arial"/>
          <w:color w:val="000000" w:themeColor="text1"/>
        </w:rPr>
        <w:t>Id:2526007</w:t>
      </w:r>
    </w:p>
    <w:p w14:paraId="06236362" w14:textId="144F89CF" w:rsidR="00623CBC" w:rsidRPr="00BE6EF2" w:rsidRDefault="0002267B" w:rsidP="000D3863">
      <w:pPr>
        <w:spacing w:before="120" w:after="120" w:line="360" w:lineRule="auto"/>
        <w:jc w:val="center"/>
        <w:rPr>
          <w:rFonts w:ascii="Arial" w:hAnsi="Arial" w:cs="Arial"/>
          <w:color w:val="000000" w:themeColor="text1"/>
        </w:rPr>
      </w:pPr>
      <w:r w:rsidRPr="00BE6EF2">
        <w:rPr>
          <w:rFonts w:ascii="Arial" w:hAnsi="Arial" w:cs="Arial"/>
        </w:rPr>
        <w:t>Programme</w:t>
      </w:r>
      <w:r w:rsidR="000D3863" w:rsidRPr="00BE6EF2">
        <w:rPr>
          <w:rFonts w:ascii="Arial" w:hAnsi="Arial" w:cs="Arial"/>
        </w:rPr>
        <w:t xml:space="preserve">: </w:t>
      </w:r>
      <w:proofErr w:type="spellStart"/>
      <w:r w:rsidR="000D3863" w:rsidRPr="00BE6EF2">
        <w:rPr>
          <w:rFonts w:ascii="Arial" w:hAnsi="Arial" w:cs="Arial"/>
          <w:color w:val="000000" w:themeColor="text1"/>
        </w:rPr>
        <w:t>Msc</w:t>
      </w:r>
      <w:proofErr w:type="spellEnd"/>
      <w:r w:rsidR="000D3863" w:rsidRPr="00BE6EF2">
        <w:rPr>
          <w:rFonts w:ascii="Arial" w:hAnsi="Arial" w:cs="Arial"/>
          <w:color w:val="000000" w:themeColor="text1"/>
        </w:rPr>
        <w:t xml:space="preserve"> </w:t>
      </w:r>
      <w:r w:rsidR="00E43203" w:rsidRPr="00BE6EF2">
        <w:rPr>
          <w:rFonts w:ascii="Arial" w:hAnsi="Arial" w:cs="Arial"/>
          <w:color w:val="000000" w:themeColor="text1"/>
        </w:rPr>
        <w:t xml:space="preserve">Public Health </w:t>
      </w:r>
      <w:proofErr w:type="gramStart"/>
      <w:r w:rsidR="000D3863" w:rsidRPr="00BE6EF2">
        <w:rPr>
          <w:rFonts w:ascii="Arial" w:hAnsi="Arial" w:cs="Arial"/>
          <w:color w:val="000000" w:themeColor="text1"/>
        </w:rPr>
        <w:t>And</w:t>
      </w:r>
      <w:proofErr w:type="gramEnd"/>
      <w:r w:rsidR="000D3863" w:rsidRPr="00BE6EF2">
        <w:rPr>
          <w:rFonts w:ascii="Arial" w:hAnsi="Arial" w:cs="Arial"/>
          <w:color w:val="000000" w:themeColor="text1"/>
        </w:rPr>
        <w:t xml:space="preserve"> </w:t>
      </w:r>
      <w:r w:rsidR="00E43203" w:rsidRPr="00BE6EF2">
        <w:rPr>
          <w:rFonts w:ascii="Arial" w:hAnsi="Arial" w:cs="Arial"/>
          <w:color w:val="000000" w:themeColor="text1"/>
        </w:rPr>
        <w:t xml:space="preserve">Social Care </w:t>
      </w:r>
      <w:proofErr w:type="gramStart"/>
      <w:r w:rsidR="000D3863" w:rsidRPr="00BE6EF2">
        <w:rPr>
          <w:rFonts w:ascii="Arial" w:hAnsi="Arial" w:cs="Arial"/>
          <w:color w:val="000000" w:themeColor="text1"/>
        </w:rPr>
        <w:t>In</w:t>
      </w:r>
      <w:proofErr w:type="gramEnd"/>
      <w:r w:rsidR="000D3863" w:rsidRPr="00BE6EF2">
        <w:rPr>
          <w:rFonts w:ascii="Arial" w:hAnsi="Arial" w:cs="Arial"/>
          <w:color w:val="000000" w:themeColor="text1"/>
        </w:rPr>
        <w:t xml:space="preserve"> </w:t>
      </w:r>
      <w:r w:rsidR="00E43203" w:rsidRPr="00BE6EF2">
        <w:rPr>
          <w:rFonts w:ascii="Arial" w:hAnsi="Arial" w:cs="Arial"/>
          <w:color w:val="000000" w:themeColor="text1"/>
        </w:rPr>
        <w:t>Practice</w:t>
      </w:r>
    </w:p>
    <w:p w14:paraId="4749C0C7" w14:textId="48EA0EFB" w:rsidR="0002267B" w:rsidRPr="00BE6EF2" w:rsidRDefault="009B048F" w:rsidP="000D3863">
      <w:pPr>
        <w:spacing w:before="120" w:after="120" w:line="360" w:lineRule="auto"/>
        <w:jc w:val="center"/>
        <w:rPr>
          <w:rFonts w:ascii="Arial" w:hAnsi="Arial" w:cs="Arial"/>
        </w:rPr>
      </w:pPr>
      <w:r w:rsidRPr="00BE6EF2">
        <w:rPr>
          <w:rFonts w:ascii="Arial" w:hAnsi="Arial" w:cs="Arial"/>
          <w:color w:val="000000" w:themeColor="text1"/>
        </w:rPr>
        <w:t xml:space="preserve">Module </w:t>
      </w:r>
      <w:r w:rsidR="000D3863" w:rsidRPr="00BE6EF2">
        <w:rPr>
          <w:rFonts w:ascii="Arial" w:hAnsi="Arial" w:cs="Arial"/>
          <w:color w:val="000000" w:themeColor="text1"/>
        </w:rPr>
        <w:t>Name:</w:t>
      </w:r>
      <w:r w:rsidR="000D3863" w:rsidRPr="00BE6EF2">
        <w:rPr>
          <w:rFonts w:ascii="Arial" w:hAnsi="Arial" w:cs="Arial"/>
        </w:rPr>
        <w:t xml:space="preserve"> </w:t>
      </w:r>
      <w:r w:rsidRPr="00BE6EF2">
        <w:rPr>
          <w:rFonts w:ascii="Arial" w:hAnsi="Arial" w:cs="Arial"/>
        </w:rPr>
        <w:t>Practice</w:t>
      </w:r>
      <w:r w:rsidR="000D3863" w:rsidRPr="00BE6EF2">
        <w:rPr>
          <w:rFonts w:ascii="Arial" w:hAnsi="Arial" w:cs="Arial"/>
        </w:rPr>
        <w:t>-</w:t>
      </w:r>
      <w:r w:rsidRPr="00BE6EF2">
        <w:rPr>
          <w:rFonts w:ascii="Arial" w:hAnsi="Arial" w:cs="Arial"/>
        </w:rPr>
        <w:t>Based Research</w:t>
      </w:r>
    </w:p>
    <w:p w14:paraId="16A865D8" w14:textId="6587404B" w:rsidR="00623CBC" w:rsidRPr="00BE6EF2" w:rsidRDefault="00E43203" w:rsidP="000D3863">
      <w:pPr>
        <w:spacing w:after="80" w:line="360" w:lineRule="auto"/>
        <w:jc w:val="center"/>
        <w:rPr>
          <w:rFonts w:ascii="Arial" w:hAnsi="Arial" w:cs="Arial"/>
          <w:color w:val="000000" w:themeColor="text1"/>
        </w:rPr>
      </w:pPr>
      <w:r w:rsidRPr="00BE6EF2">
        <w:rPr>
          <w:rFonts w:ascii="Arial" w:hAnsi="Arial" w:cs="Arial"/>
          <w:color w:val="000000" w:themeColor="text1"/>
        </w:rPr>
        <w:t>Module</w:t>
      </w:r>
      <w:r w:rsidR="0002267B" w:rsidRPr="00BE6EF2">
        <w:rPr>
          <w:rFonts w:ascii="Arial" w:hAnsi="Arial" w:cs="Arial"/>
          <w:color w:val="000000" w:themeColor="text1"/>
        </w:rPr>
        <w:t xml:space="preserve"> </w:t>
      </w:r>
      <w:r w:rsidR="000D3863" w:rsidRPr="00BE6EF2">
        <w:rPr>
          <w:rFonts w:ascii="Arial" w:hAnsi="Arial" w:cs="Arial"/>
          <w:color w:val="000000" w:themeColor="text1"/>
        </w:rPr>
        <w:t xml:space="preserve">Code: </w:t>
      </w:r>
      <w:r w:rsidRPr="00BE6EF2">
        <w:rPr>
          <w:rFonts w:ascii="Arial" w:hAnsi="Arial" w:cs="Arial"/>
          <w:color w:val="000000" w:themeColor="text1"/>
        </w:rPr>
        <w:t>LCHS7008</w:t>
      </w:r>
    </w:p>
    <w:p w14:paraId="7D9D51F4" w14:textId="2F3AC91F" w:rsidR="00644C48" w:rsidRPr="00BE6EF2" w:rsidRDefault="00E43203" w:rsidP="000D3863">
      <w:pPr>
        <w:spacing w:after="80" w:line="360" w:lineRule="auto"/>
        <w:jc w:val="center"/>
        <w:rPr>
          <w:rFonts w:ascii="Arial" w:hAnsi="Arial" w:cs="Arial"/>
          <w:color w:val="000000" w:themeColor="text1"/>
        </w:rPr>
      </w:pPr>
      <w:r w:rsidRPr="00BE6EF2">
        <w:rPr>
          <w:rFonts w:ascii="Arial" w:hAnsi="Arial" w:cs="Arial"/>
          <w:color w:val="000000" w:themeColor="text1"/>
        </w:rPr>
        <w:t>Supervisor</w:t>
      </w:r>
      <w:r w:rsidR="000D3863" w:rsidRPr="00BE6EF2">
        <w:rPr>
          <w:rFonts w:ascii="Arial" w:hAnsi="Arial" w:cs="Arial"/>
          <w:color w:val="000000" w:themeColor="text1"/>
        </w:rPr>
        <w:t xml:space="preserve">: </w:t>
      </w:r>
      <w:r w:rsidRPr="00BE6EF2">
        <w:rPr>
          <w:rFonts w:ascii="Arial" w:hAnsi="Arial" w:cs="Arial"/>
          <w:color w:val="000000" w:themeColor="text1"/>
        </w:rPr>
        <w:t>Dr Zeno Leung</w:t>
      </w:r>
    </w:p>
    <w:p w14:paraId="0AC385F3" w14:textId="77777777" w:rsidR="00644C48" w:rsidRPr="00BE6EF2" w:rsidRDefault="00644C48" w:rsidP="00902AC3">
      <w:pPr>
        <w:spacing w:after="80" w:line="360" w:lineRule="auto"/>
        <w:jc w:val="both"/>
        <w:rPr>
          <w:rFonts w:ascii="Arial" w:hAnsi="Arial" w:cs="Arial"/>
          <w:color w:val="000000" w:themeColor="text1"/>
        </w:rPr>
      </w:pPr>
    </w:p>
    <w:p w14:paraId="670EB63C" w14:textId="77777777" w:rsidR="00644C48" w:rsidRPr="00BE6EF2" w:rsidRDefault="00644C48" w:rsidP="00902AC3">
      <w:pPr>
        <w:spacing w:after="80" w:line="360" w:lineRule="auto"/>
        <w:jc w:val="both"/>
        <w:rPr>
          <w:rFonts w:ascii="Arial" w:hAnsi="Arial" w:cs="Arial"/>
          <w:color w:val="000000" w:themeColor="text1"/>
        </w:rPr>
      </w:pPr>
    </w:p>
    <w:p w14:paraId="6A037414" w14:textId="77777777" w:rsidR="00644C48" w:rsidRPr="00BE6EF2" w:rsidRDefault="00644C48" w:rsidP="00902AC3">
      <w:pPr>
        <w:spacing w:after="80" w:line="360" w:lineRule="auto"/>
        <w:jc w:val="both"/>
        <w:rPr>
          <w:rFonts w:ascii="Arial" w:hAnsi="Arial" w:cs="Arial"/>
          <w:color w:val="000000" w:themeColor="text1"/>
        </w:rPr>
      </w:pPr>
    </w:p>
    <w:sdt>
      <w:sdtPr>
        <w:rPr>
          <w:rFonts w:ascii="Arial" w:hAnsi="Arial" w:cs="Arial"/>
        </w:rPr>
        <w:id w:val="2113941893"/>
        <w:docPartObj>
          <w:docPartGallery w:val="Table of Contents"/>
          <w:docPartUnique/>
        </w:docPartObj>
      </w:sdtPr>
      <w:sdtEndPr>
        <w:rPr>
          <w:rFonts w:eastAsiaTheme="minorEastAsia"/>
          <w:b/>
          <w:bCs/>
          <w:noProof/>
          <w:color w:val="auto"/>
          <w:sz w:val="22"/>
          <w:szCs w:val="22"/>
        </w:rPr>
      </w:sdtEndPr>
      <w:sdtContent>
        <w:p w14:paraId="767DAF71" w14:textId="5597E388" w:rsidR="00A229F1" w:rsidRPr="00BE6EF2" w:rsidRDefault="00A229F1">
          <w:pPr>
            <w:pStyle w:val="TOCHeading"/>
            <w:rPr>
              <w:rFonts w:ascii="Arial" w:hAnsi="Arial" w:cs="Arial"/>
            </w:rPr>
          </w:pPr>
          <w:r w:rsidRPr="00BE6EF2">
            <w:rPr>
              <w:rFonts w:ascii="Arial" w:hAnsi="Arial" w:cs="Arial"/>
            </w:rPr>
            <w:t>Contents</w:t>
          </w:r>
        </w:p>
        <w:p w14:paraId="5F8CBCA2" w14:textId="328BDEC7" w:rsidR="003C7DBD" w:rsidRDefault="00A229F1">
          <w:pPr>
            <w:pStyle w:val="TOC1"/>
            <w:tabs>
              <w:tab w:val="left" w:pos="480"/>
              <w:tab w:val="right" w:leader="dot" w:pos="9350"/>
            </w:tabs>
            <w:rPr>
              <w:noProof/>
              <w:kern w:val="2"/>
              <w:sz w:val="24"/>
              <w:szCs w:val="24"/>
              <w:lang w:val="en-US"/>
              <w14:ligatures w14:val="standardContextual"/>
            </w:rPr>
          </w:pPr>
          <w:r w:rsidRPr="00BE6EF2">
            <w:rPr>
              <w:rFonts w:ascii="Arial" w:hAnsi="Arial" w:cs="Arial"/>
            </w:rPr>
            <w:fldChar w:fldCharType="begin"/>
          </w:r>
          <w:r w:rsidRPr="00BE6EF2">
            <w:rPr>
              <w:rFonts w:ascii="Arial" w:hAnsi="Arial" w:cs="Arial"/>
            </w:rPr>
            <w:instrText xml:space="preserve"> TOC \o "1-3" \h \z \u </w:instrText>
          </w:r>
          <w:r w:rsidRPr="00BE6EF2">
            <w:rPr>
              <w:rFonts w:ascii="Arial" w:hAnsi="Arial" w:cs="Arial"/>
            </w:rPr>
            <w:fldChar w:fldCharType="separate"/>
          </w:r>
          <w:hyperlink w:anchor="_Toc235393932" w:history="1">
            <w:r w:rsidR="003C7DBD" w:rsidRPr="00BB6AA9">
              <w:rPr>
                <w:rStyle w:val="Hyperlink"/>
                <w:rFonts w:ascii="Arial" w:hAnsi="Arial" w:cs="Arial"/>
                <w:noProof/>
              </w:rPr>
              <w:t>1.</w:t>
            </w:r>
            <w:r w:rsidR="003C7DBD">
              <w:rPr>
                <w:noProof/>
                <w:kern w:val="2"/>
                <w:sz w:val="24"/>
                <w:szCs w:val="24"/>
                <w:lang w:val="en-US"/>
                <w14:ligatures w14:val="standardContextual"/>
              </w:rPr>
              <w:tab/>
            </w:r>
            <w:r w:rsidR="003C7DBD" w:rsidRPr="00BB6AA9">
              <w:rPr>
                <w:rStyle w:val="Hyperlink"/>
                <w:rFonts w:ascii="Arial" w:hAnsi="Arial" w:cs="Arial"/>
                <w:noProof/>
              </w:rPr>
              <w:t>Prevalence of the Problem</w:t>
            </w:r>
            <w:r w:rsidR="003C7DBD">
              <w:rPr>
                <w:noProof/>
                <w:webHidden/>
              </w:rPr>
              <w:tab/>
            </w:r>
            <w:r w:rsidR="003C7DBD">
              <w:rPr>
                <w:noProof/>
                <w:webHidden/>
              </w:rPr>
              <w:fldChar w:fldCharType="begin"/>
            </w:r>
            <w:r w:rsidR="003C7DBD">
              <w:rPr>
                <w:noProof/>
                <w:webHidden/>
              </w:rPr>
              <w:instrText xml:space="preserve"> PAGEREF _Toc235393932 \h </w:instrText>
            </w:r>
            <w:r w:rsidR="003C7DBD">
              <w:rPr>
                <w:noProof/>
                <w:webHidden/>
              </w:rPr>
            </w:r>
            <w:r w:rsidR="003C7DBD">
              <w:rPr>
                <w:noProof/>
                <w:webHidden/>
              </w:rPr>
              <w:fldChar w:fldCharType="separate"/>
            </w:r>
            <w:r w:rsidR="003C7DBD">
              <w:rPr>
                <w:noProof/>
                <w:webHidden/>
              </w:rPr>
              <w:t>3</w:t>
            </w:r>
            <w:r w:rsidR="003C7DBD">
              <w:rPr>
                <w:noProof/>
                <w:webHidden/>
              </w:rPr>
              <w:fldChar w:fldCharType="end"/>
            </w:r>
          </w:hyperlink>
        </w:p>
        <w:p w14:paraId="352D74DC" w14:textId="63619911" w:rsidR="003C7DBD" w:rsidRDefault="003C7DBD">
          <w:pPr>
            <w:pStyle w:val="TOC1"/>
            <w:tabs>
              <w:tab w:val="left" w:pos="480"/>
              <w:tab w:val="right" w:leader="dot" w:pos="9350"/>
            </w:tabs>
            <w:rPr>
              <w:noProof/>
              <w:kern w:val="2"/>
              <w:sz w:val="24"/>
              <w:szCs w:val="24"/>
              <w:lang w:val="en-US"/>
              <w14:ligatures w14:val="standardContextual"/>
            </w:rPr>
          </w:pPr>
          <w:hyperlink w:anchor="_Toc235393933" w:history="1">
            <w:r w:rsidRPr="00BB6AA9">
              <w:rPr>
                <w:rStyle w:val="Hyperlink"/>
                <w:rFonts w:ascii="Arial" w:hAnsi="Arial" w:cs="Arial"/>
                <w:noProof/>
              </w:rPr>
              <w:t>2.</w:t>
            </w:r>
            <w:r>
              <w:rPr>
                <w:noProof/>
                <w:kern w:val="2"/>
                <w:sz w:val="24"/>
                <w:szCs w:val="24"/>
                <w:lang w:val="en-US"/>
                <w14:ligatures w14:val="standardContextual"/>
              </w:rPr>
              <w:tab/>
            </w:r>
            <w:r w:rsidRPr="00BB6AA9">
              <w:rPr>
                <w:rStyle w:val="Hyperlink"/>
                <w:rFonts w:ascii="Arial" w:hAnsi="Arial" w:cs="Arial"/>
                <w:noProof/>
              </w:rPr>
              <w:t>Introduction and Literature-Based Background</w:t>
            </w:r>
            <w:r>
              <w:rPr>
                <w:noProof/>
                <w:webHidden/>
              </w:rPr>
              <w:tab/>
            </w:r>
            <w:r>
              <w:rPr>
                <w:noProof/>
                <w:webHidden/>
              </w:rPr>
              <w:fldChar w:fldCharType="begin"/>
            </w:r>
            <w:r>
              <w:rPr>
                <w:noProof/>
                <w:webHidden/>
              </w:rPr>
              <w:instrText xml:space="preserve"> PAGEREF _Toc235393933 \h </w:instrText>
            </w:r>
            <w:r>
              <w:rPr>
                <w:noProof/>
                <w:webHidden/>
              </w:rPr>
            </w:r>
            <w:r>
              <w:rPr>
                <w:noProof/>
                <w:webHidden/>
              </w:rPr>
              <w:fldChar w:fldCharType="separate"/>
            </w:r>
            <w:r>
              <w:rPr>
                <w:noProof/>
                <w:webHidden/>
              </w:rPr>
              <w:t>3</w:t>
            </w:r>
            <w:r>
              <w:rPr>
                <w:noProof/>
                <w:webHidden/>
              </w:rPr>
              <w:fldChar w:fldCharType="end"/>
            </w:r>
          </w:hyperlink>
        </w:p>
        <w:p w14:paraId="2BE8E5E1" w14:textId="76652E5A" w:rsidR="003C7DBD" w:rsidRDefault="003C7DBD">
          <w:pPr>
            <w:pStyle w:val="TOC1"/>
            <w:tabs>
              <w:tab w:val="left" w:pos="480"/>
              <w:tab w:val="right" w:leader="dot" w:pos="9350"/>
            </w:tabs>
            <w:rPr>
              <w:noProof/>
              <w:kern w:val="2"/>
              <w:sz w:val="24"/>
              <w:szCs w:val="24"/>
              <w:lang w:val="en-US"/>
              <w14:ligatures w14:val="standardContextual"/>
            </w:rPr>
          </w:pPr>
          <w:hyperlink w:anchor="_Toc235393934" w:history="1">
            <w:r w:rsidRPr="00BB6AA9">
              <w:rPr>
                <w:rStyle w:val="Hyperlink"/>
                <w:rFonts w:ascii="Arial" w:hAnsi="Arial" w:cs="Arial"/>
                <w:noProof/>
              </w:rPr>
              <w:t>3.</w:t>
            </w:r>
            <w:r>
              <w:rPr>
                <w:noProof/>
                <w:kern w:val="2"/>
                <w:sz w:val="24"/>
                <w:szCs w:val="24"/>
                <w:lang w:val="en-US"/>
                <w14:ligatures w14:val="standardContextual"/>
              </w:rPr>
              <w:tab/>
            </w:r>
            <w:r w:rsidRPr="00BB6AA9">
              <w:rPr>
                <w:rStyle w:val="Hyperlink"/>
                <w:rFonts w:ascii="Arial" w:hAnsi="Arial" w:cs="Arial"/>
                <w:noProof/>
              </w:rPr>
              <w:t>Rationale</w:t>
            </w:r>
            <w:r>
              <w:rPr>
                <w:noProof/>
                <w:webHidden/>
              </w:rPr>
              <w:tab/>
            </w:r>
            <w:r>
              <w:rPr>
                <w:noProof/>
                <w:webHidden/>
              </w:rPr>
              <w:fldChar w:fldCharType="begin"/>
            </w:r>
            <w:r>
              <w:rPr>
                <w:noProof/>
                <w:webHidden/>
              </w:rPr>
              <w:instrText xml:space="preserve"> PAGEREF _Toc235393934 \h </w:instrText>
            </w:r>
            <w:r>
              <w:rPr>
                <w:noProof/>
                <w:webHidden/>
              </w:rPr>
            </w:r>
            <w:r>
              <w:rPr>
                <w:noProof/>
                <w:webHidden/>
              </w:rPr>
              <w:fldChar w:fldCharType="separate"/>
            </w:r>
            <w:r>
              <w:rPr>
                <w:noProof/>
                <w:webHidden/>
              </w:rPr>
              <w:t>4</w:t>
            </w:r>
            <w:r>
              <w:rPr>
                <w:noProof/>
                <w:webHidden/>
              </w:rPr>
              <w:fldChar w:fldCharType="end"/>
            </w:r>
          </w:hyperlink>
        </w:p>
        <w:p w14:paraId="20C7A6EE" w14:textId="5DD6C521" w:rsidR="003C7DBD" w:rsidRDefault="003C7DBD">
          <w:pPr>
            <w:pStyle w:val="TOC1"/>
            <w:tabs>
              <w:tab w:val="left" w:pos="480"/>
              <w:tab w:val="right" w:leader="dot" w:pos="9350"/>
            </w:tabs>
            <w:rPr>
              <w:noProof/>
              <w:kern w:val="2"/>
              <w:sz w:val="24"/>
              <w:szCs w:val="24"/>
              <w:lang w:val="en-US"/>
              <w14:ligatures w14:val="standardContextual"/>
            </w:rPr>
          </w:pPr>
          <w:hyperlink w:anchor="_Toc235393935" w:history="1">
            <w:r w:rsidRPr="00BB6AA9">
              <w:rPr>
                <w:rStyle w:val="Hyperlink"/>
                <w:rFonts w:ascii="Arial" w:hAnsi="Arial" w:cs="Arial"/>
                <w:noProof/>
              </w:rPr>
              <w:t>4.</w:t>
            </w:r>
            <w:r>
              <w:rPr>
                <w:noProof/>
                <w:kern w:val="2"/>
                <w:sz w:val="24"/>
                <w:szCs w:val="24"/>
                <w:lang w:val="en-US"/>
                <w14:ligatures w14:val="standardContextual"/>
              </w:rPr>
              <w:tab/>
            </w:r>
            <w:r w:rsidRPr="00BB6AA9">
              <w:rPr>
                <w:rStyle w:val="Hyperlink"/>
                <w:rFonts w:ascii="Arial" w:hAnsi="Arial" w:cs="Arial"/>
                <w:noProof/>
              </w:rPr>
              <w:t>Research Question</w:t>
            </w:r>
            <w:r>
              <w:rPr>
                <w:noProof/>
                <w:webHidden/>
              </w:rPr>
              <w:tab/>
            </w:r>
            <w:r>
              <w:rPr>
                <w:noProof/>
                <w:webHidden/>
              </w:rPr>
              <w:fldChar w:fldCharType="begin"/>
            </w:r>
            <w:r>
              <w:rPr>
                <w:noProof/>
                <w:webHidden/>
              </w:rPr>
              <w:instrText xml:space="preserve"> PAGEREF _Toc235393935 \h </w:instrText>
            </w:r>
            <w:r>
              <w:rPr>
                <w:noProof/>
                <w:webHidden/>
              </w:rPr>
            </w:r>
            <w:r>
              <w:rPr>
                <w:noProof/>
                <w:webHidden/>
              </w:rPr>
              <w:fldChar w:fldCharType="separate"/>
            </w:r>
            <w:r>
              <w:rPr>
                <w:noProof/>
                <w:webHidden/>
              </w:rPr>
              <w:t>5</w:t>
            </w:r>
            <w:r>
              <w:rPr>
                <w:noProof/>
                <w:webHidden/>
              </w:rPr>
              <w:fldChar w:fldCharType="end"/>
            </w:r>
          </w:hyperlink>
        </w:p>
        <w:p w14:paraId="265BC929" w14:textId="4E721031" w:rsidR="003C7DBD" w:rsidRDefault="003C7DBD">
          <w:pPr>
            <w:pStyle w:val="TOC1"/>
            <w:tabs>
              <w:tab w:val="left" w:pos="480"/>
              <w:tab w:val="right" w:leader="dot" w:pos="9350"/>
            </w:tabs>
            <w:rPr>
              <w:noProof/>
              <w:kern w:val="2"/>
              <w:sz w:val="24"/>
              <w:szCs w:val="24"/>
              <w:lang w:val="en-US"/>
              <w14:ligatures w14:val="standardContextual"/>
            </w:rPr>
          </w:pPr>
          <w:hyperlink w:anchor="_Toc235393936" w:history="1">
            <w:r w:rsidRPr="00BB6AA9">
              <w:rPr>
                <w:rStyle w:val="Hyperlink"/>
                <w:rFonts w:ascii="Arial" w:hAnsi="Arial" w:cs="Arial"/>
                <w:noProof/>
              </w:rPr>
              <w:t>5.</w:t>
            </w:r>
            <w:r>
              <w:rPr>
                <w:noProof/>
                <w:kern w:val="2"/>
                <w:sz w:val="24"/>
                <w:szCs w:val="24"/>
                <w:lang w:val="en-US"/>
                <w14:ligatures w14:val="standardContextual"/>
              </w:rPr>
              <w:tab/>
            </w:r>
            <w:r w:rsidRPr="00BB6AA9">
              <w:rPr>
                <w:rStyle w:val="Hyperlink"/>
                <w:rFonts w:ascii="Arial" w:hAnsi="Arial" w:cs="Arial"/>
                <w:noProof/>
              </w:rPr>
              <w:t>Research Aim</w:t>
            </w:r>
            <w:r>
              <w:rPr>
                <w:noProof/>
                <w:webHidden/>
              </w:rPr>
              <w:tab/>
            </w:r>
            <w:r>
              <w:rPr>
                <w:noProof/>
                <w:webHidden/>
              </w:rPr>
              <w:fldChar w:fldCharType="begin"/>
            </w:r>
            <w:r>
              <w:rPr>
                <w:noProof/>
                <w:webHidden/>
              </w:rPr>
              <w:instrText xml:space="preserve"> PAGEREF _Toc235393936 \h </w:instrText>
            </w:r>
            <w:r>
              <w:rPr>
                <w:noProof/>
                <w:webHidden/>
              </w:rPr>
            </w:r>
            <w:r>
              <w:rPr>
                <w:noProof/>
                <w:webHidden/>
              </w:rPr>
              <w:fldChar w:fldCharType="separate"/>
            </w:r>
            <w:r>
              <w:rPr>
                <w:noProof/>
                <w:webHidden/>
              </w:rPr>
              <w:t>5</w:t>
            </w:r>
            <w:r>
              <w:rPr>
                <w:noProof/>
                <w:webHidden/>
              </w:rPr>
              <w:fldChar w:fldCharType="end"/>
            </w:r>
          </w:hyperlink>
        </w:p>
        <w:p w14:paraId="2A40F56D" w14:textId="31BA78BD" w:rsidR="003C7DBD" w:rsidRDefault="003C7DBD">
          <w:pPr>
            <w:pStyle w:val="TOC1"/>
            <w:tabs>
              <w:tab w:val="left" w:pos="480"/>
              <w:tab w:val="right" w:leader="dot" w:pos="9350"/>
            </w:tabs>
            <w:rPr>
              <w:noProof/>
              <w:kern w:val="2"/>
              <w:sz w:val="24"/>
              <w:szCs w:val="24"/>
              <w:lang w:val="en-US"/>
              <w14:ligatures w14:val="standardContextual"/>
            </w:rPr>
          </w:pPr>
          <w:hyperlink w:anchor="_Toc235393937" w:history="1">
            <w:r w:rsidRPr="00BB6AA9">
              <w:rPr>
                <w:rStyle w:val="Hyperlink"/>
                <w:rFonts w:ascii="Arial" w:hAnsi="Arial" w:cs="Arial"/>
                <w:noProof/>
              </w:rPr>
              <w:t>6.</w:t>
            </w:r>
            <w:r>
              <w:rPr>
                <w:noProof/>
                <w:kern w:val="2"/>
                <w:sz w:val="24"/>
                <w:szCs w:val="24"/>
                <w:lang w:val="en-US"/>
                <w14:ligatures w14:val="standardContextual"/>
              </w:rPr>
              <w:tab/>
            </w:r>
            <w:r w:rsidRPr="00BB6AA9">
              <w:rPr>
                <w:rStyle w:val="Hyperlink"/>
                <w:rFonts w:ascii="Arial" w:hAnsi="Arial" w:cs="Arial"/>
                <w:noProof/>
              </w:rPr>
              <w:t>Research Objectives</w:t>
            </w:r>
            <w:r>
              <w:rPr>
                <w:noProof/>
                <w:webHidden/>
              </w:rPr>
              <w:tab/>
            </w:r>
            <w:r>
              <w:rPr>
                <w:noProof/>
                <w:webHidden/>
              </w:rPr>
              <w:fldChar w:fldCharType="begin"/>
            </w:r>
            <w:r>
              <w:rPr>
                <w:noProof/>
                <w:webHidden/>
              </w:rPr>
              <w:instrText xml:space="preserve"> PAGEREF _Toc235393937 \h </w:instrText>
            </w:r>
            <w:r>
              <w:rPr>
                <w:noProof/>
                <w:webHidden/>
              </w:rPr>
            </w:r>
            <w:r>
              <w:rPr>
                <w:noProof/>
                <w:webHidden/>
              </w:rPr>
              <w:fldChar w:fldCharType="separate"/>
            </w:r>
            <w:r>
              <w:rPr>
                <w:noProof/>
                <w:webHidden/>
              </w:rPr>
              <w:t>5</w:t>
            </w:r>
            <w:r>
              <w:rPr>
                <w:noProof/>
                <w:webHidden/>
              </w:rPr>
              <w:fldChar w:fldCharType="end"/>
            </w:r>
          </w:hyperlink>
        </w:p>
        <w:p w14:paraId="19140DAC" w14:textId="50C5F4E4" w:rsidR="003C7DBD" w:rsidRDefault="003C7DBD">
          <w:pPr>
            <w:pStyle w:val="TOC1"/>
            <w:tabs>
              <w:tab w:val="left" w:pos="480"/>
              <w:tab w:val="right" w:leader="dot" w:pos="9350"/>
            </w:tabs>
            <w:rPr>
              <w:noProof/>
              <w:kern w:val="2"/>
              <w:sz w:val="24"/>
              <w:szCs w:val="24"/>
              <w:lang w:val="en-US"/>
              <w14:ligatures w14:val="standardContextual"/>
            </w:rPr>
          </w:pPr>
          <w:hyperlink w:anchor="_Toc235393938" w:history="1">
            <w:r w:rsidRPr="00BB6AA9">
              <w:rPr>
                <w:rStyle w:val="Hyperlink"/>
                <w:rFonts w:ascii="Arial" w:hAnsi="Arial" w:cs="Arial"/>
                <w:noProof/>
              </w:rPr>
              <w:t>7.</w:t>
            </w:r>
            <w:r>
              <w:rPr>
                <w:noProof/>
                <w:kern w:val="2"/>
                <w:sz w:val="24"/>
                <w:szCs w:val="24"/>
                <w:lang w:val="en-US"/>
                <w14:ligatures w14:val="standardContextual"/>
              </w:rPr>
              <w:tab/>
            </w:r>
            <w:r w:rsidRPr="00BB6AA9">
              <w:rPr>
                <w:rStyle w:val="Hyperlink"/>
                <w:rFonts w:ascii="Arial" w:hAnsi="Arial" w:cs="Arial"/>
                <w:noProof/>
              </w:rPr>
              <w:t>Research Methodology</w:t>
            </w:r>
            <w:r>
              <w:rPr>
                <w:noProof/>
                <w:webHidden/>
              </w:rPr>
              <w:tab/>
            </w:r>
            <w:r>
              <w:rPr>
                <w:noProof/>
                <w:webHidden/>
              </w:rPr>
              <w:fldChar w:fldCharType="begin"/>
            </w:r>
            <w:r>
              <w:rPr>
                <w:noProof/>
                <w:webHidden/>
              </w:rPr>
              <w:instrText xml:space="preserve"> PAGEREF _Toc235393938 \h </w:instrText>
            </w:r>
            <w:r>
              <w:rPr>
                <w:noProof/>
                <w:webHidden/>
              </w:rPr>
            </w:r>
            <w:r>
              <w:rPr>
                <w:noProof/>
                <w:webHidden/>
              </w:rPr>
              <w:fldChar w:fldCharType="separate"/>
            </w:r>
            <w:r>
              <w:rPr>
                <w:noProof/>
                <w:webHidden/>
              </w:rPr>
              <w:t>6</w:t>
            </w:r>
            <w:r>
              <w:rPr>
                <w:noProof/>
                <w:webHidden/>
              </w:rPr>
              <w:fldChar w:fldCharType="end"/>
            </w:r>
          </w:hyperlink>
        </w:p>
        <w:p w14:paraId="315D465E" w14:textId="1357CECE" w:rsidR="003C7DBD" w:rsidRDefault="003C7DBD">
          <w:pPr>
            <w:pStyle w:val="TOC2"/>
            <w:tabs>
              <w:tab w:val="left" w:pos="960"/>
              <w:tab w:val="right" w:leader="dot" w:pos="9350"/>
            </w:tabs>
            <w:rPr>
              <w:noProof/>
              <w:kern w:val="2"/>
              <w:sz w:val="24"/>
              <w:szCs w:val="24"/>
              <w:lang w:val="en-US"/>
              <w14:ligatures w14:val="standardContextual"/>
            </w:rPr>
          </w:pPr>
          <w:hyperlink w:anchor="_Toc235393939" w:history="1">
            <w:r w:rsidRPr="00BB6AA9">
              <w:rPr>
                <w:rStyle w:val="Hyperlink"/>
                <w:rFonts w:ascii="Arial" w:hAnsi="Arial" w:cs="Arial"/>
                <w:noProof/>
              </w:rPr>
              <w:t>7.1</w:t>
            </w:r>
            <w:r>
              <w:rPr>
                <w:noProof/>
                <w:kern w:val="2"/>
                <w:sz w:val="24"/>
                <w:szCs w:val="24"/>
                <w:lang w:val="en-US"/>
                <w14:ligatures w14:val="standardContextual"/>
              </w:rPr>
              <w:tab/>
            </w:r>
            <w:r w:rsidRPr="00BB6AA9">
              <w:rPr>
                <w:rStyle w:val="Hyperlink"/>
                <w:rFonts w:ascii="Arial" w:hAnsi="Arial" w:cs="Arial"/>
                <w:noProof/>
              </w:rPr>
              <w:t>Research Design</w:t>
            </w:r>
            <w:r>
              <w:rPr>
                <w:noProof/>
                <w:webHidden/>
              </w:rPr>
              <w:tab/>
            </w:r>
            <w:r>
              <w:rPr>
                <w:noProof/>
                <w:webHidden/>
              </w:rPr>
              <w:fldChar w:fldCharType="begin"/>
            </w:r>
            <w:r>
              <w:rPr>
                <w:noProof/>
                <w:webHidden/>
              </w:rPr>
              <w:instrText xml:space="preserve"> PAGEREF _Toc235393939 \h </w:instrText>
            </w:r>
            <w:r>
              <w:rPr>
                <w:noProof/>
                <w:webHidden/>
              </w:rPr>
            </w:r>
            <w:r>
              <w:rPr>
                <w:noProof/>
                <w:webHidden/>
              </w:rPr>
              <w:fldChar w:fldCharType="separate"/>
            </w:r>
            <w:r>
              <w:rPr>
                <w:noProof/>
                <w:webHidden/>
              </w:rPr>
              <w:t>6</w:t>
            </w:r>
            <w:r>
              <w:rPr>
                <w:noProof/>
                <w:webHidden/>
              </w:rPr>
              <w:fldChar w:fldCharType="end"/>
            </w:r>
          </w:hyperlink>
        </w:p>
        <w:p w14:paraId="6261578B" w14:textId="25CDC02D" w:rsidR="003C7DBD" w:rsidRDefault="003C7DBD">
          <w:pPr>
            <w:pStyle w:val="TOC2"/>
            <w:tabs>
              <w:tab w:val="left" w:pos="960"/>
              <w:tab w:val="right" w:leader="dot" w:pos="9350"/>
            </w:tabs>
            <w:rPr>
              <w:noProof/>
              <w:kern w:val="2"/>
              <w:sz w:val="24"/>
              <w:szCs w:val="24"/>
              <w:lang w:val="en-US"/>
              <w14:ligatures w14:val="standardContextual"/>
            </w:rPr>
          </w:pPr>
          <w:hyperlink w:anchor="_Toc235393940" w:history="1">
            <w:r w:rsidRPr="00BB6AA9">
              <w:rPr>
                <w:rStyle w:val="Hyperlink"/>
                <w:rFonts w:ascii="Arial" w:hAnsi="Arial" w:cs="Arial"/>
                <w:noProof/>
              </w:rPr>
              <w:t>7.2</w:t>
            </w:r>
            <w:r>
              <w:rPr>
                <w:noProof/>
                <w:kern w:val="2"/>
                <w:sz w:val="24"/>
                <w:szCs w:val="24"/>
                <w:lang w:val="en-US"/>
                <w14:ligatures w14:val="standardContextual"/>
              </w:rPr>
              <w:tab/>
            </w:r>
            <w:r w:rsidRPr="00BB6AA9">
              <w:rPr>
                <w:rStyle w:val="Hyperlink"/>
                <w:rFonts w:ascii="Arial" w:hAnsi="Arial" w:cs="Arial"/>
                <w:noProof/>
              </w:rPr>
              <w:t>PEO Framework</w:t>
            </w:r>
            <w:r>
              <w:rPr>
                <w:noProof/>
                <w:webHidden/>
              </w:rPr>
              <w:tab/>
            </w:r>
            <w:r>
              <w:rPr>
                <w:noProof/>
                <w:webHidden/>
              </w:rPr>
              <w:fldChar w:fldCharType="begin"/>
            </w:r>
            <w:r>
              <w:rPr>
                <w:noProof/>
                <w:webHidden/>
              </w:rPr>
              <w:instrText xml:space="preserve"> PAGEREF _Toc235393940 \h </w:instrText>
            </w:r>
            <w:r>
              <w:rPr>
                <w:noProof/>
                <w:webHidden/>
              </w:rPr>
            </w:r>
            <w:r>
              <w:rPr>
                <w:noProof/>
                <w:webHidden/>
              </w:rPr>
              <w:fldChar w:fldCharType="separate"/>
            </w:r>
            <w:r>
              <w:rPr>
                <w:noProof/>
                <w:webHidden/>
              </w:rPr>
              <w:t>6</w:t>
            </w:r>
            <w:r>
              <w:rPr>
                <w:noProof/>
                <w:webHidden/>
              </w:rPr>
              <w:fldChar w:fldCharType="end"/>
            </w:r>
          </w:hyperlink>
        </w:p>
        <w:p w14:paraId="4B684FB4" w14:textId="2E13E65D" w:rsidR="003C7DBD" w:rsidRDefault="003C7DBD">
          <w:pPr>
            <w:pStyle w:val="TOC2"/>
            <w:tabs>
              <w:tab w:val="left" w:pos="960"/>
              <w:tab w:val="right" w:leader="dot" w:pos="9350"/>
            </w:tabs>
            <w:rPr>
              <w:noProof/>
              <w:kern w:val="2"/>
              <w:sz w:val="24"/>
              <w:szCs w:val="24"/>
              <w:lang w:val="en-US"/>
              <w14:ligatures w14:val="standardContextual"/>
            </w:rPr>
          </w:pPr>
          <w:hyperlink w:anchor="_Toc235393941" w:history="1">
            <w:r w:rsidRPr="00BB6AA9">
              <w:rPr>
                <w:rStyle w:val="Hyperlink"/>
                <w:rFonts w:ascii="Arial" w:hAnsi="Arial" w:cs="Arial"/>
                <w:noProof/>
              </w:rPr>
              <w:t>7.3</w:t>
            </w:r>
            <w:r>
              <w:rPr>
                <w:noProof/>
                <w:kern w:val="2"/>
                <w:sz w:val="24"/>
                <w:szCs w:val="24"/>
                <w:lang w:val="en-US"/>
                <w14:ligatures w14:val="standardContextual"/>
              </w:rPr>
              <w:tab/>
            </w:r>
            <w:r w:rsidRPr="00BB6AA9">
              <w:rPr>
                <w:rStyle w:val="Hyperlink"/>
                <w:rFonts w:ascii="Arial" w:hAnsi="Arial" w:cs="Arial"/>
                <w:noProof/>
              </w:rPr>
              <w:t>Data Sources and Search Strategy</w:t>
            </w:r>
            <w:r>
              <w:rPr>
                <w:noProof/>
                <w:webHidden/>
              </w:rPr>
              <w:tab/>
            </w:r>
            <w:r>
              <w:rPr>
                <w:noProof/>
                <w:webHidden/>
              </w:rPr>
              <w:fldChar w:fldCharType="begin"/>
            </w:r>
            <w:r>
              <w:rPr>
                <w:noProof/>
                <w:webHidden/>
              </w:rPr>
              <w:instrText xml:space="preserve"> PAGEREF _Toc235393941 \h </w:instrText>
            </w:r>
            <w:r>
              <w:rPr>
                <w:noProof/>
                <w:webHidden/>
              </w:rPr>
            </w:r>
            <w:r>
              <w:rPr>
                <w:noProof/>
                <w:webHidden/>
              </w:rPr>
              <w:fldChar w:fldCharType="separate"/>
            </w:r>
            <w:r>
              <w:rPr>
                <w:noProof/>
                <w:webHidden/>
              </w:rPr>
              <w:t>6</w:t>
            </w:r>
            <w:r>
              <w:rPr>
                <w:noProof/>
                <w:webHidden/>
              </w:rPr>
              <w:fldChar w:fldCharType="end"/>
            </w:r>
          </w:hyperlink>
        </w:p>
        <w:p w14:paraId="7BC68EEB" w14:textId="624F32E5" w:rsidR="003C7DBD" w:rsidRDefault="003C7DBD">
          <w:pPr>
            <w:pStyle w:val="TOC2"/>
            <w:tabs>
              <w:tab w:val="left" w:pos="960"/>
              <w:tab w:val="right" w:leader="dot" w:pos="9350"/>
            </w:tabs>
            <w:rPr>
              <w:noProof/>
              <w:kern w:val="2"/>
              <w:sz w:val="24"/>
              <w:szCs w:val="24"/>
              <w:lang w:val="en-US"/>
              <w14:ligatures w14:val="standardContextual"/>
            </w:rPr>
          </w:pPr>
          <w:hyperlink w:anchor="_Toc235393942" w:history="1">
            <w:r w:rsidRPr="00BB6AA9">
              <w:rPr>
                <w:rStyle w:val="Hyperlink"/>
                <w:rFonts w:ascii="Arial" w:hAnsi="Arial" w:cs="Arial"/>
                <w:noProof/>
              </w:rPr>
              <w:t>7.4</w:t>
            </w:r>
            <w:r>
              <w:rPr>
                <w:noProof/>
                <w:kern w:val="2"/>
                <w:sz w:val="24"/>
                <w:szCs w:val="24"/>
                <w:lang w:val="en-US"/>
                <w14:ligatures w14:val="standardContextual"/>
              </w:rPr>
              <w:tab/>
            </w:r>
            <w:r w:rsidRPr="00BB6AA9">
              <w:rPr>
                <w:rStyle w:val="Hyperlink"/>
                <w:rFonts w:ascii="Arial" w:hAnsi="Arial" w:cs="Arial"/>
                <w:noProof/>
              </w:rPr>
              <w:t>PRISMA 2020 Flow Diagram</w:t>
            </w:r>
            <w:r>
              <w:rPr>
                <w:noProof/>
                <w:webHidden/>
              </w:rPr>
              <w:tab/>
            </w:r>
            <w:r>
              <w:rPr>
                <w:noProof/>
                <w:webHidden/>
              </w:rPr>
              <w:fldChar w:fldCharType="begin"/>
            </w:r>
            <w:r>
              <w:rPr>
                <w:noProof/>
                <w:webHidden/>
              </w:rPr>
              <w:instrText xml:space="preserve"> PAGEREF _Toc235393942 \h </w:instrText>
            </w:r>
            <w:r>
              <w:rPr>
                <w:noProof/>
                <w:webHidden/>
              </w:rPr>
            </w:r>
            <w:r>
              <w:rPr>
                <w:noProof/>
                <w:webHidden/>
              </w:rPr>
              <w:fldChar w:fldCharType="separate"/>
            </w:r>
            <w:r>
              <w:rPr>
                <w:noProof/>
                <w:webHidden/>
              </w:rPr>
              <w:t>7</w:t>
            </w:r>
            <w:r>
              <w:rPr>
                <w:noProof/>
                <w:webHidden/>
              </w:rPr>
              <w:fldChar w:fldCharType="end"/>
            </w:r>
          </w:hyperlink>
        </w:p>
        <w:p w14:paraId="0B65C81B" w14:textId="753A1C94" w:rsidR="003C7DBD" w:rsidRDefault="003C7DBD">
          <w:pPr>
            <w:pStyle w:val="TOC2"/>
            <w:tabs>
              <w:tab w:val="left" w:pos="960"/>
              <w:tab w:val="right" w:leader="dot" w:pos="9350"/>
            </w:tabs>
            <w:rPr>
              <w:noProof/>
              <w:kern w:val="2"/>
              <w:sz w:val="24"/>
              <w:szCs w:val="24"/>
              <w:lang w:val="en-US"/>
              <w14:ligatures w14:val="standardContextual"/>
            </w:rPr>
          </w:pPr>
          <w:hyperlink w:anchor="_Toc235393943" w:history="1">
            <w:r w:rsidRPr="00BB6AA9">
              <w:rPr>
                <w:rStyle w:val="Hyperlink"/>
                <w:rFonts w:ascii="Arial" w:hAnsi="Arial" w:cs="Arial"/>
                <w:noProof/>
              </w:rPr>
              <w:t>7.5</w:t>
            </w:r>
            <w:r>
              <w:rPr>
                <w:noProof/>
                <w:kern w:val="2"/>
                <w:sz w:val="24"/>
                <w:szCs w:val="24"/>
                <w:lang w:val="en-US"/>
                <w14:ligatures w14:val="standardContextual"/>
              </w:rPr>
              <w:tab/>
            </w:r>
            <w:r w:rsidRPr="00BB6AA9">
              <w:rPr>
                <w:rStyle w:val="Hyperlink"/>
                <w:rFonts w:ascii="Arial" w:hAnsi="Arial" w:cs="Arial"/>
                <w:noProof/>
              </w:rPr>
              <w:t>Screening and Eligibility</w:t>
            </w:r>
            <w:r>
              <w:rPr>
                <w:noProof/>
                <w:webHidden/>
              </w:rPr>
              <w:tab/>
            </w:r>
            <w:r>
              <w:rPr>
                <w:noProof/>
                <w:webHidden/>
              </w:rPr>
              <w:fldChar w:fldCharType="begin"/>
            </w:r>
            <w:r>
              <w:rPr>
                <w:noProof/>
                <w:webHidden/>
              </w:rPr>
              <w:instrText xml:space="preserve"> PAGEREF _Toc235393943 \h </w:instrText>
            </w:r>
            <w:r>
              <w:rPr>
                <w:noProof/>
                <w:webHidden/>
              </w:rPr>
            </w:r>
            <w:r>
              <w:rPr>
                <w:noProof/>
                <w:webHidden/>
              </w:rPr>
              <w:fldChar w:fldCharType="separate"/>
            </w:r>
            <w:r>
              <w:rPr>
                <w:noProof/>
                <w:webHidden/>
              </w:rPr>
              <w:t>8</w:t>
            </w:r>
            <w:r>
              <w:rPr>
                <w:noProof/>
                <w:webHidden/>
              </w:rPr>
              <w:fldChar w:fldCharType="end"/>
            </w:r>
          </w:hyperlink>
        </w:p>
        <w:p w14:paraId="5ABA7BAA" w14:textId="04947530" w:rsidR="003C7DBD" w:rsidRDefault="003C7DBD">
          <w:pPr>
            <w:pStyle w:val="TOC2"/>
            <w:tabs>
              <w:tab w:val="left" w:pos="960"/>
              <w:tab w:val="right" w:leader="dot" w:pos="9350"/>
            </w:tabs>
            <w:rPr>
              <w:noProof/>
              <w:kern w:val="2"/>
              <w:sz w:val="24"/>
              <w:szCs w:val="24"/>
              <w:lang w:val="en-US"/>
              <w14:ligatures w14:val="standardContextual"/>
            </w:rPr>
          </w:pPr>
          <w:hyperlink w:anchor="_Toc235393944" w:history="1">
            <w:r w:rsidRPr="00BB6AA9">
              <w:rPr>
                <w:rStyle w:val="Hyperlink"/>
                <w:rFonts w:ascii="Arial" w:hAnsi="Arial" w:cs="Arial"/>
                <w:noProof/>
              </w:rPr>
              <w:t>7.6</w:t>
            </w:r>
            <w:r>
              <w:rPr>
                <w:noProof/>
                <w:kern w:val="2"/>
                <w:sz w:val="24"/>
                <w:szCs w:val="24"/>
                <w:lang w:val="en-US"/>
                <w14:ligatures w14:val="standardContextual"/>
              </w:rPr>
              <w:tab/>
            </w:r>
            <w:r w:rsidRPr="00BB6AA9">
              <w:rPr>
                <w:rStyle w:val="Hyperlink"/>
                <w:rFonts w:ascii="Arial" w:hAnsi="Arial" w:cs="Arial"/>
                <w:noProof/>
              </w:rPr>
              <w:t>Inclusion and Exclusion Criteria</w:t>
            </w:r>
            <w:r>
              <w:rPr>
                <w:noProof/>
                <w:webHidden/>
              </w:rPr>
              <w:tab/>
            </w:r>
            <w:r>
              <w:rPr>
                <w:noProof/>
                <w:webHidden/>
              </w:rPr>
              <w:fldChar w:fldCharType="begin"/>
            </w:r>
            <w:r>
              <w:rPr>
                <w:noProof/>
                <w:webHidden/>
              </w:rPr>
              <w:instrText xml:space="preserve"> PAGEREF _Toc235393944 \h </w:instrText>
            </w:r>
            <w:r>
              <w:rPr>
                <w:noProof/>
                <w:webHidden/>
              </w:rPr>
            </w:r>
            <w:r>
              <w:rPr>
                <w:noProof/>
                <w:webHidden/>
              </w:rPr>
              <w:fldChar w:fldCharType="separate"/>
            </w:r>
            <w:r>
              <w:rPr>
                <w:noProof/>
                <w:webHidden/>
              </w:rPr>
              <w:t>9</w:t>
            </w:r>
            <w:r>
              <w:rPr>
                <w:noProof/>
                <w:webHidden/>
              </w:rPr>
              <w:fldChar w:fldCharType="end"/>
            </w:r>
          </w:hyperlink>
        </w:p>
        <w:p w14:paraId="3F270A04" w14:textId="629A3A88" w:rsidR="003C7DBD" w:rsidRDefault="003C7DBD">
          <w:pPr>
            <w:pStyle w:val="TOC2"/>
            <w:tabs>
              <w:tab w:val="left" w:pos="960"/>
              <w:tab w:val="right" w:leader="dot" w:pos="9350"/>
            </w:tabs>
            <w:rPr>
              <w:noProof/>
              <w:kern w:val="2"/>
              <w:sz w:val="24"/>
              <w:szCs w:val="24"/>
              <w:lang w:val="en-US"/>
              <w14:ligatures w14:val="standardContextual"/>
            </w:rPr>
          </w:pPr>
          <w:hyperlink w:anchor="_Toc235393945" w:history="1">
            <w:r w:rsidRPr="00BB6AA9">
              <w:rPr>
                <w:rStyle w:val="Hyperlink"/>
                <w:rFonts w:ascii="Arial" w:hAnsi="Arial" w:cs="Arial"/>
                <w:noProof/>
              </w:rPr>
              <w:t>7.7</w:t>
            </w:r>
            <w:r>
              <w:rPr>
                <w:noProof/>
                <w:kern w:val="2"/>
                <w:sz w:val="24"/>
                <w:szCs w:val="24"/>
                <w:lang w:val="en-US"/>
                <w14:ligatures w14:val="standardContextual"/>
              </w:rPr>
              <w:tab/>
            </w:r>
            <w:r w:rsidRPr="00BB6AA9">
              <w:rPr>
                <w:rStyle w:val="Hyperlink"/>
                <w:rFonts w:ascii="Arial" w:hAnsi="Arial" w:cs="Arial"/>
                <w:noProof/>
              </w:rPr>
              <w:t>Quality Appraisal and Data Analysis</w:t>
            </w:r>
            <w:r>
              <w:rPr>
                <w:noProof/>
                <w:webHidden/>
              </w:rPr>
              <w:tab/>
            </w:r>
            <w:r>
              <w:rPr>
                <w:noProof/>
                <w:webHidden/>
              </w:rPr>
              <w:fldChar w:fldCharType="begin"/>
            </w:r>
            <w:r>
              <w:rPr>
                <w:noProof/>
                <w:webHidden/>
              </w:rPr>
              <w:instrText xml:space="preserve"> PAGEREF _Toc235393945 \h </w:instrText>
            </w:r>
            <w:r>
              <w:rPr>
                <w:noProof/>
                <w:webHidden/>
              </w:rPr>
            </w:r>
            <w:r>
              <w:rPr>
                <w:noProof/>
                <w:webHidden/>
              </w:rPr>
              <w:fldChar w:fldCharType="separate"/>
            </w:r>
            <w:r>
              <w:rPr>
                <w:noProof/>
                <w:webHidden/>
              </w:rPr>
              <w:t>9</w:t>
            </w:r>
            <w:r>
              <w:rPr>
                <w:noProof/>
                <w:webHidden/>
              </w:rPr>
              <w:fldChar w:fldCharType="end"/>
            </w:r>
          </w:hyperlink>
        </w:p>
        <w:p w14:paraId="57B80C73" w14:textId="76BF6E6C" w:rsidR="003C7DBD" w:rsidRDefault="003C7DBD">
          <w:pPr>
            <w:pStyle w:val="TOC1"/>
            <w:tabs>
              <w:tab w:val="left" w:pos="480"/>
              <w:tab w:val="right" w:leader="dot" w:pos="9350"/>
            </w:tabs>
            <w:rPr>
              <w:noProof/>
              <w:kern w:val="2"/>
              <w:sz w:val="24"/>
              <w:szCs w:val="24"/>
              <w:lang w:val="en-US"/>
              <w14:ligatures w14:val="standardContextual"/>
            </w:rPr>
          </w:pPr>
          <w:hyperlink w:anchor="_Toc235393946" w:history="1">
            <w:r w:rsidRPr="00BB6AA9">
              <w:rPr>
                <w:rStyle w:val="Hyperlink"/>
                <w:rFonts w:ascii="Arial" w:hAnsi="Arial" w:cs="Arial"/>
                <w:noProof/>
              </w:rPr>
              <w:t>8.</w:t>
            </w:r>
            <w:r>
              <w:rPr>
                <w:noProof/>
                <w:kern w:val="2"/>
                <w:sz w:val="24"/>
                <w:szCs w:val="24"/>
                <w:lang w:val="en-US"/>
                <w14:ligatures w14:val="standardContextual"/>
              </w:rPr>
              <w:tab/>
            </w:r>
            <w:r w:rsidRPr="00BB6AA9">
              <w:rPr>
                <w:rStyle w:val="Hyperlink"/>
                <w:rFonts w:ascii="Arial" w:hAnsi="Arial" w:cs="Arial"/>
                <w:noProof/>
              </w:rPr>
              <w:t>Ethical Considerations</w:t>
            </w:r>
            <w:r>
              <w:rPr>
                <w:noProof/>
                <w:webHidden/>
              </w:rPr>
              <w:tab/>
            </w:r>
            <w:r>
              <w:rPr>
                <w:noProof/>
                <w:webHidden/>
              </w:rPr>
              <w:fldChar w:fldCharType="begin"/>
            </w:r>
            <w:r>
              <w:rPr>
                <w:noProof/>
                <w:webHidden/>
              </w:rPr>
              <w:instrText xml:space="preserve"> PAGEREF _Toc235393946 \h </w:instrText>
            </w:r>
            <w:r>
              <w:rPr>
                <w:noProof/>
                <w:webHidden/>
              </w:rPr>
            </w:r>
            <w:r>
              <w:rPr>
                <w:noProof/>
                <w:webHidden/>
              </w:rPr>
              <w:fldChar w:fldCharType="separate"/>
            </w:r>
            <w:r>
              <w:rPr>
                <w:noProof/>
                <w:webHidden/>
              </w:rPr>
              <w:t>10</w:t>
            </w:r>
            <w:r>
              <w:rPr>
                <w:noProof/>
                <w:webHidden/>
              </w:rPr>
              <w:fldChar w:fldCharType="end"/>
            </w:r>
          </w:hyperlink>
        </w:p>
        <w:p w14:paraId="4AC27F2E" w14:textId="69524CBE" w:rsidR="003C7DBD" w:rsidRDefault="003C7DBD">
          <w:pPr>
            <w:pStyle w:val="TOC1"/>
            <w:tabs>
              <w:tab w:val="right" w:leader="dot" w:pos="9350"/>
            </w:tabs>
            <w:rPr>
              <w:noProof/>
              <w:kern w:val="2"/>
              <w:sz w:val="24"/>
              <w:szCs w:val="24"/>
              <w:lang w:val="en-US"/>
              <w14:ligatures w14:val="standardContextual"/>
            </w:rPr>
          </w:pPr>
          <w:hyperlink w:anchor="_Toc235393947" w:history="1">
            <w:r w:rsidRPr="00BB6AA9">
              <w:rPr>
                <w:rStyle w:val="Hyperlink"/>
                <w:rFonts w:ascii="Arial" w:hAnsi="Arial" w:cs="Arial"/>
                <w:noProof/>
              </w:rPr>
              <w:t>9. Implications of Research</w:t>
            </w:r>
            <w:r>
              <w:rPr>
                <w:noProof/>
                <w:webHidden/>
              </w:rPr>
              <w:tab/>
            </w:r>
            <w:r>
              <w:rPr>
                <w:noProof/>
                <w:webHidden/>
              </w:rPr>
              <w:fldChar w:fldCharType="begin"/>
            </w:r>
            <w:r>
              <w:rPr>
                <w:noProof/>
                <w:webHidden/>
              </w:rPr>
              <w:instrText xml:space="preserve"> PAGEREF _Toc235393947 \h </w:instrText>
            </w:r>
            <w:r>
              <w:rPr>
                <w:noProof/>
                <w:webHidden/>
              </w:rPr>
            </w:r>
            <w:r>
              <w:rPr>
                <w:noProof/>
                <w:webHidden/>
              </w:rPr>
              <w:fldChar w:fldCharType="separate"/>
            </w:r>
            <w:r>
              <w:rPr>
                <w:noProof/>
                <w:webHidden/>
              </w:rPr>
              <w:t>10</w:t>
            </w:r>
            <w:r>
              <w:rPr>
                <w:noProof/>
                <w:webHidden/>
              </w:rPr>
              <w:fldChar w:fldCharType="end"/>
            </w:r>
          </w:hyperlink>
        </w:p>
        <w:p w14:paraId="2295D4AA" w14:textId="4899C675" w:rsidR="003C7DBD" w:rsidRDefault="003C7DBD">
          <w:pPr>
            <w:pStyle w:val="TOC1"/>
            <w:tabs>
              <w:tab w:val="right" w:leader="dot" w:pos="9350"/>
            </w:tabs>
            <w:rPr>
              <w:noProof/>
              <w:kern w:val="2"/>
              <w:sz w:val="24"/>
              <w:szCs w:val="24"/>
              <w:lang w:val="en-US"/>
              <w14:ligatures w14:val="standardContextual"/>
            </w:rPr>
          </w:pPr>
          <w:hyperlink w:anchor="_Toc235393948" w:history="1">
            <w:r w:rsidRPr="00BB6AA9">
              <w:rPr>
                <w:rStyle w:val="Hyperlink"/>
                <w:rFonts w:ascii="Arial" w:hAnsi="Arial" w:cs="Arial"/>
                <w:noProof/>
              </w:rPr>
              <w:t>10. Proposed Timeline</w:t>
            </w:r>
            <w:r>
              <w:rPr>
                <w:noProof/>
                <w:webHidden/>
              </w:rPr>
              <w:tab/>
            </w:r>
            <w:r>
              <w:rPr>
                <w:noProof/>
                <w:webHidden/>
              </w:rPr>
              <w:fldChar w:fldCharType="begin"/>
            </w:r>
            <w:r>
              <w:rPr>
                <w:noProof/>
                <w:webHidden/>
              </w:rPr>
              <w:instrText xml:space="preserve"> PAGEREF _Toc235393948 \h </w:instrText>
            </w:r>
            <w:r>
              <w:rPr>
                <w:noProof/>
                <w:webHidden/>
              </w:rPr>
            </w:r>
            <w:r>
              <w:rPr>
                <w:noProof/>
                <w:webHidden/>
              </w:rPr>
              <w:fldChar w:fldCharType="separate"/>
            </w:r>
            <w:r>
              <w:rPr>
                <w:noProof/>
                <w:webHidden/>
              </w:rPr>
              <w:t>11</w:t>
            </w:r>
            <w:r>
              <w:rPr>
                <w:noProof/>
                <w:webHidden/>
              </w:rPr>
              <w:fldChar w:fldCharType="end"/>
            </w:r>
          </w:hyperlink>
        </w:p>
        <w:p w14:paraId="690C4623" w14:textId="3B01617A" w:rsidR="003C7DBD" w:rsidRDefault="003C7DBD">
          <w:pPr>
            <w:pStyle w:val="TOC1"/>
            <w:tabs>
              <w:tab w:val="right" w:leader="dot" w:pos="9350"/>
            </w:tabs>
            <w:rPr>
              <w:noProof/>
              <w:kern w:val="2"/>
              <w:sz w:val="24"/>
              <w:szCs w:val="24"/>
              <w:lang w:val="en-US"/>
              <w14:ligatures w14:val="standardContextual"/>
            </w:rPr>
          </w:pPr>
          <w:hyperlink w:anchor="_Toc235393949" w:history="1">
            <w:r w:rsidRPr="00BB6AA9">
              <w:rPr>
                <w:rStyle w:val="Hyperlink"/>
                <w:rFonts w:ascii="Arial" w:hAnsi="Arial" w:cs="Arial"/>
                <w:noProof/>
              </w:rPr>
              <w:t>11. References</w:t>
            </w:r>
            <w:r>
              <w:rPr>
                <w:noProof/>
                <w:webHidden/>
              </w:rPr>
              <w:tab/>
            </w:r>
            <w:r>
              <w:rPr>
                <w:noProof/>
                <w:webHidden/>
              </w:rPr>
              <w:fldChar w:fldCharType="begin"/>
            </w:r>
            <w:r>
              <w:rPr>
                <w:noProof/>
                <w:webHidden/>
              </w:rPr>
              <w:instrText xml:space="preserve"> PAGEREF _Toc235393949 \h </w:instrText>
            </w:r>
            <w:r>
              <w:rPr>
                <w:noProof/>
                <w:webHidden/>
              </w:rPr>
            </w:r>
            <w:r>
              <w:rPr>
                <w:noProof/>
                <w:webHidden/>
              </w:rPr>
              <w:fldChar w:fldCharType="separate"/>
            </w:r>
            <w:r>
              <w:rPr>
                <w:noProof/>
                <w:webHidden/>
              </w:rPr>
              <w:t>12</w:t>
            </w:r>
            <w:r>
              <w:rPr>
                <w:noProof/>
                <w:webHidden/>
              </w:rPr>
              <w:fldChar w:fldCharType="end"/>
            </w:r>
          </w:hyperlink>
        </w:p>
        <w:p w14:paraId="4EC07211" w14:textId="16EB9864" w:rsidR="00A229F1" w:rsidRPr="00BE6EF2" w:rsidRDefault="00A229F1">
          <w:pPr>
            <w:rPr>
              <w:rFonts w:ascii="Arial" w:hAnsi="Arial" w:cs="Arial"/>
            </w:rPr>
          </w:pPr>
          <w:r w:rsidRPr="00BE6EF2">
            <w:rPr>
              <w:rFonts w:ascii="Arial" w:hAnsi="Arial" w:cs="Arial"/>
              <w:b/>
              <w:bCs/>
              <w:noProof/>
            </w:rPr>
            <w:fldChar w:fldCharType="end"/>
          </w:r>
        </w:p>
      </w:sdtContent>
    </w:sdt>
    <w:p w14:paraId="461C8B9B" w14:textId="77777777" w:rsidR="00830487" w:rsidRPr="00BE6EF2" w:rsidRDefault="00830487" w:rsidP="00902AC3">
      <w:pPr>
        <w:spacing w:after="80" w:line="360" w:lineRule="auto"/>
        <w:jc w:val="both"/>
        <w:rPr>
          <w:rFonts w:ascii="Arial" w:hAnsi="Arial" w:cs="Arial"/>
          <w:color w:val="000000" w:themeColor="text1"/>
        </w:rPr>
      </w:pPr>
    </w:p>
    <w:p w14:paraId="527C41F9" w14:textId="77777777" w:rsidR="003D0348" w:rsidRPr="00BE6EF2" w:rsidRDefault="003D0348" w:rsidP="00830487">
      <w:pPr>
        <w:pStyle w:val="Heading1"/>
        <w:rPr>
          <w:rFonts w:ascii="Arial" w:hAnsi="Arial" w:cs="Arial"/>
        </w:rPr>
      </w:pPr>
    </w:p>
    <w:p w14:paraId="50492578" w14:textId="77777777" w:rsidR="003D0348" w:rsidRPr="00BE6EF2" w:rsidRDefault="003D0348" w:rsidP="00830487">
      <w:pPr>
        <w:pStyle w:val="Heading1"/>
        <w:rPr>
          <w:rFonts w:ascii="Arial" w:hAnsi="Arial" w:cs="Arial"/>
        </w:rPr>
      </w:pPr>
    </w:p>
    <w:p w14:paraId="54B77C6A" w14:textId="77777777" w:rsidR="003D0348" w:rsidRPr="00BE6EF2" w:rsidRDefault="003D0348" w:rsidP="00830487">
      <w:pPr>
        <w:pStyle w:val="Heading1"/>
        <w:rPr>
          <w:rFonts w:ascii="Arial" w:hAnsi="Arial" w:cs="Arial"/>
        </w:rPr>
      </w:pPr>
    </w:p>
    <w:p w14:paraId="61BDF69B" w14:textId="77777777" w:rsidR="00BE6EF2" w:rsidRPr="00BE6EF2" w:rsidRDefault="00BE6EF2" w:rsidP="00BE6EF2">
      <w:pPr>
        <w:rPr>
          <w:rFonts w:ascii="Arial" w:hAnsi="Arial" w:cs="Arial"/>
        </w:rPr>
      </w:pPr>
    </w:p>
    <w:p w14:paraId="5DEBF3CC" w14:textId="77777777" w:rsidR="00BE6EF2" w:rsidRDefault="00BE6EF2" w:rsidP="00BE6EF2">
      <w:pPr>
        <w:rPr>
          <w:rFonts w:ascii="Arial" w:hAnsi="Arial" w:cs="Arial"/>
        </w:rPr>
      </w:pPr>
    </w:p>
    <w:p w14:paraId="6C36DEFA" w14:textId="77777777" w:rsidR="00BE6EF2" w:rsidRDefault="00BE6EF2" w:rsidP="00BE6EF2">
      <w:pPr>
        <w:rPr>
          <w:rFonts w:ascii="Arial" w:hAnsi="Arial" w:cs="Arial"/>
        </w:rPr>
      </w:pPr>
    </w:p>
    <w:p w14:paraId="1B3AC79A" w14:textId="77777777" w:rsidR="00BE6EF2" w:rsidRPr="00BE6EF2" w:rsidRDefault="00BE6EF2" w:rsidP="00BE6EF2">
      <w:pPr>
        <w:rPr>
          <w:rFonts w:ascii="Arial" w:hAnsi="Arial" w:cs="Arial"/>
        </w:rPr>
      </w:pPr>
    </w:p>
    <w:p w14:paraId="021FCDD4" w14:textId="3219F9D5" w:rsidR="00623CBC" w:rsidRDefault="00E43203" w:rsidP="00BE6EF2">
      <w:pPr>
        <w:pStyle w:val="Heading1"/>
        <w:numPr>
          <w:ilvl w:val="0"/>
          <w:numId w:val="6"/>
        </w:numPr>
        <w:rPr>
          <w:rFonts w:ascii="Arial" w:hAnsi="Arial" w:cs="Arial"/>
        </w:rPr>
      </w:pPr>
      <w:bookmarkStart w:id="0" w:name="_Toc235393932"/>
      <w:r w:rsidRPr="00BE6EF2">
        <w:rPr>
          <w:rFonts w:ascii="Arial" w:hAnsi="Arial" w:cs="Arial"/>
        </w:rPr>
        <w:t>Prevalence of the Problem</w:t>
      </w:r>
      <w:bookmarkEnd w:id="0"/>
    </w:p>
    <w:p w14:paraId="06BA3F45" w14:textId="77777777" w:rsidR="00BE6EF2" w:rsidRPr="00BE6EF2" w:rsidRDefault="00BE6EF2" w:rsidP="00BE6EF2"/>
    <w:p w14:paraId="1927F9F6" w14:textId="617B268B" w:rsidR="00623CBC" w:rsidRPr="00BE6EF2" w:rsidRDefault="00E43203" w:rsidP="00902AC3">
      <w:pPr>
        <w:spacing w:after="200" w:line="360" w:lineRule="auto"/>
        <w:jc w:val="both"/>
        <w:rPr>
          <w:rFonts w:ascii="Arial" w:hAnsi="Arial" w:cs="Arial"/>
          <w:color w:val="000000" w:themeColor="text1"/>
        </w:rPr>
      </w:pPr>
      <w:r w:rsidRPr="00BE6EF2">
        <w:rPr>
          <w:rFonts w:ascii="Arial" w:hAnsi="Arial" w:cs="Arial"/>
          <w:color w:val="000000" w:themeColor="text1"/>
        </w:rPr>
        <w:t>Equitable access to primary healthcare remains a fundamental public health priority; nevertheless, substantial and persistent disparities continue to exist between rural and urban populations across the United Kingdom. Approximately 9.7 million people around one-fifth of England’s total population</w:t>
      </w:r>
      <w:r w:rsidR="00902AC3" w:rsidRPr="00BE6EF2">
        <w:rPr>
          <w:rFonts w:ascii="Arial" w:hAnsi="Arial" w:cs="Arial"/>
          <w:color w:val="000000" w:themeColor="text1"/>
        </w:rPr>
        <w:t xml:space="preserve"> </w:t>
      </w:r>
      <w:r w:rsidRPr="00BE6EF2">
        <w:rPr>
          <w:rFonts w:ascii="Arial" w:hAnsi="Arial" w:cs="Arial"/>
          <w:color w:val="000000" w:themeColor="text1"/>
        </w:rPr>
        <w:t xml:space="preserve">reside in rural localities, and these communities consistently experience longer travel times, reduced service availability and disproportionately fewer healthcare professionals than their urban counterparts (Office for National Statistics, 2022; Department for Environment, Food and Rural Affairs, 2023). Furthermore, the National Rural Health Alliance reports that rural residents wait, on average, 32% longer to access urgent general practice (GP) appointments, a disparity that has widened rather than narrowed over the past decade. Moreover, NHS Digital (2022) reports that over 40% of rural areas in England were experiencing GP workforce shortages classified as serious, compared with just 22% of urban areas a near-twofold difference that reflects a structurally unequal distribution of healthcare labour. Additionally, emergency admissions for ambulatory care sensitive conditions are approximately 14% higher in rural than urban areas, indicating that primary care access failures generate measurable downstream harm in secondary services (King’s Fund, 2022; Bankart </w:t>
      </w:r>
      <w:r w:rsidRPr="00D863ED">
        <w:rPr>
          <w:rFonts w:ascii="Arial" w:hAnsi="Arial" w:cs="Arial"/>
          <w:i/>
          <w:iCs/>
          <w:color w:val="000000" w:themeColor="text1"/>
        </w:rPr>
        <w:t>et al.,</w:t>
      </w:r>
      <w:r w:rsidRPr="00BE6EF2">
        <w:rPr>
          <w:rFonts w:ascii="Arial" w:hAnsi="Arial" w:cs="Arial"/>
          <w:color w:val="000000" w:themeColor="text1"/>
        </w:rPr>
        <w:t xml:space="preserve"> 2011). Consequently, rural healthcare inequalities represent not merely a logistical inconvenience but a substantive and growing public health crisis warranting rigorous and systematic investigation.</w:t>
      </w:r>
    </w:p>
    <w:p w14:paraId="2DAD11D6" w14:textId="7A56396D" w:rsidR="00623CBC" w:rsidRDefault="00E43203" w:rsidP="00D863ED">
      <w:pPr>
        <w:pStyle w:val="Heading1"/>
        <w:numPr>
          <w:ilvl w:val="0"/>
          <w:numId w:val="6"/>
        </w:numPr>
        <w:rPr>
          <w:rFonts w:ascii="Arial" w:hAnsi="Arial" w:cs="Arial"/>
        </w:rPr>
      </w:pPr>
      <w:bookmarkStart w:id="1" w:name="_Toc235393933"/>
      <w:r w:rsidRPr="00BE6EF2">
        <w:rPr>
          <w:rFonts w:ascii="Arial" w:hAnsi="Arial" w:cs="Arial"/>
        </w:rPr>
        <w:t>Introduction and Literature-Based Background</w:t>
      </w:r>
      <w:bookmarkEnd w:id="1"/>
    </w:p>
    <w:p w14:paraId="49526E17" w14:textId="77777777" w:rsidR="00D863ED" w:rsidRPr="00D863ED" w:rsidRDefault="00D863ED" w:rsidP="00D863ED">
      <w:pPr>
        <w:pStyle w:val="ListParagraph"/>
        <w:ind w:left="765"/>
      </w:pPr>
    </w:p>
    <w:p w14:paraId="63920373" w14:textId="3C03E381" w:rsidR="00623CBC" w:rsidRPr="00BE6EF2" w:rsidRDefault="00E43203" w:rsidP="00902AC3">
      <w:pPr>
        <w:spacing w:after="200" w:line="360" w:lineRule="auto"/>
        <w:jc w:val="both"/>
        <w:rPr>
          <w:rFonts w:ascii="Arial" w:hAnsi="Arial" w:cs="Arial"/>
          <w:color w:val="000000" w:themeColor="text1"/>
        </w:rPr>
      </w:pPr>
      <w:r w:rsidRPr="00BE6EF2">
        <w:rPr>
          <w:rFonts w:ascii="Arial" w:hAnsi="Arial" w:cs="Arial"/>
          <w:color w:val="000000" w:themeColor="text1"/>
        </w:rPr>
        <w:t xml:space="preserve">Healthcare accessibility is a foundational dimension of health equity, yet individuals residing in rural areas frequently encounter formidable barriers when seeking primary care services. A growing body of literature identifies several recurring structural determinants of rural healthcare disadvantage, including workforce shortages, geographic isolation, declining transport infrastructure, limited specialist provision, digital exclusion and socioeconomic deprivation (Asthana and Gibson, 2008; Marmot </w:t>
      </w:r>
      <w:r w:rsidRPr="00D863ED">
        <w:rPr>
          <w:rFonts w:ascii="Arial" w:hAnsi="Arial" w:cs="Arial"/>
          <w:i/>
          <w:iCs/>
          <w:color w:val="000000" w:themeColor="text1"/>
        </w:rPr>
        <w:t>et al.,</w:t>
      </w:r>
      <w:r w:rsidRPr="00BE6EF2">
        <w:rPr>
          <w:rFonts w:ascii="Arial" w:hAnsi="Arial" w:cs="Arial"/>
          <w:color w:val="000000" w:themeColor="text1"/>
        </w:rPr>
        <w:t xml:space="preserve"> 2020; Nuffield Trust, 2023). Critically, however, the relative weight and causal relationships between these factors remain contested. Whilst Asthana and Gibson (2008) argue that resource maldistribution consistent with Tudor Hart’s (1971) inverse care law is the primary </w:t>
      </w:r>
      <w:r w:rsidRPr="00BE6EF2">
        <w:rPr>
          <w:rFonts w:ascii="Arial" w:hAnsi="Arial" w:cs="Arial"/>
          <w:color w:val="000000" w:themeColor="text1"/>
        </w:rPr>
        <w:lastRenderedPageBreak/>
        <w:t xml:space="preserve">structural driver, </w:t>
      </w:r>
      <w:r w:rsidR="00D863ED">
        <w:rPr>
          <w:rFonts w:ascii="Arial" w:hAnsi="Arial" w:cs="Arial"/>
          <w:color w:val="000000" w:themeColor="text1"/>
        </w:rPr>
        <w:t>(</w:t>
      </w:r>
      <w:r w:rsidRPr="00BE6EF2">
        <w:rPr>
          <w:rFonts w:ascii="Arial" w:hAnsi="Arial" w:cs="Arial"/>
          <w:color w:val="000000" w:themeColor="text1"/>
        </w:rPr>
        <w:t xml:space="preserve">Marmot </w:t>
      </w:r>
      <w:r w:rsidRPr="00D863ED">
        <w:rPr>
          <w:rFonts w:ascii="Arial" w:hAnsi="Arial" w:cs="Arial"/>
          <w:i/>
          <w:iCs/>
          <w:color w:val="000000" w:themeColor="text1"/>
        </w:rPr>
        <w:t>et al.</w:t>
      </w:r>
      <w:r w:rsidR="00D863ED">
        <w:rPr>
          <w:rFonts w:ascii="Arial" w:hAnsi="Arial" w:cs="Arial"/>
          <w:i/>
          <w:iCs/>
          <w:color w:val="000000" w:themeColor="text1"/>
        </w:rPr>
        <w:t>,</w:t>
      </w:r>
      <w:r w:rsidRPr="00BE6EF2">
        <w:rPr>
          <w:rFonts w:ascii="Arial" w:hAnsi="Arial" w:cs="Arial"/>
          <w:color w:val="000000" w:themeColor="text1"/>
        </w:rPr>
        <w:t>2020) contend that income poverty, educational disadvantage and social isolation are equally or more influential determinants of health-seeking behaviour than geographic distance alone. Moreover, extend Andersen’s Behavioural Model to argue that access is a relational outcome negotiated between patient capacities and service characteristics, meaning that infrastructure-only interventions without demand-side measures are likely to produce sub-optimal and inequitable results</w:t>
      </w:r>
      <w:r w:rsidR="00265F8B">
        <w:rPr>
          <w:rFonts w:ascii="Arial" w:hAnsi="Arial" w:cs="Arial"/>
          <w:color w:val="000000" w:themeColor="text1"/>
        </w:rPr>
        <w:t xml:space="preserve"> </w:t>
      </w:r>
      <w:r w:rsidR="00265F8B">
        <w:rPr>
          <w:rFonts w:ascii="Arial" w:hAnsi="Arial" w:cs="Arial"/>
          <w:color w:val="000000" w:themeColor="text1"/>
        </w:rPr>
        <w:t>(</w:t>
      </w:r>
      <w:r w:rsidR="00265F8B" w:rsidRPr="00BE6EF2">
        <w:rPr>
          <w:rFonts w:ascii="Arial" w:hAnsi="Arial" w:cs="Arial"/>
          <w:color w:val="000000" w:themeColor="text1"/>
        </w:rPr>
        <w:t xml:space="preserve">Levesque </w:t>
      </w:r>
      <w:r w:rsidR="00265F8B" w:rsidRPr="00265F8B">
        <w:rPr>
          <w:rFonts w:ascii="Arial" w:hAnsi="Arial" w:cs="Arial"/>
          <w:i/>
          <w:iCs/>
          <w:color w:val="000000" w:themeColor="text1"/>
        </w:rPr>
        <w:t>et al.,</w:t>
      </w:r>
      <w:r w:rsidR="00265F8B">
        <w:rPr>
          <w:rFonts w:ascii="Arial" w:hAnsi="Arial" w:cs="Arial"/>
          <w:color w:val="000000" w:themeColor="text1"/>
        </w:rPr>
        <w:t xml:space="preserve"> </w:t>
      </w:r>
      <w:r w:rsidR="00265F8B" w:rsidRPr="00BE6EF2">
        <w:rPr>
          <w:rFonts w:ascii="Arial" w:hAnsi="Arial" w:cs="Arial"/>
          <w:color w:val="000000" w:themeColor="text1"/>
        </w:rPr>
        <w:t>2013)</w:t>
      </w:r>
      <w:r w:rsidRPr="00BE6EF2">
        <w:rPr>
          <w:rFonts w:ascii="Arial" w:hAnsi="Arial" w:cs="Arial"/>
          <w:color w:val="000000" w:themeColor="text1"/>
        </w:rPr>
        <w:t>. This lack of analytical consensus underscores the need for a systematic, rather than selective, synthesis of current evidence on the factors shaping rural healthcare access.</w:t>
      </w:r>
    </w:p>
    <w:p w14:paraId="739B4245" w14:textId="2CB80BE5" w:rsidR="00623CBC" w:rsidRPr="00BE6EF2" w:rsidRDefault="00E43203" w:rsidP="00902AC3">
      <w:pPr>
        <w:spacing w:after="200" w:line="360" w:lineRule="auto"/>
        <w:jc w:val="both"/>
        <w:rPr>
          <w:rFonts w:ascii="Arial" w:hAnsi="Arial" w:cs="Arial"/>
          <w:color w:val="000000" w:themeColor="text1"/>
        </w:rPr>
      </w:pPr>
      <w:r w:rsidRPr="00BE6EF2">
        <w:rPr>
          <w:rFonts w:ascii="Arial" w:hAnsi="Arial" w:cs="Arial"/>
          <w:color w:val="000000" w:themeColor="text1"/>
        </w:rPr>
        <w:t xml:space="preserve">Furthermore, the COVID-19 pandemic fundamentally restructured primary care delivery in England. The rapid adoption of remote and digital consultation models with telephone and video appointments rising from 14% to approximately 48% of all GP contacts between 2019 and 2022 (NHS England, 2022) introduced digital access as a new and contested dimension of rural healthcare inequality (Greenhalgh et al., 2020; Shaw </w:t>
      </w:r>
      <w:r w:rsidRPr="00265F8B">
        <w:rPr>
          <w:rFonts w:ascii="Arial" w:hAnsi="Arial" w:cs="Arial"/>
          <w:i/>
          <w:iCs/>
          <w:color w:val="000000" w:themeColor="text1"/>
        </w:rPr>
        <w:t>et al.,</w:t>
      </w:r>
      <w:r w:rsidRPr="00BE6EF2">
        <w:rPr>
          <w:rFonts w:ascii="Arial" w:hAnsi="Arial" w:cs="Arial"/>
          <w:color w:val="000000" w:themeColor="text1"/>
        </w:rPr>
        <w:t xml:space="preserve"> 2020). Nuffield Trust (2023) identifies a pronounced digital gradient in rural England, with digital service uptake approximately 34% to 41% lower among older, less educated and lower-income rural residents precisely the groups bearing the highest burden of chronic disease. Moreover, Ofcom (2022) reports that 15% of rural premises cannot access adequate broadband compared with just 2% of urban premises, a fivefold infrastructure disparity indicating that digital exclusion has become a structural barrier to primary care access in its own right. Consequently, the post-pandemic evidence base on the factors affecting rural primary care access demands comprehensive and critically appraised synthesis.</w:t>
      </w:r>
    </w:p>
    <w:p w14:paraId="264A35B2" w14:textId="5244FE7B" w:rsidR="00623CBC" w:rsidRDefault="00E43203" w:rsidP="00265F8B">
      <w:pPr>
        <w:pStyle w:val="Heading1"/>
        <w:numPr>
          <w:ilvl w:val="0"/>
          <w:numId w:val="6"/>
        </w:numPr>
        <w:rPr>
          <w:rFonts w:ascii="Arial" w:hAnsi="Arial" w:cs="Arial"/>
        </w:rPr>
      </w:pPr>
      <w:bookmarkStart w:id="2" w:name="_Toc235393934"/>
      <w:r w:rsidRPr="00BE6EF2">
        <w:rPr>
          <w:rFonts w:ascii="Arial" w:hAnsi="Arial" w:cs="Arial"/>
        </w:rPr>
        <w:t>Rationale</w:t>
      </w:r>
      <w:bookmarkEnd w:id="2"/>
    </w:p>
    <w:p w14:paraId="17311D7D" w14:textId="77777777" w:rsidR="00265F8B" w:rsidRPr="00265F8B" w:rsidRDefault="00265F8B" w:rsidP="00265F8B">
      <w:pPr>
        <w:pStyle w:val="ListParagraph"/>
        <w:ind w:left="765"/>
      </w:pPr>
    </w:p>
    <w:p w14:paraId="07FAC569" w14:textId="117D6865" w:rsidR="00623CBC" w:rsidRPr="00BE6EF2" w:rsidRDefault="00E43203" w:rsidP="00902AC3">
      <w:pPr>
        <w:spacing w:after="200" w:line="360" w:lineRule="auto"/>
        <w:jc w:val="both"/>
        <w:rPr>
          <w:rFonts w:ascii="Arial" w:hAnsi="Arial" w:cs="Arial"/>
          <w:color w:val="000000" w:themeColor="text1"/>
        </w:rPr>
      </w:pPr>
      <w:r w:rsidRPr="00BE6EF2">
        <w:rPr>
          <w:rFonts w:ascii="Arial" w:hAnsi="Arial" w:cs="Arial"/>
          <w:color w:val="000000" w:themeColor="text1"/>
        </w:rPr>
        <w:t>The case for this systematic review rests on three intersecting justifications. First, there is a temporal evidence gap: the majority of existing systematic reviews on rural healthcare access in the UK predate 2020 and consequently fail to account for the structural transformation of primary care delivery since the COVID-19 pandemic, including the emergence of digital exclusion as a new barrier category (</w:t>
      </w:r>
      <w:proofErr w:type="spellStart"/>
      <w:r w:rsidRPr="00BE6EF2">
        <w:rPr>
          <w:rFonts w:ascii="Arial" w:hAnsi="Arial" w:cs="Arial"/>
          <w:color w:val="000000" w:themeColor="text1"/>
        </w:rPr>
        <w:t>Wakerman</w:t>
      </w:r>
      <w:proofErr w:type="spellEnd"/>
      <w:r w:rsidRPr="00BE6EF2">
        <w:rPr>
          <w:rFonts w:ascii="Arial" w:hAnsi="Arial" w:cs="Arial"/>
          <w:color w:val="000000" w:themeColor="text1"/>
        </w:rPr>
        <w:t xml:space="preserve"> </w:t>
      </w:r>
      <w:r w:rsidRPr="00265F8B">
        <w:rPr>
          <w:rFonts w:ascii="Arial" w:hAnsi="Arial" w:cs="Arial"/>
          <w:i/>
          <w:iCs/>
          <w:color w:val="000000" w:themeColor="text1"/>
        </w:rPr>
        <w:t>et al.,</w:t>
      </w:r>
      <w:r w:rsidRPr="00BE6EF2">
        <w:rPr>
          <w:rFonts w:ascii="Arial" w:hAnsi="Arial" w:cs="Arial"/>
          <w:color w:val="000000" w:themeColor="text1"/>
        </w:rPr>
        <w:t xml:space="preserve"> 2017; Farmanova </w:t>
      </w:r>
      <w:r w:rsidRPr="00265F8B">
        <w:rPr>
          <w:rFonts w:ascii="Arial" w:hAnsi="Arial" w:cs="Arial"/>
          <w:i/>
          <w:iCs/>
          <w:color w:val="000000" w:themeColor="text1"/>
        </w:rPr>
        <w:t>et al.,</w:t>
      </w:r>
      <w:r w:rsidRPr="00BE6EF2">
        <w:rPr>
          <w:rFonts w:ascii="Arial" w:hAnsi="Arial" w:cs="Arial"/>
          <w:color w:val="000000" w:themeColor="text1"/>
        </w:rPr>
        <w:t xml:space="preserve"> 2018; Bambra </w:t>
      </w:r>
      <w:r w:rsidRPr="00265F8B">
        <w:rPr>
          <w:rFonts w:ascii="Arial" w:hAnsi="Arial" w:cs="Arial"/>
          <w:i/>
          <w:iCs/>
          <w:color w:val="000000" w:themeColor="text1"/>
        </w:rPr>
        <w:t>et al.,</w:t>
      </w:r>
      <w:r w:rsidRPr="00BE6EF2">
        <w:rPr>
          <w:rFonts w:ascii="Arial" w:hAnsi="Arial" w:cs="Arial"/>
          <w:color w:val="000000" w:themeColor="text1"/>
        </w:rPr>
        <w:t xml:space="preserve"> 2020). Second, there is a conceptual gap: existing reviews tend to examine individual barrier categories workforce, transport, digital access, socioeconomic deprivation in isolation, without systematically examining how these factors interact and compound one another for multiply disadvantaged rural sub-populations (Levesque </w:t>
      </w:r>
      <w:r w:rsidRPr="00265F8B">
        <w:rPr>
          <w:rFonts w:ascii="Arial" w:hAnsi="Arial" w:cs="Arial"/>
          <w:i/>
          <w:iCs/>
          <w:color w:val="000000" w:themeColor="text1"/>
        </w:rPr>
        <w:t>et al.,</w:t>
      </w:r>
      <w:r w:rsidRPr="00BE6EF2">
        <w:rPr>
          <w:rFonts w:ascii="Arial" w:hAnsi="Arial" w:cs="Arial"/>
          <w:color w:val="000000" w:themeColor="text1"/>
        </w:rPr>
        <w:t xml:space="preserve"> 2013; Nuffield Trust, 2023). Third, there is a clear policy gap: the NHS Long Term Plan, the Core20PLUS5 framework and Integrated Care System structures commit to reducing health inequalities, yet insufficient critically appraised evidence exists to guide commissioners on which structural and social factors most significantly determine primary healthcare access in rural communities (NHS England, 2019; NHS England, 2023; Department of Health and Social Care, 2022). Consequently, this review will contribute original analytical value by synthesising contemporary post-pandemic evidence on the barriers shaping rural healthcare access and generating theoretically grounded, policy-actionable conclusions.</w:t>
      </w:r>
    </w:p>
    <w:p w14:paraId="4E21D147" w14:textId="76C8ED21" w:rsidR="00F00A84" w:rsidRDefault="00F00A84" w:rsidP="00265F8B">
      <w:pPr>
        <w:pStyle w:val="Heading1"/>
        <w:numPr>
          <w:ilvl w:val="0"/>
          <w:numId w:val="6"/>
        </w:numPr>
        <w:rPr>
          <w:rFonts w:ascii="Arial" w:hAnsi="Arial" w:cs="Arial"/>
        </w:rPr>
      </w:pPr>
      <w:bookmarkStart w:id="3" w:name="_Toc235393935"/>
      <w:r w:rsidRPr="00BE6EF2">
        <w:rPr>
          <w:rFonts w:ascii="Arial" w:hAnsi="Arial" w:cs="Arial"/>
        </w:rPr>
        <w:t>Research Question</w:t>
      </w:r>
      <w:bookmarkEnd w:id="3"/>
    </w:p>
    <w:p w14:paraId="7075EB18" w14:textId="77777777" w:rsidR="00265F8B" w:rsidRPr="00265F8B" w:rsidRDefault="00265F8B" w:rsidP="00265F8B">
      <w:pPr>
        <w:pStyle w:val="ListParagraph"/>
        <w:ind w:left="765"/>
      </w:pPr>
    </w:p>
    <w:p w14:paraId="02667E0B" w14:textId="77777777" w:rsidR="00F00A84" w:rsidRPr="00BE6EF2" w:rsidRDefault="00F00A84" w:rsidP="00F00A84">
      <w:pPr>
        <w:spacing w:after="200" w:line="360" w:lineRule="auto"/>
        <w:jc w:val="both"/>
        <w:rPr>
          <w:rFonts w:ascii="Arial" w:hAnsi="Arial" w:cs="Arial"/>
          <w:color w:val="000000" w:themeColor="text1"/>
        </w:rPr>
      </w:pPr>
      <w:r w:rsidRPr="00BE6EF2">
        <w:rPr>
          <w:rFonts w:ascii="Arial" w:hAnsi="Arial" w:cs="Arial"/>
          <w:color w:val="000000" w:themeColor="text1"/>
        </w:rPr>
        <w:t>What are the principal barriers to accessing primary healthcare services among rural populations in the United Kingdom, and how do structural, socioeconomic, geographic and digital factors interact to shape inequalities in primary care access?</w:t>
      </w:r>
    </w:p>
    <w:p w14:paraId="3A73F528" w14:textId="2AE7903A" w:rsidR="00623CBC" w:rsidRDefault="00E43203" w:rsidP="00265F8B">
      <w:pPr>
        <w:pStyle w:val="Heading1"/>
        <w:numPr>
          <w:ilvl w:val="0"/>
          <w:numId w:val="6"/>
        </w:numPr>
        <w:rPr>
          <w:rFonts w:ascii="Arial" w:hAnsi="Arial" w:cs="Arial"/>
        </w:rPr>
      </w:pPr>
      <w:bookmarkStart w:id="4" w:name="_Toc235393936"/>
      <w:r w:rsidRPr="00BE6EF2">
        <w:rPr>
          <w:rFonts w:ascii="Arial" w:hAnsi="Arial" w:cs="Arial"/>
        </w:rPr>
        <w:t>Research Aim</w:t>
      </w:r>
      <w:bookmarkEnd w:id="4"/>
    </w:p>
    <w:p w14:paraId="4B738CA6" w14:textId="77777777" w:rsidR="00265F8B" w:rsidRPr="00265F8B" w:rsidRDefault="00265F8B" w:rsidP="00265F8B">
      <w:pPr>
        <w:ind w:left="360"/>
      </w:pPr>
    </w:p>
    <w:p w14:paraId="0D90D939" w14:textId="77777777" w:rsidR="00623CBC" w:rsidRPr="00BE6EF2" w:rsidRDefault="00E43203" w:rsidP="00902AC3">
      <w:pPr>
        <w:spacing w:after="200" w:line="360" w:lineRule="auto"/>
        <w:jc w:val="both"/>
        <w:rPr>
          <w:rFonts w:ascii="Arial" w:hAnsi="Arial" w:cs="Arial"/>
          <w:color w:val="000000" w:themeColor="text1"/>
        </w:rPr>
      </w:pPr>
      <w:r w:rsidRPr="00BE6EF2">
        <w:rPr>
          <w:rFonts w:ascii="Arial" w:hAnsi="Arial" w:cs="Arial"/>
          <w:color w:val="000000" w:themeColor="text1"/>
        </w:rPr>
        <w:t>To critically synthesise contemporary evidence regarding the barriers influencing access to primary healthcare services among rural populations in the United Kingdom, with a focus on identifying the structural, socioeconomic and digital factors that shape healthcare access inequalities in the post-pandemic period.</w:t>
      </w:r>
    </w:p>
    <w:p w14:paraId="5A88120C" w14:textId="1A8F0AC9" w:rsidR="00623CBC" w:rsidRDefault="00E43203" w:rsidP="00265F8B">
      <w:pPr>
        <w:pStyle w:val="Heading1"/>
        <w:numPr>
          <w:ilvl w:val="0"/>
          <w:numId w:val="6"/>
        </w:numPr>
        <w:rPr>
          <w:rFonts w:ascii="Arial" w:hAnsi="Arial" w:cs="Arial"/>
        </w:rPr>
      </w:pPr>
      <w:bookmarkStart w:id="5" w:name="_Toc235393937"/>
      <w:r w:rsidRPr="00BE6EF2">
        <w:rPr>
          <w:rFonts w:ascii="Arial" w:hAnsi="Arial" w:cs="Arial"/>
        </w:rPr>
        <w:t>Research Objectives</w:t>
      </w:r>
      <w:bookmarkEnd w:id="5"/>
    </w:p>
    <w:p w14:paraId="7A9E00BB" w14:textId="77777777" w:rsidR="00265F8B" w:rsidRPr="00265F8B" w:rsidRDefault="00265F8B" w:rsidP="00265F8B">
      <w:pPr>
        <w:pStyle w:val="ListParagraph"/>
        <w:ind w:left="765"/>
      </w:pPr>
    </w:p>
    <w:p w14:paraId="31294F85" w14:textId="1EEF2D91" w:rsidR="00623CBC" w:rsidRPr="00BE6EF2" w:rsidRDefault="00E43203" w:rsidP="00902AC3">
      <w:pPr>
        <w:pStyle w:val="ListParagraph"/>
        <w:numPr>
          <w:ilvl w:val="0"/>
          <w:numId w:val="2"/>
        </w:numPr>
        <w:spacing w:after="130" w:line="360" w:lineRule="auto"/>
        <w:jc w:val="both"/>
        <w:rPr>
          <w:rFonts w:ascii="Arial" w:hAnsi="Arial" w:cs="Arial"/>
          <w:color w:val="000000" w:themeColor="text1"/>
        </w:rPr>
      </w:pPr>
      <w:r w:rsidRPr="00BE6EF2">
        <w:rPr>
          <w:rFonts w:ascii="Arial" w:hAnsi="Arial" w:cs="Arial"/>
          <w:color w:val="000000" w:themeColor="text1"/>
        </w:rPr>
        <w:t>To critically evaluate the structural and socioeconomic factors influencing primary healthcare access in rural communities, drawing on the Social Determinants of Health framework</w:t>
      </w:r>
      <w:r w:rsidR="000914D0" w:rsidRPr="00BE6EF2">
        <w:rPr>
          <w:rFonts w:ascii="Arial" w:hAnsi="Arial" w:cs="Arial"/>
          <w:color w:val="000000" w:themeColor="text1"/>
        </w:rPr>
        <w:t>.</w:t>
      </w:r>
    </w:p>
    <w:p w14:paraId="18DC7025" w14:textId="07E866EF" w:rsidR="00623CBC" w:rsidRPr="00BE6EF2" w:rsidRDefault="00E43203" w:rsidP="00902AC3">
      <w:pPr>
        <w:pStyle w:val="ListParagraph"/>
        <w:numPr>
          <w:ilvl w:val="0"/>
          <w:numId w:val="2"/>
        </w:numPr>
        <w:spacing w:after="130" w:line="360" w:lineRule="auto"/>
        <w:jc w:val="both"/>
        <w:rPr>
          <w:rFonts w:ascii="Arial" w:hAnsi="Arial" w:cs="Arial"/>
          <w:color w:val="000000" w:themeColor="text1"/>
        </w:rPr>
      </w:pPr>
      <w:r w:rsidRPr="00BE6EF2">
        <w:rPr>
          <w:rFonts w:ascii="Arial" w:hAnsi="Arial" w:cs="Arial"/>
          <w:color w:val="000000" w:themeColor="text1"/>
        </w:rPr>
        <w:t>To examine and critically appraise evidence on the impact of healthcare workforce shortages on the delivery, continuity and quality of rural primary care services</w:t>
      </w:r>
      <w:r w:rsidR="000914D0" w:rsidRPr="00BE6EF2">
        <w:rPr>
          <w:rFonts w:ascii="Arial" w:hAnsi="Arial" w:cs="Arial"/>
          <w:color w:val="000000" w:themeColor="text1"/>
        </w:rPr>
        <w:t>.</w:t>
      </w:r>
    </w:p>
    <w:p w14:paraId="5BC6F236" w14:textId="64E6221A" w:rsidR="00623CBC" w:rsidRPr="00BE6EF2" w:rsidRDefault="00E43203" w:rsidP="00902AC3">
      <w:pPr>
        <w:pStyle w:val="ListParagraph"/>
        <w:numPr>
          <w:ilvl w:val="0"/>
          <w:numId w:val="2"/>
        </w:numPr>
        <w:spacing w:after="130" w:line="360" w:lineRule="auto"/>
        <w:jc w:val="both"/>
        <w:rPr>
          <w:rFonts w:ascii="Arial" w:hAnsi="Arial" w:cs="Arial"/>
          <w:color w:val="000000" w:themeColor="text1"/>
        </w:rPr>
      </w:pPr>
      <w:r w:rsidRPr="00BE6EF2">
        <w:rPr>
          <w:rFonts w:ascii="Arial" w:hAnsi="Arial" w:cs="Arial"/>
          <w:color w:val="000000" w:themeColor="text1"/>
        </w:rPr>
        <w:t>To compare and critically contrast the relative influence of geographic, transport-related and digital barriers on healthcare utilisation among different rural sub-populations</w:t>
      </w:r>
      <w:r w:rsidR="000914D0" w:rsidRPr="00BE6EF2">
        <w:rPr>
          <w:rFonts w:ascii="Arial" w:hAnsi="Arial" w:cs="Arial"/>
          <w:color w:val="000000" w:themeColor="text1"/>
        </w:rPr>
        <w:t>.</w:t>
      </w:r>
    </w:p>
    <w:p w14:paraId="7A46F959" w14:textId="4FEB909E" w:rsidR="00623CBC" w:rsidRDefault="00E43203" w:rsidP="00902AC3">
      <w:pPr>
        <w:pStyle w:val="ListParagraph"/>
        <w:numPr>
          <w:ilvl w:val="0"/>
          <w:numId w:val="2"/>
        </w:numPr>
        <w:spacing w:after="130" w:line="360" w:lineRule="auto"/>
        <w:jc w:val="both"/>
        <w:rPr>
          <w:rFonts w:ascii="Arial" w:hAnsi="Arial" w:cs="Arial"/>
          <w:color w:val="000000" w:themeColor="text1"/>
        </w:rPr>
      </w:pPr>
      <w:r w:rsidRPr="00BE6EF2">
        <w:rPr>
          <w:rFonts w:ascii="Arial" w:hAnsi="Arial" w:cs="Arial"/>
          <w:color w:val="000000" w:themeColor="text1"/>
        </w:rPr>
        <w:t>To identify gaps in the current evidence base and derive implications for NHS commissioning, ICS strategy and future primary research</w:t>
      </w:r>
      <w:r w:rsidR="00CE562A" w:rsidRPr="00BE6EF2">
        <w:rPr>
          <w:rFonts w:ascii="Arial" w:hAnsi="Arial" w:cs="Arial"/>
          <w:color w:val="000000" w:themeColor="text1"/>
        </w:rPr>
        <w:t>.</w:t>
      </w:r>
    </w:p>
    <w:p w14:paraId="63199656" w14:textId="77777777" w:rsidR="00265F8B" w:rsidRPr="00265F8B" w:rsidRDefault="00265F8B" w:rsidP="00265F8B">
      <w:pPr>
        <w:spacing w:after="130" w:line="360" w:lineRule="auto"/>
        <w:jc w:val="both"/>
        <w:rPr>
          <w:rFonts w:ascii="Arial" w:hAnsi="Arial" w:cs="Arial"/>
          <w:color w:val="000000" w:themeColor="text1"/>
        </w:rPr>
      </w:pPr>
    </w:p>
    <w:p w14:paraId="0FD8D594" w14:textId="7413CB00" w:rsidR="00623CBC" w:rsidRDefault="00E43203" w:rsidP="00265F8B">
      <w:pPr>
        <w:pStyle w:val="Heading1"/>
        <w:numPr>
          <w:ilvl w:val="0"/>
          <w:numId w:val="6"/>
        </w:numPr>
        <w:rPr>
          <w:rFonts w:ascii="Arial" w:hAnsi="Arial" w:cs="Arial"/>
        </w:rPr>
      </w:pPr>
      <w:bookmarkStart w:id="6" w:name="_Toc235393938"/>
      <w:r w:rsidRPr="00BE6EF2">
        <w:rPr>
          <w:rFonts w:ascii="Arial" w:hAnsi="Arial" w:cs="Arial"/>
        </w:rPr>
        <w:t>Research Methodology</w:t>
      </w:r>
      <w:bookmarkEnd w:id="6"/>
    </w:p>
    <w:p w14:paraId="6FF70F53" w14:textId="77777777" w:rsidR="00265F8B" w:rsidRPr="00265F8B" w:rsidRDefault="00265F8B" w:rsidP="00265F8B">
      <w:pPr>
        <w:pStyle w:val="ListParagraph"/>
        <w:ind w:left="765"/>
      </w:pPr>
    </w:p>
    <w:p w14:paraId="0C864731" w14:textId="2282F783" w:rsidR="00623CBC" w:rsidRDefault="00E43203" w:rsidP="00265F8B">
      <w:pPr>
        <w:pStyle w:val="Heading2"/>
        <w:numPr>
          <w:ilvl w:val="1"/>
          <w:numId w:val="6"/>
        </w:numPr>
        <w:rPr>
          <w:rFonts w:ascii="Arial" w:hAnsi="Arial" w:cs="Arial"/>
        </w:rPr>
      </w:pPr>
      <w:bookmarkStart w:id="7" w:name="_Toc235393939"/>
      <w:r w:rsidRPr="00BE6EF2">
        <w:rPr>
          <w:rFonts w:ascii="Arial" w:hAnsi="Arial" w:cs="Arial"/>
        </w:rPr>
        <w:t>Research Design</w:t>
      </w:r>
      <w:bookmarkEnd w:id="7"/>
    </w:p>
    <w:p w14:paraId="0788B48B" w14:textId="77777777" w:rsidR="00265F8B" w:rsidRPr="00265F8B" w:rsidRDefault="00265F8B" w:rsidP="00265F8B">
      <w:pPr>
        <w:pStyle w:val="ListParagraph"/>
        <w:ind w:left="900"/>
      </w:pPr>
    </w:p>
    <w:p w14:paraId="1665CDAA" w14:textId="7C52D4B5" w:rsidR="00623CBC" w:rsidRPr="00BE6EF2" w:rsidRDefault="00E43203" w:rsidP="00902AC3">
      <w:pPr>
        <w:spacing w:after="200" w:line="360" w:lineRule="auto"/>
        <w:jc w:val="both"/>
        <w:rPr>
          <w:rFonts w:ascii="Arial" w:hAnsi="Arial" w:cs="Arial"/>
          <w:color w:val="000000" w:themeColor="text1"/>
        </w:rPr>
      </w:pPr>
      <w:r w:rsidRPr="00BE6EF2">
        <w:rPr>
          <w:rFonts w:ascii="Arial" w:hAnsi="Arial" w:cs="Arial"/>
          <w:color w:val="000000" w:themeColor="text1"/>
        </w:rPr>
        <w:t xml:space="preserve">A systematic literature review will be conducted in accordance with the Preferred Reporting Items for Systematic Reviews and Meta-Analyses 2020 guidelines (Page </w:t>
      </w:r>
      <w:r w:rsidRPr="00265F8B">
        <w:rPr>
          <w:rFonts w:ascii="Arial" w:hAnsi="Arial" w:cs="Arial"/>
          <w:i/>
          <w:iCs/>
          <w:color w:val="000000" w:themeColor="text1"/>
        </w:rPr>
        <w:t>et al.,</w:t>
      </w:r>
      <w:r w:rsidRPr="00BE6EF2">
        <w:rPr>
          <w:rFonts w:ascii="Arial" w:hAnsi="Arial" w:cs="Arial"/>
          <w:color w:val="000000" w:themeColor="text1"/>
        </w:rPr>
        <w:t xml:space="preserve"> 2021). A systematic rather than narrative design has been selected because it provides the only methodologically defensible means of minimising selection bias and ensuring transparent, reproducible inclusion and exclusion decisions in a literature characterised by heterogeneous designs and contested findings (Aveyard, 2019; Grant and Booth, 2009). Furthermore, a meta-analysis was considered but rejected: given the anticipated variability in study designs, outcome definitions and population characteristics, pooled statistical estimates would risk producing spuriously precise figures that mask clinically important variation a recognised limitation of quantitative synthesis in public health policy research (Higgins </w:t>
      </w:r>
      <w:r w:rsidRPr="00265F8B">
        <w:rPr>
          <w:rFonts w:ascii="Arial" w:hAnsi="Arial" w:cs="Arial"/>
          <w:i/>
          <w:iCs/>
          <w:color w:val="000000" w:themeColor="text1"/>
        </w:rPr>
        <w:t>et al.,</w:t>
      </w:r>
      <w:r w:rsidRPr="00BE6EF2">
        <w:rPr>
          <w:rFonts w:ascii="Arial" w:hAnsi="Arial" w:cs="Arial"/>
          <w:color w:val="000000" w:themeColor="text1"/>
        </w:rPr>
        <w:t xml:space="preserve"> 2022; Petticrew and Roberts, 2006). Consequently, thematic synthesis following Thomas and Harden’s (2008) three-stage method has been selected as the most analytically appropriate approach for examining the multidimensional barriers to rural primary healthcare access.</w:t>
      </w:r>
    </w:p>
    <w:p w14:paraId="5A8FA256" w14:textId="2A8933D1" w:rsidR="00623CBC" w:rsidRDefault="00E43203" w:rsidP="00265F8B">
      <w:pPr>
        <w:pStyle w:val="Heading2"/>
        <w:numPr>
          <w:ilvl w:val="1"/>
          <w:numId w:val="6"/>
        </w:numPr>
        <w:rPr>
          <w:rFonts w:ascii="Arial" w:hAnsi="Arial" w:cs="Arial"/>
        </w:rPr>
      </w:pPr>
      <w:bookmarkStart w:id="8" w:name="_Toc235393940"/>
      <w:r w:rsidRPr="00BE6EF2">
        <w:rPr>
          <w:rFonts w:ascii="Arial" w:hAnsi="Arial" w:cs="Arial"/>
        </w:rPr>
        <w:t>PEO Framework</w:t>
      </w:r>
      <w:bookmarkEnd w:id="8"/>
    </w:p>
    <w:p w14:paraId="55A4B38E" w14:textId="77777777" w:rsidR="00265F8B" w:rsidRPr="00265F8B" w:rsidRDefault="00265F8B" w:rsidP="00265F8B">
      <w:pPr>
        <w:pStyle w:val="ListParagraph"/>
        <w:ind w:left="900"/>
      </w:pPr>
    </w:p>
    <w:tbl>
      <w:tblPr>
        <w:tblW w:w="9360" w:type="dxa"/>
        <w:tblInd w:w="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63"/>
        <w:gridCol w:w="7897"/>
      </w:tblGrid>
      <w:tr w:rsidR="00902AC3" w:rsidRPr="00BE6EF2" w14:paraId="7CCE103A" w14:textId="77777777">
        <w:trPr>
          <w:tblHeader/>
        </w:trPr>
        <w:tc>
          <w:tcPr>
            <w:tcW w:w="0" w:type="auto"/>
            <w:tcBorders>
              <w:top w:val="single" w:sz="4" w:space="0" w:color="BFBFBF"/>
              <w:left w:val="single" w:sz="4" w:space="0" w:color="BFBFBF"/>
              <w:bottom w:val="single" w:sz="4" w:space="0" w:color="BFBFBF"/>
              <w:right w:val="single" w:sz="4" w:space="0" w:color="BFBFBF"/>
            </w:tcBorders>
            <w:shd w:val="clear" w:color="auto" w:fill="1F3864"/>
            <w:tcMar>
              <w:top w:w="80" w:type="dxa"/>
              <w:left w:w="120" w:type="dxa"/>
              <w:bottom w:w="80" w:type="dxa"/>
              <w:right w:w="120" w:type="dxa"/>
            </w:tcMar>
          </w:tcPr>
          <w:p w14:paraId="5353A431" w14:textId="77777777" w:rsidR="00623CBC" w:rsidRPr="00265F8B" w:rsidRDefault="00E43203" w:rsidP="00902AC3">
            <w:pPr>
              <w:spacing w:line="360" w:lineRule="auto"/>
              <w:jc w:val="both"/>
              <w:rPr>
                <w:rFonts w:ascii="Arial" w:hAnsi="Arial" w:cs="Arial"/>
                <w:color w:val="FFFFFF" w:themeColor="background1"/>
              </w:rPr>
            </w:pPr>
            <w:r w:rsidRPr="00265F8B">
              <w:rPr>
                <w:rFonts w:ascii="Arial" w:hAnsi="Arial" w:cs="Arial"/>
                <w:b/>
                <w:bCs/>
                <w:color w:val="FFFFFF" w:themeColor="background1"/>
              </w:rPr>
              <w:t>Component</w:t>
            </w:r>
          </w:p>
        </w:tc>
        <w:tc>
          <w:tcPr>
            <w:tcW w:w="0" w:type="auto"/>
            <w:tcBorders>
              <w:top w:val="single" w:sz="4" w:space="0" w:color="BFBFBF"/>
              <w:left w:val="single" w:sz="4" w:space="0" w:color="BFBFBF"/>
              <w:bottom w:val="single" w:sz="4" w:space="0" w:color="BFBFBF"/>
              <w:right w:val="single" w:sz="4" w:space="0" w:color="BFBFBF"/>
            </w:tcBorders>
            <w:shd w:val="clear" w:color="auto" w:fill="1F3864"/>
            <w:tcMar>
              <w:top w:w="80" w:type="dxa"/>
              <w:left w:w="120" w:type="dxa"/>
              <w:bottom w:w="80" w:type="dxa"/>
              <w:right w:w="120" w:type="dxa"/>
            </w:tcMar>
          </w:tcPr>
          <w:p w14:paraId="4ACEDBAB" w14:textId="77777777" w:rsidR="00623CBC" w:rsidRPr="00265F8B" w:rsidRDefault="00E43203" w:rsidP="00902AC3">
            <w:pPr>
              <w:spacing w:line="360" w:lineRule="auto"/>
              <w:jc w:val="both"/>
              <w:rPr>
                <w:rFonts w:ascii="Arial" w:hAnsi="Arial" w:cs="Arial"/>
                <w:color w:val="FFFFFF" w:themeColor="background1"/>
              </w:rPr>
            </w:pPr>
            <w:r w:rsidRPr="00265F8B">
              <w:rPr>
                <w:rFonts w:ascii="Arial" w:hAnsi="Arial" w:cs="Arial"/>
                <w:b/>
                <w:bCs/>
                <w:color w:val="FFFFFF" w:themeColor="background1"/>
              </w:rPr>
              <w:t>Definition</w:t>
            </w:r>
          </w:p>
        </w:tc>
      </w:tr>
      <w:tr w:rsidR="00902AC3" w:rsidRPr="00BE6EF2" w14:paraId="67E2DBF1" w14:textId="77777777">
        <w:tc>
          <w:tcPr>
            <w:tcW w:w="0" w:type="auto"/>
            <w:tcBorders>
              <w:top w:val="single" w:sz="4" w:space="0" w:color="BFBFBF"/>
              <w:left w:val="single" w:sz="4" w:space="0" w:color="BFBFBF"/>
              <w:bottom w:val="single" w:sz="4" w:space="0" w:color="BFBFBF"/>
              <w:right w:val="single" w:sz="4" w:space="0" w:color="BFBFBF"/>
            </w:tcBorders>
            <w:shd w:val="clear" w:color="auto" w:fill="DCE6F1"/>
            <w:tcMar>
              <w:top w:w="80" w:type="dxa"/>
              <w:left w:w="120" w:type="dxa"/>
              <w:bottom w:w="80" w:type="dxa"/>
              <w:right w:w="120" w:type="dxa"/>
            </w:tcMar>
          </w:tcPr>
          <w:p w14:paraId="08516A80"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b/>
                <w:bCs/>
                <w:color w:val="000000" w:themeColor="text1"/>
              </w:rPr>
              <w:t>Population</w:t>
            </w:r>
          </w:p>
        </w:tc>
        <w:tc>
          <w:tcPr>
            <w:tcW w:w="0" w:type="auto"/>
            <w:tcBorders>
              <w:top w:val="single" w:sz="4" w:space="0" w:color="BFBFBF"/>
              <w:left w:val="single" w:sz="4" w:space="0" w:color="BFBFBF"/>
              <w:bottom w:val="single" w:sz="4" w:space="0" w:color="BFBFBF"/>
              <w:right w:val="single" w:sz="4" w:space="0" w:color="BFBFBF"/>
            </w:tcBorders>
            <w:tcMar>
              <w:top w:w="80" w:type="dxa"/>
              <w:left w:w="120" w:type="dxa"/>
              <w:bottom w:w="80" w:type="dxa"/>
              <w:right w:w="120" w:type="dxa"/>
            </w:tcMar>
          </w:tcPr>
          <w:p w14:paraId="366F537E"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Adults residing in rural communities in the United Kingdom</w:t>
            </w:r>
          </w:p>
        </w:tc>
      </w:tr>
      <w:tr w:rsidR="00902AC3" w:rsidRPr="00BE6EF2" w14:paraId="1C856E9F" w14:textId="77777777">
        <w:tc>
          <w:tcPr>
            <w:tcW w:w="0" w:type="auto"/>
            <w:tcBorders>
              <w:top w:val="single" w:sz="4" w:space="0" w:color="BFBFBF"/>
              <w:left w:val="single" w:sz="4" w:space="0" w:color="BFBFBF"/>
              <w:bottom w:val="single" w:sz="4" w:space="0" w:color="BFBFBF"/>
              <w:right w:val="single" w:sz="4" w:space="0" w:color="BFBFBF"/>
            </w:tcBorders>
            <w:shd w:val="clear" w:color="auto" w:fill="DCE6F1"/>
            <w:tcMar>
              <w:top w:w="80" w:type="dxa"/>
              <w:left w:w="120" w:type="dxa"/>
              <w:bottom w:w="80" w:type="dxa"/>
              <w:right w:w="120" w:type="dxa"/>
            </w:tcMar>
          </w:tcPr>
          <w:p w14:paraId="051C9E39"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b/>
                <w:bCs/>
                <w:color w:val="000000" w:themeColor="text1"/>
              </w:rPr>
              <w:t>Exposure</w:t>
            </w:r>
          </w:p>
        </w:tc>
        <w:tc>
          <w:tcPr>
            <w:tcW w:w="0" w:type="auto"/>
            <w:tcBorders>
              <w:top w:val="single" w:sz="4" w:space="0" w:color="BFBFBF"/>
              <w:left w:val="single" w:sz="4" w:space="0" w:color="BFBFBF"/>
              <w:bottom w:val="single" w:sz="4" w:space="0" w:color="BFBFBF"/>
              <w:right w:val="single" w:sz="4" w:space="0" w:color="BFBFBF"/>
            </w:tcBorders>
            <w:tcMar>
              <w:top w:w="80" w:type="dxa"/>
              <w:left w:w="120" w:type="dxa"/>
              <w:bottom w:w="80" w:type="dxa"/>
              <w:right w:w="120" w:type="dxa"/>
            </w:tcMar>
          </w:tcPr>
          <w:p w14:paraId="35EE92E0"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Structural, socioeconomic, geographic and digital barriers to primary healthcare access</w:t>
            </w:r>
          </w:p>
        </w:tc>
      </w:tr>
      <w:tr w:rsidR="00902AC3" w:rsidRPr="00BE6EF2" w14:paraId="3674EBD5" w14:textId="77777777">
        <w:tc>
          <w:tcPr>
            <w:tcW w:w="0" w:type="auto"/>
            <w:tcBorders>
              <w:top w:val="single" w:sz="4" w:space="0" w:color="BFBFBF"/>
              <w:left w:val="single" w:sz="4" w:space="0" w:color="BFBFBF"/>
              <w:bottom w:val="single" w:sz="4" w:space="0" w:color="BFBFBF"/>
              <w:right w:val="single" w:sz="4" w:space="0" w:color="BFBFBF"/>
            </w:tcBorders>
            <w:shd w:val="clear" w:color="auto" w:fill="DCE6F1"/>
            <w:tcMar>
              <w:top w:w="80" w:type="dxa"/>
              <w:left w:w="120" w:type="dxa"/>
              <w:bottom w:w="80" w:type="dxa"/>
              <w:right w:w="120" w:type="dxa"/>
            </w:tcMar>
          </w:tcPr>
          <w:p w14:paraId="45F19C08"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b/>
                <w:bCs/>
                <w:color w:val="000000" w:themeColor="text1"/>
              </w:rPr>
              <w:t>Outcome</w:t>
            </w:r>
          </w:p>
        </w:tc>
        <w:tc>
          <w:tcPr>
            <w:tcW w:w="0" w:type="auto"/>
            <w:tcBorders>
              <w:top w:val="single" w:sz="4" w:space="0" w:color="BFBFBF"/>
              <w:left w:val="single" w:sz="4" w:space="0" w:color="BFBFBF"/>
              <w:bottom w:val="single" w:sz="4" w:space="0" w:color="BFBFBF"/>
              <w:right w:val="single" w:sz="4" w:space="0" w:color="BFBFBF"/>
            </w:tcBorders>
            <w:tcMar>
              <w:top w:w="80" w:type="dxa"/>
              <w:left w:w="120" w:type="dxa"/>
              <w:bottom w:w="80" w:type="dxa"/>
              <w:right w:w="120" w:type="dxa"/>
            </w:tcMar>
          </w:tcPr>
          <w:p w14:paraId="60FBC9AD"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Healthcare accessibility, service utilisation and equity of access</w:t>
            </w:r>
          </w:p>
        </w:tc>
      </w:tr>
    </w:tbl>
    <w:p w14:paraId="3E881921" w14:textId="77777777" w:rsidR="00623CBC" w:rsidRPr="00BE6EF2" w:rsidRDefault="00623CBC" w:rsidP="00902AC3">
      <w:pPr>
        <w:spacing w:after="130" w:line="360" w:lineRule="auto"/>
        <w:jc w:val="both"/>
        <w:rPr>
          <w:rFonts w:ascii="Arial" w:hAnsi="Arial" w:cs="Arial"/>
          <w:color w:val="000000" w:themeColor="text1"/>
        </w:rPr>
      </w:pPr>
    </w:p>
    <w:p w14:paraId="0638DD29" w14:textId="1E590B9D" w:rsidR="00623CBC" w:rsidRDefault="00E43203" w:rsidP="00265F8B">
      <w:pPr>
        <w:pStyle w:val="Heading2"/>
        <w:numPr>
          <w:ilvl w:val="1"/>
          <w:numId w:val="6"/>
        </w:numPr>
        <w:rPr>
          <w:rFonts w:ascii="Arial" w:hAnsi="Arial" w:cs="Arial"/>
        </w:rPr>
      </w:pPr>
      <w:bookmarkStart w:id="9" w:name="_Toc235393941"/>
      <w:r w:rsidRPr="00BE6EF2">
        <w:rPr>
          <w:rFonts w:ascii="Arial" w:hAnsi="Arial" w:cs="Arial"/>
        </w:rPr>
        <w:t>Data Sources and Search Strategy</w:t>
      </w:r>
      <w:bookmarkEnd w:id="9"/>
    </w:p>
    <w:p w14:paraId="6B1EF990" w14:textId="77777777" w:rsidR="00265F8B" w:rsidRPr="00265F8B" w:rsidRDefault="00265F8B" w:rsidP="00265F8B">
      <w:pPr>
        <w:pStyle w:val="ListParagraph"/>
        <w:ind w:left="900"/>
      </w:pPr>
    </w:p>
    <w:p w14:paraId="4E891D06" w14:textId="0D2CD0B7" w:rsidR="00623CBC" w:rsidRPr="00BE6EF2" w:rsidRDefault="00E43203" w:rsidP="00902AC3">
      <w:pPr>
        <w:spacing w:after="200" w:line="360" w:lineRule="auto"/>
        <w:jc w:val="both"/>
        <w:rPr>
          <w:rFonts w:ascii="Arial" w:hAnsi="Arial" w:cs="Arial"/>
          <w:color w:val="000000" w:themeColor="text1"/>
        </w:rPr>
      </w:pPr>
      <w:r w:rsidRPr="00BE6EF2">
        <w:rPr>
          <w:rFonts w:ascii="Arial" w:hAnsi="Arial" w:cs="Arial"/>
          <w:color w:val="000000" w:themeColor="text1"/>
        </w:rPr>
        <w:t xml:space="preserve">The search strategy, illustrated in the PRISMA 2020 flow diagram presented as Figure 1 below, will identify records from four electronic databases PubMed, Scopus, CINAHL and the Cochrane Library supplemented by grey-literature sources including NHS England, the King’s Fund, the Nuffield Trust and the BMA. The inclusion of grey literature is not merely a methodological formality but a deliberate strategy to partially mitigate publication bias the well-documented tendency for journals to disproportionately publish statistically significant or positive-result studies (Egger </w:t>
      </w:r>
      <w:r w:rsidRPr="00265F8B">
        <w:rPr>
          <w:rFonts w:ascii="Arial" w:hAnsi="Arial" w:cs="Arial"/>
          <w:i/>
          <w:iCs/>
          <w:color w:val="000000" w:themeColor="text1"/>
        </w:rPr>
        <w:t>et al.,</w:t>
      </w:r>
      <w:r w:rsidRPr="00BE6EF2">
        <w:rPr>
          <w:rFonts w:ascii="Arial" w:hAnsi="Arial" w:cs="Arial"/>
          <w:color w:val="000000" w:themeColor="text1"/>
        </w:rPr>
        <w:t xml:space="preserve"> 1997; Higgins </w:t>
      </w:r>
      <w:r w:rsidRPr="00265F8B">
        <w:rPr>
          <w:rFonts w:ascii="Arial" w:hAnsi="Arial" w:cs="Arial"/>
          <w:i/>
          <w:iCs/>
          <w:color w:val="000000" w:themeColor="text1"/>
        </w:rPr>
        <w:t>et al.,</w:t>
      </w:r>
      <w:r w:rsidRPr="00BE6EF2">
        <w:rPr>
          <w:rFonts w:ascii="Arial" w:hAnsi="Arial" w:cs="Arial"/>
          <w:color w:val="000000" w:themeColor="text1"/>
        </w:rPr>
        <w:t xml:space="preserve"> 2022). Following removal of duplicates, records will proceed through independent title and abstract screening before eligible studies advance to full-text eligibility assessment. Search terms will be combined using Boolean operators and will include: “rural healthcare”, “primary care access”, “health inequalities”, “digital exclusion”, “workforce shortage”, “socioeconomic deprivation” and “United Kingdom”. Furthermore, reference lists of all included studies will be hand-searched to identify additional relevant literature not captured by the automated database searches.</w:t>
      </w:r>
    </w:p>
    <w:p w14:paraId="7D2B52AE" w14:textId="18D72E11" w:rsidR="00623CBC" w:rsidRDefault="00E43203" w:rsidP="00265F8B">
      <w:pPr>
        <w:pStyle w:val="Heading2"/>
        <w:numPr>
          <w:ilvl w:val="1"/>
          <w:numId w:val="6"/>
        </w:numPr>
        <w:rPr>
          <w:rFonts w:ascii="Arial" w:hAnsi="Arial" w:cs="Arial"/>
        </w:rPr>
      </w:pPr>
      <w:bookmarkStart w:id="10" w:name="_Toc235393942"/>
      <w:r w:rsidRPr="00BE6EF2">
        <w:rPr>
          <w:rFonts w:ascii="Arial" w:hAnsi="Arial" w:cs="Arial"/>
        </w:rPr>
        <w:t>PRISMA 2020 Flow Diagram</w:t>
      </w:r>
      <w:bookmarkEnd w:id="10"/>
    </w:p>
    <w:p w14:paraId="5E41AEAE" w14:textId="77777777" w:rsidR="00265F8B" w:rsidRPr="00265F8B" w:rsidRDefault="00265F8B" w:rsidP="00265F8B">
      <w:pPr>
        <w:pStyle w:val="ListParagraph"/>
        <w:ind w:left="900"/>
      </w:pPr>
    </w:p>
    <w:p w14:paraId="020FE5CF" w14:textId="57137CCC" w:rsidR="00623CBC" w:rsidRPr="00BE6EF2" w:rsidRDefault="00E43203" w:rsidP="00902AC3">
      <w:pPr>
        <w:spacing w:after="200" w:line="360" w:lineRule="auto"/>
        <w:jc w:val="both"/>
        <w:rPr>
          <w:rFonts w:ascii="Arial" w:hAnsi="Arial" w:cs="Arial"/>
          <w:color w:val="000000" w:themeColor="text1"/>
        </w:rPr>
      </w:pPr>
      <w:r w:rsidRPr="00BE6EF2">
        <w:rPr>
          <w:rFonts w:ascii="Arial" w:hAnsi="Arial" w:cs="Arial"/>
          <w:color w:val="000000" w:themeColor="text1"/>
        </w:rPr>
        <w:t xml:space="preserve">Figure 1 presents the planned PRISMA 2020 flow diagram illustrating the proposed study selection process, from initial database identification through to final inclusion in the thematic synthesis. As this is a research proposal, the diagram presents the planned stages and anticipated exclusion reasons rather than final search results, which will be determined upon implementation of the review. Each stage reflects the methodological decisions described in Sections 7.3 to 7.6, providing a transparent and auditable framework for how studies will be identified, screened, assessed and selected in accordance </w:t>
      </w:r>
      <w:r w:rsidR="00265F8B">
        <w:rPr>
          <w:rFonts w:ascii="Arial" w:hAnsi="Arial" w:cs="Arial"/>
          <w:color w:val="000000" w:themeColor="text1"/>
        </w:rPr>
        <w:t>(</w:t>
      </w:r>
      <w:r w:rsidRPr="00BE6EF2">
        <w:rPr>
          <w:rFonts w:ascii="Arial" w:hAnsi="Arial" w:cs="Arial"/>
          <w:color w:val="000000" w:themeColor="text1"/>
        </w:rPr>
        <w:t xml:space="preserve">Page </w:t>
      </w:r>
      <w:r w:rsidRPr="00265F8B">
        <w:rPr>
          <w:rFonts w:ascii="Arial" w:hAnsi="Arial" w:cs="Arial"/>
          <w:i/>
          <w:iCs/>
          <w:color w:val="000000" w:themeColor="text1"/>
        </w:rPr>
        <w:t>et al.</w:t>
      </w:r>
      <w:r w:rsidR="00265F8B" w:rsidRPr="00265F8B">
        <w:rPr>
          <w:rFonts w:ascii="Arial" w:hAnsi="Arial" w:cs="Arial"/>
          <w:i/>
          <w:iCs/>
          <w:color w:val="000000" w:themeColor="text1"/>
        </w:rPr>
        <w:t>,</w:t>
      </w:r>
      <w:r w:rsidR="00265F8B">
        <w:rPr>
          <w:rFonts w:ascii="Arial" w:hAnsi="Arial" w:cs="Arial"/>
          <w:color w:val="000000" w:themeColor="text1"/>
        </w:rPr>
        <w:t xml:space="preserve"> </w:t>
      </w:r>
      <w:r w:rsidRPr="00BE6EF2">
        <w:rPr>
          <w:rFonts w:ascii="Arial" w:hAnsi="Arial" w:cs="Arial"/>
          <w:color w:val="000000" w:themeColor="text1"/>
        </w:rPr>
        <w:t>2021).</w:t>
      </w:r>
    </w:p>
    <w:p w14:paraId="36EFEEC5" w14:textId="77777777" w:rsidR="00623CBC" w:rsidRPr="00BE6EF2" w:rsidRDefault="00623CBC" w:rsidP="00902AC3">
      <w:pPr>
        <w:spacing w:after="130" w:line="360" w:lineRule="auto"/>
        <w:jc w:val="both"/>
        <w:rPr>
          <w:rFonts w:ascii="Arial" w:hAnsi="Arial" w:cs="Arial"/>
          <w:color w:val="000000" w:themeColor="text1"/>
        </w:rPr>
      </w:pPr>
    </w:p>
    <w:p w14:paraId="2DA7DABB" w14:textId="77777777" w:rsidR="00623CBC" w:rsidRPr="00BE6EF2" w:rsidRDefault="00E43203" w:rsidP="00035CAE">
      <w:pPr>
        <w:spacing w:after="80" w:line="360" w:lineRule="auto"/>
        <w:jc w:val="center"/>
        <w:rPr>
          <w:rFonts w:ascii="Arial" w:hAnsi="Arial" w:cs="Arial"/>
          <w:color w:val="000000" w:themeColor="text1"/>
        </w:rPr>
      </w:pPr>
      <w:r w:rsidRPr="00BE6EF2">
        <w:rPr>
          <w:rFonts w:ascii="Arial" w:hAnsi="Arial" w:cs="Arial"/>
          <w:noProof/>
          <w:color w:val="000000" w:themeColor="text1"/>
        </w:rPr>
        <w:drawing>
          <wp:inline distT="0" distB="0" distL="0" distR="0" wp14:anchorId="28559B16" wp14:editId="772B664B">
            <wp:extent cx="4857750" cy="63341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4857750" cy="6334125"/>
                    </a:xfrm>
                    <a:prstGeom prst="rect">
                      <a:avLst/>
                    </a:prstGeom>
                  </pic:spPr>
                </pic:pic>
              </a:graphicData>
            </a:graphic>
          </wp:inline>
        </w:drawing>
      </w:r>
    </w:p>
    <w:p w14:paraId="1B7EF647" w14:textId="59E015FF" w:rsidR="00623CBC" w:rsidRPr="00BE6EF2" w:rsidRDefault="00E43203" w:rsidP="00902AC3">
      <w:pPr>
        <w:spacing w:after="220" w:line="360" w:lineRule="auto"/>
        <w:jc w:val="both"/>
        <w:rPr>
          <w:rFonts w:ascii="Arial" w:hAnsi="Arial" w:cs="Arial"/>
          <w:color w:val="000000" w:themeColor="text1"/>
        </w:rPr>
      </w:pPr>
      <w:r w:rsidRPr="00BE6EF2">
        <w:rPr>
          <w:rFonts w:ascii="Arial" w:hAnsi="Arial" w:cs="Arial"/>
          <w:color w:val="000000" w:themeColor="text1"/>
          <w:sz w:val="20"/>
          <w:szCs w:val="20"/>
        </w:rPr>
        <w:t xml:space="preserve">Figure 1: Planned PRISMA 2020 Flow Diagram Proposed Study Selection Process (Adapted from </w:t>
      </w:r>
      <w:r w:rsidRPr="00265F8B">
        <w:rPr>
          <w:rFonts w:ascii="Arial" w:hAnsi="Arial" w:cs="Arial"/>
          <w:i/>
          <w:iCs/>
          <w:color w:val="000000" w:themeColor="text1"/>
          <w:sz w:val="20"/>
          <w:szCs w:val="20"/>
        </w:rPr>
        <w:t>Page et al.,</w:t>
      </w:r>
      <w:r w:rsidRPr="00BE6EF2">
        <w:rPr>
          <w:rFonts w:ascii="Arial" w:hAnsi="Arial" w:cs="Arial"/>
          <w:color w:val="000000" w:themeColor="text1"/>
          <w:sz w:val="20"/>
          <w:szCs w:val="20"/>
        </w:rPr>
        <w:t xml:space="preserve"> 2021)</w:t>
      </w:r>
    </w:p>
    <w:p w14:paraId="70BABA10" w14:textId="65C93D8C" w:rsidR="00623CBC" w:rsidRDefault="00E43203" w:rsidP="00265F8B">
      <w:pPr>
        <w:pStyle w:val="Heading2"/>
        <w:numPr>
          <w:ilvl w:val="1"/>
          <w:numId w:val="6"/>
        </w:numPr>
        <w:rPr>
          <w:rFonts w:ascii="Arial" w:hAnsi="Arial" w:cs="Arial"/>
        </w:rPr>
      </w:pPr>
      <w:bookmarkStart w:id="11" w:name="_Toc235393943"/>
      <w:r w:rsidRPr="00BE6EF2">
        <w:rPr>
          <w:rFonts w:ascii="Arial" w:hAnsi="Arial" w:cs="Arial"/>
        </w:rPr>
        <w:t>Screening and Eligibility</w:t>
      </w:r>
      <w:bookmarkEnd w:id="11"/>
    </w:p>
    <w:p w14:paraId="32C25F28" w14:textId="77777777" w:rsidR="00265F8B" w:rsidRPr="00265F8B" w:rsidRDefault="00265F8B" w:rsidP="00265F8B">
      <w:pPr>
        <w:pStyle w:val="ListParagraph"/>
        <w:ind w:left="900"/>
      </w:pPr>
    </w:p>
    <w:p w14:paraId="4680E176" w14:textId="77777777" w:rsidR="00623CBC" w:rsidRPr="00BE6EF2" w:rsidRDefault="00E43203" w:rsidP="00902AC3">
      <w:pPr>
        <w:spacing w:after="200" w:line="360" w:lineRule="auto"/>
        <w:jc w:val="both"/>
        <w:rPr>
          <w:rFonts w:ascii="Arial" w:hAnsi="Arial" w:cs="Arial"/>
          <w:color w:val="000000" w:themeColor="text1"/>
        </w:rPr>
      </w:pPr>
      <w:r w:rsidRPr="00BE6EF2">
        <w:rPr>
          <w:rFonts w:ascii="Arial" w:hAnsi="Arial" w:cs="Arial"/>
          <w:color w:val="000000" w:themeColor="text1"/>
        </w:rPr>
        <w:t xml:space="preserve">As illustrated in Figure 1, following the removal of duplicates, records will proceed to title and abstract screening by two independent reviewers against the eligibility criteria detailed in Section 7.6. Studies not meeting these criteria will be excluded at this stage, with the primary anticipated reasons for exclusion including studies not focused on UK or rural populations, studies published before 2020, and studies without a primary healthcare access focus. Subsequently, studies passing initial screening will be retrieved as full-text articles for a more detailed eligibility assessment. Articles that do not satisfy the full inclusion criteria will be excluded at this stage, with reasons documented systematically to ensure transparency and reproducibility in accordance with PRISMA 2020 reporting standards (Page </w:t>
      </w:r>
      <w:r w:rsidRPr="00265F8B">
        <w:rPr>
          <w:rFonts w:ascii="Arial" w:hAnsi="Arial" w:cs="Arial"/>
          <w:i/>
          <w:iCs/>
          <w:color w:val="000000" w:themeColor="text1"/>
        </w:rPr>
        <w:t>et al.,</w:t>
      </w:r>
      <w:r w:rsidRPr="00BE6EF2">
        <w:rPr>
          <w:rFonts w:ascii="Arial" w:hAnsi="Arial" w:cs="Arial"/>
          <w:color w:val="000000" w:themeColor="text1"/>
        </w:rPr>
        <w:t xml:space="preserve"> 2021). Studies passing all eligibility checks will be included in the final thematic synthesis, with the anticipated sample comprising qualitative, quantitative, mixed-methods and policy or grey-literature documents, the precise composition of which will be determined following implementation of the search.</w:t>
      </w:r>
    </w:p>
    <w:p w14:paraId="59564A0D" w14:textId="3B2A823E" w:rsidR="00623CBC" w:rsidRDefault="00E43203" w:rsidP="00265F8B">
      <w:pPr>
        <w:pStyle w:val="Heading2"/>
        <w:numPr>
          <w:ilvl w:val="1"/>
          <w:numId w:val="6"/>
        </w:numPr>
        <w:rPr>
          <w:rFonts w:ascii="Arial" w:hAnsi="Arial" w:cs="Arial"/>
        </w:rPr>
      </w:pPr>
      <w:bookmarkStart w:id="12" w:name="_Toc235393944"/>
      <w:r w:rsidRPr="00BE6EF2">
        <w:rPr>
          <w:rFonts w:ascii="Arial" w:hAnsi="Arial" w:cs="Arial"/>
        </w:rPr>
        <w:t>Inclusion and Exclusion Criteria</w:t>
      </w:r>
      <w:bookmarkEnd w:id="12"/>
    </w:p>
    <w:p w14:paraId="5FEA50CC" w14:textId="77777777" w:rsidR="00265F8B" w:rsidRPr="00265F8B" w:rsidRDefault="00265F8B" w:rsidP="00265F8B">
      <w:pPr>
        <w:pStyle w:val="ListParagraph"/>
        <w:ind w:left="900"/>
      </w:pPr>
    </w:p>
    <w:tbl>
      <w:tblPr>
        <w:tblW w:w="9360" w:type="dxa"/>
        <w:tblInd w:w="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118"/>
        <w:gridCol w:w="5242"/>
      </w:tblGrid>
      <w:tr w:rsidR="00902AC3" w:rsidRPr="00BE6EF2" w14:paraId="2ACB2BE6" w14:textId="77777777">
        <w:trPr>
          <w:tblHeader/>
        </w:trPr>
        <w:tc>
          <w:tcPr>
            <w:tcW w:w="0" w:type="auto"/>
            <w:tcBorders>
              <w:top w:val="single" w:sz="4" w:space="0" w:color="BFBFBF"/>
              <w:left w:val="single" w:sz="4" w:space="0" w:color="BFBFBF"/>
              <w:bottom w:val="single" w:sz="4" w:space="0" w:color="BFBFBF"/>
              <w:right w:val="single" w:sz="4" w:space="0" w:color="BFBFBF"/>
            </w:tcBorders>
            <w:shd w:val="clear" w:color="auto" w:fill="0F6E6E"/>
            <w:tcMar>
              <w:top w:w="80" w:type="dxa"/>
              <w:left w:w="120" w:type="dxa"/>
              <w:bottom w:w="80" w:type="dxa"/>
              <w:right w:w="120" w:type="dxa"/>
            </w:tcMar>
          </w:tcPr>
          <w:p w14:paraId="5E63BAEC" w14:textId="77777777" w:rsidR="00623CBC" w:rsidRPr="00265F8B" w:rsidRDefault="00E43203" w:rsidP="00902AC3">
            <w:pPr>
              <w:spacing w:line="360" w:lineRule="auto"/>
              <w:jc w:val="both"/>
              <w:rPr>
                <w:rFonts w:ascii="Arial" w:hAnsi="Arial" w:cs="Arial"/>
                <w:color w:val="FFFFFF" w:themeColor="background1"/>
              </w:rPr>
            </w:pPr>
            <w:r w:rsidRPr="00265F8B">
              <w:rPr>
                <w:rFonts w:ascii="Arial" w:hAnsi="Arial" w:cs="Arial"/>
                <w:b/>
                <w:bCs/>
                <w:color w:val="FFFFFF" w:themeColor="background1"/>
              </w:rPr>
              <w:t>Inclusion Criteria</w:t>
            </w:r>
          </w:p>
        </w:tc>
        <w:tc>
          <w:tcPr>
            <w:tcW w:w="0" w:type="auto"/>
            <w:tcBorders>
              <w:top w:val="single" w:sz="4" w:space="0" w:color="BFBFBF"/>
              <w:left w:val="single" w:sz="4" w:space="0" w:color="BFBFBF"/>
              <w:bottom w:val="single" w:sz="4" w:space="0" w:color="BFBFBF"/>
              <w:right w:val="single" w:sz="4" w:space="0" w:color="BFBFBF"/>
            </w:tcBorders>
            <w:shd w:val="clear" w:color="auto" w:fill="0F6E6E"/>
            <w:tcMar>
              <w:top w:w="80" w:type="dxa"/>
              <w:left w:w="120" w:type="dxa"/>
              <w:bottom w:w="80" w:type="dxa"/>
              <w:right w:w="120" w:type="dxa"/>
            </w:tcMar>
          </w:tcPr>
          <w:p w14:paraId="3306E6A6" w14:textId="77777777" w:rsidR="00623CBC" w:rsidRPr="00265F8B" w:rsidRDefault="00E43203" w:rsidP="00902AC3">
            <w:pPr>
              <w:spacing w:line="360" w:lineRule="auto"/>
              <w:jc w:val="both"/>
              <w:rPr>
                <w:rFonts w:ascii="Arial" w:hAnsi="Arial" w:cs="Arial"/>
                <w:color w:val="FFFFFF" w:themeColor="background1"/>
              </w:rPr>
            </w:pPr>
            <w:r w:rsidRPr="00265F8B">
              <w:rPr>
                <w:rFonts w:ascii="Arial" w:hAnsi="Arial" w:cs="Arial"/>
                <w:b/>
                <w:bCs/>
                <w:color w:val="FFFFFF" w:themeColor="background1"/>
              </w:rPr>
              <w:t>Exclusion Criteria</w:t>
            </w:r>
          </w:p>
        </w:tc>
      </w:tr>
      <w:tr w:rsidR="00902AC3" w:rsidRPr="00BE6EF2" w14:paraId="3623AF17" w14:textId="77777777">
        <w:tc>
          <w:tcPr>
            <w:tcW w:w="0" w:type="auto"/>
            <w:tcBorders>
              <w:top w:val="single" w:sz="4" w:space="0" w:color="BFBFBF"/>
              <w:left w:val="single" w:sz="4" w:space="0" w:color="BFBFBF"/>
              <w:bottom w:val="single" w:sz="4" w:space="0" w:color="BFBFBF"/>
              <w:right w:val="single" w:sz="4" w:space="0" w:color="BFBFBF"/>
            </w:tcBorders>
            <w:shd w:val="clear" w:color="auto" w:fill="DCEEEE"/>
            <w:tcMar>
              <w:top w:w="80" w:type="dxa"/>
              <w:left w:w="120" w:type="dxa"/>
              <w:bottom w:w="80" w:type="dxa"/>
              <w:right w:w="120" w:type="dxa"/>
            </w:tcMar>
          </w:tcPr>
          <w:p w14:paraId="4F5FD5DE"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Published 2020–2026</w:t>
            </w:r>
          </w:p>
          <w:p w14:paraId="2A9C9225"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Peer-reviewed; English language</w:t>
            </w:r>
          </w:p>
          <w:p w14:paraId="539F6FE1"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UK-based rural populations</w:t>
            </w:r>
          </w:p>
          <w:p w14:paraId="2693EDCC"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Primary healthcare access focus</w:t>
            </w:r>
          </w:p>
          <w:p w14:paraId="14166389"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Qualitative and quantitative designs</w:t>
            </w:r>
          </w:p>
        </w:tc>
        <w:tc>
          <w:tcPr>
            <w:tcW w:w="0" w:type="auto"/>
            <w:tcBorders>
              <w:top w:val="single" w:sz="4" w:space="0" w:color="BFBFBF"/>
              <w:left w:val="single" w:sz="4" w:space="0" w:color="BFBFBF"/>
              <w:bottom w:val="single" w:sz="4" w:space="0" w:color="BFBFBF"/>
              <w:right w:val="single" w:sz="4" w:space="0" w:color="BFBFBF"/>
            </w:tcBorders>
            <w:tcMar>
              <w:top w:w="80" w:type="dxa"/>
              <w:left w:w="120" w:type="dxa"/>
              <w:bottom w:w="80" w:type="dxa"/>
              <w:right w:w="120" w:type="dxa"/>
            </w:tcMar>
          </w:tcPr>
          <w:p w14:paraId="39F529A1"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Urban-only populations</w:t>
            </w:r>
          </w:p>
          <w:p w14:paraId="0D4ADB6F"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Non-English language studies</w:t>
            </w:r>
          </w:p>
          <w:p w14:paraId="0BD0F1EA"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Editorials and opinion pieces</w:t>
            </w:r>
          </w:p>
          <w:p w14:paraId="69DD6783"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Non-peer-reviewed (except policy documents)</w:t>
            </w:r>
          </w:p>
          <w:p w14:paraId="6DD8EDB2"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Published before 2020</w:t>
            </w:r>
          </w:p>
        </w:tc>
      </w:tr>
    </w:tbl>
    <w:p w14:paraId="1200CEB7" w14:textId="77777777" w:rsidR="00623CBC" w:rsidRPr="00BE6EF2" w:rsidRDefault="00623CBC" w:rsidP="00902AC3">
      <w:pPr>
        <w:spacing w:after="130" w:line="360" w:lineRule="auto"/>
        <w:jc w:val="both"/>
        <w:rPr>
          <w:rFonts w:ascii="Arial" w:hAnsi="Arial" w:cs="Arial"/>
          <w:color w:val="000000" w:themeColor="text1"/>
        </w:rPr>
      </w:pPr>
    </w:p>
    <w:p w14:paraId="4406EF4A" w14:textId="63E0BA59" w:rsidR="00623CBC" w:rsidRDefault="00E43203" w:rsidP="00265F8B">
      <w:pPr>
        <w:pStyle w:val="Heading2"/>
        <w:numPr>
          <w:ilvl w:val="1"/>
          <w:numId w:val="6"/>
        </w:numPr>
        <w:rPr>
          <w:rFonts w:ascii="Arial" w:hAnsi="Arial" w:cs="Arial"/>
        </w:rPr>
      </w:pPr>
      <w:bookmarkStart w:id="13" w:name="_Toc235393945"/>
      <w:r w:rsidRPr="00BE6EF2">
        <w:rPr>
          <w:rFonts w:ascii="Arial" w:hAnsi="Arial" w:cs="Arial"/>
        </w:rPr>
        <w:t>Quality Appraisal and Data Analysis</w:t>
      </w:r>
      <w:bookmarkEnd w:id="13"/>
    </w:p>
    <w:p w14:paraId="40965FA9" w14:textId="77777777" w:rsidR="00265F8B" w:rsidRPr="00265F8B" w:rsidRDefault="00265F8B" w:rsidP="00265F8B">
      <w:pPr>
        <w:pStyle w:val="ListParagraph"/>
        <w:ind w:left="900"/>
      </w:pPr>
    </w:p>
    <w:p w14:paraId="5916B52F" w14:textId="0DA467CA" w:rsidR="00623CBC" w:rsidRPr="00BE6EF2" w:rsidRDefault="00E43203" w:rsidP="00902AC3">
      <w:pPr>
        <w:spacing w:after="200" w:line="360" w:lineRule="auto"/>
        <w:jc w:val="both"/>
        <w:rPr>
          <w:rFonts w:ascii="Arial" w:hAnsi="Arial" w:cs="Arial"/>
          <w:color w:val="000000" w:themeColor="text1"/>
        </w:rPr>
      </w:pPr>
      <w:r w:rsidRPr="00BE6EF2">
        <w:rPr>
          <w:rFonts w:ascii="Arial" w:hAnsi="Arial" w:cs="Arial"/>
          <w:color w:val="000000" w:themeColor="text1"/>
        </w:rPr>
        <w:t xml:space="preserve">The methodological quality of all included studies will be assessed using Critical Appraisal Skills Programme checklists matched to study design (Critical Appraisal Skills Programme, 2023). This step is methodologically critical: without systematic quality appraisal, thematic synthesis risks according equal analytical weight to findings from poorly designed and methodologically rigorous studies alike, consequently producing misleading conclusions (Higgins </w:t>
      </w:r>
      <w:r w:rsidRPr="00265F8B">
        <w:rPr>
          <w:rFonts w:ascii="Arial" w:hAnsi="Arial" w:cs="Arial"/>
          <w:i/>
          <w:iCs/>
          <w:color w:val="000000" w:themeColor="text1"/>
        </w:rPr>
        <w:t>et al.,</w:t>
      </w:r>
      <w:r w:rsidRPr="00BE6EF2">
        <w:rPr>
          <w:rFonts w:ascii="Arial" w:hAnsi="Arial" w:cs="Arial"/>
          <w:color w:val="000000" w:themeColor="text1"/>
        </w:rPr>
        <w:t xml:space="preserve"> 2022; Petticrew and Roberts, 2006). Quality ratings will be reported transparently and used to modulate confidence in findings consistent with the GRADE-</w:t>
      </w:r>
      <w:proofErr w:type="spellStart"/>
      <w:r w:rsidRPr="00BE6EF2">
        <w:rPr>
          <w:rFonts w:ascii="Arial" w:hAnsi="Arial" w:cs="Arial"/>
          <w:color w:val="000000" w:themeColor="text1"/>
        </w:rPr>
        <w:t>CERQual</w:t>
      </w:r>
      <w:proofErr w:type="spellEnd"/>
      <w:r w:rsidRPr="00BE6EF2">
        <w:rPr>
          <w:rFonts w:ascii="Arial" w:hAnsi="Arial" w:cs="Arial"/>
          <w:color w:val="000000" w:themeColor="text1"/>
        </w:rPr>
        <w:t xml:space="preserve"> approach (Lewin </w:t>
      </w:r>
      <w:r w:rsidRPr="00265F8B">
        <w:rPr>
          <w:rFonts w:ascii="Arial" w:hAnsi="Arial" w:cs="Arial"/>
          <w:i/>
          <w:iCs/>
          <w:color w:val="000000" w:themeColor="text1"/>
        </w:rPr>
        <w:t>et al.,</w:t>
      </w:r>
      <w:r w:rsidRPr="00BE6EF2">
        <w:rPr>
          <w:rFonts w:ascii="Arial" w:hAnsi="Arial" w:cs="Arial"/>
          <w:color w:val="000000" w:themeColor="text1"/>
        </w:rPr>
        <w:t xml:space="preserve"> 2018). Data analysis will follow Thomas and Harden’s (2008) three-stage thematic synthesis: inductive line-by-line free coding of study findings; development of descriptive themes representing cross-study patterns; and generation of analytical themes that interpret and theorise those patterns, grounded in the Social Determinants of Health framework (World Health Organization, 2023; Dahlgren and Whitehead, 1991) and Andersen’s Behavioural Model as developed by </w:t>
      </w:r>
      <w:r w:rsidR="00265F8B">
        <w:rPr>
          <w:rFonts w:ascii="Arial" w:hAnsi="Arial" w:cs="Arial"/>
          <w:color w:val="000000" w:themeColor="text1"/>
        </w:rPr>
        <w:t>(</w:t>
      </w:r>
      <w:r w:rsidRPr="00BE6EF2">
        <w:rPr>
          <w:rFonts w:ascii="Arial" w:hAnsi="Arial" w:cs="Arial"/>
          <w:color w:val="000000" w:themeColor="text1"/>
        </w:rPr>
        <w:t xml:space="preserve">Levesque </w:t>
      </w:r>
      <w:r w:rsidRPr="00265F8B">
        <w:rPr>
          <w:rFonts w:ascii="Arial" w:hAnsi="Arial" w:cs="Arial"/>
          <w:i/>
          <w:iCs/>
          <w:color w:val="000000" w:themeColor="text1"/>
        </w:rPr>
        <w:t>et al.</w:t>
      </w:r>
      <w:r w:rsidR="00265F8B" w:rsidRPr="00265F8B">
        <w:rPr>
          <w:rFonts w:ascii="Arial" w:hAnsi="Arial" w:cs="Arial"/>
          <w:i/>
          <w:iCs/>
          <w:color w:val="000000" w:themeColor="text1"/>
        </w:rPr>
        <w:t>,</w:t>
      </w:r>
      <w:r w:rsidR="00265F8B">
        <w:rPr>
          <w:rFonts w:ascii="Arial" w:hAnsi="Arial" w:cs="Arial"/>
          <w:color w:val="000000" w:themeColor="text1"/>
        </w:rPr>
        <w:t xml:space="preserve"> </w:t>
      </w:r>
      <w:r w:rsidRPr="00BE6EF2">
        <w:rPr>
          <w:rFonts w:ascii="Arial" w:hAnsi="Arial" w:cs="Arial"/>
          <w:color w:val="000000" w:themeColor="text1"/>
        </w:rPr>
        <w:t xml:space="preserve">2013). Furthermore, selective-reporting bias within included studies will be explicitly assessed and documented throughout, ensuring that the synthesis does not inadvertently amplify selectively reported findings (Egger </w:t>
      </w:r>
      <w:r w:rsidRPr="00265F8B">
        <w:rPr>
          <w:rFonts w:ascii="Arial" w:hAnsi="Arial" w:cs="Arial"/>
          <w:i/>
          <w:iCs/>
          <w:color w:val="000000" w:themeColor="text1"/>
        </w:rPr>
        <w:t>et al.,</w:t>
      </w:r>
      <w:r w:rsidRPr="00BE6EF2">
        <w:rPr>
          <w:rFonts w:ascii="Arial" w:hAnsi="Arial" w:cs="Arial"/>
          <w:color w:val="000000" w:themeColor="text1"/>
        </w:rPr>
        <w:t xml:space="preserve"> 1997).</w:t>
      </w:r>
    </w:p>
    <w:p w14:paraId="5731BAF8" w14:textId="585FE094" w:rsidR="00623CBC" w:rsidRDefault="00E43203" w:rsidP="00265F8B">
      <w:pPr>
        <w:pStyle w:val="Heading1"/>
        <w:numPr>
          <w:ilvl w:val="0"/>
          <w:numId w:val="6"/>
        </w:numPr>
        <w:rPr>
          <w:rFonts w:ascii="Arial" w:hAnsi="Arial" w:cs="Arial"/>
        </w:rPr>
      </w:pPr>
      <w:bookmarkStart w:id="14" w:name="_Toc235393946"/>
      <w:r w:rsidRPr="00BE6EF2">
        <w:rPr>
          <w:rFonts w:ascii="Arial" w:hAnsi="Arial" w:cs="Arial"/>
        </w:rPr>
        <w:t>Ethical Considerations</w:t>
      </w:r>
      <w:bookmarkEnd w:id="14"/>
    </w:p>
    <w:p w14:paraId="4AF5F25E" w14:textId="77777777" w:rsidR="00265F8B" w:rsidRPr="00265F8B" w:rsidRDefault="00265F8B" w:rsidP="00265F8B">
      <w:pPr>
        <w:pStyle w:val="ListParagraph"/>
        <w:ind w:left="765"/>
      </w:pPr>
    </w:p>
    <w:p w14:paraId="29DE8F57" w14:textId="77777777" w:rsidR="00623CBC" w:rsidRPr="00BE6EF2" w:rsidRDefault="00E43203" w:rsidP="00902AC3">
      <w:pPr>
        <w:spacing w:after="200" w:line="360" w:lineRule="auto"/>
        <w:jc w:val="both"/>
        <w:rPr>
          <w:rFonts w:ascii="Arial" w:hAnsi="Arial" w:cs="Arial"/>
          <w:color w:val="000000" w:themeColor="text1"/>
        </w:rPr>
      </w:pPr>
      <w:r w:rsidRPr="00BE6EF2">
        <w:rPr>
          <w:rFonts w:ascii="Arial" w:hAnsi="Arial" w:cs="Arial"/>
          <w:color w:val="000000" w:themeColor="text1"/>
        </w:rPr>
        <w:t xml:space="preserve">As this study involves the secondary analysis of previously published literature, formal ethical committee approval is not required in accordance with ESRC guidance (Economic and Social Research Council, 2022). Nevertheless, the review will adhere to rigorous standards of research integrity throughout. Accurate and transparent reporting of methods and findings will be maintained, including explicit acknowledgement of contradictions within the evidence base and instances where the literature is inconclusive, rather than suppressing equivocal findings (Israel and Hay, 2006; Aveyard, 2019). Furthermore, all sources will be appropriately attributed in full Harvard format. Moreover, two forms of systematic bias inherent to literature review methodology will be explicitly managed: publication bias will be partially mitigated through grey literature inclusion (Egger </w:t>
      </w:r>
      <w:r w:rsidRPr="00265F8B">
        <w:rPr>
          <w:rFonts w:ascii="Arial" w:hAnsi="Arial" w:cs="Arial"/>
          <w:i/>
          <w:iCs/>
          <w:color w:val="000000" w:themeColor="text1"/>
        </w:rPr>
        <w:t>et al.,</w:t>
      </w:r>
      <w:r w:rsidRPr="00BE6EF2">
        <w:rPr>
          <w:rFonts w:ascii="Arial" w:hAnsi="Arial" w:cs="Arial"/>
          <w:color w:val="000000" w:themeColor="text1"/>
        </w:rPr>
        <w:t xml:space="preserve"> 1997), and selective-reporting bias within individual studies will be assessed using CASP quality appraisal tools with concerns transparently documented in the final synthesis (Critical Appraisal Skills Programme, 2023; Higgins </w:t>
      </w:r>
      <w:r w:rsidRPr="00265F8B">
        <w:rPr>
          <w:rFonts w:ascii="Arial" w:hAnsi="Arial" w:cs="Arial"/>
          <w:i/>
          <w:iCs/>
          <w:color w:val="000000" w:themeColor="text1"/>
        </w:rPr>
        <w:t>et al.,</w:t>
      </w:r>
      <w:r w:rsidRPr="00BE6EF2">
        <w:rPr>
          <w:rFonts w:ascii="Arial" w:hAnsi="Arial" w:cs="Arial"/>
          <w:color w:val="000000" w:themeColor="text1"/>
        </w:rPr>
        <w:t xml:space="preserve"> 2022). Transparency of data management and rigour of reporting will be maintained throughout all stages of the review process.</w:t>
      </w:r>
    </w:p>
    <w:p w14:paraId="5A2DCEE0" w14:textId="77777777" w:rsidR="00623CBC" w:rsidRPr="00BE6EF2" w:rsidRDefault="00E43203" w:rsidP="00830487">
      <w:pPr>
        <w:pStyle w:val="Heading1"/>
        <w:rPr>
          <w:rFonts w:ascii="Arial" w:hAnsi="Arial" w:cs="Arial"/>
        </w:rPr>
      </w:pPr>
      <w:bookmarkStart w:id="15" w:name="_Toc235393947"/>
      <w:r w:rsidRPr="00BE6EF2">
        <w:rPr>
          <w:rFonts w:ascii="Arial" w:hAnsi="Arial" w:cs="Arial"/>
        </w:rPr>
        <w:t>9. Implications of Research</w:t>
      </w:r>
      <w:bookmarkEnd w:id="15"/>
    </w:p>
    <w:p w14:paraId="2A665226" w14:textId="5E9C5DFC" w:rsidR="00623CBC" w:rsidRPr="00BE6EF2" w:rsidRDefault="00E43203" w:rsidP="00902AC3">
      <w:pPr>
        <w:spacing w:after="200" w:line="360" w:lineRule="auto"/>
        <w:jc w:val="both"/>
        <w:rPr>
          <w:rFonts w:ascii="Arial" w:hAnsi="Arial" w:cs="Arial"/>
          <w:color w:val="000000" w:themeColor="text1"/>
        </w:rPr>
      </w:pPr>
      <w:r w:rsidRPr="00BE6EF2">
        <w:rPr>
          <w:rFonts w:ascii="Arial" w:hAnsi="Arial" w:cs="Arial"/>
          <w:color w:val="000000" w:themeColor="text1"/>
        </w:rPr>
        <w:t xml:space="preserve">The findings of this review have the potential to generate both theoretical and practical contributions to public health knowledge and NHS policy. Theoretically, a synthesis that examines the interaction between workforce, digital and socioeconomic barriers rather than treating them as independent variables  will contribute a more nuanced and empirically grounded model of rural healthcare access failure than currently exists in the literature; furthermore, it will provide a contextually specific application of Andersen’s Behavioural Model and the Social Determinants of Health framework to the post-pandemic UK primary care setting (Levesque </w:t>
      </w:r>
      <w:r w:rsidRPr="00265F8B">
        <w:rPr>
          <w:rFonts w:ascii="Arial" w:hAnsi="Arial" w:cs="Arial"/>
          <w:i/>
          <w:iCs/>
          <w:color w:val="000000" w:themeColor="text1"/>
        </w:rPr>
        <w:t>et al.,</w:t>
      </w:r>
      <w:r w:rsidRPr="00BE6EF2">
        <w:rPr>
          <w:rFonts w:ascii="Arial" w:hAnsi="Arial" w:cs="Arial"/>
          <w:color w:val="000000" w:themeColor="text1"/>
        </w:rPr>
        <w:t xml:space="preserve"> 2013; Bambra </w:t>
      </w:r>
      <w:r w:rsidRPr="00265F8B">
        <w:rPr>
          <w:rFonts w:ascii="Arial" w:hAnsi="Arial" w:cs="Arial"/>
          <w:i/>
          <w:iCs/>
          <w:color w:val="000000" w:themeColor="text1"/>
        </w:rPr>
        <w:t>et al.,</w:t>
      </w:r>
      <w:r w:rsidRPr="00BE6EF2">
        <w:rPr>
          <w:rFonts w:ascii="Arial" w:hAnsi="Arial" w:cs="Arial"/>
          <w:color w:val="000000" w:themeColor="text1"/>
        </w:rPr>
        <w:t xml:space="preserve"> 2020). Practically, the review will generate critically appraised, policy-relevant evidence informing:</w:t>
      </w:r>
    </w:p>
    <w:p w14:paraId="326A4F6D" w14:textId="77777777" w:rsidR="00623CBC" w:rsidRPr="00BE6EF2" w:rsidRDefault="00E43203" w:rsidP="0007049B">
      <w:pPr>
        <w:pStyle w:val="ListParagraph"/>
        <w:numPr>
          <w:ilvl w:val="0"/>
          <w:numId w:val="5"/>
        </w:numPr>
        <w:spacing w:after="130" w:line="360" w:lineRule="auto"/>
        <w:jc w:val="both"/>
        <w:rPr>
          <w:rFonts w:ascii="Arial" w:hAnsi="Arial" w:cs="Arial"/>
          <w:color w:val="000000" w:themeColor="text1"/>
        </w:rPr>
      </w:pPr>
      <w:r w:rsidRPr="00BE6EF2">
        <w:rPr>
          <w:rFonts w:ascii="Arial" w:hAnsi="Arial" w:cs="Arial"/>
          <w:color w:val="000000" w:themeColor="text1"/>
        </w:rPr>
        <w:t>NHS England and Integrated Care System commissioning decisions regarding the structural and infrastructural factors that most significantly restrict primary care access in rural communities (NHS England, 2023; Department of Health and Social Care, 2022).</w:t>
      </w:r>
    </w:p>
    <w:p w14:paraId="3375D759" w14:textId="77777777" w:rsidR="00623CBC" w:rsidRPr="00BE6EF2" w:rsidRDefault="00E43203" w:rsidP="0007049B">
      <w:pPr>
        <w:pStyle w:val="ListParagraph"/>
        <w:numPr>
          <w:ilvl w:val="0"/>
          <w:numId w:val="5"/>
        </w:numPr>
        <w:spacing w:after="130" w:line="360" w:lineRule="auto"/>
        <w:jc w:val="both"/>
        <w:rPr>
          <w:rFonts w:ascii="Arial" w:hAnsi="Arial" w:cs="Arial"/>
          <w:color w:val="000000" w:themeColor="text1"/>
        </w:rPr>
      </w:pPr>
      <w:r w:rsidRPr="00BE6EF2">
        <w:rPr>
          <w:rFonts w:ascii="Arial" w:hAnsi="Arial" w:cs="Arial"/>
          <w:color w:val="000000" w:themeColor="text1"/>
        </w:rPr>
        <w:t xml:space="preserve">RCGP and BMA workforce policy, by clarifying the relative contribution of workforce shortage to rural access inequalities and whether structural funding reform is a necessary precondition for sustainable improvement (Doran </w:t>
      </w:r>
      <w:r w:rsidRPr="00773E97">
        <w:rPr>
          <w:rFonts w:ascii="Arial" w:hAnsi="Arial" w:cs="Arial"/>
          <w:i/>
          <w:iCs/>
          <w:color w:val="000000" w:themeColor="text1"/>
        </w:rPr>
        <w:t>et al.,</w:t>
      </w:r>
      <w:r w:rsidRPr="00BE6EF2">
        <w:rPr>
          <w:rFonts w:ascii="Arial" w:hAnsi="Arial" w:cs="Arial"/>
          <w:color w:val="000000" w:themeColor="text1"/>
        </w:rPr>
        <w:t xml:space="preserve"> 2006; BMA, 2023; Watt, 2002).</w:t>
      </w:r>
    </w:p>
    <w:p w14:paraId="4AD34780" w14:textId="77777777" w:rsidR="00623CBC" w:rsidRPr="00BE6EF2" w:rsidRDefault="00E43203" w:rsidP="0007049B">
      <w:pPr>
        <w:pStyle w:val="ListParagraph"/>
        <w:numPr>
          <w:ilvl w:val="0"/>
          <w:numId w:val="5"/>
        </w:numPr>
        <w:spacing w:after="130" w:line="360" w:lineRule="auto"/>
        <w:jc w:val="both"/>
        <w:rPr>
          <w:rFonts w:ascii="Arial" w:hAnsi="Arial" w:cs="Arial"/>
          <w:color w:val="000000" w:themeColor="text1"/>
        </w:rPr>
      </w:pPr>
      <w:r w:rsidRPr="00BE6EF2">
        <w:rPr>
          <w:rFonts w:ascii="Arial" w:hAnsi="Arial" w:cs="Arial"/>
          <w:color w:val="000000" w:themeColor="text1"/>
        </w:rPr>
        <w:t>Rural digital infrastructure policy, by identifying which population groups face digital exclusion as a barrier to primary care and what offline provision is necessary to ensure equitable access (Ofcom, 2022; Nuffield Trust, 2023).</w:t>
      </w:r>
    </w:p>
    <w:p w14:paraId="266ACEFF" w14:textId="77777777" w:rsidR="00623CBC" w:rsidRPr="00BE6EF2" w:rsidRDefault="00E43203" w:rsidP="0007049B">
      <w:pPr>
        <w:pStyle w:val="ListParagraph"/>
        <w:numPr>
          <w:ilvl w:val="0"/>
          <w:numId w:val="5"/>
        </w:numPr>
        <w:spacing w:after="130" w:line="360" w:lineRule="auto"/>
        <w:jc w:val="both"/>
        <w:rPr>
          <w:rFonts w:ascii="Arial" w:hAnsi="Arial" w:cs="Arial"/>
          <w:color w:val="000000" w:themeColor="text1"/>
        </w:rPr>
      </w:pPr>
      <w:r w:rsidRPr="00BE6EF2">
        <w:rPr>
          <w:rFonts w:ascii="Arial" w:hAnsi="Arial" w:cs="Arial"/>
          <w:color w:val="000000" w:themeColor="text1"/>
        </w:rPr>
        <w:t xml:space="preserve">Future primary research priorities, by mapping the gaps in current evidence on the structural, socioeconomic and digital determinants of rural primary care access (Bambra </w:t>
      </w:r>
      <w:r w:rsidRPr="00773E97">
        <w:rPr>
          <w:rFonts w:ascii="Arial" w:hAnsi="Arial" w:cs="Arial"/>
          <w:i/>
          <w:iCs/>
          <w:color w:val="000000" w:themeColor="text1"/>
        </w:rPr>
        <w:t>et al.,</w:t>
      </w:r>
      <w:r w:rsidRPr="00BE6EF2">
        <w:rPr>
          <w:rFonts w:ascii="Arial" w:hAnsi="Arial" w:cs="Arial"/>
          <w:color w:val="000000" w:themeColor="text1"/>
        </w:rPr>
        <w:t xml:space="preserve"> 2020; Nuffield Trust, 2023).</w:t>
      </w:r>
    </w:p>
    <w:p w14:paraId="6A93C9C7" w14:textId="77777777" w:rsidR="00623CBC" w:rsidRPr="00BE6EF2" w:rsidRDefault="00E43203" w:rsidP="00830487">
      <w:pPr>
        <w:pStyle w:val="Heading1"/>
        <w:rPr>
          <w:rFonts w:ascii="Arial" w:hAnsi="Arial" w:cs="Arial"/>
        </w:rPr>
      </w:pPr>
      <w:bookmarkStart w:id="16" w:name="_Toc235393948"/>
      <w:r w:rsidRPr="00BE6EF2">
        <w:rPr>
          <w:rFonts w:ascii="Arial" w:hAnsi="Arial" w:cs="Arial"/>
        </w:rPr>
        <w:t>10. Proposed Timeline</w:t>
      </w:r>
      <w:bookmarkEnd w:id="16"/>
    </w:p>
    <w:tbl>
      <w:tblPr>
        <w:tblW w:w="9360" w:type="dxa"/>
        <w:tblInd w:w="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004"/>
        <w:gridCol w:w="1089"/>
        <w:gridCol w:w="1089"/>
        <w:gridCol w:w="1089"/>
        <w:gridCol w:w="1089"/>
      </w:tblGrid>
      <w:tr w:rsidR="00902AC3" w:rsidRPr="00BE6EF2" w14:paraId="10DE2F01" w14:textId="77777777">
        <w:trPr>
          <w:tblHeader/>
        </w:trPr>
        <w:tc>
          <w:tcPr>
            <w:tcW w:w="0" w:type="auto"/>
            <w:tcBorders>
              <w:top w:val="single" w:sz="4" w:space="0" w:color="BFBFBF"/>
              <w:left w:val="single" w:sz="4" w:space="0" w:color="BFBFBF"/>
              <w:bottom w:val="single" w:sz="4" w:space="0" w:color="BFBFBF"/>
              <w:right w:val="single" w:sz="4" w:space="0" w:color="BFBFBF"/>
            </w:tcBorders>
            <w:shd w:val="clear" w:color="auto" w:fill="B8860B"/>
            <w:tcMar>
              <w:top w:w="80" w:type="dxa"/>
              <w:left w:w="120" w:type="dxa"/>
              <w:bottom w:w="80" w:type="dxa"/>
              <w:right w:w="120" w:type="dxa"/>
            </w:tcMar>
          </w:tcPr>
          <w:p w14:paraId="42B0B986"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b/>
                <w:bCs/>
                <w:color w:val="000000" w:themeColor="text1"/>
              </w:rPr>
              <w:t>Activity</w:t>
            </w:r>
          </w:p>
        </w:tc>
        <w:tc>
          <w:tcPr>
            <w:tcW w:w="0" w:type="auto"/>
            <w:tcBorders>
              <w:top w:val="single" w:sz="4" w:space="0" w:color="BFBFBF"/>
              <w:left w:val="single" w:sz="4" w:space="0" w:color="BFBFBF"/>
              <w:bottom w:val="single" w:sz="4" w:space="0" w:color="BFBFBF"/>
              <w:right w:val="single" w:sz="4" w:space="0" w:color="BFBFBF"/>
            </w:tcBorders>
            <w:shd w:val="clear" w:color="auto" w:fill="B8860B"/>
            <w:tcMar>
              <w:top w:w="80" w:type="dxa"/>
              <w:left w:w="120" w:type="dxa"/>
              <w:bottom w:w="80" w:type="dxa"/>
              <w:right w:w="120" w:type="dxa"/>
            </w:tcMar>
          </w:tcPr>
          <w:p w14:paraId="10CA288B"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b/>
                <w:bCs/>
                <w:color w:val="000000" w:themeColor="text1"/>
              </w:rPr>
              <w:t>Month 1</w:t>
            </w:r>
          </w:p>
        </w:tc>
        <w:tc>
          <w:tcPr>
            <w:tcW w:w="0" w:type="auto"/>
            <w:tcBorders>
              <w:top w:val="single" w:sz="4" w:space="0" w:color="BFBFBF"/>
              <w:left w:val="single" w:sz="4" w:space="0" w:color="BFBFBF"/>
              <w:bottom w:val="single" w:sz="4" w:space="0" w:color="BFBFBF"/>
              <w:right w:val="single" w:sz="4" w:space="0" w:color="BFBFBF"/>
            </w:tcBorders>
            <w:shd w:val="clear" w:color="auto" w:fill="B8860B"/>
            <w:tcMar>
              <w:top w:w="80" w:type="dxa"/>
              <w:left w:w="120" w:type="dxa"/>
              <w:bottom w:w="80" w:type="dxa"/>
              <w:right w:w="120" w:type="dxa"/>
            </w:tcMar>
          </w:tcPr>
          <w:p w14:paraId="36820E53"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b/>
                <w:bCs/>
                <w:color w:val="000000" w:themeColor="text1"/>
              </w:rPr>
              <w:t>Month 2</w:t>
            </w:r>
          </w:p>
        </w:tc>
        <w:tc>
          <w:tcPr>
            <w:tcW w:w="0" w:type="auto"/>
            <w:tcBorders>
              <w:top w:val="single" w:sz="4" w:space="0" w:color="BFBFBF"/>
              <w:left w:val="single" w:sz="4" w:space="0" w:color="BFBFBF"/>
              <w:bottom w:val="single" w:sz="4" w:space="0" w:color="BFBFBF"/>
              <w:right w:val="single" w:sz="4" w:space="0" w:color="BFBFBF"/>
            </w:tcBorders>
            <w:shd w:val="clear" w:color="auto" w:fill="B8860B"/>
            <w:tcMar>
              <w:top w:w="80" w:type="dxa"/>
              <w:left w:w="120" w:type="dxa"/>
              <w:bottom w:w="80" w:type="dxa"/>
              <w:right w:w="120" w:type="dxa"/>
            </w:tcMar>
          </w:tcPr>
          <w:p w14:paraId="366C57FA"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b/>
                <w:bCs/>
                <w:color w:val="000000" w:themeColor="text1"/>
              </w:rPr>
              <w:t>Month 3</w:t>
            </w:r>
          </w:p>
        </w:tc>
        <w:tc>
          <w:tcPr>
            <w:tcW w:w="0" w:type="auto"/>
            <w:tcBorders>
              <w:top w:val="single" w:sz="4" w:space="0" w:color="BFBFBF"/>
              <w:left w:val="single" w:sz="4" w:space="0" w:color="BFBFBF"/>
              <w:bottom w:val="single" w:sz="4" w:space="0" w:color="BFBFBF"/>
              <w:right w:val="single" w:sz="4" w:space="0" w:color="BFBFBF"/>
            </w:tcBorders>
            <w:shd w:val="clear" w:color="auto" w:fill="B8860B"/>
            <w:tcMar>
              <w:top w:w="80" w:type="dxa"/>
              <w:left w:w="120" w:type="dxa"/>
              <w:bottom w:w="80" w:type="dxa"/>
              <w:right w:w="120" w:type="dxa"/>
            </w:tcMar>
          </w:tcPr>
          <w:p w14:paraId="7577D2C8"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b/>
                <w:bCs/>
                <w:color w:val="000000" w:themeColor="text1"/>
              </w:rPr>
              <w:t>Month 4</w:t>
            </w:r>
          </w:p>
        </w:tc>
      </w:tr>
      <w:tr w:rsidR="00902AC3" w:rsidRPr="00BE6EF2" w14:paraId="0BAB66CD" w14:textId="77777777">
        <w:tc>
          <w:tcPr>
            <w:tcW w:w="0" w:type="auto"/>
            <w:tcBorders>
              <w:top w:val="single" w:sz="4" w:space="0" w:color="BFBFBF"/>
              <w:left w:val="single" w:sz="4" w:space="0" w:color="BFBFBF"/>
              <w:bottom w:val="single" w:sz="4" w:space="0" w:color="BFBFBF"/>
              <w:right w:val="single" w:sz="4" w:space="0" w:color="BFBFBF"/>
            </w:tcBorders>
            <w:shd w:val="clear" w:color="auto" w:fill="DCE6F1"/>
            <w:tcMar>
              <w:top w:w="80" w:type="dxa"/>
              <w:left w:w="120" w:type="dxa"/>
              <w:bottom w:w="80" w:type="dxa"/>
              <w:right w:w="120" w:type="dxa"/>
            </w:tcMar>
          </w:tcPr>
          <w:p w14:paraId="36BE05DE"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b/>
                <w:bCs/>
                <w:color w:val="000000" w:themeColor="text1"/>
              </w:rPr>
              <w:t>Literature search &amp; strategy piloting</w:t>
            </w: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32F3DA95"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w:t>
            </w: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5015642A"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w:t>
            </w: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5FB07786" w14:textId="77777777" w:rsidR="00623CBC" w:rsidRPr="00BE6EF2" w:rsidRDefault="00623CBC" w:rsidP="00902AC3">
            <w:pPr>
              <w:spacing w:line="360" w:lineRule="auto"/>
              <w:jc w:val="both"/>
              <w:rPr>
                <w:rFonts w:ascii="Arial" w:hAnsi="Arial" w:cs="Arial"/>
                <w:color w:val="000000" w:themeColor="text1"/>
              </w:rPr>
            </w:pP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0FE62879" w14:textId="77777777" w:rsidR="00623CBC" w:rsidRPr="00BE6EF2" w:rsidRDefault="00623CBC" w:rsidP="00902AC3">
            <w:pPr>
              <w:spacing w:line="360" w:lineRule="auto"/>
              <w:jc w:val="both"/>
              <w:rPr>
                <w:rFonts w:ascii="Arial" w:hAnsi="Arial" w:cs="Arial"/>
                <w:color w:val="000000" w:themeColor="text1"/>
              </w:rPr>
            </w:pPr>
          </w:p>
        </w:tc>
      </w:tr>
      <w:tr w:rsidR="00902AC3" w:rsidRPr="00BE6EF2" w14:paraId="23462B65" w14:textId="77777777">
        <w:tc>
          <w:tcPr>
            <w:tcW w:w="0" w:type="auto"/>
            <w:tcBorders>
              <w:top w:val="single" w:sz="4" w:space="0" w:color="BFBFBF"/>
              <w:left w:val="single" w:sz="4" w:space="0" w:color="BFBFBF"/>
              <w:bottom w:val="single" w:sz="4" w:space="0" w:color="BFBFBF"/>
              <w:right w:val="single" w:sz="4" w:space="0" w:color="BFBFBF"/>
            </w:tcBorders>
            <w:shd w:val="clear" w:color="auto" w:fill="DCE6F1"/>
            <w:tcMar>
              <w:top w:w="80" w:type="dxa"/>
              <w:left w:w="120" w:type="dxa"/>
              <w:bottom w:w="80" w:type="dxa"/>
              <w:right w:w="120" w:type="dxa"/>
            </w:tcMar>
          </w:tcPr>
          <w:p w14:paraId="49938CD4"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b/>
                <w:bCs/>
                <w:color w:val="000000" w:themeColor="text1"/>
              </w:rPr>
              <w:t>Title/abstract &amp; full-text screening</w:t>
            </w: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3C8E905C" w14:textId="77777777" w:rsidR="00623CBC" w:rsidRPr="00BE6EF2" w:rsidRDefault="00623CBC" w:rsidP="00902AC3">
            <w:pPr>
              <w:spacing w:line="360" w:lineRule="auto"/>
              <w:jc w:val="both"/>
              <w:rPr>
                <w:rFonts w:ascii="Arial" w:hAnsi="Arial" w:cs="Arial"/>
                <w:color w:val="000000" w:themeColor="text1"/>
              </w:rPr>
            </w:pP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4444F01D"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w:t>
            </w: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23BC6872" w14:textId="77777777" w:rsidR="00623CBC" w:rsidRPr="00BE6EF2" w:rsidRDefault="00623CBC" w:rsidP="00902AC3">
            <w:pPr>
              <w:spacing w:line="360" w:lineRule="auto"/>
              <w:jc w:val="both"/>
              <w:rPr>
                <w:rFonts w:ascii="Arial" w:hAnsi="Arial" w:cs="Arial"/>
                <w:color w:val="000000" w:themeColor="text1"/>
              </w:rPr>
            </w:pP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0DFFA413" w14:textId="77777777" w:rsidR="00623CBC" w:rsidRPr="00BE6EF2" w:rsidRDefault="00623CBC" w:rsidP="00902AC3">
            <w:pPr>
              <w:spacing w:line="360" w:lineRule="auto"/>
              <w:jc w:val="both"/>
              <w:rPr>
                <w:rFonts w:ascii="Arial" w:hAnsi="Arial" w:cs="Arial"/>
                <w:color w:val="000000" w:themeColor="text1"/>
              </w:rPr>
            </w:pPr>
          </w:p>
        </w:tc>
      </w:tr>
      <w:tr w:rsidR="00902AC3" w:rsidRPr="00BE6EF2" w14:paraId="634A586C" w14:textId="77777777">
        <w:tc>
          <w:tcPr>
            <w:tcW w:w="0" w:type="auto"/>
            <w:tcBorders>
              <w:top w:val="single" w:sz="4" w:space="0" w:color="BFBFBF"/>
              <w:left w:val="single" w:sz="4" w:space="0" w:color="BFBFBF"/>
              <w:bottom w:val="single" w:sz="4" w:space="0" w:color="BFBFBF"/>
              <w:right w:val="single" w:sz="4" w:space="0" w:color="BFBFBF"/>
            </w:tcBorders>
            <w:shd w:val="clear" w:color="auto" w:fill="DCE6F1"/>
            <w:tcMar>
              <w:top w:w="80" w:type="dxa"/>
              <w:left w:w="120" w:type="dxa"/>
              <w:bottom w:w="80" w:type="dxa"/>
              <w:right w:w="120" w:type="dxa"/>
            </w:tcMar>
          </w:tcPr>
          <w:p w14:paraId="55FB87E6"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b/>
                <w:bCs/>
                <w:color w:val="000000" w:themeColor="text1"/>
              </w:rPr>
              <w:t>CASP appraisal &amp; data extraction</w:t>
            </w: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2D9963F7" w14:textId="77777777" w:rsidR="00623CBC" w:rsidRPr="00BE6EF2" w:rsidRDefault="00623CBC" w:rsidP="00902AC3">
            <w:pPr>
              <w:spacing w:line="360" w:lineRule="auto"/>
              <w:jc w:val="both"/>
              <w:rPr>
                <w:rFonts w:ascii="Arial" w:hAnsi="Arial" w:cs="Arial"/>
                <w:color w:val="000000" w:themeColor="text1"/>
              </w:rPr>
            </w:pP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709CB34C"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w:t>
            </w: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46977022"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w:t>
            </w: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3AB5960E" w14:textId="77777777" w:rsidR="00623CBC" w:rsidRPr="00BE6EF2" w:rsidRDefault="00623CBC" w:rsidP="00902AC3">
            <w:pPr>
              <w:spacing w:line="360" w:lineRule="auto"/>
              <w:jc w:val="both"/>
              <w:rPr>
                <w:rFonts w:ascii="Arial" w:hAnsi="Arial" w:cs="Arial"/>
                <w:color w:val="000000" w:themeColor="text1"/>
              </w:rPr>
            </w:pPr>
          </w:p>
        </w:tc>
      </w:tr>
      <w:tr w:rsidR="00902AC3" w:rsidRPr="00BE6EF2" w14:paraId="29782CF6" w14:textId="77777777">
        <w:tc>
          <w:tcPr>
            <w:tcW w:w="0" w:type="auto"/>
            <w:tcBorders>
              <w:top w:val="single" w:sz="4" w:space="0" w:color="BFBFBF"/>
              <w:left w:val="single" w:sz="4" w:space="0" w:color="BFBFBF"/>
              <w:bottom w:val="single" w:sz="4" w:space="0" w:color="BFBFBF"/>
              <w:right w:val="single" w:sz="4" w:space="0" w:color="BFBFBF"/>
            </w:tcBorders>
            <w:shd w:val="clear" w:color="auto" w:fill="DCE6F1"/>
            <w:tcMar>
              <w:top w:w="80" w:type="dxa"/>
              <w:left w:w="120" w:type="dxa"/>
              <w:bottom w:w="80" w:type="dxa"/>
              <w:right w:w="120" w:type="dxa"/>
            </w:tcMar>
          </w:tcPr>
          <w:p w14:paraId="362F100F"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b/>
                <w:bCs/>
                <w:color w:val="000000" w:themeColor="text1"/>
              </w:rPr>
              <w:t>Thematic synthesis (Thomas &amp; Harden, 2008)</w:t>
            </w: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4687EDB5" w14:textId="77777777" w:rsidR="00623CBC" w:rsidRPr="00BE6EF2" w:rsidRDefault="00623CBC" w:rsidP="00902AC3">
            <w:pPr>
              <w:spacing w:line="360" w:lineRule="auto"/>
              <w:jc w:val="both"/>
              <w:rPr>
                <w:rFonts w:ascii="Arial" w:hAnsi="Arial" w:cs="Arial"/>
                <w:color w:val="000000" w:themeColor="text1"/>
              </w:rPr>
            </w:pP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67B725EC" w14:textId="77777777" w:rsidR="00623CBC" w:rsidRPr="00BE6EF2" w:rsidRDefault="00623CBC" w:rsidP="00902AC3">
            <w:pPr>
              <w:spacing w:line="360" w:lineRule="auto"/>
              <w:jc w:val="both"/>
              <w:rPr>
                <w:rFonts w:ascii="Arial" w:hAnsi="Arial" w:cs="Arial"/>
                <w:color w:val="000000" w:themeColor="text1"/>
              </w:rPr>
            </w:pP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7836C185"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w:t>
            </w: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67AB1602" w14:textId="77777777" w:rsidR="00623CBC" w:rsidRPr="00BE6EF2" w:rsidRDefault="00623CBC" w:rsidP="00902AC3">
            <w:pPr>
              <w:spacing w:line="360" w:lineRule="auto"/>
              <w:jc w:val="both"/>
              <w:rPr>
                <w:rFonts w:ascii="Arial" w:hAnsi="Arial" w:cs="Arial"/>
                <w:color w:val="000000" w:themeColor="text1"/>
              </w:rPr>
            </w:pPr>
          </w:p>
        </w:tc>
      </w:tr>
      <w:tr w:rsidR="00902AC3" w:rsidRPr="00BE6EF2" w14:paraId="0AD80E40" w14:textId="77777777">
        <w:tc>
          <w:tcPr>
            <w:tcW w:w="0" w:type="auto"/>
            <w:tcBorders>
              <w:top w:val="single" w:sz="4" w:space="0" w:color="BFBFBF"/>
              <w:left w:val="single" w:sz="4" w:space="0" w:color="BFBFBF"/>
              <w:bottom w:val="single" w:sz="4" w:space="0" w:color="BFBFBF"/>
              <w:right w:val="single" w:sz="4" w:space="0" w:color="BFBFBF"/>
            </w:tcBorders>
            <w:shd w:val="clear" w:color="auto" w:fill="DCE6F1"/>
            <w:tcMar>
              <w:top w:w="80" w:type="dxa"/>
              <w:left w:w="120" w:type="dxa"/>
              <w:bottom w:w="80" w:type="dxa"/>
              <w:right w:w="120" w:type="dxa"/>
            </w:tcMar>
          </w:tcPr>
          <w:p w14:paraId="026191DE"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b/>
                <w:bCs/>
                <w:color w:val="000000" w:themeColor="text1"/>
              </w:rPr>
              <w:t>Critical analysis &amp; proposal writing</w:t>
            </w: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7425A379" w14:textId="77777777" w:rsidR="00623CBC" w:rsidRPr="00BE6EF2" w:rsidRDefault="00623CBC" w:rsidP="00902AC3">
            <w:pPr>
              <w:spacing w:line="360" w:lineRule="auto"/>
              <w:jc w:val="both"/>
              <w:rPr>
                <w:rFonts w:ascii="Arial" w:hAnsi="Arial" w:cs="Arial"/>
                <w:color w:val="000000" w:themeColor="text1"/>
              </w:rPr>
            </w:pP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62FD5124" w14:textId="77777777" w:rsidR="00623CBC" w:rsidRPr="00BE6EF2" w:rsidRDefault="00623CBC" w:rsidP="00902AC3">
            <w:pPr>
              <w:spacing w:line="360" w:lineRule="auto"/>
              <w:jc w:val="both"/>
              <w:rPr>
                <w:rFonts w:ascii="Arial" w:hAnsi="Arial" w:cs="Arial"/>
                <w:color w:val="000000" w:themeColor="text1"/>
              </w:rPr>
            </w:pP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2B1ED055"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w:t>
            </w: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582B2930"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w:t>
            </w:r>
          </w:p>
        </w:tc>
      </w:tr>
      <w:tr w:rsidR="00902AC3" w:rsidRPr="00BE6EF2" w14:paraId="67726CF6" w14:textId="77777777">
        <w:tc>
          <w:tcPr>
            <w:tcW w:w="0" w:type="auto"/>
            <w:tcBorders>
              <w:top w:val="single" w:sz="4" w:space="0" w:color="BFBFBF"/>
              <w:left w:val="single" w:sz="4" w:space="0" w:color="BFBFBF"/>
              <w:bottom w:val="single" w:sz="4" w:space="0" w:color="BFBFBF"/>
              <w:right w:val="single" w:sz="4" w:space="0" w:color="BFBFBF"/>
            </w:tcBorders>
            <w:shd w:val="clear" w:color="auto" w:fill="DCE6F1"/>
            <w:tcMar>
              <w:top w:w="80" w:type="dxa"/>
              <w:left w:w="120" w:type="dxa"/>
              <w:bottom w:w="80" w:type="dxa"/>
              <w:right w:w="120" w:type="dxa"/>
            </w:tcMar>
          </w:tcPr>
          <w:p w14:paraId="1DA771BD"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b/>
                <w:bCs/>
                <w:color w:val="000000" w:themeColor="text1"/>
              </w:rPr>
              <w:t>Final review &amp; submission</w:t>
            </w: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3BC313E3" w14:textId="77777777" w:rsidR="00623CBC" w:rsidRPr="00BE6EF2" w:rsidRDefault="00623CBC" w:rsidP="00902AC3">
            <w:pPr>
              <w:spacing w:line="360" w:lineRule="auto"/>
              <w:jc w:val="both"/>
              <w:rPr>
                <w:rFonts w:ascii="Arial" w:hAnsi="Arial" w:cs="Arial"/>
                <w:color w:val="000000" w:themeColor="text1"/>
              </w:rPr>
            </w:pP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45DEB618" w14:textId="77777777" w:rsidR="00623CBC" w:rsidRPr="00BE6EF2" w:rsidRDefault="00623CBC" w:rsidP="00902AC3">
            <w:pPr>
              <w:spacing w:line="360" w:lineRule="auto"/>
              <w:jc w:val="both"/>
              <w:rPr>
                <w:rFonts w:ascii="Arial" w:hAnsi="Arial" w:cs="Arial"/>
                <w:color w:val="000000" w:themeColor="text1"/>
              </w:rPr>
            </w:pP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0BFC8D44" w14:textId="77777777" w:rsidR="00623CBC" w:rsidRPr="00BE6EF2" w:rsidRDefault="00623CBC" w:rsidP="00902AC3">
            <w:pPr>
              <w:spacing w:line="360" w:lineRule="auto"/>
              <w:jc w:val="both"/>
              <w:rPr>
                <w:rFonts w:ascii="Arial" w:hAnsi="Arial" w:cs="Arial"/>
                <w:color w:val="000000" w:themeColor="text1"/>
              </w:rPr>
            </w:pPr>
          </w:p>
        </w:tc>
        <w:tc>
          <w:tcPr>
            <w:tcW w:w="0" w:type="auto"/>
            <w:tcBorders>
              <w:top w:val="single" w:sz="4" w:space="0" w:color="BFBFBF"/>
              <w:left w:val="single" w:sz="4" w:space="0" w:color="BFBFBF"/>
              <w:bottom w:val="single" w:sz="4" w:space="0" w:color="BFBFBF"/>
              <w:right w:val="single" w:sz="4" w:space="0" w:color="BFBFBF"/>
            </w:tcBorders>
            <w:shd w:val="clear" w:color="auto" w:fill="FFFFFF"/>
            <w:tcMar>
              <w:top w:w="80" w:type="dxa"/>
              <w:left w:w="120" w:type="dxa"/>
              <w:bottom w:w="80" w:type="dxa"/>
              <w:right w:w="120" w:type="dxa"/>
            </w:tcMar>
          </w:tcPr>
          <w:p w14:paraId="72C4154F" w14:textId="77777777" w:rsidR="00623CBC" w:rsidRPr="00BE6EF2" w:rsidRDefault="00E43203" w:rsidP="00902AC3">
            <w:pPr>
              <w:spacing w:line="360" w:lineRule="auto"/>
              <w:jc w:val="both"/>
              <w:rPr>
                <w:rFonts w:ascii="Arial" w:hAnsi="Arial" w:cs="Arial"/>
                <w:color w:val="000000" w:themeColor="text1"/>
              </w:rPr>
            </w:pPr>
            <w:r w:rsidRPr="00BE6EF2">
              <w:rPr>
                <w:rFonts w:ascii="Arial" w:hAnsi="Arial" w:cs="Arial"/>
                <w:color w:val="000000" w:themeColor="text1"/>
              </w:rPr>
              <w:t>●</w:t>
            </w:r>
          </w:p>
        </w:tc>
      </w:tr>
    </w:tbl>
    <w:p w14:paraId="2BCAFD8C" w14:textId="77777777" w:rsidR="00623CBC" w:rsidRPr="00BE6EF2" w:rsidRDefault="00623CBC" w:rsidP="00902AC3">
      <w:pPr>
        <w:pageBreakBefore/>
        <w:spacing w:line="360" w:lineRule="auto"/>
        <w:jc w:val="both"/>
        <w:rPr>
          <w:rFonts w:ascii="Arial" w:hAnsi="Arial" w:cs="Arial"/>
          <w:color w:val="000000" w:themeColor="text1"/>
        </w:rPr>
      </w:pPr>
    </w:p>
    <w:p w14:paraId="256DB815" w14:textId="573C1657" w:rsidR="00623CBC" w:rsidRDefault="00830487" w:rsidP="00830487">
      <w:pPr>
        <w:pStyle w:val="Heading1"/>
        <w:rPr>
          <w:rFonts w:ascii="Arial" w:hAnsi="Arial" w:cs="Arial"/>
        </w:rPr>
      </w:pPr>
      <w:bookmarkStart w:id="17" w:name="_Toc235393949"/>
      <w:r w:rsidRPr="00BE6EF2">
        <w:rPr>
          <w:rFonts w:ascii="Arial" w:hAnsi="Arial" w:cs="Arial"/>
        </w:rPr>
        <w:t xml:space="preserve">11. </w:t>
      </w:r>
      <w:r w:rsidR="00E43203" w:rsidRPr="00BE6EF2">
        <w:rPr>
          <w:rFonts w:ascii="Arial" w:hAnsi="Arial" w:cs="Arial"/>
        </w:rPr>
        <w:t>References</w:t>
      </w:r>
      <w:bookmarkEnd w:id="17"/>
    </w:p>
    <w:p w14:paraId="1EB0CD1E" w14:textId="77777777" w:rsidR="006050FC" w:rsidRDefault="006050FC" w:rsidP="006050FC"/>
    <w:p w14:paraId="79AA8054" w14:textId="3B12CF7B"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Age UK (2022) </w:t>
      </w:r>
      <w:r w:rsidRPr="00354C34">
        <w:rPr>
          <w:rFonts w:ascii="Arial" w:hAnsi="Arial" w:cs="Arial"/>
          <w:i/>
          <w:iCs/>
          <w:lang w:val="en-US"/>
        </w:rPr>
        <w:t>Rural isolation and older people: access to health services</w:t>
      </w:r>
      <w:r w:rsidRPr="00354C34">
        <w:rPr>
          <w:rFonts w:ascii="Arial" w:hAnsi="Arial" w:cs="Arial"/>
          <w:lang w:val="en-US"/>
        </w:rPr>
        <w:t xml:space="preserve">. London: Age UK. Available at: </w:t>
      </w:r>
      <w:hyperlink r:id="rId10" w:history="1">
        <w:r w:rsidRPr="00354C34">
          <w:rPr>
            <w:rStyle w:val="Hyperlink"/>
            <w:rFonts w:ascii="Arial" w:hAnsi="Arial" w:cs="Arial"/>
            <w:lang w:val="en-US"/>
          </w:rPr>
          <w:t>https://www.ageuk.org.uk/</w:t>
        </w:r>
      </w:hyperlink>
      <w:r w:rsidRPr="00354C34">
        <w:rPr>
          <w:rFonts w:ascii="Arial" w:hAnsi="Arial" w:cs="Arial"/>
          <w:lang w:val="en-US"/>
        </w:rPr>
        <w:t xml:space="preserve"> </w:t>
      </w:r>
    </w:p>
    <w:p w14:paraId="1D0A1526" w14:textId="5BAE83B0"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Andersen, R.M. (1995</w:t>
      </w:r>
      <w:r w:rsidRPr="00354C34">
        <w:rPr>
          <w:rFonts w:ascii="Arial" w:hAnsi="Arial" w:cs="Arial"/>
          <w:i/>
          <w:iCs/>
          <w:lang w:val="en-US"/>
        </w:rPr>
        <w:t>) ‘Revisiting the behavioral model and access to medical care: does it matter?’,</w:t>
      </w:r>
      <w:r w:rsidRPr="00354C34">
        <w:rPr>
          <w:rFonts w:ascii="Arial" w:hAnsi="Arial" w:cs="Arial"/>
          <w:lang w:val="en-US"/>
        </w:rPr>
        <w:t xml:space="preserve"> </w:t>
      </w:r>
      <w:r w:rsidRPr="00354C34">
        <w:rPr>
          <w:rFonts w:ascii="Arial" w:hAnsi="Arial" w:cs="Arial"/>
          <w:i/>
          <w:iCs/>
          <w:lang w:val="en-US"/>
        </w:rPr>
        <w:t>Journal of Health and Social Behavior</w:t>
      </w:r>
      <w:r w:rsidRPr="00354C34">
        <w:rPr>
          <w:rFonts w:ascii="Arial" w:hAnsi="Arial" w:cs="Arial"/>
          <w:lang w:val="en-US"/>
        </w:rPr>
        <w:t xml:space="preserve">, 36(1), pp. 1–10. Available at: </w:t>
      </w:r>
      <w:hyperlink r:id="rId11" w:history="1">
        <w:r w:rsidRPr="00354C34">
          <w:rPr>
            <w:rStyle w:val="Hyperlink"/>
            <w:rFonts w:ascii="Arial" w:hAnsi="Arial" w:cs="Arial"/>
            <w:lang w:val="en-US"/>
          </w:rPr>
          <w:t>https://www.jstor.org/stable/2137284</w:t>
        </w:r>
      </w:hyperlink>
      <w:r w:rsidRPr="00354C34">
        <w:rPr>
          <w:rFonts w:ascii="Arial" w:hAnsi="Arial" w:cs="Arial"/>
          <w:lang w:val="en-US"/>
        </w:rPr>
        <w:t xml:space="preserve"> </w:t>
      </w:r>
    </w:p>
    <w:p w14:paraId="26DA0562" w14:textId="50FEE741"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Asthana, S. and Gibson, A. (2008) </w:t>
      </w:r>
      <w:r w:rsidRPr="00354C34">
        <w:rPr>
          <w:rFonts w:ascii="Arial" w:hAnsi="Arial" w:cs="Arial"/>
          <w:i/>
          <w:iCs/>
          <w:lang w:val="en-US"/>
        </w:rPr>
        <w:t>‘Deprivation, demography, and the distribution of general practice: challenging the conventional wisdom of inverse care’,</w:t>
      </w:r>
      <w:r w:rsidRPr="00354C34">
        <w:rPr>
          <w:rFonts w:ascii="Arial" w:hAnsi="Arial" w:cs="Arial"/>
          <w:lang w:val="en-US"/>
        </w:rPr>
        <w:t xml:space="preserve"> </w:t>
      </w:r>
      <w:r w:rsidRPr="00354C34">
        <w:rPr>
          <w:rFonts w:ascii="Arial" w:hAnsi="Arial" w:cs="Arial"/>
          <w:i/>
          <w:iCs/>
          <w:lang w:val="en-US"/>
        </w:rPr>
        <w:t>British Journal of General Practice</w:t>
      </w:r>
      <w:r w:rsidRPr="00354C34">
        <w:rPr>
          <w:rFonts w:ascii="Arial" w:hAnsi="Arial" w:cs="Arial"/>
          <w:lang w:val="en-US"/>
        </w:rPr>
        <w:t xml:space="preserve">, 58(548), pp. 192–196. Available at: </w:t>
      </w:r>
      <w:hyperlink r:id="rId12" w:history="1">
        <w:r w:rsidRPr="00354C34">
          <w:rPr>
            <w:rStyle w:val="Hyperlink"/>
            <w:rFonts w:ascii="Arial" w:hAnsi="Arial" w:cs="Arial"/>
            <w:lang w:val="en-US"/>
          </w:rPr>
          <w:t>https://doi.org/10.3399/bjgp08X263794</w:t>
        </w:r>
      </w:hyperlink>
      <w:r w:rsidRPr="00354C34">
        <w:rPr>
          <w:rFonts w:ascii="Arial" w:hAnsi="Arial" w:cs="Arial"/>
          <w:lang w:val="en-US"/>
        </w:rPr>
        <w:t xml:space="preserve"> </w:t>
      </w:r>
    </w:p>
    <w:p w14:paraId="150D4B62" w14:textId="77777777"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Aveyard, H. (2019) </w:t>
      </w:r>
      <w:r w:rsidRPr="00354C34">
        <w:rPr>
          <w:rFonts w:ascii="Arial" w:hAnsi="Arial" w:cs="Arial"/>
          <w:i/>
          <w:iCs/>
          <w:lang w:val="en-US"/>
        </w:rPr>
        <w:t>Doing a literature review in health and social care: a practical guide</w:t>
      </w:r>
      <w:r w:rsidRPr="00354C34">
        <w:rPr>
          <w:rFonts w:ascii="Arial" w:hAnsi="Arial" w:cs="Arial"/>
          <w:lang w:val="en-US"/>
        </w:rPr>
        <w:t xml:space="preserve">. 4th </w:t>
      </w:r>
      <w:proofErr w:type="spellStart"/>
      <w:r w:rsidRPr="00354C34">
        <w:rPr>
          <w:rFonts w:ascii="Arial" w:hAnsi="Arial" w:cs="Arial"/>
          <w:lang w:val="en-US"/>
        </w:rPr>
        <w:t>edn</w:t>
      </w:r>
      <w:proofErr w:type="spellEnd"/>
      <w:r w:rsidRPr="00354C34">
        <w:rPr>
          <w:rFonts w:ascii="Arial" w:hAnsi="Arial" w:cs="Arial"/>
          <w:lang w:val="en-US"/>
        </w:rPr>
        <w:t>. London: Open University Press.</w:t>
      </w:r>
    </w:p>
    <w:p w14:paraId="3A11ACB8" w14:textId="206E19C7"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Bambra, C., Riordan, R., Ford, J. and Matthews, F. (2020) </w:t>
      </w:r>
      <w:r w:rsidRPr="00354C34">
        <w:rPr>
          <w:rFonts w:ascii="Arial" w:hAnsi="Arial" w:cs="Arial"/>
          <w:i/>
          <w:iCs/>
          <w:lang w:val="en-US"/>
        </w:rPr>
        <w:t>‘The COVID-19 pandemic and health inequalities’, Journal of Epidemiology and Community Health</w:t>
      </w:r>
      <w:r w:rsidRPr="00354C34">
        <w:rPr>
          <w:rFonts w:ascii="Arial" w:hAnsi="Arial" w:cs="Arial"/>
          <w:lang w:val="en-US"/>
        </w:rPr>
        <w:t xml:space="preserve">, 74(11), pp. 964–968. Available at: </w:t>
      </w:r>
      <w:hyperlink r:id="rId13" w:history="1">
        <w:r w:rsidRPr="00354C34">
          <w:rPr>
            <w:rStyle w:val="Hyperlink"/>
            <w:rFonts w:ascii="Arial" w:hAnsi="Arial" w:cs="Arial"/>
            <w:lang w:val="en-US"/>
          </w:rPr>
          <w:t>https://doi.org/10.1136/jech-2020-214401</w:t>
        </w:r>
      </w:hyperlink>
      <w:r w:rsidRPr="00354C34">
        <w:rPr>
          <w:rFonts w:ascii="Arial" w:hAnsi="Arial" w:cs="Arial"/>
          <w:lang w:val="en-US"/>
        </w:rPr>
        <w:t xml:space="preserve"> </w:t>
      </w:r>
    </w:p>
    <w:p w14:paraId="531BD893" w14:textId="3ADF9BE5"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Bankart, M.J., Baker, R., Rashid, A., Habiba, M., Banerjee, J., Hsu, R., Conroy, S., Agarwal, S. and Wilson, A. (2011</w:t>
      </w:r>
      <w:r w:rsidRPr="00354C34">
        <w:rPr>
          <w:rFonts w:ascii="Arial" w:hAnsi="Arial" w:cs="Arial"/>
          <w:i/>
          <w:iCs/>
          <w:lang w:val="en-US"/>
        </w:rPr>
        <w:t>) ‘Characteristics of general practices associated with emergency admission rates to hospital’,</w:t>
      </w:r>
      <w:r w:rsidRPr="00354C34">
        <w:rPr>
          <w:rFonts w:ascii="Arial" w:hAnsi="Arial" w:cs="Arial"/>
          <w:lang w:val="en-US"/>
        </w:rPr>
        <w:t xml:space="preserve"> </w:t>
      </w:r>
      <w:r w:rsidRPr="00354C34">
        <w:rPr>
          <w:rFonts w:ascii="Arial" w:hAnsi="Arial" w:cs="Arial"/>
          <w:i/>
          <w:iCs/>
          <w:lang w:val="en-US"/>
        </w:rPr>
        <w:t>Emergency Medicine Journal</w:t>
      </w:r>
      <w:r w:rsidRPr="00354C34">
        <w:rPr>
          <w:rFonts w:ascii="Arial" w:hAnsi="Arial" w:cs="Arial"/>
          <w:lang w:val="en-US"/>
        </w:rPr>
        <w:t xml:space="preserve">, 28(7), pp. 558–563. Available at: </w:t>
      </w:r>
      <w:hyperlink r:id="rId14" w:history="1">
        <w:r w:rsidRPr="00354C34">
          <w:rPr>
            <w:rStyle w:val="Hyperlink"/>
            <w:rFonts w:ascii="Arial" w:hAnsi="Arial" w:cs="Arial"/>
            <w:lang w:val="en-US"/>
          </w:rPr>
          <w:t>https://doi.org/10.1136/emj.2009.088856</w:t>
        </w:r>
      </w:hyperlink>
      <w:r w:rsidRPr="00354C34">
        <w:rPr>
          <w:rFonts w:ascii="Arial" w:hAnsi="Arial" w:cs="Arial"/>
          <w:lang w:val="en-US"/>
        </w:rPr>
        <w:t xml:space="preserve"> </w:t>
      </w:r>
    </w:p>
    <w:p w14:paraId="6E504F0C" w14:textId="1B97DFC2"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British Medical Association (2023) </w:t>
      </w:r>
      <w:r w:rsidRPr="00354C34">
        <w:rPr>
          <w:rFonts w:ascii="Arial" w:hAnsi="Arial" w:cs="Arial"/>
          <w:i/>
          <w:iCs/>
          <w:lang w:val="en-US"/>
        </w:rPr>
        <w:t>Rural practice: the funding and workforce crisis in rural general practice</w:t>
      </w:r>
      <w:r w:rsidRPr="00354C34">
        <w:rPr>
          <w:rFonts w:ascii="Arial" w:hAnsi="Arial" w:cs="Arial"/>
          <w:lang w:val="en-US"/>
        </w:rPr>
        <w:t xml:space="preserve">. London: BMA. Available at: </w:t>
      </w:r>
      <w:hyperlink r:id="rId15" w:history="1">
        <w:r w:rsidRPr="00354C34">
          <w:rPr>
            <w:rStyle w:val="Hyperlink"/>
            <w:rFonts w:ascii="Arial" w:hAnsi="Arial" w:cs="Arial"/>
            <w:lang w:val="en-US"/>
          </w:rPr>
          <w:t>https://www.bma.org.uk/advice-and-support/nhs-delivery-and-workforce/primary-and-community-care/rural-practice</w:t>
        </w:r>
      </w:hyperlink>
      <w:r w:rsidRPr="00354C34">
        <w:rPr>
          <w:rFonts w:ascii="Arial" w:hAnsi="Arial" w:cs="Arial"/>
          <w:lang w:val="en-US"/>
        </w:rPr>
        <w:t xml:space="preserve"> </w:t>
      </w:r>
    </w:p>
    <w:p w14:paraId="19F582C9" w14:textId="2C6FD2C5"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Critical Appraisal Skills </w:t>
      </w:r>
      <w:proofErr w:type="spellStart"/>
      <w:r w:rsidRPr="00354C34">
        <w:rPr>
          <w:rFonts w:ascii="Arial" w:hAnsi="Arial" w:cs="Arial"/>
          <w:lang w:val="en-US"/>
        </w:rPr>
        <w:t>Programme</w:t>
      </w:r>
      <w:proofErr w:type="spellEnd"/>
      <w:r w:rsidRPr="00354C34">
        <w:rPr>
          <w:rFonts w:ascii="Arial" w:hAnsi="Arial" w:cs="Arial"/>
          <w:lang w:val="en-US"/>
        </w:rPr>
        <w:t xml:space="preserve"> (2023) </w:t>
      </w:r>
      <w:r w:rsidRPr="00354C34">
        <w:rPr>
          <w:rFonts w:ascii="Arial" w:hAnsi="Arial" w:cs="Arial"/>
          <w:i/>
          <w:iCs/>
          <w:lang w:val="en-US"/>
        </w:rPr>
        <w:t>CASP checklists</w:t>
      </w:r>
      <w:r w:rsidRPr="00354C34">
        <w:rPr>
          <w:rFonts w:ascii="Arial" w:hAnsi="Arial" w:cs="Arial"/>
          <w:lang w:val="en-US"/>
        </w:rPr>
        <w:t xml:space="preserve">. Available at: </w:t>
      </w:r>
      <w:hyperlink r:id="rId16" w:history="1">
        <w:r w:rsidRPr="00354C34">
          <w:rPr>
            <w:rStyle w:val="Hyperlink"/>
            <w:rFonts w:ascii="Arial" w:hAnsi="Arial" w:cs="Arial"/>
            <w:lang w:val="en-US"/>
          </w:rPr>
          <w:t>https://casp-uk.net/casp-tools-checklists/</w:t>
        </w:r>
      </w:hyperlink>
      <w:r w:rsidRPr="00354C34">
        <w:rPr>
          <w:rFonts w:ascii="Arial" w:hAnsi="Arial" w:cs="Arial"/>
          <w:lang w:val="en-US"/>
        </w:rPr>
        <w:t xml:space="preserve"> </w:t>
      </w:r>
    </w:p>
    <w:p w14:paraId="7AA72392" w14:textId="77777777"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Dahlgren, G. and Whitehead, M. (1991) </w:t>
      </w:r>
      <w:r w:rsidRPr="00354C34">
        <w:rPr>
          <w:rFonts w:ascii="Arial" w:hAnsi="Arial" w:cs="Arial"/>
          <w:i/>
          <w:iCs/>
          <w:lang w:val="en-US"/>
        </w:rPr>
        <w:t>Policies and strategies to promote social equity in health</w:t>
      </w:r>
      <w:r w:rsidRPr="00354C34">
        <w:rPr>
          <w:rFonts w:ascii="Arial" w:hAnsi="Arial" w:cs="Arial"/>
          <w:lang w:val="en-US"/>
        </w:rPr>
        <w:t>. Stockholm: Institute for Futures Studies.</w:t>
      </w:r>
    </w:p>
    <w:p w14:paraId="790C8DF9" w14:textId="1783CB54"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Department for Environment, Food and Rural Affairs (2023) </w:t>
      </w:r>
      <w:r w:rsidRPr="00354C34">
        <w:rPr>
          <w:rFonts w:ascii="Arial" w:hAnsi="Arial" w:cs="Arial"/>
          <w:i/>
          <w:iCs/>
          <w:lang w:val="en-US"/>
        </w:rPr>
        <w:t>Statistical digest of rural England</w:t>
      </w:r>
      <w:r w:rsidRPr="00354C34">
        <w:rPr>
          <w:rFonts w:ascii="Arial" w:hAnsi="Arial" w:cs="Arial"/>
          <w:lang w:val="en-US"/>
        </w:rPr>
        <w:t xml:space="preserve">. London: DEFRA. Available at: </w:t>
      </w:r>
      <w:hyperlink r:id="rId17" w:history="1">
        <w:r w:rsidRPr="00354C34">
          <w:rPr>
            <w:rStyle w:val="Hyperlink"/>
            <w:rFonts w:ascii="Arial" w:hAnsi="Arial" w:cs="Arial"/>
            <w:lang w:val="en-US"/>
          </w:rPr>
          <w:t>https://www.gov.uk/government/collections/rural-england-statistics</w:t>
        </w:r>
      </w:hyperlink>
      <w:r w:rsidRPr="00354C34">
        <w:rPr>
          <w:rFonts w:ascii="Arial" w:hAnsi="Arial" w:cs="Arial"/>
          <w:lang w:val="en-US"/>
        </w:rPr>
        <w:t xml:space="preserve"> </w:t>
      </w:r>
    </w:p>
    <w:p w14:paraId="71AF860F" w14:textId="361C0CE3"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Department of Health and Social Care (2022) </w:t>
      </w:r>
      <w:r w:rsidRPr="00354C34">
        <w:rPr>
          <w:rFonts w:ascii="Arial" w:hAnsi="Arial" w:cs="Arial"/>
          <w:i/>
          <w:iCs/>
          <w:lang w:val="en-US"/>
        </w:rPr>
        <w:t>Health and social care integration: joining up care for people, places and populations</w:t>
      </w:r>
      <w:r w:rsidRPr="00354C34">
        <w:rPr>
          <w:rFonts w:ascii="Arial" w:hAnsi="Arial" w:cs="Arial"/>
          <w:lang w:val="en-US"/>
        </w:rPr>
        <w:t xml:space="preserve">. London: DHSC. Available at: </w:t>
      </w:r>
      <w:hyperlink r:id="rId18" w:history="1">
        <w:r w:rsidRPr="00354C34">
          <w:rPr>
            <w:rStyle w:val="Hyperlink"/>
            <w:rFonts w:ascii="Arial" w:hAnsi="Arial" w:cs="Arial"/>
            <w:lang w:val="en-US"/>
          </w:rPr>
          <w:t>https://www.gov.uk/government/publications/health-and-social-care-integration-joining-up-care-for-people-places-and-populations</w:t>
        </w:r>
      </w:hyperlink>
      <w:r w:rsidRPr="00354C34">
        <w:rPr>
          <w:rFonts w:ascii="Arial" w:hAnsi="Arial" w:cs="Arial"/>
          <w:lang w:val="en-US"/>
        </w:rPr>
        <w:t xml:space="preserve"> </w:t>
      </w:r>
    </w:p>
    <w:p w14:paraId="75B6F059" w14:textId="6E2E3881"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Doran, T., Fullwood, C., Gravelle, H. and Reeves, D. (2006</w:t>
      </w:r>
      <w:r w:rsidRPr="00354C34">
        <w:rPr>
          <w:rFonts w:ascii="Arial" w:hAnsi="Arial" w:cs="Arial"/>
          <w:i/>
          <w:iCs/>
          <w:lang w:val="en-US"/>
        </w:rPr>
        <w:t>) ‘Pay-for-performance programs in family practices in the United Kingdom’,</w:t>
      </w:r>
      <w:r w:rsidRPr="00354C34">
        <w:rPr>
          <w:rFonts w:ascii="Arial" w:hAnsi="Arial" w:cs="Arial"/>
          <w:lang w:val="en-US"/>
        </w:rPr>
        <w:t xml:space="preserve"> </w:t>
      </w:r>
      <w:r w:rsidRPr="00354C34">
        <w:rPr>
          <w:rFonts w:ascii="Arial" w:hAnsi="Arial" w:cs="Arial"/>
          <w:i/>
          <w:iCs/>
          <w:lang w:val="en-US"/>
        </w:rPr>
        <w:t>New England Journal of Medicine</w:t>
      </w:r>
      <w:r w:rsidRPr="00354C34">
        <w:rPr>
          <w:rFonts w:ascii="Arial" w:hAnsi="Arial" w:cs="Arial"/>
          <w:lang w:val="en-US"/>
        </w:rPr>
        <w:t xml:space="preserve">, 355(4), pp. 375–384. Available at: </w:t>
      </w:r>
      <w:hyperlink r:id="rId19" w:history="1">
        <w:r w:rsidRPr="00354C34">
          <w:rPr>
            <w:rStyle w:val="Hyperlink"/>
            <w:rFonts w:ascii="Arial" w:hAnsi="Arial" w:cs="Arial"/>
            <w:lang w:val="en-US"/>
          </w:rPr>
          <w:t>https://doi.org/10.1056/NEJMsa055505</w:t>
        </w:r>
      </w:hyperlink>
      <w:r w:rsidRPr="00354C34">
        <w:rPr>
          <w:rFonts w:ascii="Arial" w:hAnsi="Arial" w:cs="Arial"/>
          <w:lang w:val="en-US"/>
        </w:rPr>
        <w:t xml:space="preserve"> </w:t>
      </w:r>
    </w:p>
    <w:p w14:paraId="062F6CC3" w14:textId="55CA630A"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Economic and Social Research Council (2022) </w:t>
      </w:r>
      <w:r w:rsidRPr="00354C34">
        <w:rPr>
          <w:rFonts w:ascii="Arial" w:hAnsi="Arial" w:cs="Arial"/>
          <w:i/>
          <w:iCs/>
          <w:lang w:val="en-US"/>
        </w:rPr>
        <w:t>ESRC framework for research ethics</w:t>
      </w:r>
      <w:r w:rsidRPr="00354C34">
        <w:rPr>
          <w:rFonts w:ascii="Arial" w:hAnsi="Arial" w:cs="Arial"/>
          <w:lang w:val="en-US"/>
        </w:rPr>
        <w:t xml:space="preserve">. Swindon: UK Research and Innovation. Available at: </w:t>
      </w:r>
      <w:hyperlink r:id="rId20" w:history="1">
        <w:r w:rsidRPr="00354C34">
          <w:rPr>
            <w:rStyle w:val="Hyperlink"/>
            <w:rFonts w:ascii="Arial" w:hAnsi="Arial" w:cs="Arial"/>
            <w:lang w:val="en-US"/>
          </w:rPr>
          <w:t>https://www.ukri.org/publications/esrc-framework-for-research-ethics/</w:t>
        </w:r>
      </w:hyperlink>
      <w:r w:rsidRPr="00354C34">
        <w:rPr>
          <w:rFonts w:ascii="Arial" w:hAnsi="Arial" w:cs="Arial"/>
          <w:lang w:val="en-US"/>
        </w:rPr>
        <w:t xml:space="preserve"> </w:t>
      </w:r>
    </w:p>
    <w:p w14:paraId="646C3401" w14:textId="50465AA9"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Egger, M., Davey Smith, G., Schneider, M. and Minder, C. (1997) </w:t>
      </w:r>
      <w:r w:rsidRPr="00354C34">
        <w:rPr>
          <w:rFonts w:ascii="Arial" w:hAnsi="Arial" w:cs="Arial"/>
          <w:i/>
          <w:iCs/>
          <w:lang w:val="en-US"/>
        </w:rPr>
        <w:t>‘Bias in meta-analysis detected by a simple, graphical test’,</w:t>
      </w:r>
      <w:r w:rsidRPr="00354C34">
        <w:rPr>
          <w:rFonts w:ascii="Arial" w:hAnsi="Arial" w:cs="Arial"/>
          <w:lang w:val="en-US"/>
        </w:rPr>
        <w:t xml:space="preserve"> </w:t>
      </w:r>
      <w:r w:rsidRPr="00354C34">
        <w:rPr>
          <w:rFonts w:ascii="Arial" w:hAnsi="Arial" w:cs="Arial"/>
          <w:i/>
          <w:iCs/>
          <w:lang w:val="en-US"/>
        </w:rPr>
        <w:t>BMJ</w:t>
      </w:r>
      <w:r w:rsidRPr="00354C34">
        <w:rPr>
          <w:rFonts w:ascii="Arial" w:hAnsi="Arial" w:cs="Arial"/>
          <w:lang w:val="en-US"/>
        </w:rPr>
        <w:t xml:space="preserve">, 315(7109), pp. 629–634. Available at: </w:t>
      </w:r>
      <w:hyperlink r:id="rId21" w:history="1">
        <w:r w:rsidRPr="00354C34">
          <w:rPr>
            <w:rStyle w:val="Hyperlink"/>
            <w:rFonts w:ascii="Arial" w:hAnsi="Arial" w:cs="Arial"/>
            <w:lang w:val="en-US"/>
          </w:rPr>
          <w:t>https://www.bmj.com/content/315/7109/629</w:t>
        </w:r>
      </w:hyperlink>
      <w:r w:rsidRPr="00354C34">
        <w:rPr>
          <w:rFonts w:ascii="Arial" w:hAnsi="Arial" w:cs="Arial"/>
          <w:lang w:val="en-US"/>
        </w:rPr>
        <w:t xml:space="preserve"> </w:t>
      </w:r>
    </w:p>
    <w:p w14:paraId="2613E8ED" w14:textId="08898849"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Farmanova, E., Kirvan, C., Bhatt, M. and Straus, S.E. (2018) </w:t>
      </w:r>
      <w:r w:rsidRPr="00354C34">
        <w:rPr>
          <w:rFonts w:ascii="Arial" w:hAnsi="Arial" w:cs="Arial"/>
          <w:i/>
          <w:iCs/>
          <w:lang w:val="en-US"/>
        </w:rPr>
        <w:t>‘Triple aim for quality improvement in primary healthcare in Canada’,</w:t>
      </w:r>
      <w:r w:rsidRPr="00354C34">
        <w:rPr>
          <w:rFonts w:ascii="Arial" w:hAnsi="Arial" w:cs="Arial"/>
          <w:lang w:val="en-US"/>
        </w:rPr>
        <w:t xml:space="preserve"> </w:t>
      </w:r>
      <w:r w:rsidRPr="00354C34">
        <w:rPr>
          <w:rFonts w:ascii="Arial" w:hAnsi="Arial" w:cs="Arial"/>
          <w:i/>
          <w:iCs/>
          <w:lang w:val="en-US"/>
        </w:rPr>
        <w:t>Canadian Family Physician</w:t>
      </w:r>
      <w:r w:rsidRPr="00354C34">
        <w:rPr>
          <w:rFonts w:ascii="Arial" w:hAnsi="Arial" w:cs="Arial"/>
          <w:lang w:val="en-US"/>
        </w:rPr>
        <w:t xml:space="preserve">, 64(10), pp. 728–736. Available at: </w:t>
      </w:r>
      <w:hyperlink r:id="rId22" w:history="1">
        <w:r w:rsidRPr="00354C34">
          <w:rPr>
            <w:rStyle w:val="Hyperlink"/>
            <w:rFonts w:ascii="Arial" w:hAnsi="Arial" w:cs="Arial"/>
            <w:lang w:val="en-US"/>
          </w:rPr>
          <w:t>https://www.cfp.ca/content/64/10/728</w:t>
        </w:r>
      </w:hyperlink>
      <w:r w:rsidRPr="00354C34">
        <w:rPr>
          <w:rFonts w:ascii="Arial" w:hAnsi="Arial" w:cs="Arial"/>
          <w:lang w:val="en-US"/>
        </w:rPr>
        <w:t xml:space="preserve"> </w:t>
      </w:r>
    </w:p>
    <w:p w14:paraId="64DB886A" w14:textId="1F3DFCA3"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Goddard, M. and Smith, P. (2001) </w:t>
      </w:r>
      <w:r w:rsidRPr="00354C34">
        <w:rPr>
          <w:rFonts w:ascii="Arial" w:hAnsi="Arial" w:cs="Arial"/>
          <w:i/>
          <w:iCs/>
          <w:lang w:val="en-US"/>
        </w:rPr>
        <w:t>‘Equity of access to health care services’,</w:t>
      </w:r>
      <w:r w:rsidRPr="00354C34">
        <w:rPr>
          <w:rFonts w:ascii="Arial" w:hAnsi="Arial" w:cs="Arial"/>
          <w:lang w:val="en-US"/>
        </w:rPr>
        <w:t xml:space="preserve"> </w:t>
      </w:r>
      <w:r w:rsidRPr="00354C34">
        <w:rPr>
          <w:rFonts w:ascii="Arial" w:hAnsi="Arial" w:cs="Arial"/>
          <w:i/>
          <w:iCs/>
          <w:lang w:val="en-US"/>
        </w:rPr>
        <w:t>Social Science &amp; Medicine</w:t>
      </w:r>
      <w:r w:rsidRPr="00354C34">
        <w:rPr>
          <w:rFonts w:ascii="Arial" w:hAnsi="Arial" w:cs="Arial"/>
          <w:lang w:val="en-US"/>
        </w:rPr>
        <w:t xml:space="preserve">, 53(9), pp. 1149–1162. Available at: </w:t>
      </w:r>
      <w:hyperlink r:id="rId23" w:history="1">
        <w:r w:rsidRPr="00354C34">
          <w:rPr>
            <w:rStyle w:val="Hyperlink"/>
            <w:rFonts w:ascii="Arial" w:hAnsi="Arial" w:cs="Arial"/>
            <w:lang w:val="en-US"/>
          </w:rPr>
          <w:t>https://doi.org/10.1016/S0277-9536(00)00415-9</w:t>
        </w:r>
      </w:hyperlink>
      <w:r w:rsidRPr="00354C34">
        <w:rPr>
          <w:rFonts w:ascii="Arial" w:hAnsi="Arial" w:cs="Arial"/>
          <w:lang w:val="en-US"/>
        </w:rPr>
        <w:t xml:space="preserve"> </w:t>
      </w:r>
    </w:p>
    <w:p w14:paraId="550D2CD0" w14:textId="03F962FE"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Grant, M.J. and Booth, A. (2009) </w:t>
      </w:r>
      <w:r w:rsidRPr="00354C34">
        <w:rPr>
          <w:rFonts w:ascii="Arial" w:hAnsi="Arial" w:cs="Arial"/>
          <w:i/>
          <w:iCs/>
          <w:lang w:val="en-US"/>
        </w:rPr>
        <w:t>‘A typology of reviews: an analysis of 14 review types and associated methodologies’,</w:t>
      </w:r>
      <w:r w:rsidRPr="00354C34">
        <w:rPr>
          <w:rFonts w:ascii="Arial" w:hAnsi="Arial" w:cs="Arial"/>
          <w:lang w:val="en-US"/>
        </w:rPr>
        <w:t xml:space="preserve"> </w:t>
      </w:r>
      <w:r w:rsidRPr="00354C34">
        <w:rPr>
          <w:rFonts w:ascii="Arial" w:hAnsi="Arial" w:cs="Arial"/>
          <w:i/>
          <w:iCs/>
          <w:lang w:val="en-US"/>
        </w:rPr>
        <w:t>Health Information and Libraries Journal</w:t>
      </w:r>
      <w:r w:rsidRPr="00354C34">
        <w:rPr>
          <w:rFonts w:ascii="Arial" w:hAnsi="Arial" w:cs="Arial"/>
          <w:lang w:val="en-US"/>
        </w:rPr>
        <w:t xml:space="preserve">, 26(2), pp. 91–108. Available at: </w:t>
      </w:r>
      <w:hyperlink r:id="rId24" w:history="1">
        <w:r w:rsidRPr="00354C34">
          <w:rPr>
            <w:rStyle w:val="Hyperlink"/>
            <w:rFonts w:ascii="Arial" w:hAnsi="Arial" w:cs="Arial"/>
            <w:lang w:val="en-US"/>
          </w:rPr>
          <w:t>https://doi.org/10.1111/j.1471-1842.2009.00848.x</w:t>
        </w:r>
      </w:hyperlink>
      <w:r w:rsidRPr="00354C34">
        <w:rPr>
          <w:rFonts w:ascii="Arial" w:hAnsi="Arial" w:cs="Arial"/>
          <w:lang w:val="en-US"/>
        </w:rPr>
        <w:t xml:space="preserve"> </w:t>
      </w:r>
    </w:p>
    <w:p w14:paraId="757D0D63" w14:textId="11575D27"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Greenhalgh, T., </w:t>
      </w:r>
      <w:proofErr w:type="spellStart"/>
      <w:r w:rsidRPr="00354C34">
        <w:rPr>
          <w:rFonts w:ascii="Arial" w:hAnsi="Arial" w:cs="Arial"/>
          <w:lang w:val="en-US"/>
        </w:rPr>
        <w:t>Wherton</w:t>
      </w:r>
      <w:proofErr w:type="spellEnd"/>
      <w:r w:rsidRPr="00354C34">
        <w:rPr>
          <w:rFonts w:ascii="Arial" w:hAnsi="Arial" w:cs="Arial"/>
          <w:lang w:val="en-US"/>
        </w:rPr>
        <w:t>, J., Shaw, S. and Morrison, C. (2020</w:t>
      </w:r>
      <w:r w:rsidRPr="00354C34">
        <w:rPr>
          <w:rFonts w:ascii="Arial" w:hAnsi="Arial" w:cs="Arial"/>
          <w:i/>
          <w:iCs/>
          <w:lang w:val="en-US"/>
        </w:rPr>
        <w:t>) ‘Video consultations for COVID-19’,</w:t>
      </w:r>
      <w:r w:rsidRPr="00354C34">
        <w:rPr>
          <w:rFonts w:ascii="Arial" w:hAnsi="Arial" w:cs="Arial"/>
          <w:lang w:val="en-US"/>
        </w:rPr>
        <w:t xml:space="preserve"> </w:t>
      </w:r>
      <w:r w:rsidRPr="00354C34">
        <w:rPr>
          <w:rFonts w:ascii="Arial" w:hAnsi="Arial" w:cs="Arial"/>
          <w:i/>
          <w:iCs/>
          <w:lang w:val="en-US"/>
        </w:rPr>
        <w:t>BMJ</w:t>
      </w:r>
      <w:r w:rsidRPr="00354C34">
        <w:rPr>
          <w:rFonts w:ascii="Arial" w:hAnsi="Arial" w:cs="Arial"/>
          <w:lang w:val="en-US"/>
        </w:rPr>
        <w:t xml:space="preserve">, 368, m998. Available at: </w:t>
      </w:r>
      <w:hyperlink r:id="rId25" w:history="1">
        <w:r w:rsidRPr="00354C34">
          <w:rPr>
            <w:rStyle w:val="Hyperlink"/>
            <w:rFonts w:ascii="Arial" w:hAnsi="Arial" w:cs="Arial"/>
            <w:lang w:val="en-US"/>
          </w:rPr>
          <w:t>https://www.bmj.com/content/368/bmj.m998</w:t>
        </w:r>
      </w:hyperlink>
      <w:r w:rsidRPr="00354C34">
        <w:rPr>
          <w:rFonts w:ascii="Arial" w:hAnsi="Arial" w:cs="Arial"/>
          <w:lang w:val="en-US"/>
        </w:rPr>
        <w:t xml:space="preserve"> </w:t>
      </w:r>
    </w:p>
    <w:p w14:paraId="59778965" w14:textId="5F9D6174"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Hann, M. and Gravelle, H. (2004) </w:t>
      </w:r>
      <w:r w:rsidRPr="00354C34">
        <w:rPr>
          <w:rFonts w:ascii="Arial" w:hAnsi="Arial" w:cs="Arial"/>
          <w:i/>
          <w:iCs/>
          <w:lang w:val="en-US"/>
        </w:rPr>
        <w:t>‘The maldistribution of general practitioners in England and Wales: 1974–2003’,</w:t>
      </w:r>
      <w:r w:rsidRPr="00354C34">
        <w:rPr>
          <w:rFonts w:ascii="Arial" w:hAnsi="Arial" w:cs="Arial"/>
          <w:lang w:val="en-US"/>
        </w:rPr>
        <w:t xml:space="preserve"> </w:t>
      </w:r>
      <w:r w:rsidRPr="00354C34">
        <w:rPr>
          <w:rFonts w:ascii="Arial" w:hAnsi="Arial" w:cs="Arial"/>
          <w:i/>
          <w:iCs/>
          <w:lang w:val="en-US"/>
        </w:rPr>
        <w:t>British Journal of General Practice</w:t>
      </w:r>
      <w:r w:rsidRPr="00354C34">
        <w:rPr>
          <w:rFonts w:ascii="Arial" w:hAnsi="Arial" w:cs="Arial"/>
          <w:lang w:val="en-US"/>
        </w:rPr>
        <w:t xml:space="preserve">, 54(509), pp. 894–898. Available at: </w:t>
      </w:r>
      <w:hyperlink r:id="rId26" w:history="1">
        <w:r w:rsidRPr="00354C34">
          <w:rPr>
            <w:rStyle w:val="Hyperlink"/>
            <w:rFonts w:ascii="Arial" w:hAnsi="Arial" w:cs="Arial"/>
            <w:lang w:val="en-US"/>
          </w:rPr>
          <w:t>https://bjgp.org/content/54/509/894</w:t>
        </w:r>
      </w:hyperlink>
      <w:r w:rsidRPr="00354C34">
        <w:rPr>
          <w:rFonts w:ascii="Arial" w:hAnsi="Arial" w:cs="Arial"/>
          <w:lang w:val="en-US"/>
        </w:rPr>
        <w:t xml:space="preserve"> </w:t>
      </w:r>
    </w:p>
    <w:p w14:paraId="59DEE066" w14:textId="77777777"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Higgins, J.P.T., Thomas, J., Chandler, J., Cumpston, M., Li, T., Page, M.J. and Welch, V.A. (eds.) (2022) </w:t>
      </w:r>
      <w:r w:rsidRPr="00354C34">
        <w:rPr>
          <w:rFonts w:ascii="Arial" w:hAnsi="Arial" w:cs="Arial"/>
          <w:i/>
          <w:iCs/>
          <w:lang w:val="en-US"/>
        </w:rPr>
        <w:t>Cochrane handbook for systematic reviews of interventions</w:t>
      </w:r>
      <w:r w:rsidRPr="00354C34">
        <w:rPr>
          <w:rFonts w:ascii="Arial" w:hAnsi="Arial" w:cs="Arial"/>
          <w:lang w:val="en-US"/>
        </w:rPr>
        <w:t xml:space="preserve">. 2nd </w:t>
      </w:r>
      <w:proofErr w:type="spellStart"/>
      <w:r w:rsidRPr="00354C34">
        <w:rPr>
          <w:rFonts w:ascii="Arial" w:hAnsi="Arial" w:cs="Arial"/>
          <w:lang w:val="en-US"/>
        </w:rPr>
        <w:t>edn</w:t>
      </w:r>
      <w:proofErr w:type="spellEnd"/>
      <w:r w:rsidRPr="00354C34">
        <w:rPr>
          <w:rFonts w:ascii="Arial" w:hAnsi="Arial" w:cs="Arial"/>
          <w:lang w:val="en-US"/>
        </w:rPr>
        <w:t>. Chichester: Wiley.</w:t>
      </w:r>
    </w:p>
    <w:p w14:paraId="56539ACB" w14:textId="77777777"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Israel, M. and Hay, I. (2006) </w:t>
      </w:r>
      <w:r w:rsidRPr="00354C34">
        <w:rPr>
          <w:rFonts w:ascii="Arial" w:hAnsi="Arial" w:cs="Arial"/>
          <w:i/>
          <w:iCs/>
          <w:lang w:val="en-US"/>
        </w:rPr>
        <w:t>Research ethics for social scientists</w:t>
      </w:r>
      <w:r w:rsidRPr="00354C34">
        <w:rPr>
          <w:rFonts w:ascii="Arial" w:hAnsi="Arial" w:cs="Arial"/>
          <w:lang w:val="en-US"/>
        </w:rPr>
        <w:t>. London: SAGE.</w:t>
      </w:r>
    </w:p>
    <w:p w14:paraId="6066539B" w14:textId="33B09980"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King’s Fund (2022) </w:t>
      </w:r>
      <w:r w:rsidRPr="00354C34">
        <w:rPr>
          <w:rFonts w:ascii="Arial" w:hAnsi="Arial" w:cs="Arial"/>
          <w:i/>
          <w:iCs/>
          <w:lang w:val="en-US"/>
        </w:rPr>
        <w:t>Rural health and care: understanding the challenges</w:t>
      </w:r>
      <w:r w:rsidRPr="00354C34">
        <w:rPr>
          <w:rFonts w:ascii="Arial" w:hAnsi="Arial" w:cs="Arial"/>
          <w:lang w:val="en-US"/>
        </w:rPr>
        <w:t xml:space="preserve">. London: The King’s Fund. Available at: </w:t>
      </w:r>
      <w:hyperlink r:id="rId27" w:history="1">
        <w:r w:rsidRPr="00354C34">
          <w:rPr>
            <w:rStyle w:val="Hyperlink"/>
            <w:rFonts w:ascii="Arial" w:hAnsi="Arial" w:cs="Arial"/>
            <w:lang w:val="en-US"/>
          </w:rPr>
          <w:t>https://www.kingsfund.org.uk/</w:t>
        </w:r>
      </w:hyperlink>
      <w:r w:rsidRPr="00354C34">
        <w:rPr>
          <w:rFonts w:ascii="Arial" w:hAnsi="Arial" w:cs="Arial"/>
          <w:lang w:val="en-US"/>
        </w:rPr>
        <w:t xml:space="preserve"> </w:t>
      </w:r>
    </w:p>
    <w:p w14:paraId="50A256CC" w14:textId="18FD8EBB"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Levesque, J.F., Harris, M.F. and Russell, G. (2013</w:t>
      </w:r>
      <w:r w:rsidRPr="00354C34">
        <w:rPr>
          <w:rFonts w:ascii="Arial" w:hAnsi="Arial" w:cs="Arial"/>
          <w:i/>
          <w:iCs/>
          <w:lang w:val="en-US"/>
        </w:rPr>
        <w:t>) ‘Patient-</w:t>
      </w:r>
      <w:proofErr w:type="spellStart"/>
      <w:r w:rsidRPr="00354C34">
        <w:rPr>
          <w:rFonts w:ascii="Arial" w:hAnsi="Arial" w:cs="Arial"/>
          <w:i/>
          <w:iCs/>
          <w:lang w:val="en-US"/>
        </w:rPr>
        <w:t>centred</w:t>
      </w:r>
      <w:proofErr w:type="spellEnd"/>
      <w:r w:rsidRPr="00354C34">
        <w:rPr>
          <w:rFonts w:ascii="Arial" w:hAnsi="Arial" w:cs="Arial"/>
          <w:i/>
          <w:iCs/>
          <w:lang w:val="en-US"/>
        </w:rPr>
        <w:t xml:space="preserve"> access to health care: </w:t>
      </w:r>
      <w:proofErr w:type="spellStart"/>
      <w:r w:rsidRPr="00354C34">
        <w:rPr>
          <w:rFonts w:ascii="Arial" w:hAnsi="Arial" w:cs="Arial"/>
          <w:i/>
          <w:iCs/>
          <w:lang w:val="en-US"/>
        </w:rPr>
        <w:t>conceptualising</w:t>
      </w:r>
      <w:proofErr w:type="spellEnd"/>
      <w:r w:rsidRPr="00354C34">
        <w:rPr>
          <w:rFonts w:ascii="Arial" w:hAnsi="Arial" w:cs="Arial"/>
          <w:i/>
          <w:iCs/>
          <w:lang w:val="en-US"/>
        </w:rPr>
        <w:t xml:space="preserve"> access at the interface of health systems and populations’,</w:t>
      </w:r>
      <w:r w:rsidRPr="00354C34">
        <w:rPr>
          <w:rFonts w:ascii="Arial" w:hAnsi="Arial" w:cs="Arial"/>
          <w:lang w:val="en-US"/>
        </w:rPr>
        <w:t xml:space="preserve"> </w:t>
      </w:r>
      <w:r w:rsidRPr="00354C34">
        <w:rPr>
          <w:rFonts w:ascii="Arial" w:hAnsi="Arial" w:cs="Arial"/>
          <w:i/>
          <w:iCs/>
          <w:lang w:val="en-US"/>
        </w:rPr>
        <w:t>International Journal for Equity in Health</w:t>
      </w:r>
      <w:r w:rsidRPr="00354C34">
        <w:rPr>
          <w:rFonts w:ascii="Arial" w:hAnsi="Arial" w:cs="Arial"/>
          <w:lang w:val="en-US"/>
        </w:rPr>
        <w:t xml:space="preserve">, 12(1), p. 18. Available at: </w:t>
      </w:r>
      <w:hyperlink r:id="rId28" w:history="1">
        <w:r w:rsidRPr="00354C34">
          <w:rPr>
            <w:rStyle w:val="Hyperlink"/>
            <w:rFonts w:ascii="Arial" w:hAnsi="Arial" w:cs="Arial"/>
            <w:lang w:val="en-US"/>
          </w:rPr>
          <w:t>https://doi.org/10.1186/1475-9276-12-18</w:t>
        </w:r>
      </w:hyperlink>
      <w:r w:rsidRPr="00354C34">
        <w:rPr>
          <w:rFonts w:ascii="Arial" w:hAnsi="Arial" w:cs="Arial"/>
          <w:lang w:val="en-US"/>
        </w:rPr>
        <w:t xml:space="preserve"> </w:t>
      </w:r>
    </w:p>
    <w:p w14:paraId="7EE8A2C0" w14:textId="52595D7F"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Lewin, S., Booth, A., Glenton, C., Munthe-Kaas, H., Rashidian, A., Wainwright, M. and Noyes, J. (2018) </w:t>
      </w:r>
      <w:r w:rsidRPr="00354C34">
        <w:rPr>
          <w:rFonts w:ascii="Arial" w:hAnsi="Arial" w:cs="Arial"/>
          <w:i/>
          <w:iCs/>
          <w:lang w:val="en-US"/>
        </w:rPr>
        <w:t>‘Applying GRADE-</w:t>
      </w:r>
      <w:proofErr w:type="spellStart"/>
      <w:r w:rsidRPr="00354C34">
        <w:rPr>
          <w:rFonts w:ascii="Arial" w:hAnsi="Arial" w:cs="Arial"/>
          <w:i/>
          <w:iCs/>
          <w:lang w:val="en-US"/>
        </w:rPr>
        <w:t>CERQual</w:t>
      </w:r>
      <w:proofErr w:type="spellEnd"/>
      <w:r w:rsidRPr="00354C34">
        <w:rPr>
          <w:rFonts w:ascii="Arial" w:hAnsi="Arial" w:cs="Arial"/>
          <w:i/>
          <w:iCs/>
          <w:lang w:val="en-US"/>
        </w:rPr>
        <w:t xml:space="preserve"> to qualitative evidence synthesis findings’,</w:t>
      </w:r>
      <w:r w:rsidRPr="00354C34">
        <w:rPr>
          <w:rFonts w:ascii="Arial" w:hAnsi="Arial" w:cs="Arial"/>
          <w:lang w:val="en-US"/>
        </w:rPr>
        <w:t xml:space="preserve"> </w:t>
      </w:r>
      <w:r w:rsidRPr="00354C34">
        <w:rPr>
          <w:rFonts w:ascii="Arial" w:hAnsi="Arial" w:cs="Arial"/>
          <w:i/>
          <w:iCs/>
          <w:lang w:val="en-US"/>
        </w:rPr>
        <w:t>Implementation Science</w:t>
      </w:r>
      <w:r w:rsidRPr="00354C34">
        <w:rPr>
          <w:rFonts w:ascii="Arial" w:hAnsi="Arial" w:cs="Arial"/>
          <w:lang w:val="en-US"/>
        </w:rPr>
        <w:t xml:space="preserve">, 13(Suppl. 1), p. 2. Available at: </w:t>
      </w:r>
      <w:hyperlink r:id="rId29" w:history="1">
        <w:r w:rsidRPr="00354C34">
          <w:rPr>
            <w:rStyle w:val="Hyperlink"/>
            <w:rFonts w:ascii="Arial" w:hAnsi="Arial" w:cs="Arial"/>
            <w:lang w:val="en-US"/>
          </w:rPr>
          <w:t>https://doi.org/10.1186/s13012-017-0688-3</w:t>
        </w:r>
      </w:hyperlink>
      <w:r w:rsidRPr="00354C34">
        <w:rPr>
          <w:rFonts w:ascii="Arial" w:hAnsi="Arial" w:cs="Arial"/>
          <w:lang w:val="en-US"/>
        </w:rPr>
        <w:t xml:space="preserve"> </w:t>
      </w:r>
    </w:p>
    <w:p w14:paraId="3DB8AD5D" w14:textId="4964A881"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Marmot, M., Allen, J., Boyce, T., Goldblatt, P. and Morrison, J. (2020) </w:t>
      </w:r>
      <w:r w:rsidRPr="00354C34">
        <w:rPr>
          <w:rFonts w:ascii="Arial" w:hAnsi="Arial" w:cs="Arial"/>
          <w:i/>
          <w:iCs/>
          <w:lang w:val="en-US"/>
        </w:rPr>
        <w:t xml:space="preserve">Health equity in England: </w:t>
      </w:r>
      <w:proofErr w:type="gramStart"/>
      <w:r w:rsidRPr="00354C34">
        <w:rPr>
          <w:rFonts w:ascii="Arial" w:hAnsi="Arial" w:cs="Arial"/>
          <w:i/>
          <w:iCs/>
          <w:lang w:val="en-US"/>
        </w:rPr>
        <w:t>the</w:t>
      </w:r>
      <w:proofErr w:type="gramEnd"/>
      <w:r w:rsidRPr="00354C34">
        <w:rPr>
          <w:rFonts w:ascii="Arial" w:hAnsi="Arial" w:cs="Arial"/>
          <w:i/>
          <w:iCs/>
          <w:lang w:val="en-US"/>
        </w:rPr>
        <w:t xml:space="preserve"> Marmot review 10 years on</w:t>
      </w:r>
      <w:r w:rsidRPr="00354C34">
        <w:rPr>
          <w:rFonts w:ascii="Arial" w:hAnsi="Arial" w:cs="Arial"/>
          <w:lang w:val="en-US"/>
        </w:rPr>
        <w:t xml:space="preserve">. London: Institute of Health Equity. Available at: </w:t>
      </w:r>
      <w:hyperlink r:id="rId30" w:history="1">
        <w:r w:rsidRPr="00354C34">
          <w:rPr>
            <w:rStyle w:val="Hyperlink"/>
            <w:rFonts w:ascii="Arial" w:hAnsi="Arial" w:cs="Arial"/>
            <w:lang w:val="en-US"/>
          </w:rPr>
          <w:t>https://www.instituteofhealthequity.org/resources-reports/marmot-review-10-years-on-the-health-equity-in-england-report</w:t>
        </w:r>
      </w:hyperlink>
      <w:r w:rsidRPr="00354C34">
        <w:rPr>
          <w:rFonts w:ascii="Arial" w:hAnsi="Arial" w:cs="Arial"/>
          <w:lang w:val="en-US"/>
        </w:rPr>
        <w:t xml:space="preserve"> </w:t>
      </w:r>
    </w:p>
    <w:p w14:paraId="70DFAE4F" w14:textId="35A12EC3"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National Rural Health Alliance (2022) </w:t>
      </w:r>
      <w:r w:rsidRPr="00354C34">
        <w:rPr>
          <w:rFonts w:ascii="Arial" w:hAnsi="Arial" w:cs="Arial"/>
          <w:i/>
          <w:iCs/>
          <w:lang w:val="en-US"/>
        </w:rPr>
        <w:t>Rural health inequalities: fact sheet</w:t>
      </w:r>
      <w:r w:rsidRPr="00354C34">
        <w:rPr>
          <w:rFonts w:ascii="Arial" w:hAnsi="Arial" w:cs="Arial"/>
          <w:lang w:val="en-US"/>
        </w:rPr>
        <w:t xml:space="preserve">. London: NRHA. Available at: </w:t>
      </w:r>
      <w:hyperlink r:id="rId31" w:history="1">
        <w:r w:rsidRPr="00354C34">
          <w:rPr>
            <w:rStyle w:val="Hyperlink"/>
            <w:rFonts w:ascii="Arial" w:hAnsi="Arial" w:cs="Arial"/>
            <w:lang w:val="en-US"/>
          </w:rPr>
          <w:t>https://www.ruralhealth.org.au/</w:t>
        </w:r>
      </w:hyperlink>
      <w:r w:rsidRPr="00354C34">
        <w:rPr>
          <w:rFonts w:ascii="Arial" w:hAnsi="Arial" w:cs="Arial"/>
          <w:lang w:val="en-US"/>
        </w:rPr>
        <w:t xml:space="preserve"> </w:t>
      </w:r>
    </w:p>
    <w:p w14:paraId="502F119F" w14:textId="19B65E60"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Neves, B.B., Franz, R., Judges, R., Beermann, C. and Baecker, R. (2018) </w:t>
      </w:r>
      <w:r w:rsidRPr="00354C34">
        <w:rPr>
          <w:rFonts w:ascii="Arial" w:hAnsi="Arial" w:cs="Arial"/>
          <w:i/>
          <w:iCs/>
          <w:lang w:val="en-US"/>
        </w:rPr>
        <w:t>‘Can digital technology enhance social connectedness among older adults?’, Journal of Applied Gerontology</w:t>
      </w:r>
      <w:r w:rsidRPr="00354C34">
        <w:rPr>
          <w:rFonts w:ascii="Arial" w:hAnsi="Arial" w:cs="Arial"/>
          <w:lang w:val="en-US"/>
        </w:rPr>
        <w:t xml:space="preserve">, 38(1), pp. 49–72. Available at: </w:t>
      </w:r>
      <w:hyperlink r:id="rId32" w:history="1">
        <w:r w:rsidRPr="00354C34">
          <w:rPr>
            <w:rStyle w:val="Hyperlink"/>
            <w:rFonts w:ascii="Arial" w:hAnsi="Arial" w:cs="Arial"/>
            <w:lang w:val="en-US"/>
          </w:rPr>
          <w:t>https://doi.org/10.1177/0733464817741369</w:t>
        </w:r>
      </w:hyperlink>
      <w:r w:rsidRPr="00354C34">
        <w:rPr>
          <w:rFonts w:ascii="Arial" w:hAnsi="Arial" w:cs="Arial"/>
          <w:lang w:val="en-US"/>
        </w:rPr>
        <w:t xml:space="preserve"> </w:t>
      </w:r>
    </w:p>
    <w:p w14:paraId="38C3E398" w14:textId="044F4EDD"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NHS Digital (2022) </w:t>
      </w:r>
      <w:r w:rsidRPr="00354C34">
        <w:rPr>
          <w:rFonts w:ascii="Arial" w:hAnsi="Arial" w:cs="Arial"/>
          <w:i/>
          <w:iCs/>
          <w:lang w:val="en-US"/>
        </w:rPr>
        <w:t>General practice workforce statistics</w:t>
      </w:r>
      <w:r w:rsidRPr="00354C34">
        <w:rPr>
          <w:rFonts w:ascii="Arial" w:hAnsi="Arial" w:cs="Arial"/>
          <w:lang w:val="en-US"/>
        </w:rPr>
        <w:t xml:space="preserve">. Leeds: NHS Digital. Available at: </w:t>
      </w:r>
      <w:hyperlink r:id="rId33" w:history="1">
        <w:r w:rsidRPr="00354C34">
          <w:rPr>
            <w:rStyle w:val="Hyperlink"/>
            <w:rFonts w:ascii="Arial" w:hAnsi="Arial" w:cs="Arial"/>
            <w:lang w:val="en-US"/>
          </w:rPr>
          <w:t>https://digital.nhs.uk/data-and-information/publications/statistical/general-and-personal-medical-services</w:t>
        </w:r>
      </w:hyperlink>
      <w:r w:rsidRPr="00354C34">
        <w:rPr>
          <w:rFonts w:ascii="Arial" w:hAnsi="Arial" w:cs="Arial"/>
          <w:lang w:val="en-US"/>
        </w:rPr>
        <w:t xml:space="preserve"> </w:t>
      </w:r>
    </w:p>
    <w:p w14:paraId="4DFF0819" w14:textId="40E1E49E"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NHS England (2019) </w:t>
      </w:r>
      <w:r w:rsidRPr="00354C34">
        <w:rPr>
          <w:rFonts w:ascii="Arial" w:hAnsi="Arial" w:cs="Arial"/>
          <w:i/>
          <w:iCs/>
          <w:lang w:val="en-US"/>
        </w:rPr>
        <w:t>The NHS long term plan</w:t>
      </w:r>
      <w:r w:rsidRPr="00354C34">
        <w:rPr>
          <w:rFonts w:ascii="Arial" w:hAnsi="Arial" w:cs="Arial"/>
          <w:lang w:val="en-US"/>
        </w:rPr>
        <w:t xml:space="preserve">. London: NHS England. Available at: </w:t>
      </w:r>
      <w:hyperlink r:id="rId34" w:history="1">
        <w:r w:rsidRPr="00354C34">
          <w:rPr>
            <w:rStyle w:val="Hyperlink"/>
            <w:rFonts w:ascii="Arial" w:hAnsi="Arial" w:cs="Arial"/>
            <w:lang w:val="en-US"/>
          </w:rPr>
          <w:t>https://www.longtermplan.nhs.uk/</w:t>
        </w:r>
      </w:hyperlink>
      <w:r w:rsidRPr="00354C34">
        <w:rPr>
          <w:rFonts w:ascii="Arial" w:hAnsi="Arial" w:cs="Arial"/>
          <w:lang w:val="en-US"/>
        </w:rPr>
        <w:t xml:space="preserve"> </w:t>
      </w:r>
    </w:p>
    <w:p w14:paraId="4BE684AB" w14:textId="5B679BD3"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NHS England (2021) </w:t>
      </w:r>
      <w:r w:rsidRPr="00354C34">
        <w:rPr>
          <w:rFonts w:ascii="Arial" w:hAnsi="Arial" w:cs="Arial"/>
          <w:i/>
          <w:iCs/>
          <w:lang w:val="en-US"/>
        </w:rPr>
        <w:t>Targeted Enhanced Recruitment Scheme: guidance for practices</w:t>
      </w:r>
      <w:r w:rsidRPr="00354C34">
        <w:rPr>
          <w:rFonts w:ascii="Arial" w:hAnsi="Arial" w:cs="Arial"/>
          <w:lang w:val="en-US"/>
        </w:rPr>
        <w:t xml:space="preserve">. London: NHS England. Available at: </w:t>
      </w:r>
      <w:hyperlink r:id="rId35" w:history="1">
        <w:r w:rsidRPr="00354C34">
          <w:rPr>
            <w:rStyle w:val="Hyperlink"/>
            <w:rFonts w:ascii="Arial" w:hAnsi="Arial" w:cs="Arial"/>
            <w:lang w:val="en-US"/>
          </w:rPr>
          <w:t>https://www.england.nhs.uk/gp/expanding-our-workforce/recruitment/</w:t>
        </w:r>
      </w:hyperlink>
      <w:r w:rsidRPr="00354C34">
        <w:rPr>
          <w:rFonts w:ascii="Arial" w:hAnsi="Arial" w:cs="Arial"/>
          <w:lang w:val="en-US"/>
        </w:rPr>
        <w:t xml:space="preserve"> </w:t>
      </w:r>
    </w:p>
    <w:p w14:paraId="657C68F0" w14:textId="30D1C7A4"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NHS England (2022) </w:t>
      </w:r>
      <w:r w:rsidRPr="00354C34">
        <w:rPr>
          <w:rFonts w:ascii="Arial" w:hAnsi="Arial" w:cs="Arial"/>
          <w:i/>
          <w:iCs/>
          <w:lang w:val="en-US"/>
        </w:rPr>
        <w:t>Delivering a net zero National Health Service and digital primary care update</w:t>
      </w:r>
      <w:r w:rsidRPr="00354C34">
        <w:rPr>
          <w:rFonts w:ascii="Arial" w:hAnsi="Arial" w:cs="Arial"/>
          <w:lang w:val="en-US"/>
        </w:rPr>
        <w:t xml:space="preserve">. London: NHS England. Available at: </w:t>
      </w:r>
      <w:hyperlink r:id="rId36" w:history="1">
        <w:r w:rsidRPr="00354C34">
          <w:rPr>
            <w:rStyle w:val="Hyperlink"/>
            <w:rFonts w:ascii="Arial" w:hAnsi="Arial" w:cs="Arial"/>
            <w:lang w:val="en-US"/>
          </w:rPr>
          <w:t>https://www.england.nhs.uk/</w:t>
        </w:r>
      </w:hyperlink>
      <w:r w:rsidRPr="00354C34">
        <w:rPr>
          <w:rFonts w:ascii="Arial" w:hAnsi="Arial" w:cs="Arial"/>
          <w:lang w:val="en-US"/>
        </w:rPr>
        <w:t xml:space="preserve"> </w:t>
      </w:r>
    </w:p>
    <w:p w14:paraId="70D2B0B4" w14:textId="5294B2DC"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NHS England (2023) </w:t>
      </w:r>
      <w:r w:rsidRPr="00354C34">
        <w:rPr>
          <w:rFonts w:ascii="Arial" w:hAnsi="Arial" w:cs="Arial"/>
          <w:i/>
          <w:iCs/>
          <w:lang w:val="en-US"/>
        </w:rPr>
        <w:t>Core20PLUS5: an approach to reducing health inequalities</w:t>
      </w:r>
      <w:r w:rsidRPr="00354C34">
        <w:rPr>
          <w:rFonts w:ascii="Arial" w:hAnsi="Arial" w:cs="Arial"/>
          <w:lang w:val="en-US"/>
        </w:rPr>
        <w:t xml:space="preserve">. London: NHS England. Available at: </w:t>
      </w:r>
      <w:hyperlink r:id="rId37" w:history="1">
        <w:r w:rsidRPr="00354C34">
          <w:rPr>
            <w:rStyle w:val="Hyperlink"/>
            <w:rFonts w:ascii="Arial" w:hAnsi="Arial" w:cs="Arial"/>
            <w:lang w:val="en-US"/>
          </w:rPr>
          <w:t>https://www.england.nhs.uk/about/equality/equality-hub/core20plus5/</w:t>
        </w:r>
      </w:hyperlink>
      <w:r w:rsidRPr="00354C34">
        <w:rPr>
          <w:rFonts w:ascii="Arial" w:hAnsi="Arial" w:cs="Arial"/>
          <w:lang w:val="en-US"/>
        </w:rPr>
        <w:t xml:space="preserve"> </w:t>
      </w:r>
    </w:p>
    <w:p w14:paraId="5DD1CA59" w14:textId="2D9E7984"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Nicholson, C., Hepworth, J., Burridge, L., Marley, J. and Jackson, C. (2021) </w:t>
      </w:r>
      <w:r w:rsidRPr="00354C34">
        <w:rPr>
          <w:rFonts w:ascii="Arial" w:hAnsi="Arial" w:cs="Arial"/>
          <w:i/>
          <w:iCs/>
          <w:lang w:val="en-US"/>
        </w:rPr>
        <w:t>‘Translating the elements of health governance for integrated care from theory to practice’</w:t>
      </w:r>
      <w:r w:rsidRPr="00354C34">
        <w:rPr>
          <w:rFonts w:ascii="Arial" w:hAnsi="Arial" w:cs="Arial"/>
          <w:lang w:val="en-US"/>
        </w:rPr>
        <w:t xml:space="preserve">, </w:t>
      </w:r>
      <w:r w:rsidRPr="00354C34">
        <w:rPr>
          <w:rFonts w:ascii="Arial" w:hAnsi="Arial" w:cs="Arial"/>
          <w:i/>
          <w:iCs/>
          <w:lang w:val="en-US"/>
        </w:rPr>
        <w:t>International Journal of Integrated Care</w:t>
      </w:r>
      <w:r w:rsidRPr="00354C34">
        <w:rPr>
          <w:rFonts w:ascii="Arial" w:hAnsi="Arial" w:cs="Arial"/>
          <w:lang w:val="en-US"/>
        </w:rPr>
        <w:t xml:space="preserve">, 21(1), p. 4. Available at: </w:t>
      </w:r>
      <w:hyperlink r:id="rId38" w:history="1">
        <w:r w:rsidRPr="00354C34">
          <w:rPr>
            <w:rStyle w:val="Hyperlink"/>
            <w:rFonts w:ascii="Arial" w:hAnsi="Arial" w:cs="Arial"/>
            <w:lang w:val="en-US"/>
          </w:rPr>
          <w:t>https://doi.org/10.5334/ijic.5491</w:t>
        </w:r>
      </w:hyperlink>
    </w:p>
    <w:p w14:paraId="544C93F8" w14:textId="7DDBC3D4"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Nuffield Trust (2023) </w:t>
      </w:r>
      <w:r w:rsidRPr="00354C34">
        <w:rPr>
          <w:rFonts w:ascii="Arial" w:hAnsi="Arial" w:cs="Arial"/>
          <w:i/>
          <w:iCs/>
          <w:lang w:val="en-US"/>
        </w:rPr>
        <w:t>The rural health gap: access and outcomes outside cities</w:t>
      </w:r>
      <w:r w:rsidRPr="00354C34">
        <w:rPr>
          <w:rFonts w:ascii="Arial" w:hAnsi="Arial" w:cs="Arial"/>
          <w:lang w:val="en-US"/>
        </w:rPr>
        <w:t xml:space="preserve">. London: Nuffield Trust. Available at: </w:t>
      </w:r>
      <w:hyperlink r:id="rId39" w:history="1">
        <w:r w:rsidRPr="00354C34">
          <w:rPr>
            <w:rStyle w:val="Hyperlink"/>
            <w:rFonts w:ascii="Arial" w:hAnsi="Arial" w:cs="Arial"/>
            <w:lang w:val="en-US"/>
          </w:rPr>
          <w:t>https://www.nuffieldtrust.org.uk/</w:t>
        </w:r>
      </w:hyperlink>
      <w:r w:rsidRPr="00354C34">
        <w:rPr>
          <w:rFonts w:ascii="Arial" w:hAnsi="Arial" w:cs="Arial"/>
          <w:lang w:val="en-US"/>
        </w:rPr>
        <w:t xml:space="preserve"> </w:t>
      </w:r>
    </w:p>
    <w:p w14:paraId="18D5708E" w14:textId="72F48D3B"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Ofcom (2022) </w:t>
      </w:r>
      <w:r w:rsidRPr="00354C34">
        <w:rPr>
          <w:rFonts w:ascii="Arial" w:hAnsi="Arial" w:cs="Arial"/>
          <w:i/>
          <w:iCs/>
          <w:lang w:val="en-US"/>
        </w:rPr>
        <w:t>Connected nations report 2022</w:t>
      </w:r>
      <w:r w:rsidRPr="00354C34">
        <w:rPr>
          <w:rFonts w:ascii="Arial" w:hAnsi="Arial" w:cs="Arial"/>
          <w:lang w:val="en-US"/>
        </w:rPr>
        <w:t xml:space="preserve">. London: Ofcom. Available at: </w:t>
      </w:r>
      <w:hyperlink r:id="rId40" w:history="1">
        <w:r w:rsidRPr="00354C34">
          <w:rPr>
            <w:rStyle w:val="Hyperlink"/>
            <w:rFonts w:ascii="Arial" w:hAnsi="Arial" w:cs="Arial"/>
            <w:lang w:val="en-US"/>
          </w:rPr>
          <w:t>https://www.ofcom.org.uk/research-and-data/telecoms-research/connected-nations</w:t>
        </w:r>
      </w:hyperlink>
      <w:r w:rsidRPr="00354C34">
        <w:rPr>
          <w:rFonts w:ascii="Arial" w:hAnsi="Arial" w:cs="Arial"/>
          <w:lang w:val="en-US"/>
        </w:rPr>
        <w:t xml:space="preserve"> </w:t>
      </w:r>
    </w:p>
    <w:p w14:paraId="4F4BBACC" w14:textId="6BD2A9E6"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Office for National Statistics (2022) </w:t>
      </w:r>
      <w:r w:rsidRPr="00354C34">
        <w:rPr>
          <w:rFonts w:ascii="Arial" w:hAnsi="Arial" w:cs="Arial"/>
          <w:i/>
          <w:iCs/>
          <w:lang w:val="en-US"/>
        </w:rPr>
        <w:t>Rural population 2021/22</w:t>
      </w:r>
      <w:r w:rsidRPr="00354C34">
        <w:rPr>
          <w:rFonts w:ascii="Arial" w:hAnsi="Arial" w:cs="Arial"/>
          <w:lang w:val="en-US"/>
        </w:rPr>
        <w:t xml:space="preserve">. Newport: ONS. Available at: </w:t>
      </w:r>
      <w:hyperlink r:id="rId41" w:history="1">
        <w:r w:rsidRPr="00354C34">
          <w:rPr>
            <w:rStyle w:val="Hyperlink"/>
            <w:rFonts w:ascii="Arial" w:hAnsi="Arial" w:cs="Arial"/>
            <w:lang w:val="en-US"/>
          </w:rPr>
          <w:t>https://www.ons.gov.uk/</w:t>
        </w:r>
      </w:hyperlink>
      <w:r w:rsidRPr="00354C34">
        <w:rPr>
          <w:rFonts w:ascii="Arial" w:hAnsi="Arial" w:cs="Arial"/>
          <w:lang w:val="en-US"/>
        </w:rPr>
        <w:t xml:space="preserve"> </w:t>
      </w:r>
    </w:p>
    <w:p w14:paraId="2749FB54" w14:textId="724B7A90"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Page, M.J., McKenzie, J.E., Bossuyt, P.M. </w:t>
      </w:r>
      <w:r w:rsidRPr="00354C34">
        <w:rPr>
          <w:rFonts w:ascii="Arial" w:hAnsi="Arial" w:cs="Arial"/>
          <w:i/>
          <w:iCs/>
          <w:lang w:val="en-US"/>
        </w:rPr>
        <w:t>et al.</w:t>
      </w:r>
      <w:r w:rsidRPr="00354C34">
        <w:rPr>
          <w:rFonts w:ascii="Arial" w:hAnsi="Arial" w:cs="Arial"/>
          <w:lang w:val="en-US"/>
        </w:rPr>
        <w:t xml:space="preserve"> (2021) </w:t>
      </w:r>
      <w:r w:rsidRPr="00354C34">
        <w:rPr>
          <w:rFonts w:ascii="Arial" w:hAnsi="Arial" w:cs="Arial"/>
          <w:i/>
          <w:iCs/>
          <w:lang w:val="en-US"/>
        </w:rPr>
        <w:t>‘The PRISMA 2020 statement: an updated guideline for reporting systematic reviews’,</w:t>
      </w:r>
      <w:r w:rsidRPr="00354C34">
        <w:rPr>
          <w:rFonts w:ascii="Arial" w:hAnsi="Arial" w:cs="Arial"/>
          <w:lang w:val="en-US"/>
        </w:rPr>
        <w:t xml:space="preserve"> </w:t>
      </w:r>
      <w:r w:rsidRPr="00354C34">
        <w:rPr>
          <w:rFonts w:ascii="Arial" w:hAnsi="Arial" w:cs="Arial"/>
          <w:i/>
          <w:iCs/>
          <w:lang w:val="en-US"/>
        </w:rPr>
        <w:t>BMJ</w:t>
      </w:r>
      <w:r w:rsidRPr="00354C34">
        <w:rPr>
          <w:rFonts w:ascii="Arial" w:hAnsi="Arial" w:cs="Arial"/>
          <w:lang w:val="en-US"/>
        </w:rPr>
        <w:t xml:space="preserve">, 372, n71. Available at: </w:t>
      </w:r>
      <w:hyperlink r:id="rId42" w:history="1">
        <w:r w:rsidRPr="00354C34">
          <w:rPr>
            <w:rStyle w:val="Hyperlink"/>
            <w:rFonts w:ascii="Arial" w:hAnsi="Arial" w:cs="Arial"/>
            <w:lang w:val="en-US"/>
          </w:rPr>
          <w:t>https://doi.org/10.1136/bmj.n71</w:t>
        </w:r>
      </w:hyperlink>
    </w:p>
    <w:p w14:paraId="5C3B8979" w14:textId="77777777"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Petticrew, M. and Roberts, H. (2006) </w:t>
      </w:r>
      <w:r w:rsidRPr="00354C34">
        <w:rPr>
          <w:rFonts w:ascii="Arial" w:hAnsi="Arial" w:cs="Arial"/>
          <w:i/>
          <w:iCs/>
          <w:lang w:val="en-US"/>
        </w:rPr>
        <w:t>Systematic reviews in the social sciences: a practical guide</w:t>
      </w:r>
      <w:r w:rsidRPr="00354C34">
        <w:rPr>
          <w:rFonts w:ascii="Arial" w:hAnsi="Arial" w:cs="Arial"/>
          <w:lang w:val="en-US"/>
        </w:rPr>
        <w:t>. Oxford: Blackwell.</w:t>
      </w:r>
    </w:p>
    <w:p w14:paraId="7315DD7E" w14:textId="1AD2D028"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Royal College of General Practitioners (2022) </w:t>
      </w:r>
      <w:r w:rsidRPr="00354C34">
        <w:rPr>
          <w:rFonts w:ascii="Arial" w:hAnsi="Arial" w:cs="Arial"/>
          <w:i/>
          <w:iCs/>
          <w:lang w:val="en-US"/>
        </w:rPr>
        <w:t>Fit for the future: retaining the rural GP workforce</w:t>
      </w:r>
      <w:r w:rsidRPr="00354C34">
        <w:rPr>
          <w:rFonts w:ascii="Arial" w:hAnsi="Arial" w:cs="Arial"/>
          <w:lang w:val="en-US"/>
        </w:rPr>
        <w:t xml:space="preserve">. London: RCGP. Available at: </w:t>
      </w:r>
      <w:hyperlink r:id="rId43" w:history="1">
        <w:r w:rsidRPr="00354C34">
          <w:rPr>
            <w:rStyle w:val="Hyperlink"/>
            <w:rFonts w:ascii="Arial" w:hAnsi="Arial" w:cs="Arial"/>
            <w:lang w:val="en-US"/>
          </w:rPr>
          <w:t>https://www.rcgp.org.uk/representing-you/policy-areas/rural-general-practice</w:t>
        </w:r>
      </w:hyperlink>
      <w:r w:rsidRPr="00354C34">
        <w:rPr>
          <w:rFonts w:ascii="Arial" w:hAnsi="Arial" w:cs="Arial"/>
          <w:lang w:val="en-US"/>
        </w:rPr>
        <w:t xml:space="preserve"> </w:t>
      </w:r>
    </w:p>
    <w:p w14:paraId="28DF1240" w14:textId="2488617B"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Shaw, S.E., Seuren, L.M., </w:t>
      </w:r>
      <w:proofErr w:type="spellStart"/>
      <w:r w:rsidRPr="00354C34">
        <w:rPr>
          <w:rFonts w:ascii="Arial" w:hAnsi="Arial" w:cs="Arial"/>
          <w:lang w:val="en-US"/>
        </w:rPr>
        <w:t>Wherton</w:t>
      </w:r>
      <w:proofErr w:type="spellEnd"/>
      <w:r w:rsidRPr="00354C34">
        <w:rPr>
          <w:rFonts w:ascii="Arial" w:hAnsi="Arial" w:cs="Arial"/>
          <w:lang w:val="en-US"/>
        </w:rPr>
        <w:t xml:space="preserve">, J., Cameron, D., A’Court, C. and Greenhalgh, T. (2020) </w:t>
      </w:r>
      <w:r w:rsidRPr="003C7DBD">
        <w:rPr>
          <w:rFonts w:ascii="Arial" w:hAnsi="Arial" w:cs="Arial"/>
          <w:i/>
          <w:iCs/>
          <w:lang w:val="en-US"/>
        </w:rPr>
        <w:t>‘Video consultations between patients and clinicians in diabetes, cancer, and heart failure services’,</w:t>
      </w:r>
      <w:r w:rsidRPr="00354C34">
        <w:rPr>
          <w:rFonts w:ascii="Arial" w:hAnsi="Arial" w:cs="Arial"/>
          <w:lang w:val="en-US"/>
        </w:rPr>
        <w:t xml:space="preserve"> </w:t>
      </w:r>
      <w:r w:rsidRPr="00354C34">
        <w:rPr>
          <w:rFonts w:ascii="Arial" w:hAnsi="Arial" w:cs="Arial"/>
          <w:i/>
          <w:iCs/>
          <w:lang w:val="en-US"/>
        </w:rPr>
        <w:t>Journal of Medical Internet Research</w:t>
      </w:r>
      <w:r w:rsidRPr="00354C34">
        <w:rPr>
          <w:rFonts w:ascii="Arial" w:hAnsi="Arial" w:cs="Arial"/>
          <w:lang w:val="en-US"/>
        </w:rPr>
        <w:t xml:space="preserve">, 22(5), e18378. Available at: </w:t>
      </w:r>
      <w:hyperlink r:id="rId44" w:history="1">
        <w:r w:rsidRPr="00354C34">
          <w:rPr>
            <w:rStyle w:val="Hyperlink"/>
            <w:rFonts w:ascii="Arial" w:hAnsi="Arial" w:cs="Arial"/>
            <w:lang w:val="en-US"/>
          </w:rPr>
          <w:t>https://doi.org/10.2196/18378</w:t>
        </w:r>
      </w:hyperlink>
      <w:r w:rsidRPr="00354C34">
        <w:rPr>
          <w:rFonts w:ascii="Arial" w:hAnsi="Arial" w:cs="Arial"/>
          <w:lang w:val="en-US"/>
        </w:rPr>
        <w:t xml:space="preserve"> </w:t>
      </w:r>
    </w:p>
    <w:p w14:paraId="10CBF53F" w14:textId="1F106215"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Thomas, J. and Harden, A. (2008) </w:t>
      </w:r>
      <w:r w:rsidRPr="003C7DBD">
        <w:rPr>
          <w:rFonts w:ascii="Arial" w:hAnsi="Arial" w:cs="Arial"/>
          <w:i/>
          <w:iCs/>
          <w:lang w:val="en-US"/>
        </w:rPr>
        <w:t>‘Methods for the thematic synthesis of qualitative research in systematic reviews’</w:t>
      </w:r>
      <w:r w:rsidRPr="00354C34">
        <w:rPr>
          <w:rFonts w:ascii="Arial" w:hAnsi="Arial" w:cs="Arial"/>
          <w:lang w:val="en-US"/>
        </w:rPr>
        <w:t xml:space="preserve">, </w:t>
      </w:r>
      <w:r w:rsidRPr="00354C34">
        <w:rPr>
          <w:rFonts w:ascii="Arial" w:hAnsi="Arial" w:cs="Arial"/>
          <w:i/>
          <w:iCs/>
          <w:lang w:val="en-US"/>
        </w:rPr>
        <w:t>BMC Medical Research Methodology</w:t>
      </w:r>
      <w:r w:rsidRPr="00354C34">
        <w:rPr>
          <w:rFonts w:ascii="Arial" w:hAnsi="Arial" w:cs="Arial"/>
          <w:lang w:val="en-US"/>
        </w:rPr>
        <w:t xml:space="preserve">, 8, p. 45. Available at: </w:t>
      </w:r>
      <w:hyperlink r:id="rId45" w:history="1">
        <w:r w:rsidRPr="00354C34">
          <w:rPr>
            <w:rStyle w:val="Hyperlink"/>
            <w:rFonts w:ascii="Arial" w:hAnsi="Arial" w:cs="Arial"/>
            <w:lang w:val="en-US"/>
          </w:rPr>
          <w:t>https://doi.org/10.1186/1471-2288-8-45</w:t>
        </w:r>
      </w:hyperlink>
      <w:r w:rsidRPr="00354C34">
        <w:rPr>
          <w:rFonts w:ascii="Arial" w:hAnsi="Arial" w:cs="Arial"/>
          <w:lang w:val="en-US"/>
        </w:rPr>
        <w:t xml:space="preserve"> </w:t>
      </w:r>
    </w:p>
    <w:p w14:paraId="7B8C3D1D" w14:textId="3C6897C4"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Tudor Hart, J. (1971) </w:t>
      </w:r>
      <w:r w:rsidRPr="003C7DBD">
        <w:rPr>
          <w:rFonts w:ascii="Arial" w:hAnsi="Arial" w:cs="Arial"/>
          <w:i/>
          <w:iCs/>
          <w:lang w:val="en-US"/>
        </w:rPr>
        <w:t>‘The inverse care law’</w:t>
      </w:r>
      <w:r w:rsidRPr="00354C34">
        <w:rPr>
          <w:rFonts w:ascii="Arial" w:hAnsi="Arial" w:cs="Arial"/>
          <w:lang w:val="en-US"/>
        </w:rPr>
        <w:t xml:space="preserve">, </w:t>
      </w:r>
      <w:r w:rsidRPr="00354C34">
        <w:rPr>
          <w:rFonts w:ascii="Arial" w:hAnsi="Arial" w:cs="Arial"/>
          <w:i/>
          <w:iCs/>
          <w:lang w:val="en-US"/>
        </w:rPr>
        <w:t>The Lancet</w:t>
      </w:r>
      <w:r w:rsidRPr="00354C34">
        <w:rPr>
          <w:rFonts w:ascii="Arial" w:hAnsi="Arial" w:cs="Arial"/>
          <w:lang w:val="en-US"/>
        </w:rPr>
        <w:t xml:space="preserve">, 297(7696), pp. 405–412. Available at: </w:t>
      </w:r>
      <w:hyperlink r:id="rId46" w:history="1">
        <w:r w:rsidRPr="00354C34">
          <w:rPr>
            <w:rStyle w:val="Hyperlink"/>
            <w:rFonts w:ascii="Arial" w:hAnsi="Arial" w:cs="Arial"/>
            <w:lang w:val="en-US"/>
          </w:rPr>
          <w:t>https://doi.org/10.1016/S0140-6736(71)92410-X</w:t>
        </w:r>
      </w:hyperlink>
      <w:r w:rsidRPr="00354C34">
        <w:rPr>
          <w:rFonts w:ascii="Arial" w:hAnsi="Arial" w:cs="Arial"/>
          <w:lang w:val="en-US"/>
        </w:rPr>
        <w:t xml:space="preserve"> </w:t>
      </w:r>
    </w:p>
    <w:p w14:paraId="4E116976" w14:textId="1393117F" w:rsidR="006050FC" w:rsidRPr="00354C34" w:rsidRDefault="006050FC" w:rsidP="00354C34">
      <w:pPr>
        <w:pStyle w:val="ListParagraph"/>
        <w:numPr>
          <w:ilvl w:val="0"/>
          <w:numId w:val="7"/>
        </w:numPr>
        <w:spacing w:line="360" w:lineRule="auto"/>
        <w:jc w:val="both"/>
        <w:rPr>
          <w:rFonts w:ascii="Arial" w:hAnsi="Arial" w:cs="Arial"/>
          <w:lang w:val="en-US"/>
        </w:rPr>
      </w:pPr>
      <w:proofErr w:type="spellStart"/>
      <w:r w:rsidRPr="00354C34">
        <w:rPr>
          <w:rFonts w:ascii="Arial" w:hAnsi="Arial" w:cs="Arial"/>
          <w:lang w:val="en-US"/>
        </w:rPr>
        <w:t>Wakerman</w:t>
      </w:r>
      <w:proofErr w:type="spellEnd"/>
      <w:r w:rsidRPr="00354C34">
        <w:rPr>
          <w:rFonts w:ascii="Arial" w:hAnsi="Arial" w:cs="Arial"/>
          <w:lang w:val="en-US"/>
        </w:rPr>
        <w:t xml:space="preserve">, J., Humphreys, J.S., Wells, R., Kuipers, P., Entwistle, P. and Jones, J. (2017) </w:t>
      </w:r>
      <w:r w:rsidRPr="003C7DBD">
        <w:rPr>
          <w:rFonts w:ascii="Arial" w:hAnsi="Arial" w:cs="Arial"/>
          <w:i/>
          <w:iCs/>
          <w:lang w:val="en-US"/>
        </w:rPr>
        <w:t>‘Primary health care delivery models in rural and remote Australia: a systematic review’,</w:t>
      </w:r>
      <w:r w:rsidRPr="00354C34">
        <w:rPr>
          <w:rFonts w:ascii="Arial" w:hAnsi="Arial" w:cs="Arial"/>
          <w:lang w:val="en-US"/>
        </w:rPr>
        <w:t xml:space="preserve"> </w:t>
      </w:r>
      <w:r w:rsidRPr="00354C34">
        <w:rPr>
          <w:rFonts w:ascii="Arial" w:hAnsi="Arial" w:cs="Arial"/>
          <w:i/>
          <w:iCs/>
          <w:lang w:val="en-US"/>
        </w:rPr>
        <w:t>BMC Health Services Research</w:t>
      </w:r>
      <w:r w:rsidRPr="00354C34">
        <w:rPr>
          <w:rFonts w:ascii="Arial" w:hAnsi="Arial" w:cs="Arial"/>
          <w:lang w:val="en-US"/>
        </w:rPr>
        <w:t xml:space="preserve">, 17(1), p. 316. Available at: </w:t>
      </w:r>
      <w:hyperlink r:id="rId47" w:history="1">
        <w:r w:rsidRPr="00354C34">
          <w:rPr>
            <w:rStyle w:val="Hyperlink"/>
            <w:rFonts w:ascii="Arial" w:hAnsi="Arial" w:cs="Arial"/>
            <w:lang w:val="en-US"/>
          </w:rPr>
          <w:t>https://doi.org/10.1186/s12913-017-2800-2</w:t>
        </w:r>
      </w:hyperlink>
      <w:r w:rsidRPr="00354C34">
        <w:rPr>
          <w:rFonts w:ascii="Arial" w:hAnsi="Arial" w:cs="Arial"/>
          <w:lang w:val="en-US"/>
        </w:rPr>
        <w:t xml:space="preserve"> </w:t>
      </w:r>
    </w:p>
    <w:p w14:paraId="0D07AB50" w14:textId="38D12B8D"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Watt, G. (2002) </w:t>
      </w:r>
      <w:r w:rsidRPr="003C7DBD">
        <w:rPr>
          <w:rFonts w:ascii="Arial" w:hAnsi="Arial" w:cs="Arial"/>
          <w:i/>
          <w:iCs/>
          <w:lang w:val="en-US"/>
        </w:rPr>
        <w:t>‘The inverse care law today’,</w:t>
      </w:r>
      <w:r w:rsidRPr="00354C34">
        <w:rPr>
          <w:rFonts w:ascii="Arial" w:hAnsi="Arial" w:cs="Arial"/>
          <w:lang w:val="en-US"/>
        </w:rPr>
        <w:t xml:space="preserve"> </w:t>
      </w:r>
      <w:r w:rsidRPr="00354C34">
        <w:rPr>
          <w:rFonts w:ascii="Arial" w:hAnsi="Arial" w:cs="Arial"/>
          <w:i/>
          <w:iCs/>
          <w:lang w:val="en-US"/>
        </w:rPr>
        <w:t>The Lancet</w:t>
      </w:r>
      <w:r w:rsidRPr="00354C34">
        <w:rPr>
          <w:rFonts w:ascii="Arial" w:hAnsi="Arial" w:cs="Arial"/>
          <w:lang w:val="en-US"/>
        </w:rPr>
        <w:t xml:space="preserve">, 360(9328), pp. 252–254. Available at: </w:t>
      </w:r>
      <w:hyperlink r:id="rId48" w:history="1">
        <w:r w:rsidRPr="00354C34">
          <w:rPr>
            <w:rStyle w:val="Hyperlink"/>
            <w:rFonts w:ascii="Arial" w:hAnsi="Arial" w:cs="Arial"/>
            <w:lang w:val="en-US"/>
          </w:rPr>
          <w:t>https://doi.org/10.1016/S0140-6736(02)09447-7</w:t>
        </w:r>
      </w:hyperlink>
      <w:r w:rsidRPr="00354C34">
        <w:rPr>
          <w:rFonts w:ascii="Arial" w:hAnsi="Arial" w:cs="Arial"/>
          <w:lang w:val="en-US"/>
        </w:rPr>
        <w:t xml:space="preserve"> </w:t>
      </w:r>
    </w:p>
    <w:p w14:paraId="7A43CE90" w14:textId="4B80A05B" w:rsidR="006050FC" w:rsidRPr="00354C34" w:rsidRDefault="006050FC" w:rsidP="00354C34">
      <w:pPr>
        <w:pStyle w:val="ListParagraph"/>
        <w:numPr>
          <w:ilvl w:val="0"/>
          <w:numId w:val="7"/>
        </w:numPr>
        <w:spacing w:line="360" w:lineRule="auto"/>
        <w:jc w:val="both"/>
        <w:rPr>
          <w:rFonts w:ascii="Arial" w:hAnsi="Arial" w:cs="Arial"/>
          <w:lang w:val="en-US"/>
        </w:rPr>
      </w:pPr>
      <w:r w:rsidRPr="00354C34">
        <w:rPr>
          <w:rFonts w:ascii="Arial" w:hAnsi="Arial" w:cs="Arial"/>
          <w:lang w:val="en-US"/>
        </w:rPr>
        <w:t xml:space="preserve">World Health Organization (2023) </w:t>
      </w:r>
      <w:r w:rsidRPr="00354C34">
        <w:rPr>
          <w:rFonts w:ascii="Arial" w:hAnsi="Arial" w:cs="Arial"/>
          <w:i/>
          <w:iCs/>
          <w:lang w:val="en-US"/>
        </w:rPr>
        <w:t>Social determinants of health</w:t>
      </w:r>
      <w:r w:rsidRPr="00354C34">
        <w:rPr>
          <w:rFonts w:ascii="Arial" w:hAnsi="Arial" w:cs="Arial"/>
          <w:lang w:val="en-US"/>
        </w:rPr>
        <w:t xml:space="preserve">. Geneva: WHO. Available at: </w:t>
      </w:r>
      <w:hyperlink r:id="rId49" w:history="1">
        <w:r w:rsidRPr="00354C34">
          <w:rPr>
            <w:rStyle w:val="Hyperlink"/>
            <w:rFonts w:ascii="Arial" w:hAnsi="Arial" w:cs="Arial"/>
            <w:lang w:val="en-US"/>
          </w:rPr>
          <w:t>https://www.who.int/health-topics/social-determinants-of-health</w:t>
        </w:r>
      </w:hyperlink>
      <w:r w:rsidRPr="00354C34">
        <w:rPr>
          <w:rFonts w:ascii="Arial" w:hAnsi="Arial" w:cs="Arial"/>
          <w:lang w:val="en-US"/>
        </w:rPr>
        <w:t xml:space="preserve"> </w:t>
      </w:r>
    </w:p>
    <w:p w14:paraId="1DE654F2" w14:textId="498AABFD" w:rsidR="00623CBC" w:rsidRPr="003C7DBD" w:rsidRDefault="006050FC" w:rsidP="003C7DBD">
      <w:pPr>
        <w:pStyle w:val="ListParagraph"/>
        <w:numPr>
          <w:ilvl w:val="0"/>
          <w:numId w:val="7"/>
        </w:numPr>
        <w:spacing w:line="360" w:lineRule="auto"/>
        <w:jc w:val="both"/>
      </w:pPr>
      <w:r w:rsidRPr="003C7DBD">
        <w:rPr>
          <w:rFonts w:ascii="Arial" w:hAnsi="Arial" w:cs="Arial"/>
          <w:lang w:val="en-US"/>
        </w:rPr>
        <w:t xml:space="preserve">Young, R., Weir, H. and Buchan, J. (2020) </w:t>
      </w:r>
      <w:r w:rsidRPr="003C7DBD">
        <w:rPr>
          <w:rFonts w:ascii="Arial" w:hAnsi="Arial" w:cs="Arial"/>
          <w:i/>
          <w:iCs/>
          <w:lang w:val="en-US"/>
        </w:rPr>
        <w:t>‘GP recruitment and retention in rural areas’,</w:t>
      </w:r>
      <w:r w:rsidRPr="003C7DBD">
        <w:rPr>
          <w:rFonts w:ascii="Arial" w:hAnsi="Arial" w:cs="Arial"/>
          <w:lang w:val="en-US"/>
        </w:rPr>
        <w:t xml:space="preserve"> </w:t>
      </w:r>
      <w:r w:rsidRPr="003C7DBD">
        <w:rPr>
          <w:rFonts w:ascii="Arial" w:hAnsi="Arial" w:cs="Arial"/>
          <w:i/>
          <w:iCs/>
          <w:lang w:val="en-US"/>
        </w:rPr>
        <w:t>British Journal of General Practice</w:t>
      </w:r>
      <w:r w:rsidRPr="003C7DBD">
        <w:rPr>
          <w:rFonts w:ascii="Arial" w:hAnsi="Arial" w:cs="Arial"/>
          <w:lang w:val="en-US"/>
        </w:rPr>
        <w:t xml:space="preserve">, 70(694), pp. 248–249. Available at: </w:t>
      </w:r>
      <w:hyperlink r:id="rId50" w:history="1">
        <w:r w:rsidRPr="003C7DBD">
          <w:rPr>
            <w:rStyle w:val="Hyperlink"/>
            <w:rFonts w:ascii="Arial" w:hAnsi="Arial" w:cs="Arial"/>
            <w:lang w:val="en-US"/>
          </w:rPr>
          <w:t>https://doi.org/10.3399/bjgp20X709157</w:t>
        </w:r>
      </w:hyperlink>
      <w:r w:rsidRPr="003C7DBD">
        <w:rPr>
          <w:rFonts w:ascii="Arial" w:hAnsi="Arial" w:cs="Arial"/>
          <w:lang w:val="en-US"/>
        </w:rPr>
        <w:t xml:space="preserve"> </w:t>
      </w:r>
    </w:p>
    <w:sectPr w:rsidR="00623CBC" w:rsidRPr="003C7DBD">
      <w:headerReference w:type="default" r:id="rId51"/>
      <w:footerReference w:type="default" r:id="rId52"/>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2D72CC" w14:textId="77777777" w:rsidR="00E43203" w:rsidRDefault="00E43203">
      <w:r>
        <w:separator/>
      </w:r>
    </w:p>
  </w:endnote>
  <w:endnote w:type="continuationSeparator" w:id="0">
    <w:p w14:paraId="110AE474" w14:textId="77777777" w:rsidR="00E43203" w:rsidRDefault="00E432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E45278" w14:textId="377204A6" w:rsidR="00623CBC" w:rsidRDefault="00623CBC">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07246C" w14:textId="77777777" w:rsidR="00E43203" w:rsidRDefault="00E43203">
      <w:r>
        <w:separator/>
      </w:r>
    </w:p>
  </w:footnote>
  <w:footnote w:type="continuationSeparator" w:id="0">
    <w:p w14:paraId="3AAAD659" w14:textId="77777777" w:rsidR="00E43203" w:rsidRDefault="00E432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531595" w14:textId="5CB7E253" w:rsidR="00623CBC" w:rsidRDefault="00623CBC">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6370FA"/>
    <w:multiLevelType w:val="hybridMultilevel"/>
    <w:tmpl w:val="746AA254"/>
    <w:lvl w:ilvl="0" w:tplc="04090001">
      <w:start w:val="1"/>
      <w:numFmt w:val="bullet"/>
      <w:lvlText w:val=""/>
      <w:lvlJc w:val="left"/>
      <w:pPr>
        <w:ind w:left="720" w:hanging="360"/>
      </w:pPr>
      <w:rPr>
        <w:rFonts w:ascii="Symbol" w:hAnsi="Symbol"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16265B8"/>
    <w:multiLevelType w:val="multilevel"/>
    <w:tmpl w:val="6B668AB0"/>
    <w:lvl w:ilvl="0">
      <w:start w:val="1"/>
      <w:numFmt w:val="decimal"/>
      <w:lvlText w:val="%1."/>
      <w:lvlJc w:val="left"/>
      <w:pPr>
        <w:ind w:left="765" w:hanging="405"/>
      </w:pPr>
      <w:rPr>
        <w:rFonts w:hint="default"/>
      </w:rPr>
    </w:lvl>
    <w:lvl w:ilvl="1">
      <w:start w:va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51027BD"/>
    <w:multiLevelType w:val="hybridMultilevel"/>
    <w:tmpl w:val="FFFFFFFF"/>
    <w:lvl w:ilvl="0" w:tplc="8E1C510C">
      <w:start w:val="1"/>
      <w:numFmt w:val="decimal"/>
      <w:lvlText w:val="%1."/>
      <w:lvlJc w:val="left"/>
      <w:pPr>
        <w:ind w:left="720" w:hanging="360"/>
      </w:pPr>
    </w:lvl>
    <w:lvl w:ilvl="1" w:tplc="AC3E58B0">
      <w:numFmt w:val="decimal"/>
      <w:lvlText w:val=""/>
      <w:lvlJc w:val="left"/>
    </w:lvl>
    <w:lvl w:ilvl="2" w:tplc="F1A04C96">
      <w:numFmt w:val="decimal"/>
      <w:lvlText w:val=""/>
      <w:lvlJc w:val="left"/>
    </w:lvl>
    <w:lvl w:ilvl="3" w:tplc="8FC2ABCC">
      <w:numFmt w:val="decimal"/>
      <w:lvlText w:val=""/>
      <w:lvlJc w:val="left"/>
    </w:lvl>
    <w:lvl w:ilvl="4" w:tplc="43C8A8F2">
      <w:numFmt w:val="decimal"/>
      <w:lvlText w:val=""/>
      <w:lvlJc w:val="left"/>
    </w:lvl>
    <w:lvl w:ilvl="5" w:tplc="BBC29BC2">
      <w:numFmt w:val="decimal"/>
      <w:lvlText w:val=""/>
      <w:lvlJc w:val="left"/>
    </w:lvl>
    <w:lvl w:ilvl="6" w:tplc="0CCAE400">
      <w:numFmt w:val="decimal"/>
      <w:lvlText w:val=""/>
      <w:lvlJc w:val="left"/>
    </w:lvl>
    <w:lvl w:ilvl="7" w:tplc="54C813AE">
      <w:numFmt w:val="decimal"/>
      <w:lvlText w:val=""/>
      <w:lvlJc w:val="left"/>
    </w:lvl>
    <w:lvl w:ilvl="8" w:tplc="3B546ECC">
      <w:numFmt w:val="decimal"/>
      <w:lvlText w:val=""/>
      <w:lvlJc w:val="left"/>
    </w:lvl>
  </w:abstractNum>
  <w:abstractNum w:abstractNumId="3" w15:restartNumberingAfterBreak="0">
    <w:nsid w:val="6B0030FC"/>
    <w:multiLevelType w:val="hybridMultilevel"/>
    <w:tmpl w:val="D090E36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75CC741A"/>
    <w:multiLevelType w:val="hybridMultilevel"/>
    <w:tmpl w:val="FFFFFFFF"/>
    <w:lvl w:ilvl="0" w:tplc="DA2E91EC">
      <w:start w:val="1"/>
      <w:numFmt w:val="bullet"/>
      <w:lvlText w:val="•"/>
      <w:lvlJc w:val="left"/>
      <w:pPr>
        <w:ind w:left="720" w:hanging="360"/>
      </w:pPr>
    </w:lvl>
    <w:lvl w:ilvl="1" w:tplc="99F00B7C">
      <w:numFmt w:val="decimal"/>
      <w:lvlText w:val=""/>
      <w:lvlJc w:val="left"/>
    </w:lvl>
    <w:lvl w:ilvl="2" w:tplc="16121ACA">
      <w:numFmt w:val="decimal"/>
      <w:lvlText w:val=""/>
      <w:lvlJc w:val="left"/>
    </w:lvl>
    <w:lvl w:ilvl="3" w:tplc="37B0A80A">
      <w:numFmt w:val="decimal"/>
      <w:lvlText w:val=""/>
      <w:lvlJc w:val="left"/>
    </w:lvl>
    <w:lvl w:ilvl="4" w:tplc="1180B9BE">
      <w:numFmt w:val="decimal"/>
      <w:lvlText w:val=""/>
      <w:lvlJc w:val="left"/>
    </w:lvl>
    <w:lvl w:ilvl="5" w:tplc="246A6FF0">
      <w:numFmt w:val="decimal"/>
      <w:lvlText w:val=""/>
      <w:lvlJc w:val="left"/>
    </w:lvl>
    <w:lvl w:ilvl="6" w:tplc="C4020A34">
      <w:numFmt w:val="decimal"/>
      <w:lvlText w:val=""/>
      <w:lvlJc w:val="left"/>
    </w:lvl>
    <w:lvl w:ilvl="7" w:tplc="CDF00254">
      <w:numFmt w:val="decimal"/>
      <w:lvlText w:val=""/>
      <w:lvlJc w:val="left"/>
    </w:lvl>
    <w:lvl w:ilvl="8" w:tplc="997E1564">
      <w:numFmt w:val="decimal"/>
      <w:lvlText w:val=""/>
      <w:lvlJc w:val="left"/>
    </w:lvl>
  </w:abstractNum>
  <w:abstractNum w:abstractNumId="5" w15:restartNumberingAfterBreak="0">
    <w:nsid w:val="7DAA28CD"/>
    <w:multiLevelType w:val="hybridMultilevel"/>
    <w:tmpl w:val="FFFFFFFF"/>
    <w:lvl w:ilvl="0" w:tplc="E0001D48">
      <w:start w:val="1"/>
      <w:numFmt w:val="bullet"/>
      <w:lvlText w:val="●"/>
      <w:lvlJc w:val="left"/>
      <w:pPr>
        <w:ind w:left="720" w:hanging="360"/>
      </w:pPr>
    </w:lvl>
    <w:lvl w:ilvl="1" w:tplc="A8485FF0">
      <w:start w:val="1"/>
      <w:numFmt w:val="bullet"/>
      <w:lvlText w:val="○"/>
      <w:lvlJc w:val="left"/>
      <w:pPr>
        <w:ind w:left="1440" w:hanging="360"/>
      </w:pPr>
    </w:lvl>
    <w:lvl w:ilvl="2" w:tplc="FA2A9E94">
      <w:start w:val="1"/>
      <w:numFmt w:val="bullet"/>
      <w:lvlText w:val="■"/>
      <w:lvlJc w:val="left"/>
      <w:pPr>
        <w:ind w:left="2160" w:hanging="360"/>
      </w:pPr>
    </w:lvl>
    <w:lvl w:ilvl="3" w:tplc="0F9AF95A">
      <w:start w:val="1"/>
      <w:numFmt w:val="bullet"/>
      <w:lvlText w:val="●"/>
      <w:lvlJc w:val="left"/>
      <w:pPr>
        <w:ind w:left="2880" w:hanging="360"/>
      </w:pPr>
    </w:lvl>
    <w:lvl w:ilvl="4" w:tplc="AFBC3FF6">
      <w:start w:val="1"/>
      <w:numFmt w:val="bullet"/>
      <w:lvlText w:val="○"/>
      <w:lvlJc w:val="left"/>
      <w:pPr>
        <w:ind w:left="3600" w:hanging="360"/>
      </w:pPr>
    </w:lvl>
    <w:lvl w:ilvl="5" w:tplc="4C2EF310">
      <w:start w:val="1"/>
      <w:numFmt w:val="bullet"/>
      <w:lvlText w:val="■"/>
      <w:lvlJc w:val="left"/>
      <w:pPr>
        <w:ind w:left="4320" w:hanging="360"/>
      </w:pPr>
    </w:lvl>
    <w:lvl w:ilvl="6" w:tplc="2EB2D4C4">
      <w:start w:val="1"/>
      <w:numFmt w:val="bullet"/>
      <w:lvlText w:val="●"/>
      <w:lvlJc w:val="left"/>
      <w:pPr>
        <w:ind w:left="5040" w:hanging="360"/>
      </w:pPr>
    </w:lvl>
    <w:lvl w:ilvl="7" w:tplc="0B1CACFA">
      <w:start w:val="1"/>
      <w:numFmt w:val="bullet"/>
      <w:lvlText w:val="●"/>
      <w:lvlJc w:val="left"/>
      <w:pPr>
        <w:ind w:left="5760" w:hanging="360"/>
      </w:pPr>
    </w:lvl>
    <w:lvl w:ilvl="8" w:tplc="A35C723A">
      <w:start w:val="1"/>
      <w:numFmt w:val="bullet"/>
      <w:lvlText w:val="●"/>
      <w:lvlJc w:val="left"/>
      <w:pPr>
        <w:ind w:left="6480" w:hanging="360"/>
      </w:pPr>
    </w:lvl>
  </w:abstractNum>
  <w:num w:numId="1" w16cid:durableId="1882740942">
    <w:abstractNumId w:val="5"/>
    <w:lvlOverride w:ilvl="0">
      <w:startOverride w:val="1"/>
    </w:lvlOverride>
  </w:num>
  <w:num w:numId="2" w16cid:durableId="2039502395">
    <w:abstractNumId w:val="2"/>
    <w:lvlOverride w:ilvl="0">
      <w:startOverride w:val="1"/>
    </w:lvlOverride>
  </w:num>
  <w:num w:numId="3" w16cid:durableId="2127384797">
    <w:abstractNumId w:val="4"/>
    <w:lvlOverride w:ilvl="0">
      <w:startOverride w:val="1"/>
    </w:lvlOverride>
  </w:num>
  <w:num w:numId="4" w16cid:durableId="428161468">
    <w:abstractNumId w:val="4"/>
  </w:num>
  <w:num w:numId="5" w16cid:durableId="112869821">
    <w:abstractNumId w:val="0"/>
  </w:num>
  <w:num w:numId="6" w16cid:durableId="1301577353">
    <w:abstractNumId w:val="1"/>
  </w:num>
  <w:num w:numId="7" w16cid:durableId="844962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3CBC"/>
    <w:rsid w:val="000018EA"/>
    <w:rsid w:val="0002267B"/>
    <w:rsid w:val="00023347"/>
    <w:rsid w:val="00035CAE"/>
    <w:rsid w:val="0007049B"/>
    <w:rsid w:val="000914D0"/>
    <w:rsid w:val="000D3863"/>
    <w:rsid w:val="00147F50"/>
    <w:rsid w:val="0016525C"/>
    <w:rsid w:val="0022788C"/>
    <w:rsid w:val="00265F8B"/>
    <w:rsid w:val="00354C34"/>
    <w:rsid w:val="003C7DBD"/>
    <w:rsid w:val="003D0348"/>
    <w:rsid w:val="006050FC"/>
    <w:rsid w:val="00623CBC"/>
    <w:rsid w:val="00644C48"/>
    <w:rsid w:val="0075143F"/>
    <w:rsid w:val="00773E97"/>
    <w:rsid w:val="00830487"/>
    <w:rsid w:val="008415AB"/>
    <w:rsid w:val="00902AC3"/>
    <w:rsid w:val="009B048F"/>
    <w:rsid w:val="009E6CF6"/>
    <w:rsid w:val="00A229F1"/>
    <w:rsid w:val="00AE7884"/>
    <w:rsid w:val="00BE6EF2"/>
    <w:rsid w:val="00C150F3"/>
    <w:rsid w:val="00C43007"/>
    <w:rsid w:val="00CE562A"/>
    <w:rsid w:val="00D1163B"/>
    <w:rsid w:val="00D863ED"/>
    <w:rsid w:val="00E039DD"/>
    <w:rsid w:val="00E43203"/>
    <w:rsid w:val="00F00A84"/>
    <w:rsid w:val="00F16003"/>
    <w:rsid w:val="00F17277"/>
    <w:rsid w:val="00F739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06C39"/>
  <w15:docId w15:val="{7EEDC987-AF19-104E-B15B-373DCAD42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2AC3"/>
  </w:style>
  <w:style w:type="paragraph" w:styleId="Heading1">
    <w:name w:val="heading 1"/>
    <w:basedOn w:val="Normal"/>
    <w:next w:val="Normal"/>
    <w:link w:val="Heading1Char"/>
    <w:uiPriority w:val="9"/>
    <w:qFormat/>
    <w:rsid w:val="00902AC3"/>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902AC3"/>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2AC3"/>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2AC3"/>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902AC3"/>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902AC3"/>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902AC3"/>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902AC3"/>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902AC3"/>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02AC3"/>
    <w:pPr>
      <w:spacing w:after="0" w:line="204" w:lineRule="auto"/>
      <w:contextualSpacing/>
    </w:pPr>
    <w:rPr>
      <w:rFonts w:asciiTheme="majorHAnsi" w:eastAsiaTheme="majorEastAsia" w:hAnsiTheme="majorHAnsi" w:cstheme="majorBidi"/>
      <w:caps/>
      <w:color w:val="0E2841" w:themeColor="text2"/>
      <w:spacing w:val="-15"/>
      <w:sz w:val="72"/>
      <w:szCs w:val="72"/>
    </w:rPr>
  </w:style>
  <w:style w:type="paragraph" w:customStyle="1" w:styleId="Strong1">
    <w:name w:val="Strong1"/>
    <w:rPr>
      <w:b/>
      <w:bCs/>
    </w:rPr>
  </w:style>
  <w:style w:type="paragraph" w:styleId="ListParagraph">
    <w:name w:val="List Paragraph"/>
    <w:uiPriority w:val="34"/>
    <w:qFormat/>
    <w:pPr>
      <w:ind w:left="720"/>
      <w:contextualSpacing/>
    </w:pPr>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9E6CF6"/>
    <w:pPr>
      <w:tabs>
        <w:tab w:val="center" w:pos="4680"/>
        <w:tab w:val="right" w:pos="9360"/>
      </w:tabs>
    </w:pPr>
  </w:style>
  <w:style w:type="character" w:customStyle="1" w:styleId="HeaderChar">
    <w:name w:val="Header Char"/>
    <w:basedOn w:val="DefaultParagraphFont"/>
    <w:link w:val="Header"/>
    <w:uiPriority w:val="99"/>
    <w:rsid w:val="009E6CF6"/>
  </w:style>
  <w:style w:type="paragraph" w:styleId="Footer">
    <w:name w:val="footer"/>
    <w:basedOn w:val="Normal"/>
    <w:link w:val="FooterChar"/>
    <w:uiPriority w:val="99"/>
    <w:unhideWhenUsed/>
    <w:rsid w:val="009E6CF6"/>
    <w:pPr>
      <w:tabs>
        <w:tab w:val="center" w:pos="4680"/>
        <w:tab w:val="right" w:pos="9360"/>
      </w:tabs>
    </w:pPr>
  </w:style>
  <w:style w:type="character" w:customStyle="1" w:styleId="FooterChar">
    <w:name w:val="Footer Char"/>
    <w:basedOn w:val="DefaultParagraphFont"/>
    <w:link w:val="Footer"/>
    <w:uiPriority w:val="99"/>
    <w:rsid w:val="009E6CF6"/>
  </w:style>
  <w:style w:type="character" w:customStyle="1" w:styleId="Heading1Char">
    <w:name w:val="Heading 1 Char"/>
    <w:basedOn w:val="DefaultParagraphFont"/>
    <w:link w:val="Heading1"/>
    <w:uiPriority w:val="9"/>
    <w:rsid w:val="00902AC3"/>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rsid w:val="00902A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2AC3"/>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2AC3"/>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902AC3"/>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902AC3"/>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902AC3"/>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902AC3"/>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902AC3"/>
    <w:rPr>
      <w:rFonts w:asciiTheme="majorHAnsi" w:eastAsiaTheme="majorEastAsia" w:hAnsiTheme="majorHAnsi" w:cstheme="majorBidi"/>
      <w:i/>
      <w:iCs/>
      <w:color w:val="0A2F41" w:themeColor="accent1" w:themeShade="80"/>
    </w:rPr>
  </w:style>
  <w:style w:type="paragraph" w:styleId="Caption">
    <w:name w:val="caption"/>
    <w:basedOn w:val="Normal"/>
    <w:next w:val="Normal"/>
    <w:uiPriority w:val="35"/>
    <w:semiHidden/>
    <w:unhideWhenUsed/>
    <w:qFormat/>
    <w:rsid w:val="00902AC3"/>
    <w:pPr>
      <w:spacing w:line="240" w:lineRule="auto"/>
    </w:pPr>
    <w:rPr>
      <w:b/>
      <w:bCs/>
      <w:smallCaps/>
      <w:color w:val="0E2841" w:themeColor="text2"/>
    </w:rPr>
  </w:style>
  <w:style w:type="character" w:customStyle="1" w:styleId="TitleChar">
    <w:name w:val="Title Char"/>
    <w:basedOn w:val="DefaultParagraphFont"/>
    <w:link w:val="Title"/>
    <w:uiPriority w:val="10"/>
    <w:rsid w:val="00902AC3"/>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902AC3"/>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902AC3"/>
    <w:rPr>
      <w:rFonts w:asciiTheme="majorHAnsi" w:eastAsiaTheme="majorEastAsia" w:hAnsiTheme="majorHAnsi" w:cstheme="majorBidi"/>
      <w:color w:val="156082" w:themeColor="accent1"/>
      <w:sz w:val="28"/>
      <w:szCs w:val="28"/>
    </w:rPr>
  </w:style>
  <w:style w:type="character" w:styleId="Strong">
    <w:name w:val="Strong"/>
    <w:basedOn w:val="DefaultParagraphFont"/>
    <w:uiPriority w:val="22"/>
    <w:qFormat/>
    <w:rsid w:val="00902AC3"/>
    <w:rPr>
      <w:b/>
      <w:bCs/>
    </w:rPr>
  </w:style>
  <w:style w:type="character" w:styleId="Emphasis">
    <w:name w:val="Emphasis"/>
    <w:basedOn w:val="DefaultParagraphFont"/>
    <w:uiPriority w:val="20"/>
    <w:qFormat/>
    <w:rsid w:val="00902AC3"/>
    <w:rPr>
      <w:i/>
      <w:iCs/>
    </w:rPr>
  </w:style>
  <w:style w:type="paragraph" w:styleId="NoSpacing">
    <w:name w:val="No Spacing"/>
    <w:uiPriority w:val="1"/>
    <w:qFormat/>
    <w:rsid w:val="00902AC3"/>
    <w:pPr>
      <w:spacing w:after="0" w:line="240" w:lineRule="auto"/>
    </w:pPr>
  </w:style>
  <w:style w:type="paragraph" w:styleId="Quote">
    <w:name w:val="Quote"/>
    <w:basedOn w:val="Normal"/>
    <w:next w:val="Normal"/>
    <w:link w:val="QuoteChar"/>
    <w:uiPriority w:val="29"/>
    <w:qFormat/>
    <w:rsid w:val="00902AC3"/>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902AC3"/>
    <w:rPr>
      <w:color w:val="0E2841" w:themeColor="text2"/>
      <w:sz w:val="24"/>
      <w:szCs w:val="24"/>
    </w:rPr>
  </w:style>
  <w:style w:type="paragraph" w:styleId="IntenseQuote">
    <w:name w:val="Intense Quote"/>
    <w:basedOn w:val="Normal"/>
    <w:next w:val="Normal"/>
    <w:link w:val="IntenseQuoteChar"/>
    <w:uiPriority w:val="30"/>
    <w:qFormat/>
    <w:rsid w:val="00902AC3"/>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902AC3"/>
    <w:rPr>
      <w:rFonts w:asciiTheme="majorHAnsi" w:eastAsiaTheme="majorEastAsia" w:hAnsiTheme="majorHAnsi" w:cstheme="majorBidi"/>
      <w:color w:val="0E2841" w:themeColor="text2"/>
      <w:spacing w:val="-6"/>
      <w:sz w:val="32"/>
      <w:szCs w:val="32"/>
    </w:rPr>
  </w:style>
  <w:style w:type="character" w:styleId="SubtleEmphasis">
    <w:name w:val="Subtle Emphasis"/>
    <w:basedOn w:val="DefaultParagraphFont"/>
    <w:uiPriority w:val="19"/>
    <w:qFormat/>
    <w:rsid w:val="00902AC3"/>
    <w:rPr>
      <w:i/>
      <w:iCs/>
      <w:color w:val="595959" w:themeColor="text1" w:themeTint="A6"/>
    </w:rPr>
  </w:style>
  <w:style w:type="character" w:styleId="IntenseEmphasis">
    <w:name w:val="Intense Emphasis"/>
    <w:basedOn w:val="DefaultParagraphFont"/>
    <w:uiPriority w:val="21"/>
    <w:qFormat/>
    <w:rsid w:val="00902AC3"/>
    <w:rPr>
      <w:b/>
      <w:bCs/>
      <w:i/>
      <w:iCs/>
    </w:rPr>
  </w:style>
  <w:style w:type="character" w:styleId="SubtleReference">
    <w:name w:val="Subtle Reference"/>
    <w:basedOn w:val="DefaultParagraphFont"/>
    <w:uiPriority w:val="31"/>
    <w:qFormat/>
    <w:rsid w:val="00902AC3"/>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902AC3"/>
    <w:rPr>
      <w:b/>
      <w:bCs/>
      <w:smallCaps/>
      <w:color w:val="0E2841" w:themeColor="text2"/>
      <w:u w:val="single"/>
    </w:rPr>
  </w:style>
  <w:style w:type="character" w:styleId="BookTitle">
    <w:name w:val="Book Title"/>
    <w:basedOn w:val="DefaultParagraphFont"/>
    <w:uiPriority w:val="33"/>
    <w:qFormat/>
    <w:rsid w:val="00902AC3"/>
    <w:rPr>
      <w:b/>
      <w:bCs/>
      <w:smallCaps/>
      <w:spacing w:val="10"/>
    </w:rPr>
  </w:style>
  <w:style w:type="paragraph" w:styleId="TOCHeading">
    <w:name w:val="TOC Heading"/>
    <w:basedOn w:val="Heading1"/>
    <w:next w:val="Normal"/>
    <w:uiPriority w:val="39"/>
    <w:unhideWhenUsed/>
    <w:qFormat/>
    <w:rsid w:val="00902AC3"/>
    <w:pPr>
      <w:outlineLvl w:val="9"/>
    </w:pPr>
  </w:style>
  <w:style w:type="paragraph" w:styleId="TOC1">
    <w:name w:val="toc 1"/>
    <w:basedOn w:val="Normal"/>
    <w:next w:val="Normal"/>
    <w:autoRedefine/>
    <w:uiPriority w:val="39"/>
    <w:unhideWhenUsed/>
    <w:rsid w:val="00A229F1"/>
    <w:pPr>
      <w:spacing w:after="100"/>
    </w:pPr>
  </w:style>
  <w:style w:type="paragraph" w:styleId="TOC2">
    <w:name w:val="toc 2"/>
    <w:basedOn w:val="Normal"/>
    <w:next w:val="Normal"/>
    <w:autoRedefine/>
    <w:uiPriority w:val="39"/>
    <w:unhideWhenUsed/>
    <w:rsid w:val="00A229F1"/>
    <w:pPr>
      <w:spacing w:after="100"/>
      <w:ind w:left="220"/>
    </w:pPr>
  </w:style>
  <w:style w:type="character" w:styleId="UnresolvedMention">
    <w:name w:val="Unresolved Mention"/>
    <w:basedOn w:val="DefaultParagraphFont"/>
    <w:uiPriority w:val="99"/>
    <w:semiHidden/>
    <w:unhideWhenUsed/>
    <w:rsid w:val="006050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136/jech-2020-214401" TargetMode="External"/><Relationship Id="rId18" Type="http://schemas.openxmlformats.org/officeDocument/2006/relationships/hyperlink" Target="https://www.gov.uk/government/publications/health-and-social-care-integration-joining-up-care-for-people-places-and-populations" TargetMode="External"/><Relationship Id="rId26" Type="http://schemas.openxmlformats.org/officeDocument/2006/relationships/hyperlink" Target="https://bjgp.org/content/54/509/894" TargetMode="External"/><Relationship Id="rId39" Type="http://schemas.openxmlformats.org/officeDocument/2006/relationships/hyperlink" Target="https://www.nuffieldtrust.org.uk/" TargetMode="External"/><Relationship Id="rId21" Type="http://schemas.openxmlformats.org/officeDocument/2006/relationships/hyperlink" Target="https://www.bmj.com/content/315/7109/629" TargetMode="External"/><Relationship Id="rId34" Type="http://schemas.openxmlformats.org/officeDocument/2006/relationships/hyperlink" Target="https://www.longtermplan.nhs.uk/" TargetMode="External"/><Relationship Id="rId42" Type="http://schemas.openxmlformats.org/officeDocument/2006/relationships/hyperlink" Target="https://doi.org/10.1136/bmj.n71" TargetMode="External"/><Relationship Id="rId47" Type="http://schemas.openxmlformats.org/officeDocument/2006/relationships/hyperlink" Target="https://doi.org/10.1186/s12913-017-2800-2" TargetMode="External"/><Relationship Id="rId50" Type="http://schemas.openxmlformats.org/officeDocument/2006/relationships/hyperlink" Target="https://doi.org/10.3399/bjgp20X709157"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casp-uk.net/casp-tools-checklists/" TargetMode="External"/><Relationship Id="rId29" Type="http://schemas.openxmlformats.org/officeDocument/2006/relationships/hyperlink" Target="https://doi.org/10.1186/s13012-017-0688-3" TargetMode="External"/><Relationship Id="rId11" Type="http://schemas.openxmlformats.org/officeDocument/2006/relationships/hyperlink" Target="https://www.jstor.org/stable/2137284" TargetMode="External"/><Relationship Id="rId24" Type="http://schemas.openxmlformats.org/officeDocument/2006/relationships/hyperlink" Target="https://doi.org/10.1111/j.1471-1842.2009.00848.x" TargetMode="External"/><Relationship Id="rId32" Type="http://schemas.openxmlformats.org/officeDocument/2006/relationships/hyperlink" Target="https://doi.org/10.1177/0733464817741369" TargetMode="External"/><Relationship Id="rId37" Type="http://schemas.openxmlformats.org/officeDocument/2006/relationships/hyperlink" Target="https://www.england.nhs.uk/about/equality/equality-hub/core20plus5/" TargetMode="External"/><Relationship Id="rId40" Type="http://schemas.openxmlformats.org/officeDocument/2006/relationships/hyperlink" Target="https://www.ofcom.org.uk/research-and-data/telecoms-research/connected-nations" TargetMode="External"/><Relationship Id="rId45" Type="http://schemas.openxmlformats.org/officeDocument/2006/relationships/hyperlink" Target="https://doi.org/10.1186/1471-2288-8-45"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ageuk.org.uk/" TargetMode="External"/><Relationship Id="rId19" Type="http://schemas.openxmlformats.org/officeDocument/2006/relationships/hyperlink" Target="https://doi.org/10.1056/NEJMsa055505" TargetMode="External"/><Relationship Id="rId31" Type="http://schemas.openxmlformats.org/officeDocument/2006/relationships/hyperlink" Target="https://www.ruralhealth.org.au/" TargetMode="External"/><Relationship Id="rId44" Type="http://schemas.openxmlformats.org/officeDocument/2006/relationships/hyperlink" Target="https://doi.org/10.2196/18378" TargetMode="Externa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36/emj.2009.088856" TargetMode="External"/><Relationship Id="rId22" Type="http://schemas.openxmlformats.org/officeDocument/2006/relationships/hyperlink" Target="https://www.cfp.ca/content/64/10/728" TargetMode="External"/><Relationship Id="rId27" Type="http://schemas.openxmlformats.org/officeDocument/2006/relationships/hyperlink" Target="https://www.kingsfund.org.uk/" TargetMode="External"/><Relationship Id="rId30" Type="http://schemas.openxmlformats.org/officeDocument/2006/relationships/hyperlink" Target="https://www.instituteofhealthequity.org/resources-reports/marmot-review-10-years-on-the-health-equity-in-england-report" TargetMode="External"/><Relationship Id="rId35" Type="http://schemas.openxmlformats.org/officeDocument/2006/relationships/hyperlink" Target="https://www.england.nhs.uk/gp/expanding-our-workforce/recruitment/" TargetMode="External"/><Relationship Id="rId43" Type="http://schemas.openxmlformats.org/officeDocument/2006/relationships/hyperlink" Target="https://www.rcgp.org.uk/representing-you/policy-areas/rural-general-practice" TargetMode="External"/><Relationship Id="rId48" Type="http://schemas.openxmlformats.org/officeDocument/2006/relationships/hyperlink" Target="https://doi.org/10.1016/S0140-6736(02)09447-7" TargetMode="External"/><Relationship Id="rId8" Type="http://schemas.openxmlformats.org/officeDocument/2006/relationships/image" Target="media/image1.png"/><Relationship Id="rId51" Type="http://schemas.openxmlformats.org/officeDocument/2006/relationships/header" Target="header1.xml"/><Relationship Id="rId3" Type="http://schemas.openxmlformats.org/officeDocument/2006/relationships/styles" Target="styles.xml"/><Relationship Id="rId12" Type="http://schemas.openxmlformats.org/officeDocument/2006/relationships/hyperlink" Target="https://doi.org/10.3399/bjgp08X263794" TargetMode="External"/><Relationship Id="rId17" Type="http://schemas.openxmlformats.org/officeDocument/2006/relationships/hyperlink" Target="https://www.gov.uk/government/collections/rural-england-statistics" TargetMode="External"/><Relationship Id="rId25" Type="http://schemas.openxmlformats.org/officeDocument/2006/relationships/hyperlink" Target="https://www.bmj.com/content/368/bmj.m998" TargetMode="External"/><Relationship Id="rId33" Type="http://schemas.openxmlformats.org/officeDocument/2006/relationships/hyperlink" Target="https://digital.nhs.uk/data-and-information/publications/statistical/general-and-personal-medical-services" TargetMode="External"/><Relationship Id="rId38" Type="http://schemas.openxmlformats.org/officeDocument/2006/relationships/hyperlink" Target="https://doi.org/10.5334/ijic.5491" TargetMode="External"/><Relationship Id="rId46" Type="http://schemas.openxmlformats.org/officeDocument/2006/relationships/hyperlink" Target="https://doi.org/10.1016/S0140-6736(71)92410-X" TargetMode="External"/><Relationship Id="rId20" Type="http://schemas.openxmlformats.org/officeDocument/2006/relationships/hyperlink" Target="https://www.ukri.org/publications/esrc-framework-for-research-ethics/" TargetMode="External"/><Relationship Id="rId41" Type="http://schemas.openxmlformats.org/officeDocument/2006/relationships/hyperlink" Target="https://www.ons.gov.uk/"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ma.org.uk/advice-and-support/nhs-delivery-and-workforce/primary-and-community-care/rural-practice" TargetMode="External"/><Relationship Id="rId23" Type="http://schemas.openxmlformats.org/officeDocument/2006/relationships/hyperlink" Target="https://doi.org/10.1016/S0277-9536(00)00415-9" TargetMode="External"/><Relationship Id="rId28" Type="http://schemas.openxmlformats.org/officeDocument/2006/relationships/hyperlink" Target="https://doi.org/10.1186/1475-9276-12-18" TargetMode="External"/><Relationship Id="rId36" Type="http://schemas.openxmlformats.org/officeDocument/2006/relationships/hyperlink" Target="https://www.england.nhs.uk/" TargetMode="External"/><Relationship Id="rId49" Type="http://schemas.openxmlformats.org/officeDocument/2006/relationships/hyperlink" Target="https://www.who.int/health-topics/social-determinants-of-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0957C3-D5CD-4DCF-9236-BF5FD3AD97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4588</Words>
  <Characters>26157</Characters>
  <Application>Microsoft Office Word</Application>
  <DocSecurity>0</DocSecurity>
  <Lines>217</Lines>
  <Paragraphs>61</Paragraphs>
  <ScaleCrop>false</ScaleCrop>
  <Company/>
  <LinksUpToDate>false</LinksUpToDate>
  <CharactersWithSpaces>30684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Hetvi Sangdot</cp:lastModifiedBy>
  <cp:revision>2</cp:revision>
  <dcterms:created xsi:type="dcterms:W3CDTF">2026-07-19T21:53:00Z</dcterms:created>
  <dcterms:modified xsi:type="dcterms:W3CDTF">2026-07-19T21:53:00Z</dcterms:modified>
</cp:coreProperties>
</file>