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D7C1F" w14:textId="77777777" w:rsidR="005C183D" w:rsidRPr="005C183D" w:rsidRDefault="005C183D" w:rsidP="005C183D">
      <w:pPr>
        <w:spacing w:line="360" w:lineRule="auto"/>
        <w:jc w:val="center"/>
        <w:rPr>
          <w:rFonts w:ascii="Arial" w:hAnsi="Arial" w:cs="Arial"/>
          <w:b/>
          <w:bCs/>
          <w:sz w:val="24"/>
        </w:rPr>
      </w:pPr>
    </w:p>
    <w:p w14:paraId="3DBF99B6" w14:textId="77777777" w:rsidR="005C183D" w:rsidRPr="005C183D" w:rsidRDefault="005C183D" w:rsidP="005C183D">
      <w:pPr>
        <w:spacing w:line="360" w:lineRule="auto"/>
        <w:jc w:val="center"/>
        <w:rPr>
          <w:rFonts w:ascii="Arial" w:hAnsi="Arial" w:cs="Arial"/>
          <w:b/>
          <w:bCs/>
          <w:sz w:val="24"/>
        </w:rPr>
      </w:pPr>
    </w:p>
    <w:p w14:paraId="7A78BD0C" w14:textId="77777777" w:rsidR="005C183D" w:rsidRPr="005C183D" w:rsidRDefault="005C183D" w:rsidP="005C183D">
      <w:pPr>
        <w:spacing w:line="360" w:lineRule="auto"/>
        <w:jc w:val="center"/>
        <w:rPr>
          <w:rFonts w:ascii="Arial" w:hAnsi="Arial" w:cs="Arial"/>
          <w:b/>
          <w:bCs/>
          <w:sz w:val="24"/>
        </w:rPr>
      </w:pPr>
      <w:r w:rsidRPr="005C183D">
        <w:rPr>
          <w:rFonts w:ascii="Times New Roman" w:hAnsi="Times New Roman"/>
          <w:noProof/>
          <w:sz w:val="24"/>
        </w:rPr>
        <w:drawing>
          <wp:inline distT="0" distB="0" distL="0" distR="0" wp14:anchorId="45374575" wp14:editId="74706088">
            <wp:extent cx="3461462" cy="1380422"/>
            <wp:effectExtent l="0" t="0" r="5715" b="0"/>
            <wp:docPr id="1" name="Picture 3" descr="Text&#10;&#10;Description automatically generated with medium confidence">
              <a:extLst xmlns:a="http://schemas.openxmlformats.org/drawingml/2006/main">
                <a:ext uri="{FF2B5EF4-FFF2-40B4-BE49-F238E27FC236}">
                  <a16:creationId xmlns:a16="http://schemas.microsoft.com/office/drawing/2014/main" id="{F1971AB9-E364-BB2D-80D5-A90AF5640C5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10;&#10;Description automatically generated with medium confidence">
                      <a:extLst>
                        <a:ext uri="{FF2B5EF4-FFF2-40B4-BE49-F238E27FC236}">
                          <a16:creationId xmlns:a16="http://schemas.microsoft.com/office/drawing/2014/main" id="{F1971AB9-E364-BB2D-80D5-A90AF5640C5C}"/>
                        </a:ext>
                      </a:extLst>
                    </pic:cNvPr>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461462" cy="1380422"/>
                    </a:xfrm>
                    <a:prstGeom prst="rect">
                      <a:avLst/>
                    </a:prstGeom>
                  </pic:spPr>
                </pic:pic>
              </a:graphicData>
            </a:graphic>
          </wp:inline>
        </w:drawing>
      </w:r>
    </w:p>
    <w:p w14:paraId="04F95EB6" w14:textId="77777777" w:rsidR="005C183D" w:rsidRPr="005C183D" w:rsidRDefault="005C183D" w:rsidP="005C183D">
      <w:pPr>
        <w:spacing w:line="360" w:lineRule="auto"/>
        <w:jc w:val="center"/>
        <w:rPr>
          <w:rFonts w:ascii="Arial" w:hAnsi="Arial" w:cs="Arial"/>
          <w:b/>
          <w:bCs/>
          <w:sz w:val="24"/>
        </w:rPr>
      </w:pPr>
    </w:p>
    <w:p w14:paraId="6DB32E93" w14:textId="77777777" w:rsidR="005C183D" w:rsidRPr="005C183D" w:rsidRDefault="005C183D" w:rsidP="005C183D">
      <w:pPr>
        <w:spacing w:line="360" w:lineRule="auto"/>
        <w:jc w:val="center"/>
        <w:rPr>
          <w:rFonts w:ascii="Arial" w:hAnsi="Arial" w:cs="Arial"/>
          <w:b/>
          <w:bCs/>
          <w:sz w:val="24"/>
        </w:rPr>
      </w:pPr>
    </w:p>
    <w:p w14:paraId="0E0EC207" w14:textId="77777777" w:rsidR="005C183D" w:rsidRPr="005C183D" w:rsidRDefault="005C183D" w:rsidP="005C183D">
      <w:pPr>
        <w:spacing w:line="360" w:lineRule="auto"/>
        <w:jc w:val="center"/>
        <w:rPr>
          <w:rFonts w:ascii="Arial" w:hAnsi="Arial" w:cs="Arial"/>
          <w:b/>
          <w:bCs/>
          <w:sz w:val="24"/>
        </w:rPr>
      </w:pPr>
    </w:p>
    <w:p w14:paraId="67364D7F" w14:textId="77777777" w:rsidR="005C183D" w:rsidRPr="005C183D" w:rsidRDefault="005C183D" w:rsidP="005C183D">
      <w:pPr>
        <w:spacing w:line="360" w:lineRule="auto"/>
        <w:rPr>
          <w:rFonts w:ascii="Arial" w:hAnsi="Arial" w:cs="Arial"/>
          <w:b/>
          <w:bCs/>
          <w:sz w:val="24"/>
        </w:rPr>
      </w:pPr>
    </w:p>
    <w:p w14:paraId="294801DD" w14:textId="77777777" w:rsidR="005C183D" w:rsidRPr="005C183D" w:rsidRDefault="005C183D" w:rsidP="005C183D">
      <w:pPr>
        <w:spacing w:line="360" w:lineRule="auto"/>
        <w:jc w:val="center"/>
        <w:rPr>
          <w:rFonts w:ascii="Arial" w:hAnsi="Arial" w:cs="Arial"/>
          <w:sz w:val="24"/>
        </w:rPr>
      </w:pPr>
      <w:r w:rsidRPr="005C183D">
        <w:rPr>
          <w:rFonts w:ascii="Arial" w:hAnsi="Arial" w:cs="Arial"/>
          <w:b/>
          <w:bCs/>
          <w:sz w:val="24"/>
        </w:rPr>
        <w:t xml:space="preserve">Name: </w:t>
      </w:r>
      <w:r w:rsidRPr="005C183D">
        <w:rPr>
          <w:rFonts w:ascii="Arial" w:hAnsi="Arial" w:cs="Arial"/>
          <w:i/>
          <w:iCs/>
          <w:sz w:val="24"/>
        </w:rPr>
        <w:t>Stefani Petrova</w:t>
      </w:r>
    </w:p>
    <w:p w14:paraId="4A7C575F" w14:textId="77777777" w:rsidR="005C183D" w:rsidRPr="005C183D" w:rsidRDefault="005C183D" w:rsidP="005C183D">
      <w:pPr>
        <w:spacing w:line="360" w:lineRule="auto"/>
        <w:jc w:val="center"/>
        <w:rPr>
          <w:rFonts w:ascii="Arial" w:hAnsi="Arial" w:cs="Arial"/>
          <w:i/>
          <w:iCs/>
          <w:sz w:val="24"/>
        </w:rPr>
      </w:pPr>
      <w:r w:rsidRPr="005C183D">
        <w:rPr>
          <w:rFonts w:ascii="Arial" w:hAnsi="Arial" w:cs="Arial"/>
          <w:b/>
          <w:bCs/>
          <w:sz w:val="24"/>
        </w:rPr>
        <w:t xml:space="preserve">Student’s Number: </w:t>
      </w:r>
      <w:r w:rsidRPr="005C183D">
        <w:rPr>
          <w:rFonts w:ascii="Arial" w:hAnsi="Arial" w:cs="Arial"/>
          <w:i/>
          <w:iCs/>
          <w:sz w:val="24"/>
        </w:rPr>
        <w:t>1914907</w:t>
      </w:r>
    </w:p>
    <w:p w14:paraId="1F30BA6B" w14:textId="77777777" w:rsidR="005C183D" w:rsidRPr="005C183D" w:rsidRDefault="005C183D" w:rsidP="005C183D">
      <w:pPr>
        <w:spacing w:line="360" w:lineRule="auto"/>
        <w:jc w:val="center"/>
        <w:rPr>
          <w:rFonts w:ascii="Arial" w:hAnsi="Arial" w:cs="Arial"/>
          <w:i/>
          <w:iCs/>
          <w:sz w:val="24"/>
        </w:rPr>
      </w:pPr>
      <w:r w:rsidRPr="005C183D">
        <w:rPr>
          <w:rFonts w:ascii="Arial" w:hAnsi="Arial" w:cs="Arial"/>
          <w:b/>
          <w:bCs/>
          <w:sz w:val="24"/>
        </w:rPr>
        <w:t xml:space="preserve">Module Code: </w:t>
      </w:r>
      <w:r w:rsidRPr="005C183D">
        <w:rPr>
          <w:rFonts w:ascii="Arial" w:hAnsi="Arial" w:cs="Arial"/>
          <w:i/>
          <w:iCs/>
          <w:sz w:val="24"/>
        </w:rPr>
        <w:t>BMSW6103</w:t>
      </w:r>
    </w:p>
    <w:p w14:paraId="2B6C6BB8" w14:textId="77777777" w:rsidR="005C183D" w:rsidRPr="005C183D" w:rsidRDefault="005C183D" w:rsidP="005C183D">
      <w:pPr>
        <w:spacing w:line="360" w:lineRule="auto"/>
        <w:jc w:val="center"/>
        <w:rPr>
          <w:rFonts w:ascii="Arial" w:hAnsi="Arial" w:cs="Arial"/>
          <w:b/>
          <w:bCs/>
          <w:sz w:val="24"/>
        </w:rPr>
      </w:pPr>
      <w:r w:rsidRPr="005C183D">
        <w:rPr>
          <w:rFonts w:ascii="Arial" w:hAnsi="Arial" w:cs="Arial"/>
          <w:b/>
          <w:bCs/>
          <w:sz w:val="24"/>
        </w:rPr>
        <w:t xml:space="preserve">Module Title: </w:t>
      </w:r>
      <w:r w:rsidRPr="005C183D">
        <w:rPr>
          <w:rFonts w:ascii="Arial" w:hAnsi="Arial" w:cs="Arial"/>
          <w:i/>
          <w:iCs/>
          <w:sz w:val="24"/>
        </w:rPr>
        <w:t>Change Management Plan</w:t>
      </w:r>
    </w:p>
    <w:p w14:paraId="796D4B4E" w14:textId="77777777" w:rsidR="005C183D" w:rsidRPr="005C183D" w:rsidRDefault="005C183D" w:rsidP="005C183D">
      <w:pPr>
        <w:spacing w:line="360" w:lineRule="auto"/>
        <w:jc w:val="center"/>
        <w:rPr>
          <w:rFonts w:ascii="Arial" w:hAnsi="Arial" w:cs="Arial"/>
          <w:sz w:val="24"/>
        </w:rPr>
      </w:pPr>
      <w:r w:rsidRPr="005C183D">
        <w:rPr>
          <w:rFonts w:ascii="Arial" w:hAnsi="Arial" w:cs="Arial"/>
          <w:b/>
          <w:bCs/>
          <w:sz w:val="24"/>
        </w:rPr>
        <w:t xml:space="preserve">Lecturer’s name: </w:t>
      </w:r>
      <w:r w:rsidRPr="005C183D">
        <w:rPr>
          <w:rFonts w:ascii="Arial" w:hAnsi="Arial" w:cs="Arial"/>
          <w:sz w:val="24"/>
        </w:rPr>
        <w:t>Md Kalam</w:t>
      </w:r>
    </w:p>
    <w:p w14:paraId="70EEEAE4" w14:textId="77777777" w:rsidR="005C183D" w:rsidRPr="005C183D" w:rsidRDefault="005C183D" w:rsidP="005C183D">
      <w:pPr>
        <w:jc w:val="center"/>
        <w:rPr>
          <w:rFonts w:ascii="Arial" w:hAnsi="Arial" w:cs="Arial"/>
          <w:b/>
          <w:sz w:val="24"/>
          <w:szCs w:val="24"/>
        </w:rPr>
      </w:pPr>
      <w:r w:rsidRPr="005C183D">
        <w:rPr>
          <w:rFonts w:ascii="Arial" w:hAnsi="Arial" w:cs="Arial"/>
          <w:b/>
          <w:bCs/>
          <w:sz w:val="24"/>
        </w:rPr>
        <w:t xml:space="preserve">Assignment Title: </w:t>
      </w:r>
      <w:r w:rsidRPr="005C183D">
        <w:rPr>
          <w:rFonts w:ascii="Arial" w:hAnsi="Arial" w:cs="Arial"/>
          <w:i/>
          <w:iCs/>
          <w:sz w:val="24"/>
        </w:rPr>
        <w:t>Leading and Implementing Workplace Change</w:t>
      </w:r>
      <w:r w:rsidRPr="005C183D">
        <w:rPr>
          <w:rFonts w:ascii="Arial" w:hAnsi="Arial" w:cs="Arial"/>
          <w:b/>
          <w:sz w:val="24"/>
          <w:szCs w:val="24"/>
        </w:rPr>
        <w:br w:type="page"/>
      </w:r>
    </w:p>
    <w:sdt>
      <w:sdtPr>
        <w:rPr>
          <w:rFonts w:ascii="Arial" w:hAnsi="Arial" w:cs="Arial"/>
          <w:sz w:val="24"/>
          <w:szCs w:val="24"/>
        </w:rPr>
        <w:id w:val="2945838"/>
        <w:docPartObj>
          <w:docPartGallery w:val="Table of Contents"/>
          <w:docPartUnique/>
        </w:docPartObj>
      </w:sdtPr>
      <w:sdtEndPr>
        <w:rPr>
          <w:b/>
          <w:bCs/>
          <w:noProof/>
        </w:rPr>
      </w:sdtEndPr>
      <w:sdtContent>
        <w:p w14:paraId="18B61AE7" w14:textId="77777777" w:rsidR="005C183D" w:rsidRPr="005C183D" w:rsidRDefault="005C183D" w:rsidP="005C183D">
          <w:pPr>
            <w:keepNext/>
            <w:keepLines/>
            <w:spacing w:before="240" w:after="0"/>
            <w:jc w:val="center"/>
            <w:rPr>
              <w:rFonts w:ascii="Arial" w:eastAsiaTheme="majorEastAsia" w:hAnsi="Arial" w:cs="Arial"/>
              <w:color w:val="2F5496" w:themeColor="accent1" w:themeShade="BF"/>
              <w:sz w:val="24"/>
              <w:szCs w:val="24"/>
              <w:lang w:val="en-US"/>
            </w:rPr>
          </w:pPr>
          <w:r w:rsidRPr="005C183D">
            <w:rPr>
              <w:rFonts w:ascii="Arial" w:eastAsiaTheme="majorEastAsia" w:hAnsi="Arial" w:cs="Arial"/>
              <w:color w:val="2F5496" w:themeColor="accent1" w:themeShade="BF"/>
              <w:sz w:val="24"/>
              <w:szCs w:val="24"/>
              <w:lang w:val="en-US"/>
            </w:rPr>
            <w:t>Table of Contents</w:t>
          </w:r>
        </w:p>
        <w:p w14:paraId="1D32BCF4"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r w:rsidRPr="005C183D">
            <w:rPr>
              <w:rFonts w:ascii="Arial" w:hAnsi="Arial" w:cs="Arial"/>
              <w:sz w:val="24"/>
              <w:szCs w:val="24"/>
            </w:rPr>
            <w:fldChar w:fldCharType="begin"/>
          </w:r>
          <w:r w:rsidRPr="005C183D">
            <w:rPr>
              <w:rFonts w:ascii="Arial" w:hAnsi="Arial" w:cs="Arial"/>
              <w:sz w:val="24"/>
              <w:szCs w:val="24"/>
            </w:rPr>
            <w:instrText xml:space="preserve"> TOC \o "1-3" \h \z \u </w:instrText>
          </w:r>
          <w:r w:rsidRPr="005C183D">
            <w:rPr>
              <w:rFonts w:ascii="Arial" w:hAnsi="Arial" w:cs="Arial"/>
              <w:sz w:val="24"/>
              <w:szCs w:val="24"/>
            </w:rPr>
            <w:fldChar w:fldCharType="separate"/>
          </w:r>
          <w:hyperlink w:anchor="_Toc133661876" w:history="1">
            <w:r w:rsidRPr="005C183D">
              <w:rPr>
                <w:rFonts w:ascii="Arial" w:hAnsi="Arial" w:cs="Arial"/>
                <w:noProof/>
                <w:color w:val="0563C1" w:themeColor="hyperlink"/>
                <w:sz w:val="24"/>
                <w:u w:val="single"/>
              </w:rPr>
              <w:t>1.</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Introduction</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_Toc133661876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3</w:t>
            </w:r>
            <w:r w:rsidRPr="005C183D">
              <w:rPr>
                <w:rFonts w:ascii="Arial" w:hAnsi="Arial" w:cs="Arial"/>
                <w:noProof/>
                <w:webHidden/>
                <w:sz w:val="24"/>
              </w:rPr>
              <w:fldChar w:fldCharType="end"/>
            </w:r>
          </w:hyperlink>
        </w:p>
        <w:p w14:paraId="3E87967C"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77" w:history="1">
            <w:r w:rsidRPr="005C183D">
              <w:rPr>
                <w:rFonts w:ascii="Arial" w:hAnsi="Arial" w:cs="Arial"/>
                <w:noProof/>
                <w:color w:val="0563C1" w:themeColor="hyperlink"/>
                <w:sz w:val="24"/>
                <w:u w:val="single"/>
              </w:rPr>
              <w:t>2.</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Current State of DHL</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_Toc133661877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4</w:t>
            </w:r>
            <w:r w:rsidRPr="005C183D">
              <w:rPr>
                <w:rFonts w:ascii="Arial" w:hAnsi="Arial" w:cs="Arial"/>
                <w:noProof/>
                <w:webHidden/>
                <w:sz w:val="24"/>
              </w:rPr>
              <w:fldChar w:fldCharType="end"/>
            </w:r>
          </w:hyperlink>
        </w:p>
        <w:p w14:paraId="72A4F593"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78" w:history="1">
            <w:r w:rsidRPr="005C183D">
              <w:rPr>
                <w:rFonts w:ascii="Arial" w:hAnsi="Arial" w:cs="Arial"/>
                <w:noProof/>
                <w:color w:val="0563C1" w:themeColor="hyperlink"/>
                <w:sz w:val="24"/>
                <w:u w:val="single"/>
              </w:rPr>
              <w:t>3.</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Relationship with the company</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_Toc133661878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5</w:t>
            </w:r>
            <w:r w:rsidRPr="005C183D">
              <w:rPr>
                <w:rFonts w:ascii="Arial" w:hAnsi="Arial" w:cs="Arial"/>
                <w:noProof/>
                <w:webHidden/>
                <w:sz w:val="24"/>
              </w:rPr>
              <w:fldChar w:fldCharType="end"/>
            </w:r>
          </w:hyperlink>
        </w:p>
        <w:p w14:paraId="3D6E0323"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79" w:history="1">
            <w:r w:rsidRPr="005C183D">
              <w:rPr>
                <w:rFonts w:ascii="Arial" w:hAnsi="Arial" w:cs="Arial"/>
                <w:noProof/>
                <w:color w:val="0563C1" w:themeColor="hyperlink"/>
                <w:sz w:val="24"/>
                <w:u w:val="single"/>
              </w:rPr>
              <w:t>4.</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Recent and current change initiatives in the report</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_Toc133661879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5</w:t>
            </w:r>
            <w:r w:rsidRPr="005C183D">
              <w:rPr>
                <w:rFonts w:ascii="Arial" w:hAnsi="Arial" w:cs="Arial"/>
                <w:noProof/>
                <w:webHidden/>
                <w:sz w:val="24"/>
              </w:rPr>
              <w:fldChar w:fldCharType="end"/>
            </w:r>
          </w:hyperlink>
        </w:p>
        <w:p w14:paraId="407B1D92"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80" w:history="1">
            <w:r w:rsidRPr="005C183D">
              <w:rPr>
                <w:rFonts w:ascii="Arial" w:hAnsi="Arial" w:cs="Arial"/>
                <w:noProof/>
                <w:color w:val="0563C1" w:themeColor="hyperlink"/>
                <w:sz w:val="24"/>
                <w:u w:val="single"/>
              </w:rPr>
              <w:t>5.</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Recent history of the organisation's impact from external environment</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_Toc133661880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7</w:t>
            </w:r>
            <w:r w:rsidRPr="005C183D">
              <w:rPr>
                <w:rFonts w:ascii="Arial" w:hAnsi="Arial" w:cs="Arial"/>
                <w:noProof/>
                <w:webHidden/>
                <w:sz w:val="24"/>
              </w:rPr>
              <w:fldChar w:fldCharType="end"/>
            </w:r>
          </w:hyperlink>
        </w:p>
        <w:p w14:paraId="4E2A4B4C"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81" w:history="1">
            <w:r w:rsidRPr="005C183D">
              <w:rPr>
                <w:rFonts w:ascii="Arial" w:hAnsi="Arial" w:cs="Arial"/>
                <w:noProof/>
                <w:color w:val="0563C1" w:themeColor="hyperlink"/>
                <w:sz w:val="24"/>
                <w:u w:val="single"/>
              </w:rPr>
              <w:t>6.</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Issues of strategic change, models and leadership style</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_Toc133661881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9</w:t>
            </w:r>
            <w:r w:rsidRPr="005C183D">
              <w:rPr>
                <w:rFonts w:ascii="Arial" w:hAnsi="Arial" w:cs="Arial"/>
                <w:noProof/>
                <w:webHidden/>
                <w:sz w:val="24"/>
              </w:rPr>
              <w:fldChar w:fldCharType="end"/>
            </w:r>
          </w:hyperlink>
        </w:p>
        <w:p w14:paraId="4797739B" w14:textId="77777777" w:rsidR="005C183D" w:rsidRPr="005C183D" w:rsidRDefault="005C183D" w:rsidP="005C183D">
          <w:pPr>
            <w:tabs>
              <w:tab w:val="left" w:pos="880"/>
              <w:tab w:val="right" w:leader="dot" w:pos="9350"/>
            </w:tabs>
            <w:spacing w:after="100"/>
            <w:ind w:left="240"/>
            <w:jc w:val="center"/>
            <w:rPr>
              <w:rFonts w:ascii="Arial" w:eastAsiaTheme="minorEastAsia" w:hAnsi="Arial" w:cs="Arial"/>
              <w:noProof/>
              <w:lang w:val="en-US"/>
            </w:rPr>
          </w:pPr>
          <w:hyperlink w:anchor="_Toc133661882" w:history="1">
            <w:r w:rsidRPr="005C183D">
              <w:rPr>
                <w:rFonts w:ascii="Arial" w:hAnsi="Arial" w:cs="Arial"/>
                <w:noProof/>
                <w:color w:val="0563C1" w:themeColor="hyperlink"/>
                <w:sz w:val="24"/>
                <w:u w:val="single"/>
              </w:rPr>
              <w:t>6.1.</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Kurt Lewin’s Change Model</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_Toc133661882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10</w:t>
            </w:r>
            <w:r w:rsidRPr="005C183D">
              <w:rPr>
                <w:rFonts w:ascii="Arial" w:hAnsi="Arial" w:cs="Arial"/>
                <w:noProof/>
                <w:webHidden/>
                <w:sz w:val="24"/>
              </w:rPr>
              <w:fldChar w:fldCharType="end"/>
            </w:r>
          </w:hyperlink>
        </w:p>
        <w:p w14:paraId="183AE8B6" w14:textId="77777777" w:rsidR="005C183D" w:rsidRPr="005C183D" w:rsidRDefault="005C183D" w:rsidP="005C183D">
          <w:pPr>
            <w:tabs>
              <w:tab w:val="left" w:pos="1320"/>
              <w:tab w:val="right" w:leader="dot" w:pos="9350"/>
            </w:tabs>
            <w:spacing w:after="100"/>
            <w:ind w:left="480"/>
            <w:jc w:val="center"/>
            <w:rPr>
              <w:rFonts w:ascii="Arial" w:eastAsiaTheme="minorEastAsia" w:hAnsi="Arial" w:cs="Arial"/>
              <w:noProof/>
              <w:lang w:val="en-US"/>
            </w:rPr>
          </w:pPr>
          <w:hyperlink w:anchor="_Toc133661883" w:history="1">
            <w:r w:rsidRPr="005C183D">
              <w:rPr>
                <w:rFonts w:ascii="Arial" w:hAnsi="Arial" w:cs="Arial"/>
                <w:noProof/>
                <w:color w:val="0563C1" w:themeColor="hyperlink"/>
                <w:sz w:val="24"/>
                <w:u w:val="single"/>
              </w:rPr>
              <w:t>6.1.1</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Unfreezing</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_Toc133661883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11</w:t>
            </w:r>
            <w:r w:rsidRPr="005C183D">
              <w:rPr>
                <w:rFonts w:ascii="Arial" w:hAnsi="Arial" w:cs="Arial"/>
                <w:noProof/>
                <w:webHidden/>
                <w:sz w:val="24"/>
              </w:rPr>
              <w:fldChar w:fldCharType="end"/>
            </w:r>
          </w:hyperlink>
        </w:p>
        <w:p w14:paraId="26FE5B12" w14:textId="77777777" w:rsidR="005C183D" w:rsidRPr="005C183D" w:rsidRDefault="005C183D" w:rsidP="005C183D">
          <w:pPr>
            <w:tabs>
              <w:tab w:val="left" w:pos="1320"/>
              <w:tab w:val="right" w:leader="dot" w:pos="9350"/>
            </w:tabs>
            <w:spacing w:after="100"/>
            <w:ind w:left="480"/>
            <w:jc w:val="center"/>
            <w:rPr>
              <w:rFonts w:ascii="Arial" w:eastAsiaTheme="minorEastAsia" w:hAnsi="Arial" w:cs="Arial"/>
              <w:noProof/>
              <w:lang w:val="en-US"/>
            </w:rPr>
          </w:pPr>
          <w:hyperlink w:anchor="_Toc133661884" w:history="1">
            <w:r w:rsidRPr="005C183D">
              <w:rPr>
                <w:rFonts w:ascii="Arial" w:hAnsi="Arial" w:cs="Arial"/>
                <w:noProof/>
                <w:color w:val="0563C1" w:themeColor="hyperlink"/>
                <w:sz w:val="24"/>
                <w:u w:val="single"/>
              </w:rPr>
              <w:t>6.1.2</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Change</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_Toc133661884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12</w:t>
            </w:r>
            <w:r w:rsidRPr="005C183D">
              <w:rPr>
                <w:rFonts w:ascii="Arial" w:hAnsi="Arial" w:cs="Arial"/>
                <w:noProof/>
                <w:webHidden/>
                <w:sz w:val="24"/>
              </w:rPr>
              <w:fldChar w:fldCharType="end"/>
            </w:r>
          </w:hyperlink>
        </w:p>
        <w:p w14:paraId="06F889EC" w14:textId="77777777" w:rsidR="005C183D" w:rsidRPr="005C183D" w:rsidRDefault="005C183D" w:rsidP="005C183D">
          <w:pPr>
            <w:tabs>
              <w:tab w:val="left" w:pos="1320"/>
              <w:tab w:val="right" w:leader="dot" w:pos="9350"/>
            </w:tabs>
            <w:spacing w:after="100"/>
            <w:ind w:left="480"/>
            <w:jc w:val="center"/>
            <w:rPr>
              <w:rFonts w:ascii="Arial" w:eastAsiaTheme="minorEastAsia" w:hAnsi="Arial" w:cs="Arial"/>
              <w:noProof/>
              <w:lang w:val="en-US"/>
            </w:rPr>
          </w:pPr>
          <w:hyperlink w:anchor="_Toc133661885" w:history="1">
            <w:r w:rsidRPr="005C183D">
              <w:rPr>
                <w:rFonts w:ascii="Arial" w:hAnsi="Arial" w:cs="Arial"/>
                <w:noProof/>
                <w:color w:val="0563C1" w:themeColor="hyperlink"/>
                <w:sz w:val="24"/>
                <w:u w:val="single"/>
              </w:rPr>
              <w:t>6.1.3</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Refreeze</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_Toc133661885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12</w:t>
            </w:r>
            <w:r w:rsidRPr="005C183D">
              <w:rPr>
                <w:rFonts w:ascii="Arial" w:hAnsi="Arial" w:cs="Arial"/>
                <w:noProof/>
                <w:webHidden/>
                <w:sz w:val="24"/>
              </w:rPr>
              <w:fldChar w:fldCharType="end"/>
            </w:r>
          </w:hyperlink>
        </w:p>
        <w:p w14:paraId="07CFE80C"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86" w:history="1">
            <w:r w:rsidRPr="005C183D">
              <w:rPr>
                <w:rFonts w:ascii="Arial" w:hAnsi="Arial" w:cs="Arial"/>
                <w:noProof/>
                <w:color w:val="0563C1" w:themeColor="hyperlink"/>
                <w:sz w:val="24"/>
                <w:u w:val="single"/>
              </w:rPr>
              <w:t>7</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Impact of organisational culture to change management programme</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_Toc133661886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16</w:t>
            </w:r>
            <w:r w:rsidRPr="005C183D">
              <w:rPr>
                <w:rFonts w:ascii="Arial" w:hAnsi="Arial" w:cs="Arial"/>
                <w:noProof/>
                <w:webHidden/>
                <w:sz w:val="24"/>
              </w:rPr>
              <w:fldChar w:fldCharType="end"/>
            </w:r>
          </w:hyperlink>
        </w:p>
        <w:p w14:paraId="4E05C882" w14:textId="77777777" w:rsidR="005C183D" w:rsidRPr="005C183D" w:rsidRDefault="005C183D" w:rsidP="005C183D">
          <w:pPr>
            <w:tabs>
              <w:tab w:val="left" w:pos="880"/>
              <w:tab w:val="right" w:leader="dot" w:pos="9350"/>
            </w:tabs>
            <w:spacing w:after="100"/>
            <w:ind w:left="240"/>
            <w:jc w:val="center"/>
            <w:rPr>
              <w:rFonts w:ascii="Arial" w:eastAsiaTheme="minorEastAsia" w:hAnsi="Arial" w:cs="Arial"/>
              <w:noProof/>
              <w:lang w:val="en-US"/>
            </w:rPr>
          </w:pPr>
          <w:hyperlink w:anchor="_Toc133661887" w:history="1">
            <w:r w:rsidRPr="005C183D">
              <w:rPr>
                <w:rFonts w:ascii="Arial" w:hAnsi="Arial" w:cs="Arial"/>
                <w:noProof/>
                <w:color w:val="0563C1" w:themeColor="hyperlink"/>
                <w:sz w:val="24"/>
                <w:u w:val="single"/>
              </w:rPr>
              <w:t>7.1</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Characteristics of organisational culture</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_Toc133661887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16</w:t>
            </w:r>
            <w:r w:rsidRPr="005C183D">
              <w:rPr>
                <w:rFonts w:ascii="Arial" w:hAnsi="Arial" w:cs="Arial"/>
                <w:noProof/>
                <w:webHidden/>
                <w:sz w:val="24"/>
              </w:rPr>
              <w:fldChar w:fldCharType="end"/>
            </w:r>
          </w:hyperlink>
        </w:p>
        <w:p w14:paraId="4EEA0D40" w14:textId="77777777" w:rsidR="005C183D" w:rsidRPr="005C183D" w:rsidRDefault="005C183D" w:rsidP="005C183D">
          <w:pPr>
            <w:tabs>
              <w:tab w:val="left" w:pos="480"/>
              <w:tab w:val="right" w:leader="dot" w:pos="9350"/>
            </w:tabs>
            <w:spacing w:after="100"/>
            <w:jc w:val="center"/>
            <w:rPr>
              <w:rFonts w:ascii="Arial" w:eastAsiaTheme="minorEastAsia" w:hAnsi="Arial" w:cs="Arial"/>
              <w:noProof/>
              <w:lang w:val="en-US"/>
            </w:rPr>
          </w:pPr>
          <w:hyperlink w:anchor="_Toc133661888" w:history="1">
            <w:r w:rsidRPr="005C183D">
              <w:rPr>
                <w:rFonts w:ascii="Arial" w:hAnsi="Arial" w:cs="Arial"/>
                <w:noProof/>
                <w:color w:val="0563C1" w:themeColor="hyperlink"/>
                <w:sz w:val="24"/>
                <w:u w:val="single"/>
              </w:rPr>
              <w:t>8</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Future change management plan</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_Toc133661888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17</w:t>
            </w:r>
            <w:r w:rsidRPr="005C183D">
              <w:rPr>
                <w:rFonts w:ascii="Arial" w:hAnsi="Arial" w:cs="Arial"/>
                <w:noProof/>
                <w:webHidden/>
                <w:sz w:val="24"/>
              </w:rPr>
              <w:fldChar w:fldCharType="end"/>
            </w:r>
          </w:hyperlink>
          <w:hyperlink w:anchor="_Toc133661889" w:history="1">
            <w:r w:rsidRPr="005C183D">
              <w:rPr>
                <w:rFonts w:ascii="Arial" w:eastAsiaTheme="minorEastAsia" w:hAnsi="Arial" w:cs="Arial"/>
                <w:noProof/>
                <w:lang w:val="en-US"/>
              </w:rPr>
              <w:tab/>
            </w:r>
            <w:r w:rsidRPr="005C183D">
              <w:rPr>
                <w:rFonts w:ascii="Arial" w:hAnsi="Arial" w:cs="Arial"/>
                <w:noProof/>
                <w:color w:val="0563C1" w:themeColor="hyperlink"/>
                <w:sz w:val="24"/>
                <w:u w:val="single"/>
              </w:rPr>
              <w:t>Conclusion</w:t>
            </w:r>
            <w:r w:rsidRPr="005C183D">
              <w:rPr>
                <w:rFonts w:ascii="Arial" w:hAnsi="Arial" w:cs="Arial"/>
                <w:noProof/>
                <w:webHidden/>
                <w:sz w:val="24"/>
              </w:rPr>
              <w:tab/>
              <w:t>19</w:t>
            </w:r>
          </w:hyperlink>
        </w:p>
        <w:p w14:paraId="040B2AEB" w14:textId="1E30AB8B" w:rsidR="005C183D" w:rsidRPr="005C183D" w:rsidRDefault="005C183D" w:rsidP="005C183D">
          <w:pPr>
            <w:tabs>
              <w:tab w:val="left" w:pos="660"/>
              <w:tab w:val="right" w:leader="dot" w:pos="9350"/>
            </w:tabs>
            <w:spacing w:after="100"/>
            <w:jc w:val="center"/>
            <w:rPr>
              <w:rFonts w:ascii="Arial" w:eastAsiaTheme="minorEastAsia" w:hAnsi="Arial" w:cs="Arial"/>
              <w:noProof/>
              <w:lang w:val="en-US"/>
            </w:rPr>
          </w:pPr>
          <w:hyperlink w:anchor="_Toc133661890" w:history="1">
            <w:r w:rsidRPr="005C183D">
              <w:rPr>
                <w:rFonts w:ascii="Arial" w:hAnsi="Arial" w:cs="Arial"/>
                <w:noProof/>
                <w:color w:val="0563C1" w:themeColor="hyperlink"/>
                <w:sz w:val="24"/>
                <w:u w:val="single"/>
              </w:rPr>
              <w:t>10</w:t>
            </w:r>
            <w:r w:rsidRPr="005C183D">
              <w:rPr>
                <w:rFonts w:ascii="Arial" w:eastAsiaTheme="minorEastAsia" w:hAnsi="Arial" w:cs="Arial"/>
                <w:noProof/>
                <w:lang w:val="en-US"/>
              </w:rPr>
              <w:tab/>
            </w:r>
            <w:r w:rsidRPr="005C183D">
              <w:rPr>
                <w:rFonts w:ascii="Arial" w:hAnsi="Arial" w:cs="Arial"/>
                <w:noProof/>
                <w:color w:val="0563C1" w:themeColor="hyperlink"/>
                <w:sz w:val="24"/>
                <w:u w:val="single"/>
              </w:rPr>
              <w:t>References</w:t>
            </w:r>
            <w:r w:rsidRPr="005C183D">
              <w:rPr>
                <w:rFonts w:ascii="Arial" w:hAnsi="Arial" w:cs="Arial"/>
                <w:noProof/>
                <w:webHidden/>
                <w:sz w:val="24"/>
              </w:rPr>
              <w:tab/>
            </w:r>
            <w:r w:rsidRPr="005C183D">
              <w:rPr>
                <w:rFonts w:ascii="Arial" w:hAnsi="Arial" w:cs="Arial"/>
                <w:noProof/>
                <w:webHidden/>
                <w:sz w:val="24"/>
              </w:rPr>
              <w:fldChar w:fldCharType="begin"/>
            </w:r>
            <w:r w:rsidRPr="005C183D">
              <w:rPr>
                <w:rFonts w:ascii="Arial" w:hAnsi="Arial" w:cs="Arial"/>
                <w:noProof/>
                <w:webHidden/>
                <w:sz w:val="24"/>
              </w:rPr>
              <w:instrText xml:space="preserve"> PAGEREF _Toc133661890 \h </w:instrText>
            </w:r>
            <w:r w:rsidRPr="005C183D">
              <w:rPr>
                <w:rFonts w:ascii="Arial" w:hAnsi="Arial" w:cs="Arial"/>
                <w:noProof/>
                <w:webHidden/>
                <w:sz w:val="24"/>
              </w:rPr>
            </w:r>
            <w:r w:rsidRPr="005C183D">
              <w:rPr>
                <w:rFonts w:ascii="Arial" w:hAnsi="Arial" w:cs="Arial"/>
                <w:noProof/>
                <w:webHidden/>
                <w:sz w:val="24"/>
              </w:rPr>
              <w:fldChar w:fldCharType="separate"/>
            </w:r>
            <w:r w:rsidRPr="005C183D">
              <w:rPr>
                <w:rFonts w:ascii="Arial" w:hAnsi="Arial" w:cs="Arial"/>
                <w:noProof/>
                <w:webHidden/>
                <w:sz w:val="24"/>
              </w:rPr>
              <w:t>2</w:t>
            </w:r>
            <w:r>
              <w:rPr>
                <w:rFonts w:ascii="Arial" w:hAnsi="Arial" w:cs="Arial"/>
                <w:noProof/>
                <w:webHidden/>
                <w:sz w:val="24"/>
              </w:rPr>
              <w:t>0</w:t>
            </w:r>
            <w:r w:rsidRPr="005C183D">
              <w:rPr>
                <w:rFonts w:ascii="Arial" w:hAnsi="Arial" w:cs="Arial"/>
                <w:noProof/>
                <w:webHidden/>
                <w:sz w:val="24"/>
              </w:rPr>
              <w:fldChar w:fldCharType="end"/>
            </w:r>
          </w:hyperlink>
        </w:p>
        <w:p w14:paraId="3B7A249B" w14:textId="77777777" w:rsidR="005C183D" w:rsidRPr="005C183D" w:rsidRDefault="005C183D" w:rsidP="005C183D">
          <w:pPr>
            <w:jc w:val="center"/>
            <w:rPr>
              <w:rFonts w:ascii="Arial" w:hAnsi="Arial" w:cs="Arial"/>
              <w:sz w:val="24"/>
              <w:szCs w:val="24"/>
            </w:rPr>
          </w:pPr>
          <w:r w:rsidRPr="005C183D">
            <w:rPr>
              <w:rFonts w:ascii="Arial" w:hAnsi="Arial" w:cs="Arial"/>
              <w:b/>
              <w:bCs/>
              <w:noProof/>
              <w:sz w:val="24"/>
              <w:szCs w:val="24"/>
            </w:rPr>
            <w:fldChar w:fldCharType="end"/>
          </w:r>
        </w:p>
      </w:sdtContent>
    </w:sdt>
    <w:p w14:paraId="57DB20BB" w14:textId="77777777" w:rsidR="005C183D" w:rsidRPr="005C183D" w:rsidRDefault="005C183D" w:rsidP="005C183D">
      <w:pPr>
        <w:jc w:val="center"/>
        <w:rPr>
          <w:rFonts w:ascii="Arial" w:hAnsi="Arial" w:cs="Arial"/>
          <w:b/>
          <w:sz w:val="24"/>
          <w:szCs w:val="24"/>
        </w:rPr>
      </w:pPr>
      <w:r w:rsidRPr="005C183D">
        <w:rPr>
          <w:rFonts w:ascii="Arial" w:hAnsi="Arial" w:cs="Arial"/>
          <w:b/>
          <w:sz w:val="24"/>
          <w:szCs w:val="24"/>
        </w:rPr>
        <w:br w:type="page"/>
      </w:r>
    </w:p>
    <w:p w14:paraId="0C837849" w14:textId="77777777" w:rsidR="005C183D" w:rsidRPr="005C183D" w:rsidRDefault="005C183D" w:rsidP="005C183D">
      <w:pPr>
        <w:spacing w:after="0" w:line="360" w:lineRule="auto"/>
        <w:contextualSpacing/>
        <w:jc w:val="center"/>
        <w:rPr>
          <w:rFonts w:ascii="Arial" w:eastAsiaTheme="majorEastAsia" w:hAnsi="Arial" w:cs="Arial"/>
          <w:b/>
          <w:spacing w:val="-10"/>
          <w:kern w:val="28"/>
          <w:sz w:val="32"/>
          <w:szCs w:val="56"/>
        </w:rPr>
      </w:pPr>
      <w:r w:rsidRPr="005C183D">
        <w:rPr>
          <w:rFonts w:ascii="Arial" w:eastAsiaTheme="majorEastAsia" w:hAnsi="Arial" w:cs="Arial"/>
          <w:b/>
          <w:spacing w:val="-10"/>
          <w:kern w:val="28"/>
          <w:sz w:val="32"/>
          <w:szCs w:val="56"/>
        </w:rPr>
        <w:lastRenderedPageBreak/>
        <w:t>Leading and Implementing Workplace Change in DHL</w:t>
      </w:r>
    </w:p>
    <w:p w14:paraId="2AAA2D89" w14:textId="77777777" w:rsidR="005C183D" w:rsidRPr="005C183D" w:rsidRDefault="005C183D" w:rsidP="005C183D">
      <w:pPr>
        <w:keepNext/>
        <w:keepLines/>
        <w:spacing w:before="240" w:after="0" w:line="360" w:lineRule="auto"/>
        <w:ind w:left="360" w:hanging="360"/>
        <w:jc w:val="center"/>
        <w:outlineLvl w:val="0"/>
        <w:rPr>
          <w:rFonts w:ascii="Arial" w:eastAsiaTheme="majorEastAsia" w:hAnsi="Arial" w:cs="Arial"/>
          <w:color w:val="2F5496" w:themeColor="accent1" w:themeShade="BF"/>
          <w:sz w:val="24"/>
          <w:szCs w:val="24"/>
        </w:rPr>
      </w:pPr>
      <w:bookmarkStart w:id="0" w:name="_Toc133661876"/>
      <w:r w:rsidRPr="005C183D">
        <w:rPr>
          <w:rFonts w:ascii="Arial" w:eastAsiaTheme="majorEastAsia" w:hAnsi="Arial" w:cs="Arial"/>
          <w:color w:val="2F5496" w:themeColor="accent1" w:themeShade="BF"/>
          <w:sz w:val="24"/>
          <w:szCs w:val="24"/>
        </w:rPr>
        <w:t>Introduction</w:t>
      </w:r>
      <w:bookmarkEnd w:id="0"/>
    </w:p>
    <w:p w14:paraId="5DA1B044"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Organisations around the entire globe are experiencing significant changes in several forms, which affects them, their stakeholders and their employees. Such changes include regulatory changes, mergers and acquisitions, restructurings and transitions in leadership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{"citationItems":[{"id":"ITEM-1","itemData":{"author":[{"dropping-particle":"","family":"Galbraith","given":"Morgan","non-dropping-particle":"","parse-names":false,"suffix":""}],"container-title":"Harvard Business Review","id":"ITEM-1","issued":{"date-parts":[["2018","10","5"]]},"title":"Don’t Just Tell Employees Organizational Changes Are Coming — Explain Why","type":"article-newspaper"},"uris":["http://www.mendeley.com/documents/?uuid=85513529-d645-4e1c-bd4a-deebf64d3d05"]}],"mendeley":{"formattedCitation":"(Galbraith, 2018)","plainTextFormattedCitation":"(Galbraith, 2018)","previouslyFormattedCitation":"(Galbraith, 2018)"},"properties":{"noteIndex":0},"schema":"https://github.com/citation-style-language/schema/raw/master/csl-citation.json"}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(Galbraith, 2018)</w:t>
      </w:r>
      <w:r w:rsidRPr="005C183D">
        <w:rPr>
          <w:rFonts w:ascii="Arial" w:hAnsi="Arial" w:cs="Arial"/>
          <w:sz w:val="24"/>
          <w:szCs w:val="24"/>
        </w:rPr>
        <w:fldChar w:fldCharType="end"/>
      </w:r>
      <w:r w:rsidRPr="005C183D">
        <w:rPr>
          <w:rFonts w:ascii="Arial" w:hAnsi="Arial" w:cs="Arial"/>
          <w:sz w:val="24"/>
          <w:szCs w:val="24"/>
        </w:rPr>
        <w:t xml:space="preserve">. According to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Johnston","given":"Alasdair","non-dropping-particle":"","parse-names":false,"suffix":""},{"dropping-particle":"","family":"Lefort","given":"Frédéric","non-dropping-particle":"","parse-names":false,"suffix":""},{"dropping-particle":"","family":"Tesvic","given":"Joseph","non-dropping-particle":"","parse-names":false,"suffix":""}],"id":"ITEM-1","issued":{"date-parts":[["2017"]]},"publisher-place":"Sydney","title":"Secrets of successful change implementation","type":"report"},"uris":["http://www.mendeley.com/documents/?uuid=b7881e2b-4c94-4d6f-bb67-0eac0e841c57"]}],"mendeley":{"formattedCitation":"(Johnston et al., 2017)","manualFormatting":"Johnston et al. (2017)","plainTextFormattedCitation":"(Johnston et al., 2017)","previouslyFormattedCitation":"(Johnston et al., 2017)"},"properties":{"noteIndex":0},"schema":"https://github.com/citation-style-language/schema/raw/master/csl-citation.json"}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Johnston et al. (2017)</w:t>
      </w:r>
      <w:r w:rsidRPr="005C183D">
        <w:rPr>
          <w:rFonts w:ascii="Arial" w:hAnsi="Arial" w:cs="Arial"/>
          <w:sz w:val="24"/>
          <w:szCs w:val="24"/>
        </w:rPr>
        <w:fldChar w:fldCharType="end"/>
      </w:r>
      <w:r w:rsidRPr="005C183D">
        <w:rPr>
          <w:rFonts w:ascii="Arial" w:hAnsi="Arial" w:cs="Arial"/>
          <w:sz w:val="24"/>
          <w:szCs w:val="24"/>
        </w:rPr>
        <w:t>, any organisational leader who has executed a change process understands that it is possible for even planned programmes to fail due to inappropriate implementation. It is not easy to turn plans into reality. While poor implementers retain close to no value, excellent implementers retain more value.</w:t>
      </w:r>
    </w:p>
    <w:p w14:paraId="1EF41631"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Every change process can leak value at some stage in the process of implementation. This is because some implementers may fail to sustain their initial intended results, fail to achieve bottom-line impact or fail in prioritising initiatives which end up undone. Majorly, successful as well as unsuccessful transformations depend on the commitment of the organisational leaders and their sense of ownership to the implementation process. Alignment to the change process is not adequate as it entails both ownership and commitment. In the wake of the COVID-19 pandemic, organisations were forced to undergo significant changes in several aspects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Johnston","given":"Alasdair","non-dropping-particle":"","parse-names":false,"suffix":""},{"dropping-particle":"","family":"Lefort","given":"Frédéric","non-dropping-particle":"","parse-names":false,"suffix":""},{"dropping-particle":"","family":"Tesvic","given":"Joseph","non-dropping-particle":"","parse-names":false,"suffix":""}],"id":"ITEM-1","issued":{"date-parts":[["2017"]]},"publisher-place":"Sydney","title":"Secrets of successful change implementation","type":"report"},"uris":["http://www.mendeley.com/documents/?uuid=b7881e2b-4c94-4d6f-bb67-0eac0e841c57"]}],"mendeley":{"formattedCitation":"(Johnston et al., 2017)","plainTextFormattedCitation":"(Johnston et al., 2017)","previouslyFormattedCitation":"(Johnston et al., 2017)"},"properties":{"noteIndex":0},"schema":"https://github.com/citation-style-language/schema/raw/master/csl-citation.json"}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(Johnston et al., 2017)</w:t>
      </w:r>
      <w:r w:rsidRPr="005C183D">
        <w:rPr>
          <w:rFonts w:ascii="Arial" w:hAnsi="Arial" w:cs="Arial"/>
          <w:sz w:val="24"/>
          <w:szCs w:val="24"/>
        </w:rPr>
        <w:fldChar w:fldCharType="end"/>
      </w:r>
      <w:r w:rsidRPr="005C183D">
        <w:rPr>
          <w:rFonts w:ascii="Arial" w:hAnsi="Arial" w:cs="Arial"/>
          <w:sz w:val="24"/>
          <w:szCs w:val="24"/>
        </w:rPr>
        <w:t>. Most organisations were sent into an abrupt shock that saw most of them react rapidly towards their supply chains, remote working arrangements and speeding up their decision-making capabilities. Although most organisations were adversely affected by the pandemic, this paper will focus on the measure DHL took to adapt to change during COVID-19.</w:t>
      </w:r>
    </w:p>
    <w:p w14:paraId="15042873" w14:textId="77777777" w:rsidR="005C183D" w:rsidRPr="005C183D" w:rsidRDefault="005C183D" w:rsidP="005C183D">
      <w:pPr>
        <w:keepNext/>
        <w:keepLines/>
        <w:spacing w:before="240" w:after="0" w:line="360" w:lineRule="auto"/>
        <w:ind w:left="360" w:hanging="360"/>
        <w:jc w:val="center"/>
        <w:outlineLvl w:val="0"/>
        <w:rPr>
          <w:rFonts w:ascii="Arial" w:eastAsiaTheme="majorEastAsia" w:hAnsi="Arial" w:cs="Arial"/>
          <w:color w:val="2F5496" w:themeColor="accent1" w:themeShade="BF"/>
          <w:sz w:val="24"/>
          <w:szCs w:val="24"/>
        </w:rPr>
      </w:pPr>
      <w:bookmarkStart w:id="1" w:name="_Toc133661877"/>
      <w:r w:rsidRPr="005C183D">
        <w:rPr>
          <w:rFonts w:ascii="Arial" w:eastAsiaTheme="majorEastAsia" w:hAnsi="Arial" w:cs="Arial"/>
          <w:color w:val="2F5496" w:themeColor="accent1" w:themeShade="BF"/>
          <w:sz w:val="24"/>
          <w:szCs w:val="24"/>
        </w:rPr>
        <w:t>Current State of DHL</w:t>
      </w:r>
      <w:bookmarkEnd w:id="1"/>
    </w:p>
    <w:p w14:paraId="5B9084AA"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DHL Worldwide Express is a privately-owned global logistics company consisting of DHL International and DHL Airways. It is the oldest and largest worldwide air-express company. The company had expanded phenomenally into a global giant since its establishment in 1969 when it was an air-courier service from California to Hawaii. The firm delivers to over 227 countries globally with over seventy-thousand destinations. It </w:t>
      </w:r>
      <w:r w:rsidRPr="005C183D">
        <w:rPr>
          <w:rFonts w:ascii="Arial" w:hAnsi="Arial" w:cs="Arial"/>
          <w:sz w:val="24"/>
          <w:szCs w:val="24"/>
        </w:rPr>
        <w:lastRenderedPageBreak/>
        <w:t xml:space="preserve">delivers heavy and small parcels to destinations throughout the US, Europe, Pacific Rim, Africa and the Middle East. Its ever-expanding global presence has promoted other firms such as the United States Postal Service, United Parcel Service and Federal Express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www.referenceforbusiness.com/history2/17/DHL-Worldwide-Express.html","accessed":{"date-parts":[["2023","4","29"]]},"author":[{"dropping-particle":"","family":"Dolphin","given":"Twin","non-dropping-particle":"","parse-names":false,"suffix":""}],"container-title":"Reference for Business","id":"ITEM-1","issued":{"date-parts":[["0"]]},"title":"DHL Worldwide Express - Company Profile, Information, Business Description, History, Background Information on DHL Worldwide Express","type":"webpage"},"uris":["http://www.mendeley.com/documents/?uuid=daefa70a-51a6-4002-9e1b-4c5b186bfaa3"]}],"mendeley":{"formattedCitation":"(Dolphin, [no date])","plainTextFormattedCitation":"(Dolphin, [no date])","previouslyFormattedCitation":"(Dolphin, [no date])"},"properties":{"noteIndex":0},"schema":"https://github.com/citation-style-language/schema/raw/master/csl-citation.json"}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(Dolphin, [no date])</w:t>
      </w:r>
      <w:r w:rsidRPr="005C183D">
        <w:rPr>
          <w:rFonts w:ascii="Arial" w:hAnsi="Arial" w:cs="Arial"/>
          <w:sz w:val="24"/>
          <w:szCs w:val="24"/>
        </w:rPr>
        <w:fldChar w:fldCharType="end"/>
      </w:r>
      <w:r w:rsidRPr="005C183D">
        <w:rPr>
          <w:rFonts w:ascii="Arial" w:hAnsi="Arial" w:cs="Arial"/>
          <w:sz w:val="24"/>
          <w:szCs w:val="24"/>
        </w:rPr>
        <w:t>.</w:t>
      </w:r>
    </w:p>
    <w:p w14:paraId="523E5323"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As a logistics company, DHL connects firms to markets by offering services such as inventory management, warehousing, freight forwarding and multi-modal transportation. It is a critical support service for global manufacturing, which is not only multilocational but also sophisticated.</w:t>
      </w:r>
    </w:p>
    <w:p w14:paraId="3C083657"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Doctors in Wuhan, China, began to receive patients with unusual symptoms in December 2019. The patients assessed manifested pneumonia and respiratory issues. The chapters of the pandemic spread fast, and the world came to a sudden standstill with countries introducing restricted movements and quarantine rules. By the third week of April, more than two and a half million new COVID-19 cases had been reported in over two hundred countries. In the same period, almost two hundred thousand people lost their lives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www.dhl.com/global-en/delivered/insights/resilient-supply-chains.html","accessed":{"date-parts":[["2023","4","29"]]},"author":[{"dropping-particle":"","family":"DHL","given":"","non-dropping-particle":"","parse-names":false,"suffix":""}],"container-title":"DHL","id":"ITEM-1","issued":{"date-parts":[["2020"]]},"title":"Supply Chains in Crisis","type":"webpage"},"uris":["http://www.mendeley.com/documents/?uuid=6388678c-7b5e-49b7-a560-e61b25fcee6b"]}],"mendeley":{"formattedCitation":"(DHL, 2020)","plainTextFormattedCitation":"(DHL, 2020)","previouslyFormattedCitation":"(DHL,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(DHL, 2020)</w:t>
      </w:r>
      <w:r w:rsidRPr="005C183D">
        <w:rPr>
          <w:rFonts w:ascii="Arial" w:hAnsi="Arial" w:cs="Arial"/>
          <w:sz w:val="24"/>
          <w:szCs w:val="24"/>
        </w:rPr>
        <w:fldChar w:fldCharType="end"/>
      </w:r>
      <w:r w:rsidRPr="005C183D">
        <w:rPr>
          <w:rFonts w:ascii="Arial" w:hAnsi="Arial" w:cs="Arial"/>
          <w:sz w:val="24"/>
          <w:szCs w:val="24"/>
        </w:rPr>
        <w:t>.</w:t>
      </w:r>
    </w:p>
    <w:p w14:paraId="22196C2B" w14:textId="77777777" w:rsidR="005C183D" w:rsidRPr="005C183D" w:rsidRDefault="005C183D" w:rsidP="005C183D">
      <w:pPr>
        <w:keepNext/>
        <w:keepLines/>
        <w:spacing w:before="240" w:after="0" w:line="360" w:lineRule="auto"/>
        <w:ind w:left="360" w:hanging="360"/>
        <w:jc w:val="center"/>
        <w:outlineLvl w:val="0"/>
        <w:rPr>
          <w:rFonts w:ascii="Arial" w:eastAsiaTheme="majorEastAsia" w:hAnsi="Arial" w:cs="Arial"/>
          <w:color w:val="2F5496" w:themeColor="accent1" w:themeShade="BF"/>
          <w:sz w:val="24"/>
          <w:szCs w:val="24"/>
        </w:rPr>
      </w:pPr>
      <w:bookmarkStart w:id="2" w:name="_Toc133661878"/>
      <w:r w:rsidRPr="005C183D">
        <w:rPr>
          <w:rFonts w:ascii="Arial" w:eastAsiaTheme="majorEastAsia" w:hAnsi="Arial" w:cs="Arial"/>
          <w:color w:val="2F5496" w:themeColor="accent1" w:themeShade="BF"/>
          <w:sz w:val="24"/>
          <w:szCs w:val="24"/>
        </w:rPr>
        <w:t>Relationship with the company</w:t>
      </w:r>
      <w:bookmarkEnd w:id="2"/>
    </w:p>
    <w:p w14:paraId="445768D1"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My father has worked for DHL for one and a half decades. As such, any changes in the company affect me directly. From his working experience at DHL, I can say that the organisation has a unique working culture. In 2022, the company was recognised by Fortune Magazine as the best workplace. My father is always given ample time to spend with us. I have also visited him on a few occasions at his workplace. In my observation, the organisation upholds diversity and inclusion, and inclusive work insinuates that it offers the same conducive working environment. Besides, the company extends equal opportunities for all and encourages all its employees to bring their whole selves to work.</w:t>
      </w:r>
    </w:p>
    <w:p w14:paraId="685CE06E"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The company believes that acceptance and unity is the core strength of its network. Each of its employees has something unique to offer. According to the company, its work is based on the experiences and realities of all its employees. During the COVID-19 pandemic period, DHL was among the adversely affected companies. </w:t>
      </w:r>
      <w:r w:rsidRPr="005C183D">
        <w:rPr>
          <w:rFonts w:ascii="Arial" w:hAnsi="Arial" w:cs="Arial"/>
          <w:sz w:val="24"/>
          <w:szCs w:val="24"/>
        </w:rPr>
        <w:lastRenderedPageBreak/>
        <w:t xml:space="preserve">While most companies were forced to lay off most of their, DHL moved to allow employees to work from home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www.dhl.com/global-en/delivered/globalization/the-future-of-work-how-companies-are-adapting-to-employee-expectations-after-remote-working.html","accessed":{"date-parts":[["2023","4","29"]]},"author":[{"dropping-particle":"","family":"DHL","given":"","non-dropping-particle":"","parse-names":false,"suffix":""}],"container-title":"DHL","id":"ITEM-1","issued":{"date-parts":[["2021"]]},"title":"How companies are adapting to office life after remote work","type":"webpage"},"uris":["http://www.mendeley.com/documents/?uuid=8502386a-b23a-4070-b428-c642a97ba739"]}],"mendeley":{"formattedCitation":"(DHL, 2021)","plainTextFormattedCitation":"(DHL, 2021)","previouslyFormattedCitation":"(DHL, 2021)"},"properties":{"noteIndex":0},"schema":"https://github.com/citation-style-language/schema/raw/master/csl-citation.json"}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(DHL, 2021)</w:t>
      </w:r>
      <w:r w:rsidRPr="005C183D">
        <w:rPr>
          <w:rFonts w:ascii="Arial" w:hAnsi="Arial" w:cs="Arial"/>
          <w:sz w:val="24"/>
          <w:szCs w:val="24"/>
        </w:rPr>
        <w:fldChar w:fldCharType="end"/>
      </w:r>
      <w:r w:rsidRPr="005C183D">
        <w:rPr>
          <w:rFonts w:ascii="Arial" w:hAnsi="Arial" w:cs="Arial"/>
          <w:sz w:val="24"/>
          <w:szCs w:val="24"/>
        </w:rPr>
        <w:t>. My father was able to balance time for family and work, which further improved family bonds.</w:t>
      </w:r>
    </w:p>
    <w:p w14:paraId="4E1AD93E" w14:textId="77777777" w:rsidR="005C183D" w:rsidRPr="005C183D" w:rsidRDefault="005C183D" w:rsidP="005C183D">
      <w:pPr>
        <w:keepNext/>
        <w:keepLines/>
        <w:spacing w:before="240" w:after="0" w:line="360" w:lineRule="auto"/>
        <w:ind w:left="360" w:hanging="360"/>
        <w:jc w:val="center"/>
        <w:outlineLvl w:val="0"/>
        <w:rPr>
          <w:rFonts w:ascii="Arial" w:eastAsiaTheme="majorEastAsia" w:hAnsi="Arial" w:cs="Arial"/>
          <w:color w:val="2F5496" w:themeColor="accent1" w:themeShade="BF"/>
          <w:sz w:val="24"/>
          <w:szCs w:val="24"/>
        </w:rPr>
      </w:pPr>
      <w:bookmarkStart w:id="3" w:name="_Toc133661879"/>
      <w:r w:rsidRPr="005C183D">
        <w:rPr>
          <w:rFonts w:ascii="Arial" w:eastAsiaTheme="majorEastAsia" w:hAnsi="Arial" w:cs="Arial"/>
          <w:color w:val="2F5496" w:themeColor="accent1" w:themeShade="BF"/>
          <w:sz w:val="24"/>
          <w:szCs w:val="24"/>
        </w:rPr>
        <w:t>Recent and current change initiatives in the report</w:t>
      </w:r>
      <w:bookmarkEnd w:id="3"/>
    </w:p>
    <w:p w14:paraId="770CEDF8"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In change management, organisational change can be necessary for various reasons. One of them is to support regulatory requirements. Organisations may also initiate change to survive in the prevailing changing market that is very dynamic. In addition, organisations may change to keep up with the changing needs of their customers or achieve a goal of leading in the sector of their respective products. Lastly, organisations may want to increase customer satisfaction, efficiency, and profit.</w:t>
      </w:r>
    </w:p>
    <w:p w14:paraId="46124A1D"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Strategic planning is not wrong until when it unfolds as planned. A good strategic planning process entails the crystallisation of the intention of the management. This process helps the organisation to articulate a clear vision of where it wants to go. A strategic organisation is intentional in defining its direction. Such an organisation develops techniques for determining progress.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{"citationItems":[{"id":"ITEM-1","itemData":{"author":[{"dropping-particle":"","family":"Mintzberg","given":"H","non-dropping-particle":"","parse-names":false,"suffix":""}],"id":"ITEM-1","issued":{"date-parts":[["1971"]]},"title":"Managerial Work: Analysis from Observation USA","type":"book"},"uris":["http://www.mendeley.com/documents/?uuid=e6388f33-ce80-4ce2-ba33-d2bbac43f236"]}],"mendeley":{"formattedCitation":"(Mintzberg, 1971)","manualFormatting":"Mintzberg (1971)","plainTextFormattedCitation":"(Mintzberg, 1971)","previouslyFormattedCitation":"(Mintzberg, 1971)"},"properties":{"noteIndex":0},"schema":"https://github.com/citation-style-language/schema/raw/master/csl-citation.json"}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Mintzberg (1971)</w:t>
      </w:r>
      <w:r w:rsidRPr="005C183D">
        <w:rPr>
          <w:rFonts w:ascii="Arial" w:hAnsi="Arial" w:cs="Arial"/>
          <w:sz w:val="24"/>
          <w:szCs w:val="24"/>
        </w:rPr>
        <w:fldChar w:fldCharType="end"/>
      </w:r>
      <w:r w:rsidRPr="005C183D">
        <w:rPr>
          <w:rFonts w:ascii="Arial" w:hAnsi="Arial" w:cs="Arial"/>
          <w:sz w:val="24"/>
          <w:szCs w:val="24"/>
        </w:rPr>
        <w:t xml:space="preserve"> asserts that it is not always the case, as in some instances, it may entail grappling with reality, adaptability and action. Mintzberg described an emergent strategy as a pattern of action that arises over time in an organisation where there are no specific goals and mission, or irrespective of goals and mission. According to him, strategy arises over time since intentions collide to accommodate a changing reality. Mintzberg notes that an emergent strategy is a set of behaviour or actions of an organisation that are consistent with time. The result of an intended action course is the emergent strategy. "Deliberate strategies provide the organisation with a sense of purposeful direction."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{"citationItems":[{"id":"ITEM-1","itemData":{"author":[{"dropping-particle":"","family":"Stobierski","given":"Tim","non-dropping-particle":"","parse-names":false,"suffix":""}],"id":"ITEM-1","issued":{"date-parts":[["2020"]]},"title":"Emergent Vs Deliberate Strategy: How to use each","type":"report"},"uris":["http://www.mendeley.com/documents/?uuid=6f90a9c5-11ef-4c39-8693-e410b4630357"]}],"mendeley":{"formattedCitation":"(Stobierski, 2020)","plainTextFormattedCitation":"(Stobierski, 2020)","previouslyFormattedCitation":"(Stobierski,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(Stobierski, 2020)</w:t>
      </w:r>
      <w:r w:rsidRPr="005C183D">
        <w:rPr>
          <w:rFonts w:ascii="Arial" w:hAnsi="Arial" w:cs="Arial"/>
          <w:sz w:val="24"/>
          <w:szCs w:val="24"/>
        </w:rPr>
        <w:fldChar w:fldCharType="end"/>
      </w:r>
      <w:r w:rsidRPr="005C183D">
        <w:rPr>
          <w:rFonts w:ascii="Arial" w:hAnsi="Arial" w:cs="Arial"/>
          <w:sz w:val="24"/>
          <w:szCs w:val="24"/>
        </w:rPr>
        <w:t>. Emergent strategy implies that organisations have a sense of purposeful direction.</w:t>
      </w:r>
    </w:p>
    <w:p w14:paraId="46B220AA"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COVID-19 is one of the most sophisticated global processes, with unprecedented lockdowns, interconnection and disruption. It induced an emergent knowledge strategy for organisations. The outbreak is regarded to have unexpected and inevitably impacted on many organisations </w:t>
      </w:r>
      <w:r w:rsidRPr="005C183D">
        <w:rPr>
          <w:rFonts w:ascii="Arial" w:hAnsi="Arial" w:cs="Arial"/>
          <w:sz w:val="24"/>
          <w:szCs w:val="24"/>
        </w:rPr>
        <w:fldChar w:fldCharType="begin" w:fldLock="1"/>
      </w:r>
      <w:r w:rsidRPr="005C183D">
        <w:rPr>
          <w:rFonts w:ascii="Arial" w:hAnsi="Arial" w:cs="Arial"/>
          <w:sz w:val="24"/>
          <w:szCs w:val="24"/>
        </w:rPr>
        <w:instrText xml:space="preserve">ADDIN CSL_CITATION {"citationItems":[{"id":"ITEM-1","itemData":{"DOI":"10.1002/kpm.1656","ISSN":"1092-4604","author":[{"dropping-particle":"","family":"Bratianu","given":"Constantin","non-dropping-particle":"","parse-names":false,"suffix":""},{"dropping-particle":"","family":"Bejinaru","given":"Ruxandra","non-dropping-particle":"","parse-names":false,"suffix":""}],"container-title":"Knowledge and Process Management","id":"ITEM-1","issue":"1","issued":{"date-parts":[["2021","1","3"]]},"page":"11-17","title":"&lt;scp&gt;COVID&lt;/scp&gt; </w:instrText>
      </w:r>
      <w:r w:rsidRPr="005C183D">
        <w:rPr>
          <w:rFonts w:ascii="Cambria Math" w:hAnsi="Cambria Math" w:cs="Cambria Math"/>
          <w:sz w:val="24"/>
          <w:szCs w:val="24"/>
        </w:rPr>
        <w:instrText>‐</w:instrText>
      </w:r>
      <w:r w:rsidRPr="005C183D">
        <w:rPr>
          <w:rFonts w:ascii="Arial" w:hAnsi="Arial" w:cs="Arial"/>
          <w:sz w:val="24"/>
          <w:szCs w:val="24"/>
        </w:rPr>
        <w:instrText>19 induced emergent knowledge strategies","type":"article-journal","volume":"28"},"uris":["http://www.mendeley.com/documents/?uuid=3a897321-500d-45bf-bbe1-7beb4612124c"]}],"mendeley":{"formattedCitation":"(Bratianu and Bejinaru, 2021)","plainTextFormattedCitation":"(Bratianu and Bejinaru, 2021)","previouslyFormattedCitation":"(Bratianu and Bejinaru, 2021)"},"properties":{"noteIndex":0},"schema":"https://github.com/citation-style-language/schema/raw/master/csl-citation.json"}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(Bratianu and Bejinaru, 2021)</w:t>
      </w:r>
      <w:r w:rsidRPr="005C183D">
        <w:rPr>
          <w:rFonts w:ascii="Arial" w:hAnsi="Arial" w:cs="Arial"/>
          <w:sz w:val="24"/>
          <w:szCs w:val="24"/>
        </w:rPr>
        <w:fldChar w:fldCharType="end"/>
      </w:r>
      <w:r w:rsidRPr="005C183D">
        <w:rPr>
          <w:rFonts w:ascii="Arial" w:hAnsi="Arial" w:cs="Arial"/>
          <w:sz w:val="24"/>
          <w:szCs w:val="24"/>
        </w:rPr>
        <w:t>. It opens the discussion of how organisations such as DHL should have responded to this crisis and the actions that it would have taken at a strategic level.</w:t>
      </w:r>
    </w:p>
    <w:p w14:paraId="3A9BE357" w14:textId="77777777" w:rsidR="005C183D" w:rsidRPr="005C183D" w:rsidRDefault="005C183D" w:rsidP="005C183D">
      <w:pPr>
        <w:keepNext/>
        <w:keepLines/>
        <w:spacing w:before="240" w:after="0" w:line="360" w:lineRule="auto"/>
        <w:ind w:left="360" w:hanging="360"/>
        <w:jc w:val="center"/>
        <w:outlineLvl w:val="0"/>
        <w:rPr>
          <w:rFonts w:ascii="Arial" w:eastAsiaTheme="majorEastAsia" w:hAnsi="Arial" w:cs="Arial"/>
          <w:color w:val="2F5496" w:themeColor="accent1" w:themeShade="BF"/>
          <w:sz w:val="24"/>
          <w:szCs w:val="24"/>
        </w:rPr>
      </w:pPr>
      <w:bookmarkStart w:id="4" w:name="_Toc133661880"/>
      <w:r w:rsidRPr="005C183D">
        <w:rPr>
          <w:rFonts w:ascii="Arial" w:eastAsiaTheme="majorEastAsia" w:hAnsi="Arial" w:cs="Arial"/>
          <w:color w:val="2F5496" w:themeColor="accent1" w:themeShade="BF"/>
          <w:sz w:val="24"/>
          <w:szCs w:val="24"/>
        </w:rPr>
        <w:lastRenderedPageBreak/>
        <w:t>Recent history of the organisation's impact from the external environment</w:t>
      </w:r>
      <w:bookmarkEnd w:id="4"/>
    </w:p>
    <w:p w14:paraId="096D4252"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DHL did not have experience handling external influences such as the COVID-19 pandemic. As a logistics company, the pandemic crippled operations, and it could not meet demands because of the overwhelming pressure. Besides, there was a restriction on air travel, which removed the cargo capacity of normal air transport. The enactment of restricted air transport also emanated from shortages of labour because employees were forced to remain at home. There was also a reduction in ocean movement significantly.</w:t>
      </w:r>
    </w:p>
    <w:p w14:paraId="3F9602BB"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The company felt the impact first in China because of the role the country plays in international manufacturing. Since Wuhan plays a critical role as DHL has its presence there, being the epicentre of the pandemic affected the operations of the company in China significantly. In addition, there was a significant impact of the pandemic on DHL since China is a big consumer of global agricultural commodities and other products.</w:t>
      </w:r>
    </w:p>
    <w:p w14:paraId="78F38996"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Disruption to manufacturing in China caught up with global supply chains; ocean carriers called off sailings, shortage of truck drivers for container pickup and a backlog in the major container ports in China. Major global organisations such as medical supplies and equipment, pharmaceuticals, electronics and automotive were affected. The entire logistics company that has over 80% of the goods in the country was adversely affected, showing the impacts of the lockdown on Chinese logistics. Between January and February 2020, the volume of transported commodities reduced by below 15% compared to the previous year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Twinn","given":"Ian","non-dropping-particle":"","parse-names":false,"suffix":""},{"dropping-particle":"","family":"Qureshi","given":"Navaid","non-dropping-particle":"","parse-names":false,"suffix":""},{"dropping-particle":"","family":"Conde","given":"Maria López","non-dropping-particle":"","parse-names":false,"suffix":""},{"dropping-particle":"","family":"Guinea","given":"Carlos Garzón","non-dropping-particle":"","parse-names":false,"suffix":""},{"dropping-particle":"","family":"Rojas","given":"Daniel Perea","non-dropping-particle":"","parse-names":false,"suffix":""},{"dropping-particle":"","family":"Luo","given":"Jiayuan","non-dropping-particle":"","parse-names":false,"suffix":""},{"dropping-particle":"","family":"Gupta","given":"Harsh","non-dropping-particle":"","parse-names":false,"suffix":""}],"id":"ITEM-1","issued":{"date-parts":[["2020"]]},"number-of-pages":"1-5","title":"The Impact of COVID-19 on Logistics","type":"report"},"uris":["http://www.mendeley.com/documents/?uuid=fddad9f7-7709-4758-8c97-a7caabce289e"]}],"mendeley":{"formattedCitation":"(Twinn et al., 2020)","plainTextFormattedCitation":"(Twinn et al., 2020)","previouslyFormattedCitation":"(Twinn et al.,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(Twinn et al., 2020)</w:t>
      </w:r>
      <w:r w:rsidRPr="005C183D">
        <w:rPr>
          <w:rFonts w:ascii="Arial" w:hAnsi="Arial" w:cs="Arial"/>
          <w:sz w:val="24"/>
          <w:szCs w:val="24"/>
        </w:rPr>
        <w:fldChar w:fldCharType="end"/>
      </w:r>
      <w:r w:rsidRPr="005C183D">
        <w:rPr>
          <w:rFonts w:ascii="Arial" w:hAnsi="Arial" w:cs="Arial"/>
          <w:sz w:val="24"/>
          <w:szCs w:val="24"/>
        </w:rPr>
        <w:t>.</w:t>
      </w:r>
    </w:p>
    <w:p w14:paraId="31F22E8A"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To the rest of the world, the pandemic led to border closures and lockdowns that restricted cargo movements, the major business of DHL. Protocols such as keeping social distances at a warehouse further complicated the issue. Keeping the workers safe also contributed to freight bottlenecks. For instance, there was a 37-mile-long truck line on the A4 highway in the European Union after Poland closed its borders with Germany. The lockdown also created an acute shortage of truck drivers in India which led to over fifty-thousand containers piling up in the ports of </w:t>
      </w:r>
      <w:proofErr w:type="spellStart"/>
      <w:r w:rsidRPr="005C183D">
        <w:rPr>
          <w:rFonts w:ascii="Arial" w:hAnsi="Arial" w:cs="Arial"/>
          <w:sz w:val="24"/>
          <w:szCs w:val="24"/>
        </w:rPr>
        <w:t>Kattupalli</w:t>
      </w:r>
      <w:proofErr w:type="spellEnd"/>
      <w:r w:rsidRPr="005C183D">
        <w:rPr>
          <w:rFonts w:ascii="Arial" w:hAnsi="Arial" w:cs="Arial"/>
          <w:sz w:val="24"/>
          <w:szCs w:val="24"/>
        </w:rPr>
        <w:t xml:space="preserve">, </w:t>
      </w:r>
      <w:proofErr w:type="spellStart"/>
      <w:r w:rsidRPr="005C183D">
        <w:rPr>
          <w:rFonts w:ascii="Arial" w:hAnsi="Arial" w:cs="Arial"/>
          <w:sz w:val="24"/>
          <w:szCs w:val="24"/>
        </w:rPr>
        <w:t>Kamajarar</w:t>
      </w:r>
      <w:proofErr w:type="spellEnd"/>
      <w:r w:rsidRPr="005C183D">
        <w:rPr>
          <w:rFonts w:ascii="Arial" w:hAnsi="Arial" w:cs="Arial"/>
          <w:sz w:val="24"/>
          <w:szCs w:val="24"/>
        </w:rPr>
        <w:t xml:space="preserve"> and Chennai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Twinn","given":"Ian","non-dropping-particle":"","parse-names":false,"suffix":""},{"dropping-particle":"","family":"Qureshi","given":"Navaid","non-dropping-particle":"","parse-names":false,"suffix":""},{"dropping-particle":"","family":"Conde","given":"Maria López","non-dropping-particle":"","parse-names":false,"suffix":""},{"dropping-particle":"","family":"Guinea","given":"Carlos Garzón","non-dropping-particle":"","parse-names":false,"suffix":""},{"dropping-particle":"","family":"Rojas","given":"Daniel Perea","non-dropping-particle":"","parse-names":false,"suffix":""},{"dropping-particle":"","family":"Luo","given":"Jiayuan","non-dropping-particle":"","parse-names":false,"suffix":""},{"dropping-particle":"","family":"Gupta","given":"Harsh","non-dropping-particle":"","parse-names":false,"suffix":""}],"id":"ITEM-1","issued":{"date-parts":[["2020"]]},"number-of-pages":"1-5","title":"The Impact of COVID-19 on Logistics","type":"report"},"uris":["http://www.mendeley.com/documents/?uuid=fddad9f7-7709-4758-8c97-a7caabce289e"]}],"mendeley":{"formattedCitation":"(Twinn et al., 2020)","plainTextFormattedCitation":"(Twinn et al., 2020)","previouslyFormattedCitation":"(Twinn et al.,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(Twinn et al., 2020)</w:t>
      </w:r>
      <w:r w:rsidRPr="005C183D">
        <w:rPr>
          <w:rFonts w:ascii="Arial" w:hAnsi="Arial" w:cs="Arial"/>
          <w:sz w:val="24"/>
          <w:szCs w:val="24"/>
        </w:rPr>
        <w:fldChar w:fldCharType="end"/>
      </w:r>
      <w:r w:rsidRPr="005C183D">
        <w:rPr>
          <w:rFonts w:ascii="Arial" w:hAnsi="Arial" w:cs="Arial"/>
          <w:sz w:val="24"/>
          <w:szCs w:val="24"/>
        </w:rPr>
        <w:t>.</w:t>
      </w:r>
    </w:p>
    <w:p w14:paraId="32F01F1A"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lastRenderedPageBreak/>
        <w:t>In terms of the three major segments of global transportation, that is, air, land and ocean, there were significant impacts of the pandemic, most of which affected DHL as a logistics company.</w:t>
      </w:r>
    </w:p>
    <w:p w14:paraId="40E60069" w14:textId="77777777" w:rsidR="005C183D" w:rsidRPr="005C183D" w:rsidRDefault="005C183D" w:rsidP="005C183D">
      <w:pPr>
        <w:numPr>
          <w:ilvl w:val="0"/>
          <w:numId w:val="3"/>
        </w:numPr>
        <w:spacing w:line="360" w:lineRule="auto"/>
        <w:contextualSpacing/>
        <w:jc w:val="center"/>
        <w:rPr>
          <w:rFonts w:ascii="Arial" w:hAnsi="Arial" w:cs="Arial"/>
          <w:sz w:val="24"/>
          <w:szCs w:val="24"/>
        </w:rPr>
      </w:pPr>
      <w:r w:rsidRPr="005C183D">
        <w:rPr>
          <w:rFonts w:ascii="Arial" w:hAnsi="Arial" w:cs="Arial"/>
          <w:b/>
          <w:sz w:val="24"/>
          <w:szCs w:val="24"/>
        </w:rPr>
        <w:t>Air freight</w:t>
      </w:r>
      <w:r w:rsidRPr="005C183D">
        <w:rPr>
          <w:rFonts w:ascii="Arial" w:hAnsi="Arial" w:cs="Arial"/>
          <w:sz w:val="24"/>
          <w:szCs w:val="24"/>
        </w:rPr>
        <w:t xml:space="preserve">: there was a 19% reduction in March 2020 due to an acute decline in passenger flights, which carry goods as belly cargo. This reduction was also contributed by a decline in China's manufacturing output. Nevertheless, as governments and shippers turned to air cargo for vital goods, there was an increase in air freight and increased delays at the airports. An increase in capacity started to be experienced around Mid-April. Overall, the capacity reduction was greater compared to the net demand reduction, which supports high rates of air freight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Twinn","given":"Ian","non-dropping-particle":"","parse-names":false,"suffix":""},{"dropping-particle":"","family":"Qureshi","given":"Navaid","non-dropping-particle":"","parse-names":false,"suffix":""},{"dropping-particle":"","family":"Conde","given":"Maria López","non-dropping-particle":"","parse-names":false,"suffix":""},{"dropping-particle":"","family":"Guinea","given":"Carlos Garzón","non-dropping-particle":"","parse-names":false,"suffix":""},{"dropping-particle":"","family":"Rojas","given":"Daniel Perea","non-dropping-particle":"","parse-names":false,"suffix":""},{"dropping-particle":"","family":"Luo","given":"Jiayuan","non-dropping-particle":"","parse-names":false,"suffix":""},{"dropping-particle":"","family":"Gupta","given":"Harsh","non-dropping-particle":"","parse-names":false,"suffix":""}],"id":"ITEM-1","issued":{"date-parts":[["2020"]]},"number-of-pages":"1-5","title":"The Impact of COVID-19 on Logistics","type":"report"},"uris":["http://www.mendeley.com/documents/?uuid=fddad9f7-7709-4758-8c97-a7caabce289e"]}],"mendeley":{"formattedCitation":"(Twinn et al., 2020)","plainTextFormattedCitation":"(Twinn et al., 2020)","previouslyFormattedCitation":"(Twinn et al.,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(Twinn et al., 2020)</w:t>
      </w:r>
      <w:r w:rsidRPr="005C183D">
        <w:rPr>
          <w:rFonts w:ascii="Arial" w:hAnsi="Arial" w:cs="Arial"/>
          <w:sz w:val="24"/>
          <w:szCs w:val="24"/>
        </w:rPr>
        <w:fldChar w:fldCharType="end"/>
      </w:r>
      <w:r w:rsidRPr="005C183D">
        <w:rPr>
          <w:rFonts w:ascii="Arial" w:hAnsi="Arial" w:cs="Arial"/>
          <w:sz w:val="24"/>
          <w:szCs w:val="24"/>
        </w:rPr>
        <w:t>.</w:t>
      </w:r>
    </w:p>
    <w:p w14:paraId="52AA9F6C" w14:textId="77777777" w:rsidR="005C183D" w:rsidRPr="005C183D" w:rsidRDefault="005C183D" w:rsidP="005C183D">
      <w:pPr>
        <w:numPr>
          <w:ilvl w:val="0"/>
          <w:numId w:val="3"/>
        </w:numPr>
        <w:spacing w:line="360" w:lineRule="auto"/>
        <w:contextualSpacing/>
        <w:jc w:val="center"/>
        <w:rPr>
          <w:rFonts w:ascii="Arial" w:hAnsi="Arial" w:cs="Arial"/>
          <w:sz w:val="24"/>
          <w:szCs w:val="24"/>
        </w:rPr>
      </w:pPr>
      <w:r w:rsidRPr="005C183D">
        <w:rPr>
          <w:rFonts w:ascii="Arial" w:hAnsi="Arial" w:cs="Arial"/>
          <w:b/>
          <w:sz w:val="24"/>
          <w:szCs w:val="24"/>
        </w:rPr>
        <w:t>Land freight</w:t>
      </w:r>
      <w:r w:rsidRPr="005C183D">
        <w:rPr>
          <w:rFonts w:ascii="Arial" w:hAnsi="Arial" w:cs="Arial"/>
          <w:sz w:val="24"/>
          <w:szCs w:val="24"/>
        </w:rPr>
        <w:t xml:space="preserve">: unlike air and ocean transport, land transport remained moderately available worldwide since roads remained in operation. Only countries with sharp lockdowns experienced a severe reduction in the use of land transport. DHL’s trucking capacity was strained due to the additional demand for their services., such as the transportation of medical and food supplies during the lockdown period, in addition to a decline in the availability of employees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Twinn","given":"Ian","non-dropping-particle":"","parse-names":false,"suffix":""},{"dropping-particle":"","family":"Qureshi","given":"Navaid","non-dropping-particle":"","parse-names":false,"suffix":""},{"dropping-particle":"","family":"Conde","given":"Maria López","non-dropping-particle":"","parse-names":false,"suffix":""},{"dropping-particle":"","family":"Guinea","given":"Carlos Garzón","non-dropping-particle":"","parse-names":false,"suffix":""},{"dropping-particle":"","family":"Rojas","given":"Daniel Perea","non-dropping-particle":"","parse-names":false,"suffix":""},{"dropping-particle":"","family":"Luo","given":"Jiayuan","non-dropping-particle":"","parse-names":false,"suffix":""},{"dropping-particle":"","family":"Gupta","given":"Harsh","non-dropping-particle":"","parse-names":false,"suffix":""}],"id":"ITEM-1","issued":{"date-parts":[["2020"]]},"number-of-pages":"1-5","title":"The Impact of COVID-19 on Logistics","type":"report"},"uris":["http://www.mendeley.com/documents/?uuid=fddad9f7-7709-4758-8c97-a7caabce289e"]}],"mendeley":{"formattedCitation":"(Twinn et al., 2020)","plainTextFormattedCitation":"(Twinn et al., 2020)","previouslyFormattedCitation":"(Twinn et al.,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(Twinn et al., 2020)</w:t>
      </w:r>
      <w:r w:rsidRPr="005C183D">
        <w:rPr>
          <w:rFonts w:ascii="Arial" w:hAnsi="Arial" w:cs="Arial"/>
          <w:sz w:val="24"/>
          <w:szCs w:val="24"/>
        </w:rPr>
        <w:fldChar w:fldCharType="end"/>
      </w:r>
      <w:r w:rsidRPr="005C183D">
        <w:rPr>
          <w:rFonts w:ascii="Arial" w:hAnsi="Arial" w:cs="Arial"/>
          <w:sz w:val="24"/>
          <w:szCs w:val="24"/>
        </w:rPr>
        <w:t>. This led to higher rates. Spot road freight rates fell in various markets because other economic sectors that depended on land transport were not at full capacity.</w:t>
      </w:r>
    </w:p>
    <w:p w14:paraId="76B2E5EC" w14:textId="77777777" w:rsidR="005C183D" w:rsidRPr="005C183D" w:rsidRDefault="005C183D" w:rsidP="005C183D">
      <w:pPr>
        <w:numPr>
          <w:ilvl w:val="0"/>
          <w:numId w:val="3"/>
        </w:numPr>
        <w:spacing w:line="360" w:lineRule="auto"/>
        <w:contextualSpacing/>
        <w:jc w:val="center"/>
        <w:rPr>
          <w:rFonts w:ascii="Arial" w:hAnsi="Arial" w:cs="Arial"/>
          <w:sz w:val="24"/>
          <w:szCs w:val="24"/>
        </w:rPr>
      </w:pPr>
      <w:r w:rsidRPr="005C183D">
        <w:rPr>
          <w:rFonts w:ascii="Arial" w:hAnsi="Arial" w:cs="Arial"/>
          <w:b/>
          <w:sz w:val="24"/>
          <w:szCs w:val="24"/>
        </w:rPr>
        <w:t>Ocean freight</w:t>
      </w:r>
      <w:r w:rsidRPr="005C183D">
        <w:rPr>
          <w:rFonts w:ascii="Arial" w:hAnsi="Arial" w:cs="Arial"/>
          <w:sz w:val="24"/>
          <w:szCs w:val="24"/>
        </w:rPr>
        <w:t xml:space="preserve">: in the first months of 2020, there was a 10% drop in the total volumes of containers handled at Chinese ports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Twinn","given":"Ian","non-dropping-particle":"","parse-names":false,"suffix":""},{"dropping-particle":"","family":"Qureshi","given":"Navaid","non-dropping-particle":"","parse-names":false,"suffix":""},{"dropping-particle":"","family":"Conde","given":"Maria López","non-dropping-particle":"","parse-names":false,"suffix":""},{"dropping-particle":"","family":"Guinea","given":"Carlos Garzón","non-dropping-particle":"","parse-names":false,"suffix":""},{"dropping-particle":"","family":"Rojas","given":"Daniel Perea","non-dropping-particle":"","parse-names":false,"suffix":""},{"dropping-particle":"","family":"Luo","given":"Jiayuan","non-dropping-particle":"","parse-names":false,"suffix":""},{"dropping-particle":"","family":"Gupta","given":"Harsh","non-dropping-particle":"","parse-names":false,"suffix":""}],"id":"ITEM-1","issued":{"date-parts":[["2020"]]},"number-of-pages":"1-5","title":"The Impact of COVID-19 on Logistics","type":"report"},"uris":["http://www.mendeley.com/documents/?uuid=fddad9f7-7709-4758-8c97-a7caabce289e"]}],"mendeley":{"formattedCitation":"(Twinn et al., 2020)","plainTextFormattedCitation":"(Twinn et al., 2020)","previouslyFormattedCitation":"(Twinn et al.,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(Twinn et al., 2020)</w:t>
      </w:r>
      <w:r w:rsidRPr="005C183D">
        <w:rPr>
          <w:rFonts w:ascii="Arial" w:hAnsi="Arial" w:cs="Arial"/>
          <w:sz w:val="24"/>
          <w:szCs w:val="24"/>
        </w:rPr>
        <w:fldChar w:fldCharType="end"/>
      </w:r>
      <w:r w:rsidRPr="005C183D">
        <w:rPr>
          <w:rFonts w:ascii="Arial" w:hAnsi="Arial" w:cs="Arial"/>
          <w:sz w:val="24"/>
          <w:szCs w:val="24"/>
        </w:rPr>
        <w:t>. There were significant constraints to ocean freight globally, affecting key exporters such as Mexico, India, China and Brazil. Key importers, such as the European Union, were affected. According to DHL, the routes between Europe and Asia, Latin America and the United States experienced weak demand, which led to additional blank sailings.</w:t>
      </w:r>
    </w:p>
    <w:p w14:paraId="482B79F5"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Shortages in labour also disrupted DHL since some of its logistics are based on trucks. The organisation struggled to fill drivers' roles. Closures of normal routes disrupted trucking activities to a large extent. DHL was forced to think on its feet </w:t>
      </w:r>
      <w:r w:rsidRPr="005C183D">
        <w:rPr>
          <w:rFonts w:ascii="Arial" w:hAnsi="Arial" w:cs="Arial"/>
          <w:sz w:val="24"/>
          <w:szCs w:val="24"/>
        </w:rPr>
        <w:lastRenderedPageBreak/>
        <w:t xml:space="preserve">because the pandemic began impacting its operation. It quickly put together task forces and maintained communication across the board efficiently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supplychaindigital.com/digital-supply-chain/dhl-how-supply-chains-have-responded-covid-19","accessed":{"date-parts":[["2023","4","29"]]},"author":[{"dropping-particle":"","family":"Grimshaw","given":"Jack","non-dropping-particle":"","parse-names":false,"suffix":""}],"container-title":"Supply Chain Digital","id":"ITEM-1","issued":{"date-parts":[["2020"]]},"title":"DHL: How Supply Chains Have Responded To COVID-19","type":"webpage"},"uris":["http://www.mendeley.com/documents/?uuid=0b66c78b-50a2-43b8-b0be-2baf8d4e5719"]}],"mendeley":{"formattedCitation":"(Grimshaw, 2020)","plainTextFormattedCitation":"(Grimshaw, 2020)","previouslyFormattedCitation":"(Grimshaw, 2020)"},"properties":{"noteIndex":0},"schema":"https://github.com/citation-style-language/schema/raw/master/csl-citation.json"}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(Grimshaw, 2020)</w:t>
      </w:r>
      <w:r w:rsidRPr="005C183D">
        <w:rPr>
          <w:rFonts w:ascii="Arial" w:hAnsi="Arial" w:cs="Arial"/>
          <w:sz w:val="24"/>
          <w:szCs w:val="24"/>
        </w:rPr>
        <w:fldChar w:fldCharType="end"/>
      </w:r>
      <w:r w:rsidRPr="005C183D">
        <w:rPr>
          <w:rFonts w:ascii="Arial" w:hAnsi="Arial" w:cs="Arial"/>
          <w:sz w:val="24"/>
          <w:szCs w:val="24"/>
        </w:rPr>
        <w:t>.</w:t>
      </w:r>
    </w:p>
    <w:p w14:paraId="46F28325" w14:textId="51911051" w:rsidR="005C183D" w:rsidRPr="005C183D" w:rsidRDefault="005C183D" w:rsidP="005C183D">
      <w:pPr>
        <w:keepNext/>
        <w:keepLines/>
        <w:spacing w:before="240" w:after="0" w:line="360" w:lineRule="auto"/>
        <w:ind w:left="360" w:hanging="360"/>
        <w:jc w:val="center"/>
        <w:outlineLvl w:val="0"/>
        <w:rPr>
          <w:rFonts w:ascii="Arial" w:eastAsiaTheme="majorEastAsia" w:hAnsi="Arial" w:cs="Arial"/>
          <w:color w:val="2F5496" w:themeColor="accent1" w:themeShade="BF"/>
          <w:sz w:val="24"/>
          <w:szCs w:val="24"/>
        </w:rPr>
      </w:pPr>
      <w:bookmarkStart w:id="5" w:name="_Toc133661881"/>
      <w:r w:rsidRPr="005C183D">
        <w:rPr>
          <w:rFonts w:ascii="Arial" w:eastAsiaTheme="majorEastAsia" w:hAnsi="Arial" w:cs="Arial"/>
          <w:color w:val="2F5496" w:themeColor="accent1" w:themeShade="BF"/>
          <w:sz w:val="24"/>
          <w:szCs w:val="24"/>
        </w:rPr>
        <w:t xml:space="preserve">Issues of Strategic change, </w:t>
      </w:r>
      <w:r w:rsidRPr="005C183D">
        <w:rPr>
          <w:rFonts w:ascii="Arial" w:eastAsiaTheme="majorEastAsia" w:hAnsi="Arial" w:cs="Arial"/>
          <w:color w:val="2F5496" w:themeColor="accent1" w:themeShade="BF"/>
          <w:sz w:val="24"/>
          <w:szCs w:val="24"/>
        </w:rPr>
        <w:t>models,</w:t>
      </w:r>
      <w:r w:rsidRPr="005C183D">
        <w:rPr>
          <w:rFonts w:ascii="Arial" w:eastAsiaTheme="majorEastAsia" w:hAnsi="Arial" w:cs="Arial"/>
          <w:color w:val="2F5496" w:themeColor="accent1" w:themeShade="BF"/>
          <w:sz w:val="24"/>
          <w:szCs w:val="24"/>
        </w:rPr>
        <w:t xml:space="preserve"> and Leadership Style</w:t>
      </w:r>
      <w:bookmarkEnd w:id="5"/>
    </w:p>
    <w:p w14:paraId="609E05CB"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Change is an unavoidable occurrence in any organisation. It is critical for organisations to manage changes successfully. After the Covid 19 pandemic, most organisational were negatively affected as this was an emergent strategic change. Planned organisational management was necessary to help the organisation to transition through the post-pandemic era.</w:t>
      </w:r>
    </w:p>
    <w:p w14:paraId="29513768" w14:textId="77777777" w:rsidR="005C183D" w:rsidRPr="005C183D" w:rsidRDefault="005C183D" w:rsidP="005C183D">
      <w:pPr>
        <w:keepNext/>
        <w:keepLines/>
        <w:numPr>
          <w:ilvl w:val="1"/>
          <w:numId w:val="0"/>
        </w:numPr>
        <w:spacing w:before="40" w:after="0" w:line="360" w:lineRule="auto"/>
        <w:ind w:left="720" w:hanging="360"/>
        <w:jc w:val="center"/>
        <w:outlineLvl w:val="1"/>
        <w:rPr>
          <w:rFonts w:ascii="Arial" w:eastAsiaTheme="majorEastAsia" w:hAnsi="Arial" w:cs="Arial"/>
          <w:color w:val="2F5496" w:themeColor="accent1" w:themeShade="BF"/>
          <w:sz w:val="24"/>
          <w:szCs w:val="24"/>
        </w:rPr>
      </w:pPr>
      <w:bookmarkStart w:id="6" w:name="_Toc133661882"/>
      <w:r w:rsidRPr="005C183D">
        <w:rPr>
          <w:rFonts w:ascii="Arial" w:eastAsiaTheme="majorEastAsia" w:hAnsi="Arial" w:cs="Arial"/>
          <w:color w:val="2F5496" w:themeColor="accent1" w:themeShade="BF"/>
          <w:sz w:val="24"/>
          <w:szCs w:val="24"/>
        </w:rPr>
        <w:t>Kurt Lewin’s Change Model</w:t>
      </w:r>
      <w:bookmarkEnd w:id="6"/>
    </w:p>
    <w:p w14:paraId="2BC75185"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Lewin developed a change model consisting of three steps: unfreezing, changing and refreezing. The model is a practical and simplified tool that can help organisations to manage change. According to Lewin, the change process involves the creation of a notion that change is necessary, then moving towards the desired and new behavioural level and solidifying new behaviour as the organisational norm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{"citationItems":[{"id":"ITEM-1","itemData":{"DOI":"10.1016/j.jik.2016.07.002","ISSN":"2444569X","author":[{"dropping-particle":"","family":"Hussain","given":"Syed Talib","non-dropping-particle":"","parse-names":false,"suffix":""},{"dropping-particle":"","family":"Lei","given":"Shen","non-dropping-particle":"","parse-names":false,"suffix":""},{"dropping-particle":"","family":"Akram","given":"Tayyaba","non-dropping-particle":"","parse-names":false,"suffix":""},{"dropping-particle":"","family":"Haider","given":"Muhammad Jamal","non-dropping-particle":"","parse-names":false,"suffix":""},{"dropping-particle":"","family":"Hussain","given":"Syed Hadi","non-dropping-particle":"","parse-names":false,"suffix":""},{"dropping-particle":"","family":"Ali","given":"Muhammad","non-dropping-particle":"","parse-names":false,"suffix":""}],"container-title":"Journal of Innovation &amp; Knowledge","id":"ITEM-1","issue":"3","issued":{"date-parts":[["2018","9"]]},"page":"123-127","title":"Kurt Lewin's change model: A critical review of the role of leadership and employee involvement in organizational change","type":"article-journal","volume":"3"},"uris":["http://www.mendeley.com/documents/?uuid=d51ae1e7-1987-4645-8958-4f2e5bad500f"]}],"mendeley":{"formattedCitation":"(Hussain et al., 2018)","plainTextFormattedCitation":"(Hussain et al., 2018)","previouslyFormattedCitation":"(Hussain et al., 2018)"},"properties":{"noteIndex":0},"schema":"https://github.com/citation-style-language/schema/raw/master/csl-citation.json"}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(Hussain et al., 2018)</w:t>
      </w:r>
      <w:r w:rsidRPr="005C183D">
        <w:rPr>
          <w:rFonts w:ascii="Arial" w:hAnsi="Arial" w:cs="Arial"/>
          <w:sz w:val="24"/>
          <w:szCs w:val="24"/>
        </w:rPr>
        <w:fldChar w:fldCharType="end"/>
      </w:r>
      <w:r w:rsidRPr="005C183D">
        <w:rPr>
          <w:rFonts w:ascii="Arial" w:hAnsi="Arial" w:cs="Arial"/>
          <w:sz w:val="24"/>
          <w:szCs w:val="24"/>
        </w:rPr>
        <w:t>. According to this model, it is necessary for organisations to consider the available options that can help them to move to the anticipated state and utilise the best route available. The probabilities of every route should be considered and analysed critically before being abandoned or adopted. Organisations may resist change if their customs and habits are opposed to the change or if there is internal resistance to change, mostly stakeholders. Internal stakeholders include employees, managers, shareholders and owners.</w:t>
      </w:r>
    </w:p>
    <w:p w14:paraId="188F32C3"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w:drawing>
          <wp:inline distT="0" distB="0" distL="0" distR="0" wp14:anchorId="1634491B" wp14:editId="6EE5427C">
            <wp:extent cx="2477843" cy="2143125"/>
            <wp:effectExtent l="0" t="0" r="0"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88226" cy="2152106"/>
                    </a:xfrm>
                    <a:prstGeom prst="rect">
                      <a:avLst/>
                    </a:prstGeom>
                    <a:noFill/>
                  </pic:spPr>
                </pic:pic>
              </a:graphicData>
            </a:graphic>
          </wp:inline>
        </w:drawing>
      </w:r>
    </w:p>
    <w:p w14:paraId="489B1557" w14:textId="77777777" w:rsidR="005C183D" w:rsidRPr="005C183D" w:rsidRDefault="005C183D" w:rsidP="005C183D">
      <w:pPr>
        <w:spacing w:line="360" w:lineRule="auto"/>
        <w:jc w:val="center"/>
        <w:rPr>
          <w:rFonts w:ascii="Arial" w:hAnsi="Arial" w:cs="Arial"/>
          <w:i/>
          <w:sz w:val="24"/>
          <w:szCs w:val="24"/>
        </w:rPr>
      </w:pPr>
      <w:r w:rsidRPr="005C183D">
        <w:rPr>
          <w:rFonts w:ascii="Arial" w:hAnsi="Arial" w:cs="Arial"/>
          <w:i/>
          <w:sz w:val="24"/>
          <w:szCs w:val="24"/>
        </w:rPr>
        <w:lastRenderedPageBreak/>
        <w:t xml:space="preserve">Lewin’s Model </w:t>
      </w:r>
      <w:r w:rsidRPr="005C183D">
        <w:rPr>
          <w:rFonts w:ascii="Arial" w:hAnsi="Arial" w:cs="Arial"/>
          <w:i/>
          <w:sz w:val="24"/>
          <w:szCs w:val="24"/>
        </w:rPr>
        <w:fldChar w:fldCharType="begin" w:fldLock="1"/>
      </w:r>
      <w:r w:rsidRPr="005C183D">
        <w:rPr>
          <w:rFonts w:ascii="Arial" w:hAnsi="Arial" w:cs="Arial"/>
          <w:i/>
          <w:sz w:val="24"/>
          <w:szCs w:val="24"/>
        </w:rPr>
        <w:instrText>ADDIN CSL_CITATION {"citationItems":[{"id":"ITEM-1","itemData":{"URL":"https://www.bmc.com/blogs/lewin-three-stage-model-change/","accessed":{"date-parts":[["2023","4","29"]]},"author":[{"dropping-particle":"","family":"Raza","given":"Muhammad","non-dropping-particle":"","parse-names":false,"suffix":""}],"container-title":"BMC","id":"ITEM-1","issued":{"date-parts":[["2019"]]},"title":"Lewin’s 3 Stage Model of Change Explained","type":"webpage"},"uris":["http://www.mendeley.com/documents/?uuid=0e497901-2f39-4b99-8da2-928cdb8a03ce"]}],"mendeley":{"formattedCitation":"(Raza, 2019)","plainTextFormattedCitation":"(Raza, 2019)"},"properties":{"noteIndex":0},"schema":"https://github.com/citation-style-language/schema/raw/master/csl-citation.json"}</w:instrText>
      </w:r>
      <w:r w:rsidRPr="005C183D">
        <w:rPr>
          <w:rFonts w:ascii="Arial" w:hAnsi="Arial" w:cs="Arial"/>
          <w:i/>
          <w:sz w:val="24"/>
          <w:szCs w:val="24"/>
        </w:rPr>
        <w:fldChar w:fldCharType="separate"/>
      </w:r>
      <w:r w:rsidRPr="005C183D">
        <w:rPr>
          <w:rFonts w:ascii="Arial" w:hAnsi="Arial" w:cs="Arial"/>
          <w:i/>
          <w:noProof/>
          <w:sz w:val="24"/>
          <w:szCs w:val="24"/>
        </w:rPr>
        <w:t>(Raza, 2019)</w:t>
      </w:r>
      <w:r w:rsidRPr="005C183D">
        <w:rPr>
          <w:rFonts w:ascii="Arial" w:hAnsi="Arial" w:cs="Arial"/>
          <w:i/>
          <w:sz w:val="24"/>
          <w:szCs w:val="24"/>
        </w:rPr>
        <w:fldChar w:fldCharType="end"/>
      </w:r>
    </w:p>
    <w:p w14:paraId="008E94C8" w14:textId="77777777" w:rsidR="005C183D" w:rsidRPr="005C183D" w:rsidRDefault="005C183D" w:rsidP="005C183D">
      <w:pPr>
        <w:keepNext/>
        <w:keepLines/>
        <w:numPr>
          <w:ilvl w:val="2"/>
          <w:numId w:val="2"/>
        </w:numPr>
        <w:spacing w:before="40" w:after="0" w:line="360" w:lineRule="auto"/>
        <w:jc w:val="center"/>
        <w:outlineLvl w:val="2"/>
        <w:rPr>
          <w:rFonts w:ascii="Arial" w:eastAsiaTheme="majorEastAsia" w:hAnsi="Arial" w:cs="Arial"/>
          <w:color w:val="1F3763" w:themeColor="accent1" w:themeShade="7F"/>
          <w:sz w:val="24"/>
          <w:szCs w:val="24"/>
        </w:rPr>
      </w:pPr>
      <w:bookmarkStart w:id="7" w:name="_Toc133661883"/>
      <w:r w:rsidRPr="005C183D">
        <w:rPr>
          <w:rFonts w:ascii="Arial" w:eastAsiaTheme="majorEastAsia" w:hAnsi="Arial" w:cs="Arial"/>
          <w:color w:val="1F3763" w:themeColor="accent1" w:themeShade="7F"/>
          <w:sz w:val="24"/>
          <w:szCs w:val="24"/>
        </w:rPr>
        <w:t>Unfreezing</w:t>
      </w:r>
      <w:bookmarkEnd w:id="7"/>
    </w:p>
    <w:p w14:paraId="78EE7EE4"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This is the first step of Lewin’s model. It entails preparing the organisation to appreciate why change is necessary by breaking down the prevailing status quo prior to building a new modus operandi. Besides, it involves creating a compelling message to show why the current way of doing things is not appropriate, hence necessitating change that everyone can understand. The step also entails preparing the organisation by challenging its existing behaviourism in terms of attitudes and values. Strong motivation can be created by forcing the organisation to re-examine its core. It is not possible to generate a meaningful change if such motivation is not invoked.</w:t>
      </w:r>
    </w:p>
    <w:p w14:paraId="7086E08B"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The organisational change was necessary post-COVID-19 for DHL to recover. As countries globally put safety protocols in place, DHL quickly pivoted to digital transformation and e-commerce. Its employees were shown the need for such change, and the organisation increasingly made plans to go virtual and digital. The pandemic has accelerated the speed with which DHL is able to digitally enhance its processes through transitioning to collaboration and remote work and executing technology in its operations.</w:t>
      </w:r>
    </w:p>
    <w:p w14:paraId="016139A6"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DHL was able to assess its one-source supply chain and, just-in-time and realise the dangers associated with them. Most operations needed rethinking, such as leveraging the Internet of Things or using robots. Since the pandemic has cost several jobs, the company has been moving to integrate robots in covering some mundane jobs such as packaging. This has created opportunities for its employees to develop other skills. The company also engaged its employees towards investing in furthering their skills to help them to transition to work amid these technologies and remote working environments. Digitisation has helped employees to enhance performance instead of replacement for skilled employees.</w:t>
      </w:r>
    </w:p>
    <w:p w14:paraId="09ED403E" w14:textId="77777777" w:rsidR="005C183D" w:rsidRPr="005C183D" w:rsidRDefault="005C183D" w:rsidP="005C183D">
      <w:pPr>
        <w:keepNext/>
        <w:keepLines/>
        <w:numPr>
          <w:ilvl w:val="2"/>
          <w:numId w:val="2"/>
        </w:numPr>
        <w:spacing w:before="40" w:after="0" w:line="360" w:lineRule="auto"/>
        <w:jc w:val="center"/>
        <w:outlineLvl w:val="2"/>
        <w:rPr>
          <w:rFonts w:ascii="Arial" w:eastAsiaTheme="majorEastAsia" w:hAnsi="Arial" w:cs="Arial"/>
          <w:color w:val="1F3763" w:themeColor="accent1" w:themeShade="7F"/>
          <w:sz w:val="24"/>
          <w:szCs w:val="24"/>
        </w:rPr>
      </w:pPr>
      <w:bookmarkStart w:id="8" w:name="_Toc133661884"/>
      <w:r w:rsidRPr="005C183D">
        <w:rPr>
          <w:rFonts w:ascii="Arial" w:eastAsiaTheme="majorEastAsia" w:hAnsi="Arial" w:cs="Arial"/>
          <w:color w:val="1F3763" w:themeColor="accent1" w:themeShade="7F"/>
          <w:sz w:val="24"/>
          <w:szCs w:val="24"/>
        </w:rPr>
        <w:t>Change</w:t>
      </w:r>
      <w:bookmarkEnd w:id="8"/>
    </w:p>
    <w:p w14:paraId="6DC64112"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According to Lewin, change is a process where an organisation should move or transition into a new state. This is when the change becomes real. Transitioning to change does not take place in a day, but it takes time before people can embrace the </w:t>
      </w:r>
      <w:r w:rsidRPr="005C183D">
        <w:rPr>
          <w:rFonts w:ascii="Arial" w:hAnsi="Arial" w:cs="Arial"/>
          <w:sz w:val="24"/>
          <w:szCs w:val="24"/>
        </w:rPr>
        <w:lastRenderedPageBreak/>
        <w:t>new direction and take part in the change. It is critical for all stakeholders to appreciate how the change will benefit them and hence need to contribute towards the change.</w:t>
      </w:r>
    </w:p>
    <w:p w14:paraId="69BB3DDE"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DHL has moved into the data-led approach. The pandemic showed how unequipped the organisation was to handle disruptions to normal operations. The industry employs resilient and flexible procedures that are based on data. Free-flowing data across an ecosystem of the supply chain ensures transparency and visibility in logistics operations. This insinuates that an unanticipated change cannot be a disaster for the delivery. Instead, it can be an opportunity for rerouting the global flow of goods and still getting to the destination on time. DHL has advanced its analytics within the supply chain, meaning it is possible to draw as many insights as possible and turn them into executable opportunities on a scalable setup.</w:t>
      </w:r>
    </w:p>
    <w:p w14:paraId="4F416CA7" w14:textId="77777777" w:rsidR="005C183D" w:rsidRPr="005C183D" w:rsidRDefault="005C183D" w:rsidP="005C183D">
      <w:pPr>
        <w:keepNext/>
        <w:keepLines/>
        <w:numPr>
          <w:ilvl w:val="2"/>
          <w:numId w:val="2"/>
        </w:numPr>
        <w:spacing w:before="40" w:after="0" w:line="360" w:lineRule="auto"/>
        <w:jc w:val="center"/>
        <w:outlineLvl w:val="2"/>
        <w:rPr>
          <w:rFonts w:ascii="Arial" w:eastAsiaTheme="majorEastAsia" w:hAnsi="Arial" w:cs="Arial"/>
          <w:color w:val="1F3763" w:themeColor="accent1" w:themeShade="7F"/>
          <w:sz w:val="24"/>
          <w:szCs w:val="24"/>
        </w:rPr>
      </w:pPr>
      <w:bookmarkStart w:id="9" w:name="_Toc133661885"/>
      <w:r w:rsidRPr="005C183D">
        <w:rPr>
          <w:rFonts w:ascii="Arial" w:eastAsiaTheme="majorEastAsia" w:hAnsi="Arial" w:cs="Arial"/>
          <w:color w:val="1F3763" w:themeColor="accent1" w:themeShade="7F"/>
          <w:sz w:val="24"/>
          <w:szCs w:val="24"/>
        </w:rPr>
        <w:t>Refreeze</w:t>
      </w:r>
      <w:bookmarkEnd w:id="9"/>
    </w:p>
    <w:p w14:paraId="1BF217F0"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This is the third stage of Lewin’s model. The organisation is ready to refreeze when the changes have taken shape and have been embraced as the new norm at work. This can be depicted from signs such as consistent job descriptions and stable organisational charts. This stage is meant to help individuals in the organisation to institutionalise or internalise the changes by ensuring that the changes are incorporated into the daily running of the business. Employees in this stage feel comfortable and confident in the new working environment.</w:t>
      </w:r>
    </w:p>
    <w:p w14:paraId="318D20CA"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DHL has managed to shorten processes that took longer to implement, such as collaboration and remote work, the use of technology in operations and a shift in the last mile delivery ownership. DHL achieved this in a few weeks, and all employees were able to transition to the new work environment. With the undoubtable importance of logistics, especially from lessons learned from the COVID-19 pandemic, the new operational changes that have taken effect at DHL are welcome to most people. This is because logistics is now appreciated as a valuable driver for organisations. The adoption of the IoT to track shipments and their conditions has been fully implemented post-pandemic period. According to the company, the supply chain has changed and is unlikely to return to pre-COVID days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techwireasia.com/2022/11/dhl-recalibrating-logistics-supply-chains-in-a-post-covid-era/","accessed":{"date-parts":[["2023","4","29"]]},"author":[{"dropping-particle":"","family":"Kaur","given":"Dashveenjit","non-dropping-particle":"","parse-names":false,"suffix":""}],"container-title":"Techwire","id":"ITEM-1","issued":{"date-parts":[["2022"]]},"title":"DHL: Recalibrating logistics, supply chains in a post-Covid era","type":"webpage"},"uris":["http://www.mendeley.com/documents/?uuid=42daf79d-ae33-4d0a-b7f8-e2cd9f8ddea8"]}],"mendeley":{"formattedCitation":"(Kaur, 2022)","plainTextFormattedCitation":"(Kaur, 2022)","previouslyFormattedCitation":"(Kaur, 2022)"},"properties":{"noteIndex":0},"schema":"https://github.com/citation-style-language/schema/raw/master/csl-citation.json"}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(Kaur, 2022)</w:t>
      </w:r>
      <w:r w:rsidRPr="005C183D">
        <w:rPr>
          <w:rFonts w:ascii="Arial" w:hAnsi="Arial" w:cs="Arial"/>
          <w:sz w:val="24"/>
          <w:szCs w:val="24"/>
        </w:rPr>
        <w:fldChar w:fldCharType="end"/>
      </w:r>
      <w:r w:rsidRPr="005C183D">
        <w:rPr>
          <w:rFonts w:ascii="Arial" w:hAnsi="Arial" w:cs="Arial"/>
          <w:sz w:val="24"/>
          <w:szCs w:val="24"/>
        </w:rPr>
        <w:t>.</w:t>
      </w:r>
    </w:p>
    <w:p w14:paraId="0E2FAD9E"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lastRenderedPageBreak/>
        <w:t xml:space="preserve">Russell defines organisational change management as “the planned organisational-wide effort to increase individual and organisational effectiveness via behavioural science knowledge.”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{"citationItems":[{"id":"ITEM-1","itemData":{"DOI":"10.1007/BF01064153","ISSN":"0894-9859","author":[{"dropping-particle":"","family":"Ackoff","given":"Russell L.","non-dropping-particle":"","parse-names":false,"suffix":""}],"container-title":"Systems Practice","id":"ITEM-1","issue":"5","issued":{"date-parts":[["1990","10"]]},"page":"427-440","title":"The management of change and the changes it requires of management","type":"article-journal","volume":"3"},"uris":["http://www.mendeley.com/documents/?uuid=9ab21d80-341c-4791-88c1-a35e8b078bb0"]}],"mendeley":{"formattedCitation":"(Ackoff, 1990)","plainTextFormattedCitation":"(Ackoff, 1990)","previouslyFormattedCitation":"(Ackoff, 1990)"},"properties":{"noteIndex":0},"schema":"https://github.com/citation-style-language/schema/raw/master/csl-citation.json"}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(Ackoff, 1990)</w:t>
      </w:r>
      <w:r w:rsidRPr="005C183D">
        <w:rPr>
          <w:rFonts w:ascii="Arial" w:hAnsi="Arial" w:cs="Arial"/>
          <w:sz w:val="24"/>
          <w:szCs w:val="24"/>
        </w:rPr>
        <w:fldChar w:fldCharType="end"/>
      </w:r>
      <w:r w:rsidRPr="005C183D">
        <w:rPr>
          <w:rFonts w:ascii="Arial" w:hAnsi="Arial" w:cs="Arial"/>
          <w:sz w:val="24"/>
          <w:szCs w:val="24"/>
        </w:rPr>
        <w:t xml:space="preserve"> Organisational change is meant to reduce possible general structural business changes that may adversely affect an organisation. Particularly, organisational change management focuses on macro and micro levels. According to Russell, 50% of change initiatives resulted in minimal change. While this does not mean that change may hurt the organisation, it means that it may not be meaningful. He also notes that when an action plan towards change is being developed, the change leader is key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www.michiganstateuniversityonline.com/resources/leadership/effective-organizational-change-management-dr-russell-johnson/","accessed":{"date-parts":[["2023","4","29"]]},"author":[{"dropping-particle":"","family":"Michigan State University","given":"","non-dropping-particle":"","parse-names":false,"suffix":""}],"id":"ITEM-1","issued":{"date-parts":[["2019"]]},"title":"Effective Organizational Change Management by Dr. Russell Johnson","type":"webpage"},"uris":["http://www.mendeley.com/documents/?uuid=e9842ab0-08db-4673-8d65-ca8590bf164b"]}],"mendeley":{"formattedCitation":"(Michigan State University, 2019)","plainTextFormattedCitation":"(Michigan State University, 2019)","previouslyFormattedCitation":"(Michigan State University, 2019)"},"properties":{"noteIndex":0},"schema":"https://github.com/citation-style-language/schema/raw/master/csl-citation.json"}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(Michigan State University, 2019)</w:t>
      </w:r>
      <w:r w:rsidRPr="005C183D">
        <w:rPr>
          <w:rFonts w:ascii="Arial" w:hAnsi="Arial" w:cs="Arial"/>
          <w:sz w:val="24"/>
          <w:szCs w:val="24"/>
        </w:rPr>
        <w:fldChar w:fldCharType="end"/>
      </w:r>
      <w:r w:rsidRPr="005C183D">
        <w:rPr>
          <w:rFonts w:ascii="Arial" w:hAnsi="Arial" w:cs="Arial"/>
          <w:sz w:val="24"/>
          <w:szCs w:val="24"/>
        </w:rPr>
        <w:t>. It is critical to identify the important issues and then collaborate in plan creation.</w:t>
      </w:r>
    </w:p>
    <w:p w14:paraId="56243DC5"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sz w:val="24"/>
          <w:szCs w:val="24"/>
        </w:rPr>
        <w:t xml:space="preserve">Largely, DHL’s leadership style has been authentic leadership. To start with,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{"citationItems":[{"id":"ITEM-1","itemData":{"author":[{"dropping-particle":"","family":"Yukl","given":"G","non-dropping-particle":"","parse-names":false,"suffix":""}],"edition":"7th","id":"ITEM-1","issued":{"date-parts":[["2010"]]},"publisher":"Pearson Education Inc.","publisher-place":"Upper Saddle River, New Jersey","title":"Leadership in Organisations","type":"book"},"uris":["http://www.mendeley.com/documents/?uuid=5991deb6-9a93-49f3-b029-ae5e1cf26b95"]}],"mendeley":{"formattedCitation":"(Yukl, 2010)","manualFormatting":"Yukl (2010)","plainTextFormattedCitation":"(Yukl, 2010)","previouslyFormattedCitation":"(Yukl, 2010)"},"properties":{"noteIndex":0},"schema":"https://github.com/citation-style-language/schema/raw/master/csl-citation.json"}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Yukl (2010)</w:t>
      </w:r>
      <w:r w:rsidRPr="005C183D">
        <w:rPr>
          <w:rFonts w:ascii="Arial" w:hAnsi="Arial" w:cs="Arial"/>
          <w:sz w:val="24"/>
          <w:szCs w:val="24"/>
        </w:rPr>
        <w:fldChar w:fldCharType="end"/>
      </w:r>
      <w:r w:rsidRPr="005C183D">
        <w:rPr>
          <w:rFonts w:ascii="Arial" w:hAnsi="Arial" w:cs="Arial"/>
          <w:sz w:val="24"/>
          <w:szCs w:val="24"/>
        </w:rPr>
        <w:t xml:space="preserve"> defines leadership as "the process of influencing others to understand and agree about what needs to be done and how to do it, and the process of facilitating individual and collective efforts to accomplishing shared objectives". Authentic leadership, on the other hand, insinuates a style of leadership in which persons have high integrity standards and are responsible for their actions. They make decisions not on short-term success but on principles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{"citationItems":[{"id":"ITEM-1","itemData":{"DOI":"10.1016/j.leaqua.2021.101495","ISSN":"10489843","author":[{"dropping-particle":"","family":"Gardner","given":"William L.","non-dropping-particle":"","parse-names":false,"suffix":""},{"dropping-particle":"","family":"Karam","given":"Elizabeth P.","non-dropping-particle":"","parse-names":false,"suffix":""},{"dropping-particle":"","family":"Alvesson","given":"Mats","non-dropping-particle":"","parse-names":false,"suffix":""},{"dropping-particle":"","family":"Einola","given":"Katja","non-dropping-particle":"","parse-names":false,"suffix":""}],"container-title":"The Leadership Quarterly","id":"ITEM-1","issue":"6","issued":{"date-parts":[["2021","12"]]},"page":"101495","title":"Authentic leadership theory: The case for and against","type":"article-journal","volume":"32"},"uris":["http://www.mendeley.com/documents/?uuid=7b03adf6-9236-4f98-a50d-308c39cd840f"]}],"mendeley":{"formattedCitation":"(Gardner et al., 2021)","plainTextFormattedCitation":"(Gardner et al., 2021)","previouslyFormattedCitation":"(Gardner et al., 2021)"},"properties":{"noteIndex":0},"schema":"https://github.com/citation-style-language/schema/raw/master/csl-citation.json"}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(Gardner et al., 2021)</w:t>
      </w:r>
      <w:r w:rsidRPr="005C183D">
        <w:rPr>
          <w:rFonts w:ascii="Arial" w:hAnsi="Arial" w:cs="Arial"/>
          <w:sz w:val="24"/>
          <w:szCs w:val="24"/>
        </w:rPr>
        <w:fldChar w:fldCharType="end"/>
      </w:r>
      <w:r w:rsidRPr="005C183D">
        <w:rPr>
          <w:rFonts w:ascii="Arial" w:hAnsi="Arial" w:cs="Arial"/>
          <w:sz w:val="24"/>
          <w:szCs w:val="24"/>
        </w:rPr>
        <w:t>. Authentic leaders are motivated, and they strive to create meaningful relationships with their team as they work towards the organisational vision and mission.</w:t>
      </w:r>
    </w:p>
    <w:p w14:paraId="47629152"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In the wake of change, the external environment, such as the COVID-19 pandemic, is a clear indication that flexibility in leadership style is key. According to the situational leadership theory, leadership style should be a function of context. That means that different circumstances will require different types of leadership styles. According to this approach, there is a need to match the elements of the style of leadership and the maturity or preparedness levels of the followers. The theory identifies four main approaches to leadership:</w:t>
      </w:r>
    </w:p>
    <w:p w14:paraId="2B6DE011" w14:textId="77777777" w:rsidR="005C183D" w:rsidRPr="005C183D" w:rsidRDefault="005C183D" w:rsidP="005C183D">
      <w:pPr>
        <w:numPr>
          <w:ilvl w:val="0"/>
          <w:numId w:val="4"/>
        </w:numPr>
        <w:spacing w:line="360" w:lineRule="auto"/>
        <w:contextualSpacing/>
        <w:jc w:val="center"/>
        <w:rPr>
          <w:rFonts w:ascii="Arial" w:hAnsi="Arial" w:cs="Arial"/>
          <w:sz w:val="24"/>
          <w:szCs w:val="24"/>
        </w:rPr>
      </w:pPr>
      <w:r w:rsidRPr="005C183D">
        <w:rPr>
          <w:rFonts w:ascii="Arial" w:hAnsi="Arial" w:cs="Arial"/>
          <w:b/>
          <w:i/>
          <w:sz w:val="24"/>
          <w:szCs w:val="24"/>
        </w:rPr>
        <w:t xml:space="preserve">Telling: </w:t>
      </w:r>
      <w:r w:rsidRPr="005C183D">
        <w:rPr>
          <w:rFonts w:ascii="Arial" w:hAnsi="Arial" w:cs="Arial"/>
          <w:sz w:val="24"/>
          <w:szCs w:val="24"/>
        </w:rPr>
        <w:t>this entails the leader making decisions and telling employees what to do in an authoritative and directive approach.</w:t>
      </w:r>
    </w:p>
    <w:p w14:paraId="3139A785" w14:textId="77777777" w:rsidR="005C183D" w:rsidRPr="005C183D" w:rsidRDefault="005C183D" w:rsidP="005C183D">
      <w:pPr>
        <w:numPr>
          <w:ilvl w:val="0"/>
          <w:numId w:val="4"/>
        </w:numPr>
        <w:spacing w:line="360" w:lineRule="auto"/>
        <w:contextualSpacing/>
        <w:jc w:val="center"/>
        <w:rPr>
          <w:rFonts w:ascii="Arial" w:hAnsi="Arial" w:cs="Arial"/>
          <w:sz w:val="24"/>
          <w:szCs w:val="24"/>
        </w:rPr>
      </w:pPr>
      <w:r w:rsidRPr="005C183D">
        <w:rPr>
          <w:rFonts w:ascii="Arial" w:hAnsi="Arial" w:cs="Arial"/>
          <w:b/>
          <w:i/>
          <w:sz w:val="24"/>
          <w:szCs w:val="24"/>
        </w:rPr>
        <w:t>Selling:</w:t>
      </w:r>
      <w:r w:rsidRPr="005C183D">
        <w:rPr>
          <w:rFonts w:ascii="Arial" w:hAnsi="Arial" w:cs="Arial"/>
          <w:sz w:val="24"/>
          <w:szCs w:val="24"/>
        </w:rPr>
        <w:t xml:space="preserve"> the leader should make decisions, work and communicate to persuade the employees instead of directing them.</w:t>
      </w:r>
    </w:p>
    <w:p w14:paraId="0BDC6DC4" w14:textId="77777777" w:rsidR="005C183D" w:rsidRPr="005C183D" w:rsidRDefault="005C183D" w:rsidP="005C183D">
      <w:pPr>
        <w:numPr>
          <w:ilvl w:val="0"/>
          <w:numId w:val="4"/>
        </w:numPr>
        <w:spacing w:line="360" w:lineRule="auto"/>
        <w:contextualSpacing/>
        <w:jc w:val="center"/>
        <w:rPr>
          <w:rFonts w:ascii="Arial" w:hAnsi="Arial" w:cs="Arial"/>
          <w:sz w:val="24"/>
          <w:szCs w:val="24"/>
        </w:rPr>
      </w:pPr>
      <w:r w:rsidRPr="005C183D">
        <w:rPr>
          <w:rFonts w:ascii="Arial" w:hAnsi="Arial" w:cs="Arial"/>
          <w:b/>
          <w:i/>
          <w:sz w:val="24"/>
          <w:szCs w:val="24"/>
        </w:rPr>
        <w:lastRenderedPageBreak/>
        <w:t>Participating:</w:t>
      </w:r>
      <w:r w:rsidRPr="005C183D">
        <w:rPr>
          <w:rFonts w:ascii="Arial" w:hAnsi="Arial" w:cs="Arial"/>
          <w:sz w:val="24"/>
          <w:szCs w:val="24"/>
        </w:rPr>
        <w:t xml:space="preserve"> the leader should work with members of the team in decision-making. In addition, he should encourage and support them, which is more democratic.</w:t>
      </w:r>
    </w:p>
    <w:p w14:paraId="226BA084" w14:textId="77777777" w:rsidR="005C183D" w:rsidRPr="005C183D" w:rsidRDefault="005C183D" w:rsidP="005C183D">
      <w:pPr>
        <w:numPr>
          <w:ilvl w:val="0"/>
          <w:numId w:val="4"/>
        </w:numPr>
        <w:spacing w:line="360" w:lineRule="auto"/>
        <w:contextualSpacing/>
        <w:jc w:val="center"/>
        <w:rPr>
          <w:rFonts w:ascii="Arial" w:hAnsi="Arial" w:cs="Arial"/>
          <w:sz w:val="24"/>
          <w:szCs w:val="24"/>
        </w:rPr>
      </w:pPr>
      <w:r w:rsidRPr="005C183D">
        <w:rPr>
          <w:rFonts w:ascii="Arial" w:hAnsi="Arial" w:cs="Arial"/>
          <w:b/>
          <w:i/>
          <w:sz w:val="24"/>
          <w:szCs w:val="24"/>
        </w:rPr>
        <w:t>Delegating:</w:t>
      </w:r>
      <w:r w:rsidRPr="005C183D">
        <w:rPr>
          <w:rFonts w:ascii="Arial" w:hAnsi="Arial" w:cs="Arial"/>
          <w:sz w:val="24"/>
          <w:szCs w:val="24"/>
        </w:rPr>
        <w:t xml:space="preserve"> the leader should assign the responsibility of making decisions to members of the team and oversee their work.</w:t>
      </w:r>
    </w:p>
    <w:p w14:paraId="15F9B728"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sz w:val="24"/>
          <w:szCs w:val="24"/>
        </w:rPr>
        <w:t>Hersey and Blanchard's approach also points out four levels to follower maturity levels in the leadership approaches.</w:t>
      </w:r>
    </w:p>
    <w:p w14:paraId="27F42CC9" w14:textId="77777777" w:rsidR="005C183D" w:rsidRPr="005C183D" w:rsidRDefault="005C183D" w:rsidP="005C183D">
      <w:pPr>
        <w:numPr>
          <w:ilvl w:val="0"/>
          <w:numId w:val="5"/>
        </w:numPr>
        <w:spacing w:line="360" w:lineRule="auto"/>
        <w:contextualSpacing/>
        <w:jc w:val="center"/>
        <w:rPr>
          <w:rFonts w:ascii="Arial" w:hAnsi="Arial" w:cs="Arial"/>
          <w:sz w:val="24"/>
          <w:szCs w:val="24"/>
        </w:rPr>
      </w:pPr>
      <w:r w:rsidRPr="005C183D">
        <w:rPr>
          <w:rFonts w:ascii="Arial" w:hAnsi="Arial" w:cs="Arial"/>
          <w:b/>
          <w:i/>
          <w:sz w:val="24"/>
          <w:szCs w:val="24"/>
        </w:rPr>
        <w:t>Level M1:</w:t>
      </w:r>
      <w:r w:rsidRPr="005C183D">
        <w:rPr>
          <w:rFonts w:ascii="Arial" w:hAnsi="Arial" w:cs="Arial"/>
          <w:sz w:val="24"/>
          <w:szCs w:val="24"/>
        </w:rPr>
        <w:t xml:space="preserve"> followers have low commitment and low competence.</w:t>
      </w:r>
    </w:p>
    <w:p w14:paraId="5D66D7C9" w14:textId="77777777" w:rsidR="005C183D" w:rsidRPr="005C183D" w:rsidRDefault="005C183D" w:rsidP="005C183D">
      <w:pPr>
        <w:numPr>
          <w:ilvl w:val="0"/>
          <w:numId w:val="5"/>
        </w:numPr>
        <w:spacing w:line="360" w:lineRule="auto"/>
        <w:contextualSpacing/>
        <w:jc w:val="center"/>
        <w:rPr>
          <w:rFonts w:ascii="Arial" w:hAnsi="Arial" w:cs="Arial"/>
          <w:sz w:val="24"/>
          <w:szCs w:val="24"/>
        </w:rPr>
      </w:pPr>
      <w:r w:rsidRPr="005C183D">
        <w:rPr>
          <w:rFonts w:ascii="Arial" w:hAnsi="Arial" w:cs="Arial"/>
          <w:b/>
          <w:i/>
          <w:sz w:val="24"/>
          <w:szCs w:val="24"/>
        </w:rPr>
        <w:t>Level M2:</w:t>
      </w:r>
      <w:r w:rsidRPr="005C183D">
        <w:rPr>
          <w:rFonts w:ascii="Arial" w:hAnsi="Arial" w:cs="Arial"/>
          <w:sz w:val="24"/>
          <w:szCs w:val="24"/>
        </w:rPr>
        <w:t xml:space="preserve"> followers have high commitment but low competence.</w:t>
      </w:r>
    </w:p>
    <w:p w14:paraId="4D711FC6" w14:textId="77777777" w:rsidR="005C183D" w:rsidRPr="005C183D" w:rsidRDefault="005C183D" w:rsidP="005C183D">
      <w:pPr>
        <w:numPr>
          <w:ilvl w:val="0"/>
          <w:numId w:val="5"/>
        </w:numPr>
        <w:spacing w:line="360" w:lineRule="auto"/>
        <w:contextualSpacing/>
        <w:jc w:val="center"/>
        <w:rPr>
          <w:rFonts w:ascii="Arial" w:hAnsi="Arial" w:cs="Arial"/>
          <w:sz w:val="24"/>
          <w:szCs w:val="24"/>
        </w:rPr>
      </w:pPr>
      <w:r w:rsidRPr="005C183D">
        <w:rPr>
          <w:rFonts w:ascii="Arial" w:hAnsi="Arial" w:cs="Arial"/>
          <w:b/>
          <w:i/>
          <w:sz w:val="24"/>
          <w:szCs w:val="24"/>
        </w:rPr>
        <w:t>Level M3:</w:t>
      </w:r>
      <w:r w:rsidRPr="005C183D">
        <w:rPr>
          <w:rFonts w:ascii="Arial" w:hAnsi="Arial" w:cs="Arial"/>
          <w:sz w:val="24"/>
          <w:szCs w:val="24"/>
        </w:rPr>
        <w:t xml:space="preserve"> followers have low confidence and commitment but high competence.</w:t>
      </w:r>
    </w:p>
    <w:p w14:paraId="07DCBC09" w14:textId="77777777" w:rsidR="005C183D" w:rsidRPr="005C183D" w:rsidRDefault="005C183D" w:rsidP="005C183D">
      <w:pPr>
        <w:numPr>
          <w:ilvl w:val="0"/>
          <w:numId w:val="5"/>
        </w:numPr>
        <w:spacing w:line="360" w:lineRule="auto"/>
        <w:contextualSpacing/>
        <w:jc w:val="center"/>
        <w:rPr>
          <w:rFonts w:ascii="Arial" w:hAnsi="Arial" w:cs="Arial"/>
          <w:sz w:val="24"/>
          <w:szCs w:val="24"/>
        </w:rPr>
      </w:pPr>
      <w:r w:rsidRPr="005C183D">
        <w:rPr>
          <w:rFonts w:ascii="Arial" w:hAnsi="Arial" w:cs="Arial"/>
          <w:b/>
          <w:i/>
          <w:sz w:val="24"/>
          <w:szCs w:val="24"/>
        </w:rPr>
        <w:t>Level M4:</w:t>
      </w:r>
      <w:r w:rsidRPr="005C183D">
        <w:rPr>
          <w:rFonts w:ascii="Arial" w:hAnsi="Arial" w:cs="Arial"/>
          <w:sz w:val="24"/>
          <w:szCs w:val="24"/>
        </w:rPr>
        <w:t xml:space="preserve"> followers have high competence and high confidence and commitment.</w:t>
      </w:r>
    </w:p>
    <w:p w14:paraId="3A265539"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w:drawing>
          <wp:inline distT="0" distB="0" distL="0" distR="0" wp14:anchorId="6C34794B" wp14:editId="341E21F7">
            <wp:extent cx="3055335" cy="1810127"/>
            <wp:effectExtent l="0" t="0" r="0" b="0"/>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074806" cy="1821662"/>
                    </a:xfrm>
                    <a:prstGeom prst="rect">
                      <a:avLst/>
                    </a:prstGeom>
                    <a:noFill/>
                  </pic:spPr>
                </pic:pic>
              </a:graphicData>
            </a:graphic>
          </wp:inline>
        </w:drawing>
      </w:r>
    </w:p>
    <w:p w14:paraId="6BA04F22" w14:textId="77777777" w:rsidR="005C183D" w:rsidRPr="005C183D" w:rsidRDefault="005C183D" w:rsidP="005C183D">
      <w:pPr>
        <w:spacing w:line="360" w:lineRule="auto"/>
        <w:jc w:val="center"/>
        <w:rPr>
          <w:rFonts w:ascii="Arial" w:hAnsi="Arial" w:cs="Arial"/>
          <w:b/>
          <w:i/>
          <w:sz w:val="24"/>
          <w:szCs w:val="24"/>
        </w:rPr>
      </w:pPr>
      <w:r w:rsidRPr="005C183D">
        <w:rPr>
          <w:rFonts w:ascii="Arial" w:hAnsi="Arial" w:cs="Arial"/>
          <w:i/>
          <w:sz w:val="24"/>
          <w:szCs w:val="24"/>
        </w:rPr>
        <w:t xml:space="preserve">Maturity levels </w:t>
      </w:r>
      <w:r w:rsidRPr="005C183D">
        <w:rPr>
          <w:rFonts w:ascii="Arial" w:hAnsi="Arial" w:cs="Arial"/>
          <w:i/>
          <w:sz w:val="24"/>
          <w:szCs w:val="24"/>
        </w:rPr>
        <w:fldChar w:fldCharType="begin" w:fldLock="1"/>
      </w:r>
      <w:r w:rsidRPr="005C183D">
        <w:rPr>
          <w:rFonts w:ascii="Arial" w:hAnsi="Arial" w:cs="Arial"/>
          <w:i/>
          <w:sz w:val="24"/>
          <w:szCs w:val="24"/>
        </w:rPr>
        <w:instrText>ADDIN CSL_CITATION {"citationItems":[{"id":"ITEM-1","itemData":{"DOI":"10.1016/j.leaqua.2021.101495","ISSN":"10489843","author":[{"dropping-particle":"","family":"Gardner","given":"William L.","non-dropping-particle":"","parse-names":false,"suffix":""},{"dropping-particle":"","family":"Karam","given":"Elizabeth P.","non-dropping-particle":"","parse-names":false,"suffix":""},{"dropping-particle":"","family":"Alvesson","given":"Mats","non-dropping-particle":"","parse-names":false,"suffix":""},{"dropping-particle":"","family":"Einola","given":"Katja","non-dropping-particle":"","parse-names":false,"suffix":""}],"container-title":"The Leadership Quarterly","id":"ITEM-1","issue":"6","issued":{"date-parts":[["2021","12"]]},"page":"101495","title":"Authentic leadership theory: The case for and against","type":"article-journal","volume":"32"},"uris":["http://www.mendeley.com/documents/?uuid=7b03adf6-9236-4f98-a50d-308c39cd840f"]}],"mendeley":{"formattedCitation":"(Gardner et al., 2021)","plainTextFormattedCitation":"(Gardner et al., 2021)","previouslyFormattedCitation":"(Gardner et al., 2021)"},"properties":{"noteIndex":0},"schema":"https://github.com/citation-style-language/schema/raw/master/csl-citation.json"}</w:instrText>
      </w:r>
      <w:r w:rsidRPr="005C183D">
        <w:rPr>
          <w:rFonts w:ascii="Arial" w:hAnsi="Arial" w:cs="Arial"/>
          <w:i/>
          <w:sz w:val="24"/>
          <w:szCs w:val="24"/>
        </w:rPr>
        <w:fldChar w:fldCharType="separate"/>
      </w:r>
      <w:r w:rsidRPr="005C183D">
        <w:rPr>
          <w:rFonts w:ascii="Arial" w:hAnsi="Arial" w:cs="Arial"/>
          <w:i/>
          <w:noProof/>
          <w:sz w:val="24"/>
          <w:szCs w:val="24"/>
        </w:rPr>
        <w:t>(Gardner et al., 2021)</w:t>
      </w:r>
      <w:r w:rsidRPr="005C183D">
        <w:rPr>
          <w:rFonts w:ascii="Arial" w:hAnsi="Arial" w:cs="Arial"/>
          <w:i/>
          <w:sz w:val="24"/>
          <w:szCs w:val="24"/>
        </w:rPr>
        <w:fldChar w:fldCharType="end"/>
      </w:r>
    </w:p>
    <w:p w14:paraId="0008CCFB"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According to the situational theory of leadership, the key to successful leadership should be matched with corresponding employee levels.</w:t>
      </w:r>
    </w:p>
    <w:p w14:paraId="6CAC75F3"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w:lastRenderedPageBreak/>
        <w:drawing>
          <wp:inline distT="0" distB="0" distL="0" distR="0" wp14:anchorId="0309D3FB" wp14:editId="2B15F018">
            <wp:extent cx="3200226" cy="2179320"/>
            <wp:effectExtent l="0" t="0" r="0" b="0"/>
            <wp:docPr id="35" name="Picture 3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229459" cy="2199228"/>
                    </a:xfrm>
                    <a:prstGeom prst="rect">
                      <a:avLst/>
                    </a:prstGeom>
                    <a:noFill/>
                  </pic:spPr>
                </pic:pic>
              </a:graphicData>
            </a:graphic>
          </wp:inline>
        </w:drawing>
      </w:r>
    </w:p>
    <w:p w14:paraId="2F35D108" w14:textId="77777777" w:rsidR="005C183D" w:rsidRPr="005C183D" w:rsidRDefault="005C183D" w:rsidP="005C183D">
      <w:pPr>
        <w:spacing w:line="360" w:lineRule="auto"/>
        <w:jc w:val="center"/>
        <w:rPr>
          <w:rFonts w:ascii="Arial" w:hAnsi="Arial" w:cs="Arial"/>
          <w:i/>
          <w:sz w:val="24"/>
          <w:szCs w:val="24"/>
        </w:rPr>
      </w:pPr>
      <w:r w:rsidRPr="005C183D">
        <w:rPr>
          <w:rFonts w:ascii="Arial" w:hAnsi="Arial" w:cs="Arial"/>
          <w:i/>
          <w:sz w:val="24"/>
          <w:szCs w:val="24"/>
        </w:rPr>
        <w:fldChar w:fldCharType="begin" w:fldLock="1"/>
      </w:r>
      <w:r w:rsidRPr="005C183D">
        <w:rPr>
          <w:rFonts w:ascii="Arial" w:hAnsi="Arial" w:cs="Arial"/>
          <w:i/>
          <w:sz w:val="24"/>
          <w:szCs w:val="24"/>
        </w:rPr>
        <w:instrText>ADDIN CSL_CITATION {"citationItems":[{"id":"ITEM-1","itemData":{"DOI":"10.1016/j.leaqua.2021.101495","ISSN":"10489843","author":[{"dropping-particle":"","family":"Gardner","given":"William L.","non-dropping-particle":"","parse-names":false,"suffix":""},{"dropping-particle":"","family":"Karam","given":"Elizabeth P.","non-dropping-particle":"","parse-names":false,"suffix":""},{"dropping-particle":"","family":"Alvesson","given":"Mats","non-dropping-particle":"","parse-names":false,"suffix":""},{"dropping-particle":"","family":"Einola","given":"Katja","non-dropping-particle":"","parse-names":false,"suffix":""}],"container-title":"The Leadership Quarterly","id":"ITEM-1","issue":"6","issued":{"date-parts":[["2021","12"]]},"page":"101495","title":"Authentic leadership theory: The case for and against","type":"article-journal","volume":"32"},"uris":["http://www.mendeley.com/documents/?uuid=7b03adf6-9236-4f98-a50d-308c39cd840f"]}],"mendeley":{"formattedCitation":"(Gardner et al., 2021)","plainTextFormattedCitation":"(Gardner et al., 2021)","previouslyFormattedCitation":"(Gardner et al., 2021)"},"properties":{"noteIndex":0},"schema":"https://github.com/citation-style-language/schema/raw/master/csl-citation.json"}</w:instrText>
      </w:r>
      <w:r w:rsidRPr="005C183D">
        <w:rPr>
          <w:rFonts w:ascii="Arial" w:hAnsi="Arial" w:cs="Arial"/>
          <w:i/>
          <w:sz w:val="24"/>
          <w:szCs w:val="24"/>
        </w:rPr>
        <w:fldChar w:fldCharType="separate"/>
      </w:r>
      <w:r w:rsidRPr="005C183D">
        <w:rPr>
          <w:rFonts w:ascii="Arial" w:hAnsi="Arial" w:cs="Arial"/>
          <w:i/>
          <w:noProof/>
          <w:sz w:val="24"/>
          <w:szCs w:val="24"/>
        </w:rPr>
        <w:t>(Gardner et al., 2021)</w:t>
      </w:r>
      <w:r w:rsidRPr="005C183D">
        <w:rPr>
          <w:rFonts w:ascii="Arial" w:hAnsi="Arial" w:cs="Arial"/>
          <w:i/>
          <w:sz w:val="24"/>
          <w:szCs w:val="24"/>
        </w:rPr>
        <w:fldChar w:fldCharType="end"/>
      </w:r>
    </w:p>
    <w:p w14:paraId="3EA0FACB" w14:textId="77777777" w:rsidR="005C183D" w:rsidRPr="005C183D" w:rsidRDefault="005C183D" w:rsidP="005C183D">
      <w:pPr>
        <w:keepNext/>
        <w:keepLines/>
        <w:numPr>
          <w:ilvl w:val="0"/>
          <w:numId w:val="2"/>
        </w:numPr>
        <w:spacing w:before="240" w:after="0" w:line="360" w:lineRule="auto"/>
        <w:jc w:val="center"/>
        <w:outlineLvl w:val="0"/>
        <w:rPr>
          <w:rFonts w:ascii="Arial" w:eastAsiaTheme="majorEastAsia" w:hAnsi="Arial" w:cs="Arial"/>
          <w:color w:val="2F5496" w:themeColor="accent1" w:themeShade="BF"/>
          <w:sz w:val="24"/>
          <w:szCs w:val="24"/>
        </w:rPr>
      </w:pPr>
      <w:bookmarkStart w:id="10" w:name="_Toc133661886"/>
      <w:r w:rsidRPr="005C183D">
        <w:rPr>
          <w:rFonts w:ascii="Arial" w:eastAsiaTheme="majorEastAsia" w:hAnsi="Arial" w:cs="Arial"/>
          <w:color w:val="2F5496" w:themeColor="accent1" w:themeShade="BF"/>
          <w:sz w:val="24"/>
          <w:szCs w:val="24"/>
        </w:rPr>
        <w:t>Impact of organisational culture to change management programme</w:t>
      </w:r>
      <w:bookmarkEnd w:id="10"/>
    </w:p>
    <w:p w14:paraId="40C22440"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Organisational culture refers to a set of shared organisational practices and values that guide the actions and behaviours of employees in the organisation. Organisational culture is mostly established and influenced by organisational leaders. The shared values and beliefs are communicated to the employees in order to shape their organisational understanding and influence their work behaviours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{"citationItems":[{"id":"ITEM-1","itemData":{"DOI":"10.1186/1472-6963-11-98","ISSN":"1472-6963","author":[{"dropping-particle":"","family":"Tsai","given":"Yafang","non-dropping-particle":"","parse-names":false,"suffix":""}],"container-title":"BMC Health Services Research","id":"ITEM-1","issue":"1","issued":{"date-parts":[["2011","12","14"]]},"page":"98","title":"Relationship between Organizational Culture, Leadership Behavior and Job Satisfaction","type":"article-journal","volume":"11"},"uris":["http://www.mendeley.com/documents/?uuid=973b5e86-95ff-434f-9a8e-8f78216a16ad"]}],"mendeley":{"formattedCitation":"(Tsai, 2011)","plainTextFormattedCitation":"(Tsai, 2011)","previouslyFormattedCitation":"(Tsai, 2011)"},"properties":{"noteIndex":0},"schema":"https://github.com/citation-style-language/schema/raw/master/csl-citation.json"}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(Tsai, 2011)</w:t>
      </w:r>
      <w:r w:rsidRPr="005C183D">
        <w:rPr>
          <w:rFonts w:ascii="Arial" w:hAnsi="Arial" w:cs="Arial"/>
          <w:sz w:val="24"/>
          <w:szCs w:val="24"/>
        </w:rPr>
        <w:fldChar w:fldCharType="end"/>
      </w:r>
      <w:r w:rsidRPr="005C183D">
        <w:rPr>
          <w:rFonts w:ascii="Arial" w:hAnsi="Arial" w:cs="Arial"/>
          <w:sz w:val="24"/>
          <w:szCs w:val="24"/>
        </w:rPr>
        <w:t>. A strong organisational culture can help employees to know how to behave in different circumstances in the workplace. A weak organisational culture, on the other hand, can make employees lack a clear understanding of how to behave in different situations.</w:t>
      </w:r>
    </w:p>
    <w:p w14:paraId="72F5714E" w14:textId="77777777" w:rsidR="005C183D" w:rsidRPr="005C183D" w:rsidRDefault="005C183D" w:rsidP="005C183D">
      <w:pPr>
        <w:keepNext/>
        <w:keepLines/>
        <w:numPr>
          <w:ilvl w:val="1"/>
          <w:numId w:val="2"/>
        </w:numPr>
        <w:spacing w:before="40" w:after="0" w:line="360" w:lineRule="auto"/>
        <w:jc w:val="center"/>
        <w:outlineLvl w:val="1"/>
        <w:rPr>
          <w:rFonts w:ascii="Arial" w:eastAsiaTheme="majorEastAsia" w:hAnsi="Arial" w:cs="Arial"/>
          <w:color w:val="2F5496" w:themeColor="accent1" w:themeShade="BF"/>
          <w:sz w:val="24"/>
          <w:szCs w:val="24"/>
        </w:rPr>
      </w:pPr>
      <w:bookmarkStart w:id="11" w:name="_Toc133661887"/>
      <w:r w:rsidRPr="005C183D">
        <w:rPr>
          <w:rFonts w:ascii="Arial" w:eastAsiaTheme="majorEastAsia" w:hAnsi="Arial" w:cs="Arial"/>
          <w:color w:val="2F5496" w:themeColor="accent1" w:themeShade="BF"/>
          <w:sz w:val="24"/>
          <w:szCs w:val="24"/>
        </w:rPr>
        <w:t>Characteristics of organisational culture</w:t>
      </w:r>
      <w:bookmarkEnd w:id="11"/>
    </w:p>
    <w:p w14:paraId="4D08B72B"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The culture of successful organisational setups can be successful if it has one or all organisational cultures. DHL’s organisational culture entails innovation and taking risks. This has given the organisation adaptability and flexibility. They experiment with new ideas. Attention to detail is another characteristic. This is the extent to which employees are expected to portray accuracy and analysis. With such a culture, DHL gets a competitive advantage over other logistics companies by helping it to differentiate itself from others. Being clear in detail is also an effective way in which the organisation impresses customers and ensures repeat visits. Third, outcome orientation is another feature of organisational culture. It refers to the degree to which the organisational management focuses on outcomes or results instead of processes and techniques. As </w:t>
      </w:r>
      <w:r w:rsidRPr="005C183D">
        <w:rPr>
          <w:rFonts w:ascii="Arial" w:hAnsi="Arial" w:cs="Arial"/>
          <w:sz w:val="24"/>
          <w:szCs w:val="24"/>
        </w:rPr>
        <w:lastRenderedPageBreak/>
        <w:t>an outcome-oriented company, DHL emphasises results, achievement and action as critical values. Employees are mentored and trained to deliver the best results to the company. After the COVID-19 pandemic, DHL allowed most of its workers to work remotely. Due to a result-oriented culture, performance went a notch higher.</w:t>
      </w:r>
    </w:p>
    <w:p w14:paraId="6267D3F2"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Organisations that are outcome-oriented outsmart organisations that lack this special feature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{"citationItems":[{"id":"ITEM-1","itemData":{"DOI":"10.2307/256404","ISSN":"0001-4273","author":[{"dropping-particle":"","family":"O'Reilly","given":"C. A.","non-dropping-particle":"","parse-names":false,"suffix":""},{"dropping-particle":"","family":"Chatman","given":"J.","non-dropping-particle":"","parse-names":false,"suffix":""},{"dropping-particle":"","family":"Caldwell","given":"D. F.","non-dropping-particle":"","parse-names":false,"suffix":""}],"container-title":"Academy of Management Journal","id":"ITEM-1","issue":"3","issued":{"date-parts":[["1991","9","1"]]},"page":"487-516","title":"PEOPLE AND ORGANIZATIONAL CULTURE: A PROFILE COMPARISON APPROACH TO ASSESSING PERSON-ORGANIZATION FIT.","type":"article-journal","volume":"34"},"uris":["http://www.mendeley.com/documents/?uuid=2c7d3965-7271-4376-a120-68e329773e56"]}],"mendeley":{"formattedCitation":"(O’Reilly et al., 1991)","plainTextFormattedCitation":"(O’Reilly et al., 1991)","previouslyFormattedCitation":"(O’Reilly et al., 1991)"},"properties":{"noteIndex":0},"schema":"https://github.com/citation-style-language/schema/raw/master/csl-citation.json"}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(O’Reilly et al., 1991)</w:t>
      </w:r>
      <w:r w:rsidRPr="005C183D">
        <w:rPr>
          <w:rFonts w:ascii="Arial" w:hAnsi="Arial" w:cs="Arial"/>
          <w:sz w:val="24"/>
          <w:szCs w:val="24"/>
        </w:rPr>
        <w:fldChar w:fldCharType="end"/>
      </w:r>
      <w:r w:rsidRPr="005C183D">
        <w:rPr>
          <w:rFonts w:ascii="Arial" w:hAnsi="Arial" w:cs="Arial"/>
          <w:sz w:val="24"/>
          <w:szCs w:val="24"/>
        </w:rPr>
        <w:t>. Organisations should also have people-oriented cultures, which is the degree to which their decisions consider the effect of results on people within the organisation. This promotes a culture of respect for individual rights, supportiveness and fairness. DHL believes that people are the greatest asset. It creates an environment where work is enjoyable, and employees do not feel obligated to choose between work and other life aspects. In DHL, there is an emphasis and culture of treating people with dignity and respect.</w:t>
      </w:r>
    </w:p>
    <w:p w14:paraId="443AD743"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In addition, aggressiveness is another feature of organisational culture in which people are competitive and aggressive instead of </w:t>
      </w:r>
      <w:proofErr w:type="spellStart"/>
      <w:r w:rsidRPr="005C183D">
        <w:rPr>
          <w:rFonts w:ascii="Arial" w:hAnsi="Arial" w:cs="Arial"/>
          <w:sz w:val="24"/>
          <w:szCs w:val="24"/>
        </w:rPr>
        <w:t>easygoing</w:t>
      </w:r>
      <w:proofErr w:type="spellEnd"/>
      <w:r w:rsidRPr="005C183D">
        <w:rPr>
          <w:rFonts w:ascii="Arial" w:hAnsi="Arial" w:cs="Arial"/>
          <w:sz w:val="24"/>
          <w:szCs w:val="24"/>
        </w:rPr>
        <w:t>. Organisations with aggressive cultural values outperform rivals and competitiveness. DHL is one such example. By emphasising aggressiveness, they may fall short in corporate social responsibility, which is not the case with DHL. CSR is a critical aspect of DHL's strategy. The company implements its motto of "Living responsibility" by supporting Global Volunteer Day (living responsibility fund), supporting education (Go teach), support (</w:t>
      </w:r>
      <w:proofErr w:type="spellStart"/>
      <w:r w:rsidRPr="005C183D">
        <w:rPr>
          <w:rFonts w:ascii="Arial" w:hAnsi="Arial" w:cs="Arial"/>
          <w:sz w:val="24"/>
          <w:szCs w:val="24"/>
        </w:rPr>
        <w:t>Gohelp</w:t>
      </w:r>
      <w:proofErr w:type="spellEnd"/>
      <w:r w:rsidRPr="005C183D">
        <w:rPr>
          <w:rFonts w:ascii="Arial" w:hAnsi="Arial" w:cs="Arial"/>
          <w:sz w:val="24"/>
          <w:szCs w:val="24"/>
        </w:rPr>
        <w:t>) and focusing on the environment (</w:t>
      </w:r>
      <w:proofErr w:type="spellStart"/>
      <w:r w:rsidRPr="005C183D">
        <w:rPr>
          <w:rFonts w:ascii="Arial" w:hAnsi="Arial" w:cs="Arial"/>
          <w:sz w:val="24"/>
          <w:szCs w:val="24"/>
        </w:rPr>
        <w:t>Gogreen</w:t>
      </w:r>
      <w:proofErr w:type="spellEnd"/>
      <w:r w:rsidRPr="005C183D">
        <w:rPr>
          <w:rFonts w:ascii="Arial" w:hAnsi="Arial" w:cs="Arial"/>
          <w:sz w:val="24"/>
          <w:szCs w:val="24"/>
        </w:rPr>
        <w:t xml:space="preserve">)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www.dhl.com/pl-en/home/our-divisions/parcel/about-dhl-parcel/csr.html","accessed":{"date-parts":[["2023","4","29"]]},"author":[{"dropping-particle":"","family":"DHL","given":"","non-dropping-particle":"","parse-names":false,"suffix":""}],"container-title":"DHL","id":"ITEM-1","issued":{"date-parts":[["0"]]},"title":"CSR Activities in DHL Parcel","type":"webpage"},"uris":["http://www.mendeley.com/documents/?uuid=f2982bb5-8c49-4b09-aad8-01252f0437f8"]}],"mendeley":{"formattedCitation":"(DHL, [no date])","plainTextFormattedCitation":"(DHL, [no date])","previouslyFormattedCitation":"(DHL, [no date])"},"properties":{"noteIndex":0},"schema":"https://github.com/citation-style-language/schema/raw/master/csl-citation.json"}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(DHL, [no date])</w:t>
      </w:r>
      <w:r w:rsidRPr="005C183D">
        <w:rPr>
          <w:rFonts w:ascii="Arial" w:hAnsi="Arial" w:cs="Arial"/>
          <w:sz w:val="24"/>
          <w:szCs w:val="24"/>
        </w:rPr>
        <w:fldChar w:fldCharType="end"/>
      </w:r>
      <w:r w:rsidRPr="005C183D">
        <w:rPr>
          <w:rFonts w:ascii="Arial" w:hAnsi="Arial" w:cs="Arial"/>
          <w:sz w:val="24"/>
          <w:szCs w:val="24"/>
        </w:rPr>
        <w:t>. Lastly, organisations should depict stability. This is the degree to which a firm's activities do not emphasise growth but the status quo. Organisations with stable cultures are bureaucratic, rule-oriented and predictable. They aim to align and coordinate personal efforts for the greatest efficiency levels. When the environment is certain and stable, these cultures may help the organisation to be effective since they provide a constant and stable output level. DHL has such a culture which prevents quick action.</w:t>
      </w:r>
    </w:p>
    <w:p w14:paraId="2060F1D8" w14:textId="77777777" w:rsidR="005C183D" w:rsidRPr="005C183D" w:rsidRDefault="005C183D" w:rsidP="005C183D">
      <w:pPr>
        <w:spacing w:line="360" w:lineRule="auto"/>
        <w:jc w:val="center"/>
        <w:rPr>
          <w:rFonts w:ascii="Arial" w:hAnsi="Arial" w:cs="Arial"/>
          <w:sz w:val="24"/>
          <w:szCs w:val="24"/>
        </w:rPr>
      </w:pPr>
    </w:p>
    <w:p w14:paraId="422AB067"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w:lastRenderedPageBreak/>
        <w:drawing>
          <wp:inline distT="0" distB="0" distL="0" distR="0" wp14:anchorId="03A88D22" wp14:editId="743B159C">
            <wp:extent cx="3255502" cy="3209925"/>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3266302" cy="3220573"/>
                    </a:xfrm>
                    <a:prstGeom prst="rect">
                      <a:avLst/>
                    </a:prstGeom>
                    <a:noFill/>
                  </pic:spPr>
                </pic:pic>
              </a:graphicData>
            </a:graphic>
          </wp:inline>
        </w:drawing>
      </w:r>
    </w:p>
    <w:p w14:paraId="7ABE3D73" w14:textId="77777777" w:rsidR="005C183D" w:rsidRPr="005C183D" w:rsidRDefault="005C183D" w:rsidP="005C183D">
      <w:pPr>
        <w:spacing w:line="360" w:lineRule="auto"/>
        <w:jc w:val="center"/>
        <w:rPr>
          <w:rFonts w:ascii="Arial" w:hAnsi="Arial" w:cs="Arial"/>
          <w:i/>
          <w:sz w:val="24"/>
          <w:szCs w:val="24"/>
        </w:rPr>
      </w:pPr>
      <w:r w:rsidRPr="005C183D">
        <w:rPr>
          <w:rFonts w:ascii="Arial" w:hAnsi="Arial" w:cs="Arial"/>
          <w:i/>
          <w:sz w:val="24"/>
          <w:szCs w:val="24"/>
        </w:rPr>
        <w:t>Organisational culture dimensions (O’Reilly et al., 1991)</w:t>
      </w:r>
    </w:p>
    <w:p w14:paraId="6F486367" w14:textId="77777777" w:rsidR="005C183D" w:rsidRPr="005C183D" w:rsidRDefault="005C183D" w:rsidP="005C183D">
      <w:pPr>
        <w:keepNext/>
        <w:keepLines/>
        <w:numPr>
          <w:ilvl w:val="0"/>
          <w:numId w:val="2"/>
        </w:numPr>
        <w:spacing w:before="240" w:after="0" w:line="360" w:lineRule="auto"/>
        <w:jc w:val="center"/>
        <w:outlineLvl w:val="0"/>
        <w:rPr>
          <w:rFonts w:ascii="Arial" w:eastAsiaTheme="majorEastAsia" w:hAnsi="Arial" w:cs="Arial"/>
          <w:color w:val="2F5496" w:themeColor="accent1" w:themeShade="BF"/>
          <w:sz w:val="24"/>
          <w:szCs w:val="24"/>
        </w:rPr>
      </w:pPr>
      <w:bookmarkStart w:id="12" w:name="_Toc133661888"/>
      <w:r w:rsidRPr="005C183D">
        <w:rPr>
          <w:rFonts w:ascii="Arial" w:eastAsiaTheme="majorEastAsia" w:hAnsi="Arial" w:cs="Arial"/>
          <w:color w:val="2F5496" w:themeColor="accent1" w:themeShade="BF"/>
          <w:sz w:val="24"/>
          <w:szCs w:val="24"/>
        </w:rPr>
        <w:t>Future change management plan</w:t>
      </w:r>
      <w:bookmarkEnd w:id="12"/>
    </w:p>
    <w:p w14:paraId="471A65B9"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Change management is a critical skill that keeps an organisation going, especially for the management. It is not simply about coping but a career. “Change management is the discipline that guides how we prepare, equip and support individuals to successfully adopt change in order to drive organisational success and outcomes." </w:t>
      </w:r>
      <w:r w:rsidRPr="005C183D">
        <w:rPr>
          <w:rFonts w:ascii="Arial" w:hAnsi="Arial" w:cs="Arial"/>
          <w:sz w:val="24"/>
          <w:szCs w:val="24"/>
        </w:rPr>
        <w:fldChar w:fldCharType="begin" w:fldLock="1"/>
      </w:r>
      <w:r w:rsidRPr="005C183D">
        <w:rPr>
          <w:rFonts w:ascii="Arial" w:hAnsi="Arial" w:cs="Arial"/>
          <w:sz w:val="24"/>
          <w:szCs w:val="24"/>
        </w:rPr>
        <w:instrText>ADDIN CSL_CITATION {"citationItems":[{"id":"ITEM-1","itemData":{"URL":"https://www.prosci.com/change-management","accessed":{"date-parts":[["2023","4","29"]]},"author":[{"dropping-particle":"","family":"Prosci","given":"","non-dropping-particle":"","parse-names":false,"suffix":""}],"container-title":"Prosci","id":"ITEM-1","issued":{"date-parts":[["0"]]},"title":"Change Management","type":"webpage"},"uris":["http://www.mendeley.com/documents/?uuid=8e6ba28c-26af-41f7-931f-beff9e0fa497"]}],"mendeley":{"formattedCitation":"(Prosci, [no date])","plainTextFormattedCitation":"(Prosci, [no date])","previouslyFormattedCitation":"(Prosci, [no date])"},"properties":{"noteIndex":0},"schema":"https://github.com/citation-style-language/schema/raw/master/csl-citation.json"}</w:instrText>
      </w:r>
      <w:r w:rsidRPr="005C183D">
        <w:rPr>
          <w:rFonts w:ascii="Arial" w:hAnsi="Arial" w:cs="Arial"/>
          <w:sz w:val="24"/>
          <w:szCs w:val="24"/>
        </w:rPr>
        <w:fldChar w:fldCharType="separate"/>
      </w:r>
      <w:r w:rsidRPr="005C183D">
        <w:rPr>
          <w:rFonts w:ascii="Arial" w:hAnsi="Arial" w:cs="Arial"/>
          <w:noProof/>
          <w:sz w:val="24"/>
          <w:szCs w:val="24"/>
        </w:rPr>
        <w:t>(Prosci, [no date])</w:t>
      </w:r>
      <w:r w:rsidRPr="005C183D">
        <w:rPr>
          <w:rFonts w:ascii="Arial" w:hAnsi="Arial" w:cs="Arial"/>
          <w:sz w:val="24"/>
          <w:szCs w:val="24"/>
        </w:rPr>
        <w:fldChar w:fldCharType="end"/>
      </w:r>
      <w:r w:rsidRPr="005C183D">
        <w:rPr>
          <w:rFonts w:ascii="Arial" w:hAnsi="Arial" w:cs="Arial"/>
          <w:sz w:val="24"/>
          <w:szCs w:val="24"/>
        </w:rPr>
        <w:t>. DHL needs to pull a changing course in negotiating the COVID-19 post-pandemic adjustment and adapt to the changing world.</w:t>
      </w:r>
    </w:p>
    <w:p w14:paraId="5ABD350F"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According to Kotter, efforts of change management are taken by organisations as major initiatives to reverse the downward trajectory experienced in the organisation, improve the organisational culture, enhance the quality of its products or services and boost productivity. Change management efforts are necessary for every organisation from time to time without having to reinvent itself, failure to which it can easily lose its competitive market share. The management can sit on its potential and miss out on new industry developments, opportunities and trends. Besides, its competitors can take the market niche positioning and catch up with it. DHL can apply change management principles dictated by Kotter to enhance its post-COVID-19 recovery process.</w:t>
      </w:r>
    </w:p>
    <w:p w14:paraId="27A96BE6"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lastRenderedPageBreak/>
        <w:t>Establish a sense of urgency:</w:t>
      </w:r>
      <w:r w:rsidRPr="005C183D">
        <w:rPr>
          <w:rFonts w:ascii="Arial" w:hAnsi="Arial" w:cs="Arial"/>
          <w:sz w:val="24"/>
          <w:szCs w:val="24"/>
        </w:rPr>
        <w:t xml:space="preserve"> the organisation should establish areas that need urgent efforts of change management. Such areas include post-COVID-19 recovery and building a new organisational structure to compete effectively in the changing global logistics dynamics. The change leader should convince the manager that the status quo is very dangerous compared to efforts of change.</w:t>
      </w:r>
    </w:p>
    <w:p w14:paraId="299D1C2A"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Form a powerful guiding coalition:</w:t>
      </w:r>
      <w:r w:rsidRPr="005C183D">
        <w:rPr>
          <w:rFonts w:ascii="Arial" w:hAnsi="Arial" w:cs="Arial"/>
          <w:sz w:val="24"/>
          <w:szCs w:val="24"/>
        </w:rPr>
        <w:t xml:space="preserve"> most efforts towards change are carried out by new management. If DHL introduces new managers in the organisation to effect change, they should tap into the existing managers' and employees' talents and involve them in the change management process. This will create a robust guiding coalition that trusts the employees and understands the situation's urgency for change. There will be a positive sense of change if organisations can explain the need for change and the outcomes expected from such change to junior employees.</w:t>
      </w:r>
    </w:p>
    <w:p w14:paraId="0B4E4749"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Create a vision:</w:t>
      </w:r>
      <w:r w:rsidRPr="005C183D">
        <w:rPr>
          <w:rFonts w:ascii="Arial" w:hAnsi="Arial" w:cs="Arial"/>
          <w:sz w:val="24"/>
          <w:szCs w:val="24"/>
        </w:rPr>
        <w:t xml:space="preserve"> the leaders managing the change efforts should communicate a vision in order to resonate with employees in the entire organisation. The vision should reiterate the improvement that can be accrued in the entire organisation as a result of a small change.</w:t>
      </w:r>
    </w:p>
    <w:p w14:paraId="55116EB2"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Communicating the vision:</w:t>
      </w:r>
      <w:r w:rsidRPr="005C183D">
        <w:rPr>
          <w:rFonts w:ascii="Arial" w:hAnsi="Arial" w:cs="Arial"/>
          <w:sz w:val="24"/>
          <w:szCs w:val="24"/>
        </w:rPr>
        <w:t xml:space="preserve"> DHL leaders should communicate the intended results of the change and the impact on each employee. Besides, the communication efforts should answer the question of "what it means for them". If the vision fails to answer this question, the change efforts can fail among the intended company's stakeholders.</w:t>
      </w:r>
    </w:p>
    <w:p w14:paraId="18D07ED4"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Empower others to act on the vision:</w:t>
      </w:r>
      <w:r w:rsidRPr="005C183D">
        <w:rPr>
          <w:rFonts w:ascii="Arial" w:hAnsi="Arial" w:cs="Arial"/>
          <w:sz w:val="24"/>
          <w:szCs w:val="24"/>
        </w:rPr>
        <w:t xml:space="preserve"> change management leadership of DHL should empower individuals at all levels to decide on the efforts of change. Empowerment should not be very structured to take away the capabilities of improvisation of the managers working towards the change. In addition, empowerment should not be too loosely defined that those in charge of execution can deviate from the objectives and desired vision.</w:t>
      </w:r>
    </w:p>
    <w:p w14:paraId="119E4E87"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Plan and create short-term wins:</w:t>
      </w:r>
      <w:r w:rsidRPr="005C183D">
        <w:rPr>
          <w:rFonts w:ascii="Arial" w:hAnsi="Arial" w:cs="Arial"/>
          <w:sz w:val="24"/>
          <w:szCs w:val="24"/>
        </w:rPr>
        <w:t xml:space="preserve"> before the positive change, the change efforts will bring disruption since it is transforming the status quo. The introduction of remote working for DHL employees due to restricted movement in </w:t>
      </w:r>
      <w:r w:rsidRPr="005C183D">
        <w:rPr>
          <w:rFonts w:ascii="Arial" w:hAnsi="Arial" w:cs="Arial"/>
          <w:sz w:val="24"/>
          <w:szCs w:val="24"/>
        </w:rPr>
        <w:lastRenderedPageBreak/>
        <w:t>the COVID-19 pandemic, for instance, led to a decline in productivity levels at first since employees were coping with the new norm. Change management focuses on short-term wins envisioning a transformation in the long run. DHL should provide a detailed understanding of how the short-term wins are suitable for the overall objectives and vision of the change management efforts.</w:t>
      </w:r>
    </w:p>
    <w:p w14:paraId="01375DC6"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Improvement consolidation and produce more change:</w:t>
      </w:r>
      <w:r w:rsidRPr="005C183D">
        <w:rPr>
          <w:rFonts w:ascii="Arial" w:hAnsi="Arial" w:cs="Arial"/>
          <w:sz w:val="24"/>
          <w:szCs w:val="24"/>
        </w:rPr>
        <w:t xml:space="preserve"> short-term wins give employees a renewed vigour to implement efforts of change. The change leaders should establish a framework where consolidation of improvements can take place and create space for more change efforts.</w:t>
      </w:r>
    </w:p>
    <w:p w14:paraId="44152868" w14:textId="77777777" w:rsidR="005C183D" w:rsidRPr="005C183D" w:rsidRDefault="005C183D" w:rsidP="005C183D">
      <w:pPr>
        <w:numPr>
          <w:ilvl w:val="0"/>
          <w:numId w:val="1"/>
        </w:numPr>
        <w:spacing w:line="360" w:lineRule="auto"/>
        <w:contextualSpacing/>
        <w:jc w:val="center"/>
        <w:rPr>
          <w:rFonts w:ascii="Arial" w:hAnsi="Arial" w:cs="Arial"/>
          <w:sz w:val="24"/>
          <w:szCs w:val="24"/>
        </w:rPr>
      </w:pPr>
      <w:r w:rsidRPr="005C183D">
        <w:rPr>
          <w:rFonts w:ascii="Arial" w:hAnsi="Arial" w:cs="Arial"/>
          <w:b/>
          <w:i/>
          <w:sz w:val="24"/>
          <w:szCs w:val="24"/>
        </w:rPr>
        <w:t>Institutionalise new approaches:</w:t>
      </w:r>
      <w:r w:rsidRPr="005C183D">
        <w:rPr>
          <w:rFonts w:ascii="Arial" w:hAnsi="Arial" w:cs="Arial"/>
          <w:sz w:val="24"/>
          <w:szCs w:val="24"/>
        </w:rPr>
        <w:t xml:space="preserve"> DHL's leadership should institutionalise the changes and processes made. It should stress how the efforts of change have delivered success in an intended manner. It should also point out the connection between new behaviour and corporate success. The organisation management team of DHL should establish a performance, leadership and organisational structure that mirrors the new approach.</w:t>
      </w:r>
    </w:p>
    <w:p w14:paraId="7ABBEF73"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sz w:val="24"/>
          <w:szCs w:val="24"/>
        </w:rPr>
        <w:br w:type="page"/>
      </w:r>
    </w:p>
    <w:p w14:paraId="16DE19FF"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w:lastRenderedPageBreak/>
        <mc:AlternateContent>
          <mc:Choice Requires="wps">
            <w:drawing>
              <wp:anchor distT="0" distB="0" distL="114300" distR="114300" simplePos="0" relativeHeight="251666432" behindDoc="0" locked="0" layoutInCell="1" allowOverlap="1" wp14:anchorId="19B8EDB9" wp14:editId="668482FC">
                <wp:simplePos x="0" y="0"/>
                <wp:positionH relativeFrom="column">
                  <wp:posOffset>4274820</wp:posOffset>
                </wp:positionH>
                <wp:positionV relativeFrom="paragraph">
                  <wp:posOffset>146050</wp:posOffset>
                </wp:positionV>
                <wp:extent cx="266700" cy="525780"/>
                <wp:effectExtent l="19050" t="0" r="19050" b="45720"/>
                <wp:wrapNone/>
                <wp:docPr id="17" name="Arrow: Curved Left 17"/>
                <wp:cNvGraphicFramePr/>
                <a:graphic xmlns:a="http://schemas.openxmlformats.org/drawingml/2006/main">
                  <a:graphicData uri="http://schemas.microsoft.com/office/word/2010/wordprocessingShape">
                    <wps:wsp>
                      <wps:cNvSpPr/>
                      <wps:spPr>
                        <a:xfrm>
                          <a:off x="0" y="0"/>
                          <a:ext cx="266700" cy="525780"/>
                        </a:xfrm>
                        <a:prstGeom prst="curvedLef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w14:anchorId="74A39637"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7" o:spid="_x0000_s1026" type="#_x0000_t103" style="position:absolute;margin-left:336.6pt;margin-top:11.5pt;width:21pt;height:41.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" adj="16122,20231,5400" fillcolor="#4472c4" strokecolor="#2f528f" strokeweight="1pt"/>
            </w:pict>
          </mc:Fallback>
        </mc:AlternateContent>
      </w:r>
      <w:r w:rsidRPr="005C183D">
        <w:rPr>
          <w:rFonts w:ascii="Arial" w:hAnsi="Arial" w:cs="Arial"/>
          <w:noProof/>
          <w:sz w:val="24"/>
          <w:szCs w:val="24"/>
        </w:rPr>
        <mc:AlternateContent>
          <mc:Choice Requires="wpg">
            <w:drawing>
              <wp:anchor distT="0" distB="0" distL="114300" distR="114300" simplePos="0" relativeHeight="251659264" behindDoc="0" locked="0" layoutInCell="1" allowOverlap="1" wp14:anchorId="04A1E0E8" wp14:editId="513DD236">
                <wp:simplePos x="0" y="0"/>
                <wp:positionH relativeFrom="margin">
                  <wp:align>center</wp:align>
                </wp:positionH>
                <wp:positionV relativeFrom="paragraph">
                  <wp:posOffset>-274320</wp:posOffset>
                </wp:positionV>
                <wp:extent cx="2674620" cy="533400"/>
                <wp:effectExtent l="0" t="0" r="11430" b="19050"/>
                <wp:wrapNone/>
                <wp:docPr id="21" name="Group 21"/>
                <wp:cNvGraphicFramePr/>
                <a:graphic xmlns:a="http://schemas.openxmlformats.org/drawingml/2006/main">
                  <a:graphicData uri="http://schemas.microsoft.com/office/word/2010/wordprocessingGroup">
                    <wpg:wgp>
                      <wpg:cNvGrpSpPr/>
                      <wpg:grpSpPr>
                        <a:xfrm>
                          <a:off x="0" y="0"/>
                          <a:ext cx="2674620" cy="533400"/>
                          <a:chOff x="0" y="0"/>
                          <a:chExt cx="2674620" cy="533400"/>
                        </a:xfrm>
                      </wpg:grpSpPr>
                      <wps:wsp>
                        <wps:cNvPr id="3" name="Rectangle: Rounded Corners 3"/>
                        <wps:cNvSpPr/>
                        <wps:spPr>
                          <a:xfrm>
                            <a:off x="0" y="0"/>
                            <a:ext cx="2674620" cy="533400"/>
                          </a:xfrm>
                          <a:prstGeom prst="roundRect">
                            <a:avLst/>
                          </a:prstGeom>
                          <a:solidFill>
                            <a:sysClr val="window" lastClr="FFFFFF"/>
                          </a:solidFill>
                          <a:ln w="12700" cap="flat" cmpd="sng" algn="ctr">
                            <a:solidFill>
                              <a:sysClr val="windowText" lastClr="000000"/>
                            </a:solidFill>
                            <a:prstDash val="solid"/>
                            <a:miter lim="800000"/>
                          </a:ln>
                          <a:effectLst>
                            <a:innerShdw blurRad="114300">
                              <a:prstClr val="black"/>
                            </a:inn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 name="Text Box 4"/>
                        <wps:cNvSpPr txBox="1"/>
                        <wps:spPr>
                          <a:xfrm>
                            <a:off x="129540" y="76200"/>
                            <a:ext cx="2354580" cy="449580"/>
                          </a:xfrm>
                          <a:prstGeom prst="rect">
                            <a:avLst/>
                          </a:prstGeom>
                          <a:solidFill>
                            <a:sysClr val="window" lastClr="FFFFFF"/>
                          </a:solidFill>
                          <a:ln w="6350">
                            <a:noFill/>
                          </a:ln>
                        </wps:spPr>
                        <wps:txbx>
                          <w:txbxContent>
                            <w:p w14:paraId="4E9BEA06" w14:textId="77777777" w:rsidR="005C183D" w:rsidRPr="00EF048B" w:rsidRDefault="005C183D" w:rsidP="005C183D">
                              <w:pPr>
                                <w:jc w:val="cente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Establish a sense of urgency.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cene3d>
                            <a:camera prst="orthographicFront"/>
                            <a:lightRig rig="soft" dir="t">
                              <a:rot lat="0" lon="0" rev="15600000"/>
                            </a:lightRig>
                          </a:scene3d>
                          <a:sp3d extrusionH="57150" prstMaterial="softEdge">
                            <a:bevelT w="25400" h="38100"/>
                          </a:sp3d>
                        </wps:bodyPr>
                      </wps:wsp>
                    </wpg:wgp>
                  </a:graphicData>
                </a:graphic>
              </wp:anchor>
            </w:drawing>
          </mc:Choice>
          <mc:Fallback>
            <w:pict>
              <v:group w14:anchorId="04A1E0E8" id="Group 21" o:spid="_x0000_s1026" style="position:absolute;left:0;text-align:left;margin-left:0;margin-top:-21.6pt;width:210.6pt;height:42pt;z-index:251659264;mso-position-horizontal:center;mso-position-horizontal-relative:margin" coordsize="26746,5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">
                <v:roundrect id="Rectangle: Rounded Corners 3" o:spid="_x0000_s1027" style="position:absolute;width:26746;height:53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" fillcolor="window" strokecolor="windowText" strokeweight="1pt">
                  <v:stroke joinstyle="miter"/>
                </v:roundrect>
                <v:shapetype id="_x0000_t202" coordsize="21600,21600" o:spt="202" path="m,l,21600r21600,l21600,xe">
                  <v:stroke joinstyle="miter"/>
                  <v:path gradientshapeok="t" o:connecttype="rect"/>
                </v:shapetype>
                <v:shape id="Text Box 4" o:spid="_x0000_s1028" type="#_x0000_t202" style="position:absolute;left:1295;top:762;width:23546;height:4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" fillcolor="window" stroked="f" strokeweight=".5pt">
                  <v:textbox>
                    <w:txbxContent>
                      <w:p w14:paraId="4E9BEA06" w14:textId="77777777" w:rsidR="005C183D" w:rsidRPr="00EF048B" w:rsidRDefault="005C183D" w:rsidP="005C183D">
                        <w:pPr>
                          <w:jc w:val="cente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Establish a sense of urgency.</w:t>
                        </w:r>
                      </w:p>
                    </w:txbxContent>
                  </v:textbox>
                </v:shape>
                <w10:wrap anchorx="margin"/>
              </v:group>
            </w:pict>
          </mc:Fallback>
        </mc:AlternateContent>
      </w:r>
    </w:p>
    <w:p w14:paraId="619811FE"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60288" behindDoc="0" locked="0" layoutInCell="1" allowOverlap="1" wp14:anchorId="4BB648B8" wp14:editId="2B109249">
                <wp:simplePos x="0" y="0"/>
                <wp:positionH relativeFrom="margin">
                  <wp:align>center</wp:align>
                </wp:positionH>
                <wp:positionV relativeFrom="paragraph">
                  <wp:posOffset>99060</wp:posOffset>
                </wp:positionV>
                <wp:extent cx="2659380" cy="617220"/>
                <wp:effectExtent l="57150" t="95250" r="83820" b="30480"/>
                <wp:wrapNone/>
                <wp:docPr id="26" name="Group 26"/>
                <wp:cNvGraphicFramePr/>
                <a:graphic xmlns:a="http://schemas.openxmlformats.org/drawingml/2006/main">
                  <a:graphicData uri="http://schemas.microsoft.com/office/word/2010/wordprocessingGroup">
                    <wpg:wgp>
                      <wpg:cNvGrpSpPr/>
                      <wpg:grpSpPr>
                        <a:xfrm>
                          <a:off x="0" y="0"/>
                          <a:ext cx="2659380" cy="617220"/>
                          <a:chOff x="0" y="0"/>
                          <a:chExt cx="2659380" cy="617220"/>
                        </a:xfrm>
                        <a:effectLst>
                          <a:outerShdw blurRad="50800" dist="38100" dir="16200000" rotWithShape="0">
                            <a:prstClr val="black">
                              <a:alpha val="40000"/>
                            </a:prstClr>
                          </a:outerShdw>
                        </a:effectLst>
                      </wpg:grpSpPr>
                      <wps:wsp>
                        <wps:cNvPr id="5" name="Rectangle: Rounded Corners 5"/>
                        <wps:cNvSpPr/>
                        <wps:spPr>
                          <a:xfrm>
                            <a:off x="0" y="0"/>
                            <a:ext cx="2659380" cy="617220"/>
                          </a:xfrm>
                          <a:prstGeom prst="round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Text Box 6"/>
                        <wps:cNvSpPr txBox="1"/>
                        <wps:spPr>
                          <a:xfrm>
                            <a:off x="182880" y="152400"/>
                            <a:ext cx="2362200" cy="441960"/>
                          </a:xfrm>
                          <a:prstGeom prst="rect">
                            <a:avLst/>
                          </a:prstGeom>
                          <a:solidFill>
                            <a:sysClr val="window" lastClr="FFFFFF"/>
                          </a:solidFill>
                          <a:ln w="6350">
                            <a:noFill/>
                          </a:ln>
                        </wps:spPr>
                        <wps:txbx>
                          <w:txbxContent>
                            <w:p w14:paraId="62269D98" w14:textId="77777777" w:rsidR="005C183D" w:rsidRPr="00EF048B" w:rsidRDefault="005C183D" w:rsidP="005C183D">
                              <w:pPr>
                                <w:jc w:val="cente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 a powerful guiding coalition.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anchor>
            </w:drawing>
          </mc:Choice>
          <mc:Fallback>
            <w:pict>
              <v:group w14:anchorId="4BB648B8" id="Group 26" o:spid="_x0000_s1029" style="position:absolute;left:0;text-align:left;margin-left:0;margin-top:7.8pt;width:209.4pt;height:48.6pt;z-index:251660288;mso-position-horizontal:center;mso-position-horizontal-relative:margin" coordsize="26593,61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">
                <v:roundrect id="Rectangle: Rounded Corners 5" o:spid="_x0000_s1030" style="position:absolute;width:26593;height:61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" fillcolor="window" strokecolor="#70ad47" strokeweight="1pt">
                  <v:stroke joinstyle="miter"/>
                </v:roundrect>
                <v:shape id="Text Box 6" o:spid="_x0000_s1031" type="#_x0000_t202" style="position:absolute;left:1828;top:1524;width:23622;height:44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" fillcolor="window" stroked="f" strokeweight=".5pt">
                  <v:textbox>
                    <w:txbxContent>
                      <w:p w14:paraId="62269D98" w14:textId="77777777" w:rsidR="005C183D" w:rsidRPr="00EF048B" w:rsidRDefault="005C183D" w:rsidP="005C183D">
                        <w:pPr>
                          <w:jc w:val="cente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Form a powerful guiding coalition.</w:t>
                        </w:r>
                      </w:p>
                    </w:txbxContent>
                  </v:textbox>
                </v:shape>
                <w10:wrap anchorx="margin"/>
              </v:group>
            </w:pict>
          </mc:Fallback>
        </mc:AlternateContent>
      </w:r>
    </w:p>
    <w:p w14:paraId="21F72C9E"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s">
            <w:drawing>
              <wp:anchor distT="0" distB="0" distL="114300" distR="114300" simplePos="0" relativeHeight="251667456" behindDoc="0" locked="0" layoutInCell="1" allowOverlap="1" wp14:anchorId="35C8D363" wp14:editId="746240C6">
                <wp:simplePos x="0" y="0"/>
                <wp:positionH relativeFrom="column">
                  <wp:posOffset>1371600</wp:posOffset>
                </wp:positionH>
                <wp:positionV relativeFrom="paragraph">
                  <wp:posOffset>99695</wp:posOffset>
                </wp:positionV>
                <wp:extent cx="228600" cy="647700"/>
                <wp:effectExtent l="0" t="0" r="38100" b="38100"/>
                <wp:wrapNone/>
                <wp:docPr id="18" name="Arrow: Curved Right 18"/>
                <wp:cNvGraphicFramePr/>
                <a:graphic xmlns:a="http://schemas.openxmlformats.org/drawingml/2006/main">
                  <a:graphicData uri="http://schemas.microsoft.com/office/word/2010/wordprocessingShape">
                    <wps:wsp>
                      <wps:cNvSpPr/>
                      <wps:spPr>
                        <a:xfrm>
                          <a:off x="0" y="0"/>
                          <a:ext cx="228600" cy="647700"/>
                        </a:xfrm>
                        <a:prstGeom prst="curvedRightArrow">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w14:anchorId="60DFFEF5"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18" o:spid="_x0000_s1026" type="#_x0000_t102" style="position:absolute;margin-left:108pt;margin-top:7.85pt;width:18pt;height:5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" adj="17788,20647,16200" fillcolor="windowText" strokeweight="1pt"/>
            </w:pict>
          </mc:Fallback>
        </mc:AlternateContent>
      </w:r>
    </w:p>
    <w:p w14:paraId="22778018"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61312" behindDoc="0" locked="0" layoutInCell="1" allowOverlap="1" wp14:anchorId="785BD487" wp14:editId="75F52EC2">
                <wp:simplePos x="0" y="0"/>
                <wp:positionH relativeFrom="column">
                  <wp:posOffset>1645920</wp:posOffset>
                </wp:positionH>
                <wp:positionV relativeFrom="paragraph">
                  <wp:posOffset>106045</wp:posOffset>
                </wp:positionV>
                <wp:extent cx="2674620" cy="510540"/>
                <wp:effectExtent l="57150" t="95250" r="68580" b="41910"/>
                <wp:wrapNone/>
                <wp:docPr id="20" name="Group 20"/>
                <wp:cNvGraphicFramePr/>
                <a:graphic xmlns:a="http://schemas.openxmlformats.org/drawingml/2006/main">
                  <a:graphicData uri="http://schemas.microsoft.com/office/word/2010/wordprocessingGroup">
                    <wpg:wgp>
                      <wpg:cNvGrpSpPr/>
                      <wpg:grpSpPr>
                        <a:xfrm>
                          <a:off x="0" y="0"/>
                          <a:ext cx="2674620" cy="510540"/>
                          <a:chOff x="0" y="0"/>
                          <a:chExt cx="2674620" cy="510540"/>
                        </a:xfrm>
                        <a:effectLst>
                          <a:outerShdw blurRad="50800" dist="38100" dir="16200000" rotWithShape="0">
                            <a:prstClr val="black">
                              <a:alpha val="40000"/>
                            </a:prstClr>
                          </a:outerShdw>
                        </a:effectLst>
                      </wpg:grpSpPr>
                      <wps:wsp>
                        <wps:cNvPr id="7" name="Rectangle: Rounded Corners 7"/>
                        <wps:cNvSpPr/>
                        <wps:spPr>
                          <a:xfrm>
                            <a:off x="0" y="0"/>
                            <a:ext cx="2674620" cy="510540"/>
                          </a:xfrm>
                          <a:prstGeom prst="round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8" name="Text Box 8"/>
                        <wps:cNvSpPr txBox="1"/>
                        <wps:spPr>
                          <a:xfrm>
                            <a:off x="15240" y="68580"/>
                            <a:ext cx="2552700" cy="358140"/>
                          </a:xfrm>
                          <a:prstGeom prst="rect">
                            <a:avLst/>
                          </a:prstGeom>
                          <a:solidFill>
                            <a:sysClr val="window" lastClr="FFFFFF"/>
                          </a:solidFill>
                          <a:ln w="6350">
                            <a:noFill/>
                          </a:ln>
                        </wps:spPr>
                        <wps:txbx>
                          <w:txbxContent>
                            <w:p w14:paraId="7649114F" w14:textId="77777777" w:rsidR="005C183D" w:rsidRPr="00EF048B" w:rsidRDefault="005C183D" w:rsidP="005C183D">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anchor>
            </w:drawing>
          </mc:Choice>
          <mc:Fallback>
            <w:pict>
              <v:group w14:anchorId="785BD487" id="Group 20" o:spid="_x0000_s1032" style="position:absolute;left:0;text-align:left;margin-left:129.6pt;margin-top:8.35pt;width:210.6pt;height:40.2pt;z-index:251661312" coordsize="26746,51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">
                <v:roundrect id="Rectangle: Rounded Corners 7" o:spid="_x0000_s1033" style="position:absolute;width:26746;height:510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" fillcolor="window" strokecolor="#70ad47" strokeweight="1pt">
                  <v:stroke joinstyle="miter"/>
                </v:roundrect>
                <v:shape id="Text Box 8" o:spid="_x0000_s1034" type="#_x0000_t202" style="position:absolute;left:152;top:685;width:25527;height:3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" fillcolor="window" stroked="f" strokeweight=".5pt">
                  <v:textbox>
                    <w:txbxContent>
                      <w:p w14:paraId="7649114F" w14:textId="77777777" w:rsidR="005C183D" w:rsidRPr="00EF048B" w:rsidRDefault="005C183D" w:rsidP="005C183D">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a vision</w:t>
                        </w:r>
                      </w:p>
                    </w:txbxContent>
                  </v:textbox>
                </v:shape>
              </v:group>
            </w:pict>
          </mc:Fallback>
        </mc:AlternateContent>
      </w:r>
    </w:p>
    <w:p w14:paraId="5D79D243"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s">
            <w:drawing>
              <wp:anchor distT="0" distB="0" distL="114300" distR="114300" simplePos="0" relativeHeight="251668480" behindDoc="0" locked="0" layoutInCell="1" allowOverlap="1" wp14:anchorId="5A0FC215" wp14:editId="29959857">
                <wp:simplePos x="0" y="0"/>
                <wp:positionH relativeFrom="column">
                  <wp:posOffset>4297680</wp:posOffset>
                </wp:positionH>
                <wp:positionV relativeFrom="paragraph">
                  <wp:posOffset>36195</wp:posOffset>
                </wp:positionV>
                <wp:extent cx="327660" cy="586740"/>
                <wp:effectExtent l="19050" t="0" r="15240" b="41910"/>
                <wp:wrapNone/>
                <wp:docPr id="19" name="Arrow: Curved Left 19"/>
                <wp:cNvGraphicFramePr/>
                <a:graphic xmlns:a="http://schemas.openxmlformats.org/drawingml/2006/main">
                  <a:graphicData uri="http://schemas.microsoft.com/office/word/2010/wordprocessingShape">
                    <wps:wsp>
                      <wps:cNvSpPr/>
                      <wps:spPr>
                        <a:xfrm>
                          <a:off x="0" y="0"/>
                          <a:ext cx="327660" cy="586740"/>
                        </a:xfrm>
                        <a:prstGeom prst="curvedLeftArrow">
                          <a:avLst/>
                        </a:prstGeom>
                        <a:solidFill>
                          <a:srgbClr val="ED7D31"/>
                        </a:solidFill>
                        <a:ln w="12700" cap="flat" cmpd="sng" algn="ctr">
                          <a:solidFill>
                            <a:srgbClr val="ED7D31">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w14:anchorId="7C2996E8" id="Arrow: Curved Left 19" o:spid="_x0000_s1026" type="#_x0000_t103" style="position:absolute;margin-left:338.4pt;margin-top:2.85pt;width:25.8pt;height:46.2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" adj="15569,20092,5400" fillcolor="#ed7d31" strokecolor="#ae5a21" strokeweight="1pt"/>
            </w:pict>
          </mc:Fallback>
        </mc:AlternateContent>
      </w:r>
    </w:p>
    <w:p w14:paraId="2584415D"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62336" behindDoc="0" locked="0" layoutInCell="1" allowOverlap="1" wp14:anchorId="6B020CFB" wp14:editId="48B8EF0C">
                <wp:simplePos x="0" y="0"/>
                <wp:positionH relativeFrom="margin">
                  <wp:align>center</wp:align>
                </wp:positionH>
                <wp:positionV relativeFrom="paragraph">
                  <wp:posOffset>104775</wp:posOffset>
                </wp:positionV>
                <wp:extent cx="2651760" cy="586740"/>
                <wp:effectExtent l="57150" t="95250" r="72390" b="41910"/>
                <wp:wrapNone/>
                <wp:docPr id="22" name="Group 22"/>
                <wp:cNvGraphicFramePr/>
                <a:graphic xmlns:a="http://schemas.openxmlformats.org/drawingml/2006/main">
                  <a:graphicData uri="http://schemas.microsoft.com/office/word/2010/wordprocessingGroup">
                    <wpg:wgp>
                      <wpg:cNvGrpSpPr/>
                      <wpg:grpSpPr>
                        <a:xfrm>
                          <a:off x="0" y="0"/>
                          <a:ext cx="2651760" cy="586740"/>
                          <a:chOff x="0" y="0"/>
                          <a:chExt cx="2651760" cy="586740"/>
                        </a:xfrm>
                        <a:effectLst>
                          <a:outerShdw blurRad="50800" dist="38100" dir="16200000" rotWithShape="0">
                            <a:prstClr val="black">
                              <a:alpha val="40000"/>
                            </a:prstClr>
                          </a:outerShdw>
                        </a:effectLst>
                      </wpg:grpSpPr>
                      <wps:wsp>
                        <wps:cNvPr id="9" name="Rectangle: Rounded Corners 9"/>
                        <wps:cNvSpPr/>
                        <wps:spPr>
                          <a:xfrm>
                            <a:off x="0" y="0"/>
                            <a:ext cx="2651760" cy="586740"/>
                          </a:xfrm>
                          <a:prstGeom prst="round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0" name="Text Box 10"/>
                        <wps:cNvSpPr txBox="1"/>
                        <wps:spPr>
                          <a:xfrm>
                            <a:off x="167640" y="152400"/>
                            <a:ext cx="2385060" cy="403860"/>
                          </a:xfrm>
                          <a:prstGeom prst="rect">
                            <a:avLst/>
                          </a:prstGeom>
                          <a:solidFill>
                            <a:sysClr val="window" lastClr="FFFFFF"/>
                          </a:solidFill>
                          <a:ln w="6350">
                            <a:solidFill>
                              <a:sysClr val="window" lastClr="FFFFFF"/>
                            </a:solidFill>
                          </a:ln>
                        </wps:spPr>
                        <wps:txbx>
                          <w:txbxContent>
                            <w:p w14:paraId="1FEDA8CF" w14:textId="77777777" w:rsidR="005C183D" w:rsidRPr="00EF048B" w:rsidRDefault="005C183D" w:rsidP="005C183D">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48B">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Communicate the </w:t>
                              </w: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anchor>
            </w:drawing>
          </mc:Choice>
          <mc:Fallback>
            <w:pict>
              <v:group w14:anchorId="6B020CFB" id="Group 22" o:spid="_x0000_s1035" style="position:absolute;left:0;text-align:left;margin-left:0;margin-top:8.25pt;width:208.8pt;height:46.2pt;z-index:251662336;mso-position-horizontal:center;mso-position-horizontal-relative:margin" coordsize="26517,58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">
                <v:roundrect id="Rectangle: Rounded Corners 9" o:spid="_x0000_s1036" style="position:absolute;width:26517;height:58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" fillcolor="window" strokecolor="#70ad47" strokeweight="1pt">
                  <v:stroke joinstyle="miter"/>
                </v:roundrect>
                <v:shape id="Text Box 10" o:spid="_x0000_s1037" type="#_x0000_t202" style="position:absolute;left:1676;top:1524;width:23851;height:4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" fillcolor="window" strokecolor="window" strokeweight=".5pt">
                  <v:textbox>
                    <w:txbxContent>
                      <w:p w14:paraId="1FEDA8CF" w14:textId="77777777" w:rsidR="005C183D" w:rsidRPr="00EF048B" w:rsidRDefault="005C183D" w:rsidP="005C183D">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F048B">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Communicate the </w:t>
                        </w: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vision</w:t>
                        </w:r>
                      </w:p>
                    </w:txbxContent>
                  </v:textbox>
                </v:shape>
                <w10:wrap anchorx="margin"/>
              </v:group>
            </w:pict>
          </mc:Fallback>
        </mc:AlternateContent>
      </w:r>
    </w:p>
    <w:p w14:paraId="5DCC4B46"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s">
            <w:drawing>
              <wp:anchor distT="0" distB="0" distL="114300" distR="114300" simplePos="0" relativeHeight="251669504" behindDoc="0" locked="0" layoutInCell="1" allowOverlap="1" wp14:anchorId="79B76E8E" wp14:editId="0D193D91">
                <wp:simplePos x="0" y="0"/>
                <wp:positionH relativeFrom="column">
                  <wp:posOffset>1386840</wp:posOffset>
                </wp:positionH>
                <wp:positionV relativeFrom="paragraph">
                  <wp:posOffset>58420</wp:posOffset>
                </wp:positionV>
                <wp:extent cx="259080" cy="647700"/>
                <wp:effectExtent l="0" t="0" r="45720" b="38100"/>
                <wp:wrapNone/>
                <wp:docPr id="27" name="Arrow: Curved Right 27"/>
                <wp:cNvGraphicFramePr/>
                <a:graphic xmlns:a="http://schemas.openxmlformats.org/drawingml/2006/main">
                  <a:graphicData uri="http://schemas.microsoft.com/office/word/2010/wordprocessingShape">
                    <wps:wsp>
                      <wps:cNvSpPr/>
                      <wps:spPr>
                        <a:xfrm>
                          <a:off x="0" y="0"/>
                          <a:ext cx="259080" cy="647700"/>
                        </a:xfrm>
                        <a:prstGeom prst="curvedRightArrow">
                          <a:avLst/>
                        </a:prstGeom>
                        <a:solidFill>
                          <a:srgbClr val="70AD47"/>
                        </a:solidFill>
                        <a:ln w="12700" cap="flat" cmpd="sng" algn="ctr">
                          <a:solidFill>
                            <a:srgbClr val="70AD47">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w14:anchorId="70E07A32" id="Arrow: Curved Right 27" o:spid="_x0000_s1026" type="#_x0000_t102" style="position:absolute;margin-left:109.2pt;margin-top:4.6pt;width:20.4pt;height:51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" adj="17280,20520,16200" fillcolor="#70ad47" strokecolor="#507e32" strokeweight="1pt"/>
            </w:pict>
          </mc:Fallback>
        </mc:AlternateContent>
      </w:r>
    </w:p>
    <w:p w14:paraId="0170A901"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63360" behindDoc="0" locked="0" layoutInCell="1" allowOverlap="1" wp14:anchorId="1C5BA072" wp14:editId="0226F4CF">
                <wp:simplePos x="0" y="0"/>
                <wp:positionH relativeFrom="column">
                  <wp:posOffset>1562100</wp:posOffset>
                </wp:positionH>
                <wp:positionV relativeFrom="paragraph">
                  <wp:posOffset>141605</wp:posOffset>
                </wp:positionV>
                <wp:extent cx="2667000" cy="655320"/>
                <wp:effectExtent l="57150" t="95250" r="76200" b="30480"/>
                <wp:wrapNone/>
                <wp:docPr id="23" name="Group 23"/>
                <wp:cNvGraphicFramePr/>
                <a:graphic xmlns:a="http://schemas.openxmlformats.org/drawingml/2006/main">
                  <a:graphicData uri="http://schemas.microsoft.com/office/word/2010/wordprocessingGroup">
                    <wpg:wgp>
                      <wpg:cNvGrpSpPr/>
                      <wpg:grpSpPr>
                        <a:xfrm>
                          <a:off x="0" y="0"/>
                          <a:ext cx="2667000" cy="655320"/>
                          <a:chOff x="0" y="0"/>
                          <a:chExt cx="2667000" cy="548640"/>
                        </a:xfrm>
                        <a:effectLst>
                          <a:outerShdw blurRad="50800" dist="38100" dir="16200000" rotWithShape="0">
                            <a:prstClr val="black">
                              <a:alpha val="40000"/>
                            </a:prstClr>
                          </a:outerShdw>
                        </a:effectLst>
                      </wpg:grpSpPr>
                      <wps:wsp>
                        <wps:cNvPr id="11" name="Rectangle: Rounded Corners 11"/>
                        <wps:cNvSpPr/>
                        <wps:spPr>
                          <a:xfrm>
                            <a:off x="0" y="0"/>
                            <a:ext cx="2667000" cy="548640"/>
                          </a:xfrm>
                          <a:prstGeom prst="roundRect">
                            <a:avLst/>
                          </a:prstGeom>
                          <a:solidFill>
                            <a:sysClr val="window" lastClr="FFFFFF"/>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2" name="Text Box 12"/>
                        <wps:cNvSpPr txBox="1"/>
                        <wps:spPr>
                          <a:xfrm>
                            <a:off x="121920" y="137160"/>
                            <a:ext cx="2385060" cy="403860"/>
                          </a:xfrm>
                          <a:prstGeom prst="rect">
                            <a:avLst/>
                          </a:prstGeom>
                          <a:solidFill>
                            <a:sysClr val="window" lastClr="FFFFFF"/>
                          </a:solidFill>
                          <a:ln w="6350">
                            <a:solidFill>
                              <a:sysClr val="window" lastClr="FFFFFF"/>
                            </a:solidFill>
                          </a:ln>
                        </wps:spPr>
                        <wps:txbx>
                          <w:txbxContent>
                            <w:p w14:paraId="59075B57" w14:textId="77777777" w:rsidR="005C183D" w:rsidRPr="00EF048B" w:rsidRDefault="005C183D" w:rsidP="005C183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Empower others to act on the vision.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14:sizeRelV relativeFrom="margin">
                  <wp14:pctHeight>0</wp14:pctHeight>
                </wp14:sizeRelV>
              </wp:anchor>
            </w:drawing>
          </mc:Choice>
          <mc:Fallback>
            <w:pict>
              <v:group w14:anchorId="1C5BA072" id="Group 23" o:spid="_x0000_s1038" style="position:absolute;left:0;text-align:left;margin-left:123pt;margin-top:11.15pt;width:210pt;height:51.6pt;z-index:251663360;mso-height-relative:margin" coordsize="26670,54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">
                <v:roundrect id="Rectangle: Rounded Corners 11" o:spid="_x0000_s1039" style="position:absolute;width:26670;height:54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" fillcolor="window" strokecolor="#70ad47" strokeweight="1pt">
                  <v:stroke joinstyle="miter"/>
                </v:roundrect>
                <v:shape id="Text Box 12" o:spid="_x0000_s1040" type="#_x0000_t202" style="position:absolute;left:1219;top:1371;width:23850;height:4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" fillcolor="window" strokecolor="window" strokeweight=".5pt">
                  <v:textbox>
                    <w:txbxContent>
                      <w:p w14:paraId="59075B57" w14:textId="77777777" w:rsidR="005C183D" w:rsidRPr="00EF048B" w:rsidRDefault="005C183D" w:rsidP="005C183D">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Empower others to act on the vision.</w:t>
                        </w:r>
                      </w:p>
                    </w:txbxContent>
                  </v:textbox>
                </v:shape>
              </v:group>
            </w:pict>
          </mc:Fallback>
        </mc:AlternateContent>
      </w:r>
    </w:p>
    <w:p w14:paraId="5A104668"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s">
            <w:drawing>
              <wp:anchor distT="0" distB="0" distL="114300" distR="114300" simplePos="0" relativeHeight="251670528" behindDoc="0" locked="0" layoutInCell="1" allowOverlap="1" wp14:anchorId="2B8A4FF0" wp14:editId="74298081">
                <wp:simplePos x="0" y="0"/>
                <wp:positionH relativeFrom="column">
                  <wp:posOffset>4191000</wp:posOffset>
                </wp:positionH>
                <wp:positionV relativeFrom="paragraph">
                  <wp:posOffset>240030</wp:posOffset>
                </wp:positionV>
                <wp:extent cx="327660" cy="586740"/>
                <wp:effectExtent l="19050" t="0" r="15240" b="41910"/>
                <wp:wrapNone/>
                <wp:docPr id="28" name="Arrow: Curved Left 28"/>
                <wp:cNvGraphicFramePr/>
                <a:graphic xmlns:a="http://schemas.openxmlformats.org/drawingml/2006/main">
                  <a:graphicData uri="http://schemas.microsoft.com/office/word/2010/wordprocessingShape">
                    <wps:wsp>
                      <wps:cNvSpPr/>
                      <wps:spPr>
                        <a:xfrm>
                          <a:off x="0" y="0"/>
                          <a:ext cx="327660" cy="586740"/>
                        </a:xfrm>
                        <a:prstGeom prst="curvedLeftArrow">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w14:anchorId="62301D33" id="Arrow: Curved Left 28" o:spid="_x0000_s1026" type="#_x0000_t103" style="position:absolute;margin-left:330pt;margin-top:18.9pt;width:25.8pt;height:46.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" adj="15569,20092,5400" fillcolor="#9b9b9b" strokecolor="windowText" strokeweight=".5pt">
                <v:fill color2="#797979" rotate="t" colors="0 #9b9b9b;.5 #8e8e8e;1 #797979" focus="100%" type="gradient">
                  <o:fill v:ext="view" type="gradientUnscaled"/>
                </v:fill>
              </v:shape>
            </w:pict>
          </mc:Fallback>
        </mc:AlternateContent>
      </w:r>
    </w:p>
    <w:p w14:paraId="3D69E2B8"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64384" behindDoc="0" locked="0" layoutInCell="1" allowOverlap="1" wp14:anchorId="7733CF4B" wp14:editId="19A468F5">
                <wp:simplePos x="0" y="0"/>
                <wp:positionH relativeFrom="column">
                  <wp:posOffset>1516380</wp:posOffset>
                </wp:positionH>
                <wp:positionV relativeFrom="paragraph">
                  <wp:posOffset>277495</wp:posOffset>
                </wp:positionV>
                <wp:extent cx="2667000" cy="655320"/>
                <wp:effectExtent l="57150" t="95250" r="76200" b="30480"/>
                <wp:wrapNone/>
                <wp:docPr id="24" name="Group 24"/>
                <wp:cNvGraphicFramePr/>
                <a:graphic xmlns:a="http://schemas.openxmlformats.org/drawingml/2006/main">
                  <a:graphicData uri="http://schemas.microsoft.com/office/word/2010/wordprocessingGroup">
                    <wpg:wgp>
                      <wpg:cNvGrpSpPr/>
                      <wpg:grpSpPr>
                        <a:xfrm>
                          <a:off x="0" y="0"/>
                          <a:ext cx="2667000" cy="655320"/>
                          <a:chOff x="0" y="0"/>
                          <a:chExt cx="2667000" cy="548640"/>
                        </a:xfrm>
                        <a:effectLst>
                          <a:outerShdw blurRad="50800" dist="38100" dir="16200000" rotWithShape="0">
                            <a:prstClr val="black">
                              <a:alpha val="40000"/>
                            </a:prstClr>
                          </a:outerShdw>
                        </a:effectLst>
                      </wpg:grpSpPr>
                      <wps:wsp>
                        <wps:cNvPr id="13" name="Rectangle: Rounded Corners 13"/>
                        <wps:cNvSpPr/>
                        <wps:spPr>
                          <a:xfrm>
                            <a:off x="0" y="0"/>
                            <a:ext cx="2667000" cy="548640"/>
                          </a:xfrm>
                          <a:prstGeom prst="roundRect">
                            <a:avLst/>
                          </a:prstGeom>
                          <a:solidFill>
                            <a:sysClr val="window" lastClr="FFFFFF"/>
                          </a:solidFill>
                          <a:ln w="12700">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4" name="Text Box 14"/>
                        <wps:cNvSpPr txBox="1"/>
                        <wps:spPr>
                          <a:xfrm>
                            <a:off x="99060" y="114300"/>
                            <a:ext cx="2385060" cy="403860"/>
                          </a:xfrm>
                          <a:prstGeom prst="rect">
                            <a:avLst/>
                          </a:prstGeom>
                          <a:solidFill>
                            <a:sysClr val="window" lastClr="FFFFFF"/>
                          </a:solidFill>
                          <a:ln w="6350">
                            <a:solidFill>
                              <a:sysClr val="window" lastClr="FFFFFF"/>
                            </a:solidFill>
                          </a:ln>
                        </wps:spPr>
                        <wps:txbx>
                          <w:txbxContent>
                            <w:p w14:paraId="099F1DE0" w14:textId="77777777" w:rsidR="005C183D" w:rsidRPr="00EF048B" w:rsidRDefault="005C183D" w:rsidP="005C183D">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 for and create short-term wins.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wpg:wgp>
                  </a:graphicData>
                </a:graphic>
                <wp14:sizeRelV relativeFrom="margin">
                  <wp14:pctHeight>0</wp14:pctHeight>
                </wp14:sizeRelV>
              </wp:anchor>
            </w:drawing>
          </mc:Choice>
          <mc:Fallback>
            <w:pict>
              <v:group w14:anchorId="7733CF4B" id="Group 24" o:spid="_x0000_s1041" style="position:absolute;left:0;text-align:left;margin-left:119.4pt;margin-top:21.85pt;width:210pt;height:51.6pt;z-index:251664384;mso-height-relative:margin" coordsize="26670,54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">
                <v:roundrect id="Rectangle: Rounded Corners 13" o:spid="_x0000_s1042" style="position:absolute;width:26670;height:54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" fillcolor="window" strokecolor="#70ad47" strokeweight="1pt">
                  <v:stroke joinstyle="miter"/>
                </v:roundrect>
                <v:shape id="Text Box 14" o:spid="_x0000_s1043" type="#_x0000_t202" style="position:absolute;left:990;top:1143;width:23851;height:40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" fillcolor="window" strokecolor="window" strokeweight=".5pt">
                  <v:textbox>
                    <w:txbxContent>
                      <w:p w14:paraId="099F1DE0" w14:textId="77777777" w:rsidR="005C183D" w:rsidRPr="00EF048B" w:rsidRDefault="005C183D" w:rsidP="005C183D">
                        <w:pPr>
                          <w:jc w:val="cente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Plan for and create short-term wins.</w:t>
                        </w:r>
                      </w:p>
                    </w:txbxContent>
                  </v:textbox>
                </v:shape>
              </v:group>
            </w:pict>
          </mc:Fallback>
        </mc:AlternateContent>
      </w:r>
    </w:p>
    <w:p w14:paraId="222B711B"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s">
            <w:drawing>
              <wp:anchor distT="0" distB="0" distL="114300" distR="114300" simplePos="0" relativeHeight="251671552" behindDoc="0" locked="0" layoutInCell="1" allowOverlap="1" wp14:anchorId="535B4A75" wp14:editId="704440F8">
                <wp:simplePos x="0" y="0"/>
                <wp:positionH relativeFrom="column">
                  <wp:posOffset>1158240</wp:posOffset>
                </wp:positionH>
                <wp:positionV relativeFrom="paragraph">
                  <wp:posOffset>361950</wp:posOffset>
                </wp:positionV>
                <wp:extent cx="312420" cy="640080"/>
                <wp:effectExtent l="0" t="0" r="30480" b="45720"/>
                <wp:wrapNone/>
                <wp:docPr id="29" name="Arrow: Curved Right 29"/>
                <wp:cNvGraphicFramePr/>
                <a:graphic xmlns:a="http://schemas.openxmlformats.org/drawingml/2006/main">
                  <a:graphicData uri="http://schemas.microsoft.com/office/word/2010/wordprocessingShape">
                    <wps:wsp>
                      <wps:cNvSpPr/>
                      <wps:spPr>
                        <a:xfrm>
                          <a:off x="0" y="0"/>
                          <a:ext cx="312420" cy="640080"/>
                        </a:xfrm>
                        <a:prstGeom prst="curvedRightArrow">
                          <a:avLst/>
                        </a:prstGeom>
                        <a:gradFill rotWithShape="1">
                          <a:gsLst>
                            <a:gs pos="0">
                              <a:srgbClr val="ED7D31">
                                <a:lumMod val="110000"/>
                                <a:satMod val="105000"/>
                                <a:tint val="67000"/>
                              </a:srgbClr>
                            </a:gs>
                            <a:gs pos="50000">
                              <a:srgbClr val="ED7D31">
                                <a:lumMod val="105000"/>
                                <a:satMod val="103000"/>
                                <a:tint val="73000"/>
                              </a:srgbClr>
                            </a:gs>
                            <a:gs pos="100000">
                              <a:srgbClr val="ED7D31">
                                <a:lumMod val="105000"/>
                                <a:satMod val="109000"/>
                                <a:tint val="81000"/>
                              </a:srgbClr>
                            </a:gs>
                          </a:gsLst>
                          <a:lin ang="5400000" scaled="0"/>
                        </a:gradFill>
                        <a:ln w="6350" cap="flat" cmpd="sng" algn="ctr">
                          <a:solidFill>
                            <a:srgbClr val="ED7D31"/>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 w14:anchorId="316B7F54" id="Arrow: Curved Right 29" o:spid="_x0000_s1026" type="#_x0000_t102" style="position:absolute;margin-left:91.2pt;margin-top:28.5pt;width:24.6pt;height:50.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" adj="16329,20282,16200" fillcolor="#f7bda4" strokecolor="#ed7d31" strokeweight=".5pt">
                <v:fill color2="#f8a581" rotate="t" colors="0 #f7bda4;.5 #f5b195;1 #f8a581" focus="100%" type="gradient">
                  <o:fill v:ext="view" type="gradientUnscaled"/>
                </v:fill>
              </v:shape>
            </w:pict>
          </mc:Fallback>
        </mc:AlternateContent>
      </w:r>
    </w:p>
    <w:p w14:paraId="779EDE7D" w14:textId="77777777" w:rsidR="005C183D" w:rsidRPr="005C183D" w:rsidRDefault="005C183D" w:rsidP="005C183D">
      <w:pPr>
        <w:spacing w:line="360" w:lineRule="auto"/>
        <w:jc w:val="center"/>
        <w:rPr>
          <w:rFonts w:ascii="Arial" w:hAnsi="Arial" w:cs="Arial"/>
          <w:sz w:val="24"/>
          <w:szCs w:val="24"/>
        </w:rPr>
      </w:pPr>
    </w:p>
    <w:p w14:paraId="24CA5EC4"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65408" behindDoc="0" locked="0" layoutInCell="1" allowOverlap="1" wp14:anchorId="057D5B77" wp14:editId="352A90F7">
                <wp:simplePos x="0" y="0"/>
                <wp:positionH relativeFrom="column">
                  <wp:posOffset>1463040</wp:posOffset>
                </wp:positionH>
                <wp:positionV relativeFrom="paragraph">
                  <wp:posOffset>101600</wp:posOffset>
                </wp:positionV>
                <wp:extent cx="2667000" cy="693420"/>
                <wp:effectExtent l="57150" t="95250" r="76200" b="30480"/>
                <wp:wrapNone/>
                <wp:docPr id="25" name="Group 25"/>
                <wp:cNvGraphicFramePr/>
                <a:graphic xmlns:a="http://schemas.openxmlformats.org/drawingml/2006/main">
                  <a:graphicData uri="http://schemas.microsoft.com/office/word/2010/wordprocessingGroup">
                    <wpg:wgp>
                      <wpg:cNvGrpSpPr/>
                      <wpg:grpSpPr>
                        <a:xfrm>
                          <a:off x="0" y="0"/>
                          <a:ext cx="2667000" cy="693420"/>
                          <a:chOff x="0" y="0"/>
                          <a:chExt cx="2667000" cy="548640"/>
                        </a:xfrm>
                        <a:effectLst>
                          <a:outerShdw blurRad="50800" dist="38100" dir="16200000" rotWithShape="0">
                            <a:prstClr val="black">
                              <a:alpha val="40000"/>
                            </a:prstClr>
                          </a:outerShdw>
                        </a:effectLst>
                      </wpg:grpSpPr>
                      <wps:wsp>
                        <wps:cNvPr id="15" name="Rectangle: Rounded Corners 15"/>
                        <wps:cNvSpPr/>
                        <wps:spPr>
                          <a:xfrm>
                            <a:off x="0" y="0"/>
                            <a:ext cx="2667000" cy="548640"/>
                          </a:xfrm>
                          <a:prstGeom prst="roundRect">
                            <a:avLst/>
                          </a:prstGeom>
                          <a:solidFill>
                            <a:sysClr val="window" lastClr="FFFFFF"/>
                          </a:solidFill>
                          <a:ln w="12700">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6" name="Text Box 16"/>
                        <wps:cNvSpPr txBox="1"/>
                        <wps:spPr>
                          <a:xfrm>
                            <a:off x="129540" y="68580"/>
                            <a:ext cx="2385060" cy="403860"/>
                          </a:xfrm>
                          <a:prstGeom prst="rect">
                            <a:avLst/>
                          </a:prstGeom>
                          <a:solidFill>
                            <a:sysClr val="window" lastClr="FFFFFF"/>
                          </a:solidFill>
                          <a:ln w="6350">
                            <a:solidFill>
                              <a:sysClr val="window" lastClr="FFFFFF"/>
                            </a:solidFill>
                          </a:ln>
                        </wps:spPr>
                        <wps:txbx>
                          <w:txbxContent>
                            <w:p w14:paraId="05001820" w14:textId="77777777" w:rsidR="005C183D" w:rsidRPr="00EF048B" w:rsidRDefault="005C183D" w:rsidP="005C183D">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Consolidate improvements &amp; create more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cene3d>
                            <a:camera prst="orthographicFront"/>
                            <a:lightRig rig="soft" dir="t">
                              <a:rot lat="0" lon="0" rev="15600000"/>
                            </a:lightRig>
                          </a:scene3d>
                          <a:sp3d extrusionH="57150" prstMaterial="softEdge">
                            <a:bevelT w="25400" h="38100"/>
                          </a:sp3d>
                        </wps:bodyPr>
                      </wps:wsp>
                    </wpg:wgp>
                  </a:graphicData>
                </a:graphic>
                <wp14:sizeRelV relativeFrom="margin">
                  <wp14:pctHeight>0</wp14:pctHeight>
                </wp14:sizeRelV>
              </wp:anchor>
            </w:drawing>
          </mc:Choice>
          <mc:Fallback>
            <w:pict>
              <v:group w14:anchorId="057D5B77" id="Group 25" o:spid="_x0000_s1044" style="position:absolute;left:0;text-align:left;margin-left:115.2pt;margin-top:8pt;width:210pt;height:54.6pt;z-index:251665408;mso-height-relative:margin" coordsize="26670,54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">
                <v:roundrect id="Rectangle: Rounded Corners 15" o:spid="_x0000_s1045" style="position:absolute;width:26670;height:54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" fillcolor="window" strokecolor="#70ad47" strokeweight="1pt">
                  <v:stroke joinstyle="miter"/>
                </v:roundrect>
                <v:shape id="Text Box 16" o:spid="_x0000_s1046" type="#_x0000_t202" style="position:absolute;left:1295;top:685;width:23851;height:4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" fillcolor="window" strokecolor="window" strokeweight=".5pt">
                  <v:textbox>
                    <w:txbxContent>
                      <w:p w14:paraId="05001820" w14:textId="77777777" w:rsidR="005C183D" w:rsidRPr="00EF048B" w:rsidRDefault="005C183D" w:rsidP="005C183D">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Consolidate improvements &amp; create more change.</w:t>
                        </w:r>
                      </w:p>
                    </w:txbxContent>
                  </v:textbox>
                </v:shape>
              </v:group>
            </w:pict>
          </mc:Fallback>
        </mc:AlternateContent>
      </w:r>
    </w:p>
    <w:p w14:paraId="02A25AB3"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s">
            <w:drawing>
              <wp:anchor distT="0" distB="0" distL="114300" distR="114300" simplePos="0" relativeHeight="251673600" behindDoc="0" locked="0" layoutInCell="1" allowOverlap="1" wp14:anchorId="3D081811" wp14:editId="7A9010D3">
                <wp:simplePos x="0" y="0"/>
                <wp:positionH relativeFrom="column">
                  <wp:posOffset>4137660</wp:posOffset>
                </wp:positionH>
                <wp:positionV relativeFrom="paragraph">
                  <wp:posOffset>214630</wp:posOffset>
                </wp:positionV>
                <wp:extent cx="327660" cy="754380"/>
                <wp:effectExtent l="19050" t="0" r="15240" b="45720"/>
                <wp:wrapNone/>
                <wp:docPr id="33" name="Arrow: Curved Left 33"/>
                <wp:cNvGraphicFramePr/>
                <a:graphic xmlns:a="http://schemas.openxmlformats.org/drawingml/2006/main">
                  <a:graphicData uri="http://schemas.microsoft.com/office/word/2010/wordprocessingShape">
                    <wps:wsp>
                      <wps:cNvSpPr/>
                      <wps:spPr>
                        <a:xfrm>
                          <a:off x="0" y="0"/>
                          <a:ext cx="327660" cy="754380"/>
                        </a:xfrm>
                        <a:prstGeom prst="curvedLeftArrow">
                          <a:avLst/>
                        </a:prstGeom>
                        <a:gradFill rotWithShape="1">
                          <a:gsLst>
                            <a:gs pos="0">
                              <a:sysClr val="windowText" lastClr="000000">
                                <a:lumMod val="110000"/>
                                <a:satMod val="105000"/>
                                <a:tint val="67000"/>
                              </a:sysClr>
                            </a:gs>
                            <a:gs pos="50000">
                              <a:sysClr val="windowText" lastClr="000000">
                                <a:lumMod val="105000"/>
                                <a:satMod val="103000"/>
                                <a:tint val="73000"/>
                              </a:sysClr>
                            </a:gs>
                            <a:gs pos="100000">
                              <a:sysClr val="windowText" lastClr="000000">
                                <a:lumMod val="105000"/>
                                <a:satMod val="109000"/>
                                <a:tint val="81000"/>
                              </a:sysClr>
                            </a:gs>
                          </a:gsLst>
                          <a:lin ang="5400000" scaled="0"/>
                        </a:gradFill>
                        <a:ln w="6350">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V relativeFrom="margin">
                  <wp14:pctHeight>0</wp14:pctHeight>
                </wp14:sizeRelV>
              </wp:anchor>
            </w:drawing>
          </mc:Choice>
          <mc:Fallback>
            <w:pict>
              <v:shape w14:anchorId="44CA0DF3" id="Arrow: Curved Left 33" o:spid="_x0000_s1026" type="#_x0000_t103" style="position:absolute;margin-left:325.8pt;margin-top:16.9pt;width:25.8pt;height:59.4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" adj="16909,20427,5400" fillcolor="#9b9b9b" strokecolor="windowText" strokeweight=".5pt">
                <v:fill color2="#797979" rotate="t" colors="0 #9b9b9b;.5 #8e8e8e;1 #797979" focus="100%" type="gradient">
                  <o:fill v:ext="view" type="gradientUnscaled"/>
                </v:fill>
              </v:shape>
            </w:pict>
          </mc:Fallback>
        </mc:AlternateContent>
      </w:r>
    </w:p>
    <w:p w14:paraId="297E422C"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noProof/>
          <w:sz w:val="24"/>
          <w:szCs w:val="24"/>
        </w:rPr>
        <mc:AlternateContent>
          <mc:Choice Requires="wpg">
            <w:drawing>
              <wp:anchor distT="0" distB="0" distL="114300" distR="114300" simplePos="0" relativeHeight="251672576" behindDoc="0" locked="0" layoutInCell="1" allowOverlap="1" wp14:anchorId="03E267E4" wp14:editId="1FB84569">
                <wp:simplePos x="0" y="0"/>
                <wp:positionH relativeFrom="column">
                  <wp:posOffset>1394460</wp:posOffset>
                </wp:positionH>
                <wp:positionV relativeFrom="paragraph">
                  <wp:posOffset>267335</wp:posOffset>
                </wp:positionV>
                <wp:extent cx="2667000" cy="693420"/>
                <wp:effectExtent l="57150" t="95250" r="76200" b="30480"/>
                <wp:wrapNone/>
                <wp:docPr id="30" name="Group 30"/>
                <wp:cNvGraphicFramePr/>
                <a:graphic xmlns:a="http://schemas.openxmlformats.org/drawingml/2006/main">
                  <a:graphicData uri="http://schemas.microsoft.com/office/word/2010/wordprocessingGroup">
                    <wpg:wgp>
                      <wpg:cNvGrpSpPr/>
                      <wpg:grpSpPr>
                        <a:xfrm>
                          <a:off x="0" y="0"/>
                          <a:ext cx="2667000" cy="693420"/>
                          <a:chOff x="0" y="0"/>
                          <a:chExt cx="2667000" cy="548640"/>
                        </a:xfrm>
                        <a:effectLst>
                          <a:outerShdw blurRad="50800" dist="38100" dir="16200000" rotWithShape="0">
                            <a:prstClr val="black">
                              <a:alpha val="40000"/>
                            </a:prstClr>
                          </a:outerShdw>
                        </a:effectLst>
                      </wpg:grpSpPr>
                      <wps:wsp>
                        <wps:cNvPr id="31" name="Rectangle: Rounded Corners 31"/>
                        <wps:cNvSpPr/>
                        <wps:spPr>
                          <a:xfrm>
                            <a:off x="0" y="0"/>
                            <a:ext cx="2667000" cy="548640"/>
                          </a:xfrm>
                          <a:prstGeom prst="roundRect">
                            <a:avLst/>
                          </a:prstGeom>
                          <a:solidFill>
                            <a:sysClr val="window" lastClr="FFFFFF"/>
                          </a:solidFill>
                          <a:ln w="12700">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2" name="Text Box 32"/>
                        <wps:cNvSpPr txBox="1"/>
                        <wps:spPr>
                          <a:xfrm>
                            <a:off x="129540" y="68580"/>
                            <a:ext cx="2385060" cy="403860"/>
                          </a:xfrm>
                          <a:prstGeom prst="rect">
                            <a:avLst/>
                          </a:prstGeom>
                          <a:solidFill>
                            <a:sysClr val="window" lastClr="FFFFFF"/>
                          </a:solidFill>
                          <a:ln w="6350">
                            <a:solidFill>
                              <a:sysClr val="window" lastClr="FFFFFF"/>
                            </a:solidFill>
                          </a:ln>
                        </wps:spPr>
                        <wps:txbx>
                          <w:txbxContent>
                            <w:p w14:paraId="71AE9F7E" w14:textId="77777777" w:rsidR="005C183D" w:rsidRPr="00EF048B" w:rsidRDefault="005C183D" w:rsidP="005C183D">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Institutionalise new approaches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cene3d>
                            <a:camera prst="orthographicFront"/>
                            <a:lightRig rig="soft" dir="t">
                              <a:rot lat="0" lon="0" rev="15600000"/>
                            </a:lightRig>
                          </a:scene3d>
                          <a:sp3d extrusionH="57150" prstMaterial="softEdge">
                            <a:bevelT w="25400" h="38100"/>
                          </a:sp3d>
                        </wps:bodyPr>
                      </wps:wsp>
                    </wpg:wgp>
                  </a:graphicData>
                </a:graphic>
                <wp14:sizeRelV relativeFrom="margin">
                  <wp14:pctHeight>0</wp14:pctHeight>
                </wp14:sizeRelV>
              </wp:anchor>
            </w:drawing>
          </mc:Choice>
          <mc:Fallback>
            <w:pict>
              <v:group w14:anchorId="03E267E4" id="Group 30" o:spid="_x0000_s1047" style="position:absolute;left:0;text-align:left;margin-left:109.8pt;margin-top:21.05pt;width:210pt;height:54.6pt;z-index:251672576;mso-height-relative:margin" coordsize="26670,54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">
                <v:roundrect id="Rectangle: Rounded Corners 31" o:spid="_x0000_s1048" style="position:absolute;width:26670;height:548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" fillcolor="window" strokecolor="#70ad47" strokeweight="1pt">
                  <v:stroke joinstyle="miter"/>
                </v:roundrect>
                <v:shape id="Text Box 32" o:spid="_x0000_s1049" type="#_x0000_t202" style="position:absolute;left:1295;top:685;width:23851;height:40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" fillcolor="window" strokecolor="window" strokeweight=".5pt">
                  <v:textbox>
                    <w:txbxContent>
                      <w:p w14:paraId="71AE9F7E" w14:textId="77777777" w:rsidR="005C183D" w:rsidRPr="00EF048B" w:rsidRDefault="005C183D" w:rsidP="005C183D">
                        <w:pPr>
                          <w:jc w:val="center"/>
                          <w:rPr>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FFC000" w:themeColor="accent4"/>
                            <w14:textOutline w14:w="0" w14:cap="flat" w14:cmpd="sng" w14:algn="ctr">
                              <w14:noFill/>
                              <w14:prstDash w14:val="solid"/>
                              <w14:round/>
                            </w14:textOutline>
                            <w14:props3d w14:extrusionH="57150" w14:contourW="0" w14:prstMaterial="softEdge">
                              <w14:bevelT w14:w="25400" w14:h="38100" w14:prst="circle"/>
                            </w14:props3d>
                          </w:rPr>
                          <w:t>Institutionalise new approaches</w:t>
                        </w:r>
                      </w:p>
                    </w:txbxContent>
                  </v:textbox>
                </v:shape>
              </v:group>
            </w:pict>
          </mc:Fallback>
        </mc:AlternateContent>
      </w:r>
    </w:p>
    <w:p w14:paraId="6BBD4DDA" w14:textId="77777777" w:rsidR="005C183D" w:rsidRPr="005C183D" w:rsidRDefault="005C183D" w:rsidP="005C183D">
      <w:pPr>
        <w:spacing w:line="360" w:lineRule="auto"/>
        <w:jc w:val="center"/>
        <w:rPr>
          <w:rFonts w:ascii="Arial" w:hAnsi="Arial" w:cs="Arial"/>
          <w:sz w:val="24"/>
          <w:szCs w:val="24"/>
        </w:rPr>
      </w:pPr>
    </w:p>
    <w:p w14:paraId="58609A0E" w14:textId="77777777" w:rsidR="005C183D" w:rsidRPr="005C183D" w:rsidRDefault="005C183D" w:rsidP="005C183D">
      <w:pPr>
        <w:spacing w:line="360" w:lineRule="auto"/>
        <w:jc w:val="center"/>
        <w:rPr>
          <w:rFonts w:ascii="Arial" w:hAnsi="Arial" w:cs="Arial"/>
          <w:sz w:val="24"/>
          <w:szCs w:val="24"/>
        </w:rPr>
      </w:pPr>
    </w:p>
    <w:p w14:paraId="0D0300A7" w14:textId="77777777" w:rsidR="005C183D" w:rsidRPr="005C183D" w:rsidRDefault="005C183D" w:rsidP="005C183D">
      <w:pPr>
        <w:spacing w:line="360" w:lineRule="auto"/>
        <w:jc w:val="center"/>
        <w:rPr>
          <w:rFonts w:ascii="Arial" w:hAnsi="Arial" w:cs="Arial"/>
          <w:sz w:val="24"/>
          <w:szCs w:val="24"/>
        </w:rPr>
      </w:pPr>
    </w:p>
    <w:p w14:paraId="473CB9EB" w14:textId="77777777" w:rsidR="005C183D" w:rsidRPr="005C183D" w:rsidRDefault="005C183D" w:rsidP="005C183D">
      <w:pPr>
        <w:keepNext/>
        <w:keepLines/>
        <w:numPr>
          <w:ilvl w:val="0"/>
          <w:numId w:val="2"/>
        </w:numPr>
        <w:spacing w:before="240" w:after="0" w:line="360" w:lineRule="auto"/>
        <w:jc w:val="center"/>
        <w:outlineLvl w:val="0"/>
        <w:rPr>
          <w:rFonts w:ascii="Arial" w:eastAsiaTheme="majorEastAsia" w:hAnsi="Arial" w:cs="Arial"/>
          <w:color w:val="2F5496" w:themeColor="accent1" w:themeShade="BF"/>
          <w:sz w:val="24"/>
          <w:szCs w:val="24"/>
        </w:rPr>
      </w:pPr>
      <w:bookmarkStart w:id="13" w:name="_Toc133661889"/>
      <w:r w:rsidRPr="005C183D">
        <w:rPr>
          <w:rFonts w:ascii="Arial" w:eastAsiaTheme="majorEastAsia" w:hAnsi="Arial" w:cs="Arial"/>
          <w:color w:val="2F5496" w:themeColor="accent1" w:themeShade="BF"/>
          <w:sz w:val="24"/>
          <w:szCs w:val="24"/>
        </w:rPr>
        <w:t>Conclusion</w:t>
      </w:r>
      <w:bookmarkEnd w:id="13"/>
    </w:p>
    <w:p w14:paraId="7FB54F7F"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 xml:space="preserve">Leading and implementing change in the workplace is a function of different combinations of employee behaviour and leadership styles. In addition, change is not avoidable, and this is evident by the influence of COVID-19 on most organisations, including DHL. The pandemic caused significant disruptions to logistics and supply chains globally. Consequently, most companies, such as DHL, had to make changes to </w:t>
      </w:r>
      <w:r w:rsidRPr="005C183D">
        <w:rPr>
          <w:rFonts w:ascii="Arial" w:hAnsi="Arial" w:cs="Arial"/>
          <w:sz w:val="24"/>
          <w:szCs w:val="24"/>
        </w:rPr>
        <w:lastRenderedPageBreak/>
        <w:t>adapt their operations in order to meet their new demands. Organisational change is necessary for such companies because of the changing consumer demands, which has led to a shift towards more contactless deliveries. DHL has to adapt to these changes to remain competitive.</w:t>
      </w:r>
    </w:p>
    <w:p w14:paraId="69B7C740" w14:textId="77777777" w:rsidR="005C183D" w:rsidRPr="005C183D" w:rsidRDefault="005C183D" w:rsidP="005C183D">
      <w:pPr>
        <w:spacing w:line="360" w:lineRule="auto"/>
        <w:ind w:firstLine="720"/>
        <w:jc w:val="center"/>
        <w:rPr>
          <w:rFonts w:ascii="Arial" w:hAnsi="Arial" w:cs="Arial"/>
          <w:sz w:val="24"/>
          <w:szCs w:val="24"/>
        </w:rPr>
      </w:pPr>
      <w:r w:rsidRPr="005C183D">
        <w:rPr>
          <w:rFonts w:ascii="Arial" w:hAnsi="Arial" w:cs="Arial"/>
          <w:sz w:val="24"/>
          <w:szCs w:val="24"/>
        </w:rPr>
        <w:t>The pandemic also exposed vulnerabilities in global logistics, which led to delays and disruptions in goods transportation. As a logistics company, DHL should re-evaluate its strategies and ensure that it is resilient and capable of withstanding future disruptions. The accelerated trend towards digitisation and remote work were also significant changes in the organisation's operations which have been embraced. In order to remain competitive and efficient, DHL should bring all its stakeholders on board with these changes.</w:t>
      </w:r>
    </w:p>
    <w:p w14:paraId="4A63D5DD" w14:textId="77777777" w:rsidR="005C183D" w:rsidRPr="005C183D" w:rsidRDefault="005C183D" w:rsidP="005C183D">
      <w:pPr>
        <w:spacing w:line="360" w:lineRule="auto"/>
        <w:jc w:val="center"/>
        <w:rPr>
          <w:rFonts w:ascii="Arial" w:hAnsi="Arial" w:cs="Arial"/>
          <w:sz w:val="24"/>
          <w:szCs w:val="24"/>
        </w:rPr>
      </w:pPr>
    </w:p>
    <w:p w14:paraId="73106389"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sz w:val="24"/>
          <w:szCs w:val="24"/>
        </w:rPr>
        <w:br w:type="page"/>
      </w:r>
    </w:p>
    <w:p w14:paraId="56C78052" w14:textId="77777777" w:rsidR="005C183D" w:rsidRPr="005C183D" w:rsidRDefault="005C183D" w:rsidP="005C183D">
      <w:pPr>
        <w:keepNext/>
        <w:keepLines/>
        <w:numPr>
          <w:ilvl w:val="0"/>
          <w:numId w:val="2"/>
        </w:numPr>
        <w:spacing w:before="240" w:after="0" w:line="360" w:lineRule="auto"/>
        <w:jc w:val="center"/>
        <w:outlineLvl w:val="0"/>
        <w:rPr>
          <w:rFonts w:ascii="Arial" w:eastAsiaTheme="majorEastAsia" w:hAnsi="Arial" w:cs="Arial"/>
          <w:color w:val="2F5496" w:themeColor="accent1" w:themeShade="BF"/>
          <w:sz w:val="24"/>
          <w:szCs w:val="24"/>
        </w:rPr>
      </w:pPr>
      <w:bookmarkStart w:id="14" w:name="_Toc133661890"/>
      <w:r w:rsidRPr="005C183D">
        <w:rPr>
          <w:rFonts w:ascii="Arial" w:eastAsiaTheme="majorEastAsia" w:hAnsi="Arial" w:cs="Arial"/>
          <w:color w:val="2F5496" w:themeColor="accent1" w:themeShade="BF"/>
          <w:sz w:val="24"/>
          <w:szCs w:val="24"/>
        </w:rPr>
        <w:lastRenderedPageBreak/>
        <w:t>References</w:t>
      </w:r>
      <w:bookmarkEnd w:id="14"/>
    </w:p>
    <w:p w14:paraId="3E92A5E0"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sz w:val="24"/>
          <w:szCs w:val="24"/>
        </w:rPr>
        <w:fldChar w:fldCharType="begin" w:fldLock="1"/>
      </w:r>
      <w:r w:rsidRPr="005C183D">
        <w:rPr>
          <w:rFonts w:ascii="Arial" w:hAnsi="Arial" w:cs="Arial"/>
          <w:sz w:val="24"/>
          <w:szCs w:val="24"/>
        </w:rPr>
        <w:instrText xml:space="preserve">ADDIN Mendeley Bibliography CSL_BIBLIOGRAPHY </w:instrText>
      </w:r>
      <w:r w:rsidRPr="005C183D">
        <w:rPr>
          <w:rFonts w:ascii="Arial" w:hAnsi="Arial" w:cs="Arial"/>
          <w:sz w:val="24"/>
          <w:szCs w:val="24"/>
        </w:rPr>
        <w:fldChar w:fldCharType="separate"/>
      </w:r>
      <w:r w:rsidRPr="005C183D">
        <w:rPr>
          <w:rFonts w:ascii="Arial" w:hAnsi="Arial" w:cs="Arial"/>
          <w:noProof/>
          <w:sz w:val="24"/>
          <w:szCs w:val="24"/>
        </w:rPr>
        <w:t xml:space="preserve">Ackoff, R.L. (1990) ‘The management of change and the changes it requires of management’. </w:t>
      </w:r>
      <w:r w:rsidRPr="005C183D">
        <w:rPr>
          <w:rFonts w:ascii="Arial" w:hAnsi="Arial" w:cs="Arial"/>
          <w:i/>
          <w:iCs/>
          <w:noProof/>
          <w:sz w:val="24"/>
          <w:szCs w:val="24"/>
        </w:rPr>
        <w:t>Systems Practice</w:t>
      </w:r>
      <w:r w:rsidRPr="005C183D">
        <w:rPr>
          <w:rFonts w:ascii="Arial" w:hAnsi="Arial" w:cs="Arial"/>
          <w:noProof/>
          <w:sz w:val="24"/>
          <w:szCs w:val="24"/>
        </w:rPr>
        <w:t xml:space="preserve"> 3(5), pp. 427–440. Available at: http://link.springer.com/10.1007/BF01064153.</w:t>
      </w:r>
    </w:p>
    <w:p w14:paraId="1AF26548"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Bratianu, C. and Bejinaru, R. (2021) ‘&lt;scp&gt;COVID&lt;/scp&gt; </w:t>
      </w:r>
      <w:r w:rsidRPr="005C183D">
        <w:rPr>
          <w:rFonts w:ascii="Cambria Math" w:hAnsi="Cambria Math" w:cs="Cambria Math"/>
          <w:noProof/>
          <w:sz w:val="24"/>
          <w:szCs w:val="24"/>
        </w:rPr>
        <w:t>‐</w:t>
      </w:r>
      <w:r w:rsidRPr="005C183D">
        <w:rPr>
          <w:rFonts w:ascii="Arial" w:hAnsi="Arial" w:cs="Arial"/>
          <w:noProof/>
          <w:sz w:val="24"/>
          <w:szCs w:val="24"/>
        </w:rPr>
        <w:t xml:space="preserve">19 induced emergent knowledge strategies’. </w:t>
      </w:r>
      <w:r w:rsidRPr="005C183D">
        <w:rPr>
          <w:rFonts w:ascii="Arial" w:hAnsi="Arial" w:cs="Arial"/>
          <w:i/>
          <w:iCs/>
          <w:noProof/>
          <w:sz w:val="24"/>
          <w:szCs w:val="24"/>
        </w:rPr>
        <w:t>Knowledge and Process Management</w:t>
      </w:r>
      <w:r w:rsidRPr="005C183D">
        <w:rPr>
          <w:rFonts w:ascii="Arial" w:hAnsi="Arial" w:cs="Arial"/>
          <w:noProof/>
          <w:sz w:val="24"/>
          <w:szCs w:val="24"/>
        </w:rPr>
        <w:t xml:space="preserve"> 28(1), pp. 11–17. Available at: https://onlinelibrary.wiley.com/doi/10.1002/kpm.1656.</w:t>
      </w:r>
    </w:p>
    <w:p w14:paraId="60244C01"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DHL (2020) </w:t>
      </w:r>
      <w:r w:rsidRPr="005C183D">
        <w:rPr>
          <w:rFonts w:ascii="Arial" w:hAnsi="Arial" w:cs="Arial"/>
          <w:i/>
          <w:iCs/>
          <w:noProof/>
          <w:sz w:val="24"/>
          <w:szCs w:val="24"/>
        </w:rPr>
        <w:t>Supply Chains in Crisis</w:t>
      </w:r>
      <w:r w:rsidRPr="005C183D">
        <w:rPr>
          <w:rFonts w:ascii="Arial" w:hAnsi="Arial" w:cs="Arial"/>
          <w:noProof/>
          <w:sz w:val="24"/>
          <w:szCs w:val="24"/>
        </w:rPr>
        <w:t>. Available at: https://www.dhl.com/global-en/delivered/insights/resilient-supply-chains.html (Accessed: 29 April 2023).</w:t>
      </w:r>
    </w:p>
    <w:p w14:paraId="6B849BD3"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DHL (2021) </w:t>
      </w:r>
      <w:r w:rsidRPr="005C183D">
        <w:rPr>
          <w:rFonts w:ascii="Arial" w:hAnsi="Arial" w:cs="Arial"/>
          <w:i/>
          <w:iCs/>
          <w:noProof/>
          <w:sz w:val="24"/>
          <w:szCs w:val="24"/>
        </w:rPr>
        <w:t>How companies are adapting to office life after remote work</w:t>
      </w:r>
      <w:r w:rsidRPr="005C183D">
        <w:rPr>
          <w:rFonts w:ascii="Arial" w:hAnsi="Arial" w:cs="Arial"/>
          <w:noProof/>
          <w:sz w:val="24"/>
          <w:szCs w:val="24"/>
        </w:rPr>
        <w:t>. Available at: https://www.dhl.com/global-en/delivered/globalization/the-future-of-work-how-companies-are-adapting-to-employee-expectations-after-remote-working.html (Accessed: 29 April 2023).</w:t>
      </w:r>
    </w:p>
    <w:p w14:paraId="595AE935"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DHL ([no date]) </w:t>
      </w:r>
      <w:r w:rsidRPr="005C183D">
        <w:rPr>
          <w:rFonts w:ascii="Arial" w:hAnsi="Arial" w:cs="Arial"/>
          <w:i/>
          <w:iCs/>
          <w:noProof/>
          <w:sz w:val="24"/>
          <w:szCs w:val="24"/>
        </w:rPr>
        <w:t>CSR Activities in DHL Parcel</w:t>
      </w:r>
      <w:r w:rsidRPr="005C183D">
        <w:rPr>
          <w:rFonts w:ascii="Arial" w:hAnsi="Arial" w:cs="Arial"/>
          <w:noProof/>
          <w:sz w:val="24"/>
          <w:szCs w:val="24"/>
        </w:rPr>
        <w:t>. Available at: https://www.dhl.com/pl-en/home/our-divisions/parcel/about-dhl-parcel/csr.html (Accessed: 29 April 2023).</w:t>
      </w:r>
    </w:p>
    <w:p w14:paraId="0FB18454"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Dolphin, T. ([no date]) </w:t>
      </w:r>
      <w:r w:rsidRPr="005C183D">
        <w:rPr>
          <w:rFonts w:ascii="Arial" w:hAnsi="Arial" w:cs="Arial"/>
          <w:i/>
          <w:iCs/>
          <w:noProof/>
          <w:sz w:val="24"/>
          <w:szCs w:val="24"/>
        </w:rPr>
        <w:t>DHL Worldwide Express - Company Profile, Information, Business Description, History, Background Information on DHL Worldwide Express</w:t>
      </w:r>
      <w:r w:rsidRPr="005C183D">
        <w:rPr>
          <w:rFonts w:ascii="Arial" w:hAnsi="Arial" w:cs="Arial"/>
          <w:noProof/>
          <w:sz w:val="24"/>
          <w:szCs w:val="24"/>
        </w:rPr>
        <w:t>. Available at: https://www.referenceforbusiness.com/history2/17/DHL-Worldwide-Express.html (Accessed: 29 April 2023).</w:t>
      </w:r>
    </w:p>
    <w:p w14:paraId="282E3779"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Galbraith, M. (2018) 'Don't Just Tell Employees Organisational Changes Are Coming — Explain Why'. </w:t>
      </w:r>
      <w:r w:rsidRPr="005C183D">
        <w:rPr>
          <w:rFonts w:ascii="Arial" w:hAnsi="Arial" w:cs="Arial"/>
          <w:i/>
          <w:iCs/>
          <w:noProof/>
          <w:sz w:val="24"/>
          <w:szCs w:val="24"/>
        </w:rPr>
        <w:t>Harvard Business Review</w:t>
      </w:r>
      <w:r w:rsidRPr="005C183D">
        <w:rPr>
          <w:rFonts w:ascii="Arial" w:hAnsi="Arial" w:cs="Arial"/>
          <w:noProof/>
          <w:sz w:val="24"/>
          <w:szCs w:val="24"/>
        </w:rPr>
        <w:t xml:space="preserve"> 5 October. Available at: https://hbr.org/2018/10/dont-just-tell-employees-organizational-changes-are-coming-explain-why.</w:t>
      </w:r>
    </w:p>
    <w:p w14:paraId="1012F633"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Gardner, W.L., Karam, E.P., Alvesson, M. and Einola, K. (2021) ‘Authentic leadership theory: The case for and against’. </w:t>
      </w:r>
      <w:r w:rsidRPr="005C183D">
        <w:rPr>
          <w:rFonts w:ascii="Arial" w:hAnsi="Arial" w:cs="Arial"/>
          <w:i/>
          <w:iCs/>
          <w:noProof/>
          <w:sz w:val="24"/>
          <w:szCs w:val="24"/>
        </w:rPr>
        <w:t>The Leadership Quarterly</w:t>
      </w:r>
      <w:r w:rsidRPr="005C183D">
        <w:rPr>
          <w:rFonts w:ascii="Arial" w:hAnsi="Arial" w:cs="Arial"/>
          <w:noProof/>
          <w:sz w:val="24"/>
          <w:szCs w:val="24"/>
        </w:rPr>
        <w:t xml:space="preserve"> 32(6), p. 101495. Available at: https://linkinghub.elsevier.com/retrieve/pii/S1048984321000011.</w:t>
      </w:r>
    </w:p>
    <w:p w14:paraId="427BC2D1"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Grimshaw, J. (2020) </w:t>
      </w:r>
      <w:r w:rsidRPr="005C183D">
        <w:rPr>
          <w:rFonts w:ascii="Arial" w:hAnsi="Arial" w:cs="Arial"/>
          <w:i/>
          <w:iCs/>
          <w:noProof/>
          <w:sz w:val="24"/>
          <w:szCs w:val="24"/>
        </w:rPr>
        <w:t>DHL: How Supply Chains Have Responded To COVID-19</w:t>
      </w:r>
      <w:r w:rsidRPr="005C183D">
        <w:rPr>
          <w:rFonts w:ascii="Arial" w:hAnsi="Arial" w:cs="Arial"/>
          <w:noProof/>
          <w:sz w:val="24"/>
          <w:szCs w:val="24"/>
        </w:rPr>
        <w:t>. Available at: https://supplychaindigital.com/digital-supply-chain/dhl-how-supply-chains-</w:t>
      </w:r>
      <w:r w:rsidRPr="005C183D">
        <w:rPr>
          <w:rFonts w:ascii="Arial" w:hAnsi="Arial" w:cs="Arial"/>
          <w:noProof/>
          <w:sz w:val="24"/>
          <w:szCs w:val="24"/>
        </w:rPr>
        <w:lastRenderedPageBreak/>
        <w:t>have-responded-covid-19 (Accessed: 29 April 2023).</w:t>
      </w:r>
    </w:p>
    <w:p w14:paraId="20ED9FEC"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Hussain, S.T., Lei, S., Akram, T., Haider, M.J., Hussain, S.H. and Ali, M. (2018) 'Kurt Lewin's change model: A critical review of the role of leadership and employee involvement in organisational change'. </w:t>
      </w:r>
      <w:r w:rsidRPr="005C183D">
        <w:rPr>
          <w:rFonts w:ascii="Arial" w:hAnsi="Arial" w:cs="Arial"/>
          <w:i/>
          <w:iCs/>
          <w:noProof/>
          <w:sz w:val="24"/>
          <w:szCs w:val="24"/>
        </w:rPr>
        <w:t>Journal of Innovation &amp; Knowledge</w:t>
      </w:r>
      <w:r w:rsidRPr="005C183D">
        <w:rPr>
          <w:rFonts w:ascii="Arial" w:hAnsi="Arial" w:cs="Arial"/>
          <w:noProof/>
          <w:sz w:val="24"/>
          <w:szCs w:val="24"/>
        </w:rPr>
        <w:t xml:space="preserve"> 3(3), pp. 123–127. Available at: https://linkinghub.elsevier.com/retrieve/pii/S2444569X16300087.</w:t>
      </w:r>
    </w:p>
    <w:p w14:paraId="571CEBF6"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Johnston, A., Lefort, F. and Tesvic, J. (2017) </w:t>
      </w:r>
      <w:r w:rsidRPr="005C183D">
        <w:rPr>
          <w:rFonts w:ascii="Arial" w:hAnsi="Arial" w:cs="Arial"/>
          <w:i/>
          <w:iCs/>
          <w:noProof/>
          <w:sz w:val="24"/>
          <w:szCs w:val="24"/>
        </w:rPr>
        <w:t>Secrets of successful change implementation</w:t>
      </w:r>
      <w:r w:rsidRPr="005C183D">
        <w:rPr>
          <w:rFonts w:ascii="Arial" w:hAnsi="Arial" w:cs="Arial"/>
          <w:noProof/>
          <w:sz w:val="24"/>
          <w:szCs w:val="24"/>
        </w:rPr>
        <w:t>. Sydney. Available at: https://www.mckinsey.com/capabilities/operations/our-insights/secrets-of-successful-change-implementation.</w:t>
      </w:r>
    </w:p>
    <w:p w14:paraId="0B95244C"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Kaur, D. (2022) </w:t>
      </w:r>
      <w:r w:rsidRPr="005C183D">
        <w:rPr>
          <w:rFonts w:ascii="Arial" w:hAnsi="Arial" w:cs="Arial"/>
          <w:i/>
          <w:iCs/>
          <w:noProof/>
          <w:sz w:val="24"/>
          <w:szCs w:val="24"/>
        </w:rPr>
        <w:t>DHL: Recalibrating logistics, supply chains in a post-Covid era</w:t>
      </w:r>
      <w:r w:rsidRPr="005C183D">
        <w:rPr>
          <w:rFonts w:ascii="Arial" w:hAnsi="Arial" w:cs="Arial"/>
          <w:noProof/>
          <w:sz w:val="24"/>
          <w:szCs w:val="24"/>
        </w:rPr>
        <w:t>. Available at: https://techwireasia.com/2022/11/dhl-recalibrating-logistics-supply-chains-in-a-post-covid-era/ (Accessed: 29 April 2023).</w:t>
      </w:r>
    </w:p>
    <w:p w14:paraId="739E289C"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Michigan State University (2019) </w:t>
      </w:r>
      <w:r w:rsidRPr="005C183D">
        <w:rPr>
          <w:rFonts w:ascii="Arial" w:hAnsi="Arial" w:cs="Arial"/>
          <w:i/>
          <w:iCs/>
          <w:noProof/>
          <w:sz w:val="24"/>
          <w:szCs w:val="24"/>
        </w:rPr>
        <w:t>Effective Organisational Change Management by Dr. Russell Johnson</w:t>
      </w:r>
      <w:r w:rsidRPr="005C183D">
        <w:rPr>
          <w:rFonts w:ascii="Arial" w:hAnsi="Arial" w:cs="Arial"/>
          <w:noProof/>
          <w:sz w:val="24"/>
          <w:szCs w:val="24"/>
        </w:rPr>
        <w:t>. Available at: https://www.michiganstateuniversityonline.com/resources/leadership/effective-organizational-change-management-dr-russell-johnson/ (Accessed: 29 April 2023).</w:t>
      </w:r>
    </w:p>
    <w:p w14:paraId="1588E0EF"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Mintzberg, H. (1971) </w:t>
      </w:r>
      <w:r w:rsidRPr="005C183D">
        <w:rPr>
          <w:rFonts w:ascii="Arial" w:hAnsi="Arial" w:cs="Arial"/>
          <w:i/>
          <w:iCs/>
          <w:noProof/>
          <w:sz w:val="24"/>
          <w:szCs w:val="24"/>
        </w:rPr>
        <w:t>Managerial Work: Analysis from Observation USA</w:t>
      </w:r>
      <w:r w:rsidRPr="005C183D">
        <w:rPr>
          <w:rFonts w:ascii="Arial" w:hAnsi="Arial" w:cs="Arial"/>
          <w:noProof/>
          <w:sz w:val="24"/>
          <w:szCs w:val="24"/>
        </w:rPr>
        <w:t>.</w:t>
      </w:r>
    </w:p>
    <w:p w14:paraId="3F29F8D5"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O'Reilly, C.A., Chatman, J. and Caldwell, D.F. (1991) 'PEOPLE AND ORGANISATIONAL CULTURE: A PROFILE COMPARISON APPROACH TO ASSESSING PERSON-ORGANISATION FIT.' </w:t>
      </w:r>
      <w:r w:rsidRPr="005C183D">
        <w:rPr>
          <w:rFonts w:ascii="Arial" w:hAnsi="Arial" w:cs="Arial"/>
          <w:i/>
          <w:iCs/>
          <w:noProof/>
          <w:sz w:val="24"/>
          <w:szCs w:val="24"/>
        </w:rPr>
        <w:t>Academy of Management Journal</w:t>
      </w:r>
      <w:r w:rsidRPr="005C183D">
        <w:rPr>
          <w:rFonts w:ascii="Arial" w:hAnsi="Arial" w:cs="Arial"/>
          <w:noProof/>
          <w:sz w:val="24"/>
          <w:szCs w:val="24"/>
        </w:rPr>
        <w:t xml:space="preserve"> 34(3), pp. 487–516. Available at: http://amj.aom.org/cgi/doi/10.2307/256404.</w:t>
      </w:r>
    </w:p>
    <w:p w14:paraId="483BCC36"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Prosci ([no date]) </w:t>
      </w:r>
      <w:r w:rsidRPr="005C183D">
        <w:rPr>
          <w:rFonts w:ascii="Arial" w:hAnsi="Arial" w:cs="Arial"/>
          <w:i/>
          <w:iCs/>
          <w:noProof/>
          <w:sz w:val="24"/>
          <w:szCs w:val="24"/>
        </w:rPr>
        <w:t>Change Management</w:t>
      </w:r>
      <w:r w:rsidRPr="005C183D">
        <w:rPr>
          <w:rFonts w:ascii="Arial" w:hAnsi="Arial" w:cs="Arial"/>
          <w:noProof/>
          <w:sz w:val="24"/>
          <w:szCs w:val="24"/>
        </w:rPr>
        <w:t>. Available at: https://www.prosci.com/change-management (Accessed: 29 April 2023).</w:t>
      </w:r>
    </w:p>
    <w:p w14:paraId="3915FC60"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Raza, M. (2019) </w:t>
      </w:r>
      <w:r w:rsidRPr="005C183D">
        <w:rPr>
          <w:rFonts w:ascii="Arial" w:hAnsi="Arial" w:cs="Arial"/>
          <w:i/>
          <w:iCs/>
          <w:noProof/>
          <w:sz w:val="24"/>
          <w:szCs w:val="24"/>
        </w:rPr>
        <w:t>Lewin's 3-Stage Model of Change Explained</w:t>
      </w:r>
      <w:r w:rsidRPr="005C183D">
        <w:rPr>
          <w:rFonts w:ascii="Arial" w:hAnsi="Arial" w:cs="Arial"/>
          <w:noProof/>
          <w:sz w:val="24"/>
          <w:szCs w:val="24"/>
        </w:rPr>
        <w:t>. Available at: https://www.bmc.com/blogs/lewin-three-stage-model-change/ (Accessed: 29 April 2023).</w:t>
      </w:r>
    </w:p>
    <w:p w14:paraId="1B7FB0AA"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Stobierski, T. (2020) </w:t>
      </w:r>
      <w:r w:rsidRPr="005C183D">
        <w:rPr>
          <w:rFonts w:ascii="Arial" w:hAnsi="Arial" w:cs="Arial"/>
          <w:i/>
          <w:iCs/>
          <w:noProof/>
          <w:sz w:val="24"/>
          <w:szCs w:val="24"/>
        </w:rPr>
        <w:t>Emergent Vs Deliberate Strategy: How to use each</w:t>
      </w:r>
      <w:r w:rsidRPr="005C183D">
        <w:rPr>
          <w:rFonts w:ascii="Arial" w:hAnsi="Arial" w:cs="Arial"/>
          <w:noProof/>
          <w:sz w:val="24"/>
          <w:szCs w:val="24"/>
        </w:rPr>
        <w:t>. Available at: https://online.hbs.edu/blog/post/emergent-vs-deliberate-strategy.</w:t>
      </w:r>
    </w:p>
    <w:p w14:paraId="0CA92FAB"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lastRenderedPageBreak/>
        <w:t xml:space="preserve">Tsai, Y. (2011) ‘Relationship between Organizational Culture, Leadership Behavior and Job Satisfaction’. </w:t>
      </w:r>
      <w:r w:rsidRPr="005C183D">
        <w:rPr>
          <w:rFonts w:ascii="Arial" w:hAnsi="Arial" w:cs="Arial"/>
          <w:i/>
          <w:iCs/>
          <w:noProof/>
          <w:sz w:val="24"/>
          <w:szCs w:val="24"/>
        </w:rPr>
        <w:t>BMC Health Services Research</w:t>
      </w:r>
      <w:r w:rsidRPr="005C183D">
        <w:rPr>
          <w:rFonts w:ascii="Arial" w:hAnsi="Arial" w:cs="Arial"/>
          <w:noProof/>
          <w:sz w:val="24"/>
          <w:szCs w:val="24"/>
        </w:rPr>
        <w:t xml:space="preserve"> 11(1), p. 98. Available at: https://bmchealthservres.biomedcentral.com/articles/10.1186/1472-6963-11-98.</w:t>
      </w:r>
    </w:p>
    <w:p w14:paraId="519678A7"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szCs w:val="24"/>
        </w:rPr>
      </w:pPr>
      <w:r w:rsidRPr="005C183D">
        <w:rPr>
          <w:rFonts w:ascii="Arial" w:hAnsi="Arial" w:cs="Arial"/>
          <w:noProof/>
          <w:sz w:val="24"/>
          <w:szCs w:val="24"/>
        </w:rPr>
        <w:t xml:space="preserve">Twinn, I., Qureshi, N., Conde, M.L., Guinea, C.G., Rojas, D.P., Luo, J. and Gupta, H. (2020) </w:t>
      </w:r>
      <w:r w:rsidRPr="005C183D">
        <w:rPr>
          <w:rFonts w:ascii="Arial" w:hAnsi="Arial" w:cs="Arial"/>
          <w:i/>
          <w:iCs/>
          <w:noProof/>
          <w:sz w:val="24"/>
          <w:szCs w:val="24"/>
        </w:rPr>
        <w:t>The Impact of COVID-19 on Logistics</w:t>
      </w:r>
      <w:r w:rsidRPr="005C183D">
        <w:rPr>
          <w:rFonts w:ascii="Arial" w:hAnsi="Arial" w:cs="Arial"/>
          <w:noProof/>
          <w:sz w:val="24"/>
          <w:szCs w:val="24"/>
        </w:rPr>
        <w:t>. Available at: https://www.ifc.org/wps/wcm/connect/2d6ec419-41df-46c9-8b7b-96384cd36ab3/IFC-Covid19-Logistics-final_web.pdf?MOD=AJPERES&amp;CVID=naqOED5.</w:t>
      </w:r>
    </w:p>
    <w:p w14:paraId="149F8E17" w14:textId="77777777" w:rsidR="005C183D" w:rsidRPr="005C183D" w:rsidRDefault="005C183D" w:rsidP="005C183D">
      <w:pPr>
        <w:widowControl w:val="0"/>
        <w:autoSpaceDE w:val="0"/>
        <w:autoSpaceDN w:val="0"/>
        <w:adjustRightInd w:val="0"/>
        <w:spacing w:line="360" w:lineRule="auto"/>
        <w:jc w:val="center"/>
        <w:rPr>
          <w:rFonts w:ascii="Arial" w:hAnsi="Arial" w:cs="Arial"/>
          <w:noProof/>
          <w:sz w:val="24"/>
        </w:rPr>
      </w:pPr>
      <w:r w:rsidRPr="005C183D">
        <w:rPr>
          <w:rFonts w:ascii="Arial" w:hAnsi="Arial" w:cs="Arial"/>
          <w:noProof/>
          <w:sz w:val="24"/>
          <w:szCs w:val="24"/>
        </w:rPr>
        <w:t xml:space="preserve">Yukl, G. (2010) </w:t>
      </w:r>
      <w:r w:rsidRPr="005C183D">
        <w:rPr>
          <w:rFonts w:ascii="Arial" w:hAnsi="Arial" w:cs="Arial"/>
          <w:i/>
          <w:iCs/>
          <w:noProof/>
          <w:sz w:val="24"/>
          <w:szCs w:val="24"/>
        </w:rPr>
        <w:t>Leadership in Organisations</w:t>
      </w:r>
      <w:r w:rsidRPr="005C183D">
        <w:rPr>
          <w:rFonts w:ascii="Arial" w:hAnsi="Arial" w:cs="Arial"/>
          <w:noProof/>
          <w:sz w:val="24"/>
          <w:szCs w:val="24"/>
        </w:rPr>
        <w:t>. 7th edn. Upper Saddle River, New Jersey: Pearson Education Inc.</w:t>
      </w:r>
    </w:p>
    <w:p w14:paraId="481ABFA7" w14:textId="77777777" w:rsidR="005C183D" w:rsidRPr="005C183D" w:rsidRDefault="005C183D" w:rsidP="005C183D">
      <w:pPr>
        <w:spacing w:line="360" w:lineRule="auto"/>
        <w:jc w:val="center"/>
        <w:rPr>
          <w:rFonts w:ascii="Arial" w:hAnsi="Arial" w:cs="Arial"/>
          <w:sz w:val="24"/>
          <w:szCs w:val="24"/>
        </w:rPr>
      </w:pPr>
      <w:r w:rsidRPr="005C183D">
        <w:rPr>
          <w:rFonts w:ascii="Arial" w:hAnsi="Arial" w:cs="Arial"/>
          <w:sz w:val="24"/>
          <w:szCs w:val="24"/>
        </w:rPr>
        <w:fldChar w:fldCharType="end"/>
      </w:r>
    </w:p>
    <w:p w14:paraId="7F5976CD" w14:textId="77777777" w:rsidR="00F74DCA" w:rsidRDefault="00F74DCA"/>
    <w:sectPr w:rsidR="00F74DCA">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0C1A4" w14:textId="77777777" w:rsidR="00DF7638" w:rsidRDefault="00DF7638" w:rsidP="005C183D">
      <w:pPr>
        <w:spacing w:after="0" w:line="240" w:lineRule="auto"/>
      </w:pPr>
      <w:r>
        <w:separator/>
      </w:r>
    </w:p>
  </w:endnote>
  <w:endnote w:type="continuationSeparator" w:id="0">
    <w:p w14:paraId="57860B07" w14:textId="77777777" w:rsidR="00DF7638" w:rsidRDefault="00DF7638" w:rsidP="005C1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9300246"/>
      <w:docPartObj>
        <w:docPartGallery w:val="Page Numbers (Bottom of Page)"/>
        <w:docPartUnique/>
      </w:docPartObj>
    </w:sdtPr>
    <w:sdtEndPr>
      <w:rPr>
        <w:noProof/>
      </w:rPr>
    </w:sdtEndPr>
    <w:sdtContent>
      <w:p w14:paraId="57A7052D" w14:textId="6CEB0114" w:rsidR="005C183D" w:rsidRDefault="005C18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AD34A" w14:textId="77777777" w:rsidR="005C183D" w:rsidRDefault="005C1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FD75F" w14:textId="77777777" w:rsidR="00DF7638" w:rsidRDefault="00DF7638" w:rsidP="005C183D">
      <w:pPr>
        <w:spacing w:after="0" w:line="240" w:lineRule="auto"/>
      </w:pPr>
      <w:r>
        <w:separator/>
      </w:r>
    </w:p>
  </w:footnote>
  <w:footnote w:type="continuationSeparator" w:id="0">
    <w:p w14:paraId="6A656B08" w14:textId="77777777" w:rsidR="00DF7638" w:rsidRDefault="00DF7638" w:rsidP="005C18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B8DBB" w14:textId="77777777" w:rsidR="00FD0DDC" w:rsidRDefault="00000000" w:rsidP="00FD0DDC">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30F5F"/>
    <w:multiLevelType w:val="hybridMultilevel"/>
    <w:tmpl w:val="A8321770"/>
    <w:lvl w:ilvl="0" w:tplc="B5202FDE">
      <w:start w:val="1"/>
      <w:numFmt w:val="lowerRoman"/>
      <w:lvlText w:val="%1."/>
      <w:lvlJc w:val="right"/>
      <w:pPr>
        <w:ind w:left="720" w:hanging="360"/>
      </w:pPr>
    </w:lvl>
    <w:lvl w:ilvl="1" w:tplc="DBB44144" w:tentative="1">
      <w:start w:val="1"/>
      <w:numFmt w:val="lowerLetter"/>
      <w:lvlText w:val="%2."/>
      <w:lvlJc w:val="left"/>
      <w:pPr>
        <w:ind w:left="1440" w:hanging="360"/>
      </w:pPr>
    </w:lvl>
    <w:lvl w:ilvl="2" w:tplc="1BF4B338" w:tentative="1">
      <w:start w:val="1"/>
      <w:numFmt w:val="lowerRoman"/>
      <w:lvlText w:val="%3."/>
      <w:lvlJc w:val="right"/>
      <w:pPr>
        <w:ind w:left="2160" w:hanging="180"/>
      </w:pPr>
    </w:lvl>
    <w:lvl w:ilvl="3" w:tplc="F9862584" w:tentative="1">
      <w:start w:val="1"/>
      <w:numFmt w:val="decimal"/>
      <w:lvlText w:val="%4."/>
      <w:lvlJc w:val="left"/>
      <w:pPr>
        <w:ind w:left="2880" w:hanging="360"/>
      </w:pPr>
    </w:lvl>
    <w:lvl w:ilvl="4" w:tplc="91CE3882" w:tentative="1">
      <w:start w:val="1"/>
      <w:numFmt w:val="lowerLetter"/>
      <w:lvlText w:val="%5."/>
      <w:lvlJc w:val="left"/>
      <w:pPr>
        <w:ind w:left="3600" w:hanging="360"/>
      </w:pPr>
    </w:lvl>
    <w:lvl w:ilvl="5" w:tplc="66CAE5E0" w:tentative="1">
      <w:start w:val="1"/>
      <w:numFmt w:val="lowerRoman"/>
      <w:lvlText w:val="%6."/>
      <w:lvlJc w:val="right"/>
      <w:pPr>
        <w:ind w:left="4320" w:hanging="180"/>
      </w:pPr>
    </w:lvl>
    <w:lvl w:ilvl="6" w:tplc="7B142BA8" w:tentative="1">
      <w:start w:val="1"/>
      <w:numFmt w:val="decimal"/>
      <w:lvlText w:val="%7."/>
      <w:lvlJc w:val="left"/>
      <w:pPr>
        <w:ind w:left="5040" w:hanging="360"/>
      </w:pPr>
    </w:lvl>
    <w:lvl w:ilvl="7" w:tplc="2C0055AC" w:tentative="1">
      <w:start w:val="1"/>
      <w:numFmt w:val="lowerLetter"/>
      <w:lvlText w:val="%8."/>
      <w:lvlJc w:val="left"/>
      <w:pPr>
        <w:ind w:left="5760" w:hanging="360"/>
      </w:pPr>
    </w:lvl>
    <w:lvl w:ilvl="8" w:tplc="4384AA72" w:tentative="1">
      <w:start w:val="1"/>
      <w:numFmt w:val="lowerRoman"/>
      <w:lvlText w:val="%9."/>
      <w:lvlJc w:val="right"/>
      <w:pPr>
        <w:ind w:left="6480" w:hanging="180"/>
      </w:pPr>
    </w:lvl>
  </w:abstractNum>
  <w:abstractNum w:abstractNumId="1" w15:restartNumberingAfterBreak="0">
    <w:nsid w:val="2C3F348E"/>
    <w:multiLevelType w:val="hybridMultilevel"/>
    <w:tmpl w:val="BFB654F4"/>
    <w:lvl w:ilvl="0" w:tplc="EB943950">
      <w:start w:val="1"/>
      <w:numFmt w:val="lowerRoman"/>
      <w:lvlText w:val="%1."/>
      <w:lvlJc w:val="right"/>
      <w:pPr>
        <w:ind w:left="720" w:hanging="360"/>
      </w:pPr>
    </w:lvl>
    <w:lvl w:ilvl="1" w:tplc="3BB8580E" w:tentative="1">
      <w:start w:val="1"/>
      <w:numFmt w:val="lowerLetter"/>
      <w:lvlText w:val="%2."/>
      <w:lvlJc w:val="left"/>
      <w:pPr>
        <w:ind w:left="1440" w:hanging="360"/>
      </w:pPr>
    </w:lvl>
    <w:lvl w:ilvl="2" w:tplc="639E149E" w:tentative="1">
      <w:start w:val="1"/>
      <w:numFmt w:val="lowerRoman"/>
      <w:lvlText w:val="%3."/>
      <w:lvlJc w:val="right"/>
      <w:pPr>
        <w:ind w:left="2160" w:hanging="180"/>
      </w:pPr>
    </w:lvl>
    <w:lvl w:ilvl="3" w:tplc="33A8398C" w:tentative="1">
      <w:start w:val="1"/>
      <w:numFmt w:val="decimal"/>
      <w:lvlText w:val="%4."/>
      <w:lvlJc w:val="left"/>
      <w:pPr>
        <w:ind w:left="2880" w:hanging="360"/>
      </w:pPr>
    </w:lvl>
    <w:lvl w:ilvl="4" w:tplc="19F2CE60" w:tentative="1">
      <w:start w:val="1"/>
      <w:numFmt w:val="lowerLetter"/>
      <w:lvlText w:val="%5."/>
      <w:lvlJc w:val="left"/>
      <w:pPr>
        <w:ind w:left="3600" w:hanging="360"/>
      </w:pPr>
    </w:lvl>
    <w:lvl w:ilvl="5" w:tplc="EEACFC26" w:tentative="1">
      <w:start w:val="1"/>
      <w:numFmt w:val="lowerRoman"/>
      <w:lvlText w:val="%6."/>
      <w:lvlJc w:val="right"/>
      <w:pPr>
        <w:ind w:left="4320" w:hanging="180"/>
      </w:pPr>
    </w:lvl>
    <w:lvl w:ilvl="6" w:tplc="CA3260D0" w:tentative="1">
      <w:start w:val="1"/>
      <w:numFmt w:val="decimal"/>
      <w:lvlText w:val="%7."/>
      <w:lvlJc w:val="left"/>
      <w:pPr>
        <w:ind w:left="5040" w:hanging="360"/>
      </w:pPr>
    </w:lvl>
    <w:lvl w:ilvl="7" w:tplc="806885BA" w:tentative="1">
      <w:start w:val="1"/>
      <w:numFmt w:val="lowerLetter"/>
      <w:lvlText w:val="%8."/>
      <w:lvlJc w:val="left"/>
      <w:pPr>
        <w:ind w:left="5760" w:hanging="360"/>
      </w:pPr>
    </w:lvl>
    <w:lvl w:ilvl="8" w:tplc="D74C2C62" w:tentative="1">
      <w:start w:val="1"/>
      <w:numFmt w:val="lowerRoman"/>
      <w:lvlText w:val="%9."/>
      <w:lvlJc w:val="right"/>
      <w:pPr>
        <w:ind w:left="6480" w:hanging="180"/>
      </w:pPr>
    </w:lvl>
  </w:abstractNum>
  <w:abstractNum w:abstractNumId="2" w15:restartNumberingAfterBreak="0">
    <w:nsid w:val="683A3D79"/>
    <w:multiLevelType w:val="hybridMultilevel"/>
    <w:tmpl w:val="CD62C8C0"/>
    <w:lvl w:ilvl="0" w:tplc="890C1902">
      <w:start w:val="1"/>
      <w:numFmt w:val="lowerRoman"/>
      <w:lvlText w:val="%1."/>
      <w:lvlJc w:val="right"/>
      <w:pPr>
        <w:ind w:left="720" w:hanging="360"/>
      </w:pPr>
      <w:rPr>
        <w:b/>
      </w:rPr>
    </w:lvl>
    <w:lvl w:ilvl="1" w:tplc="B7A6D14C" w:tentative="1">
      <w:start w:val="1"/>
      <w:numFmt w:val="lowerLetter"/>
      <w:lvlText w:val="%2."/>
      <w:lvlJc w:val="left"/>
      <w:pPr>
        <w:ind w:left="1440" w:hanging="360"/>
      </w:pPr>
    </w:lvl>
    <w:lvl w:ilvl="2" w:tplc="E28216C0" w:tentative="1">
      <w:start w:val="1"/>
      <w:numFmt w:val="lowerRoman"/>
      <w:lvlText w:val="%3."/>
      <w:lvlJc w:val="right"/>
      <w:pPr>
        <w:ind w:left="2160" w:hanging="180"/>
      </w:pPr>
    </w:lvl>
    <w:lvl w:ilvl="3" w:tplc="0AD29164" w:tentative="1">
      <w:start w:val="1"/>
      <w:numFmt w:val="decimal"/>
      <w:lvlText w:val="%4."/>
      <w:lvlJc w:val="left"/>
      <w:pPr>
        <w:ind w:left="2880" w:hanging="360"/>
      </w:pPr>
    </w:lvl>
    <w:lvl w:ilvl="4" w:tplc="1BF05056" w:tentative="1">
      <w:start w:val="1"/>
      <w:numFmt w:val="lowerLetter"/>
      <w:lvlText w:val="%5."/>
      <w:lvlJc w:val="left"/>
      <w:pPr>
        <w:ind w:left="3600" w:hanging="360"/>
      </w:pPr>
    </w:lvl>
    <w:lvl w:ilvl="5" w:tplc="80ACDDAE" w:tentative="1">
      <w:start w:val="1"/>
      <w:numFmt w:val="lowerRoman"/>
      <w:lvlText w:val="%6."/>
      <w:lvlJc w:val="right"/>
      <w:pPr>
        <w:ind w:left="4320" w:hanging="180"/>
      </w:pPr>
    </w:lvl>
    <w:lvl w:ilvl="6" w:tplc="F26E07E8" w:tentative="1">
      <w:start w:val="1"/>
      <w:numFmt w:val="decimal"/>
      <w:lvlText w:val="%7."/>
      <w:lvlJc w:val="left"/>
      <w:pPr>
        <w:ind w:left="5040" w:hanging="360"/>
      </w:pPr>
    </w:lvl>
    <w:lvl w:ilvl="7" w:tplc="D360B0B0" w:tentative="1">
      <w:start w:val="1"/>
      <w:numFmt w:val="lowerLetter"/>
      <w:lvlText w:val="%8."/>
      <w:lvlJc w:val="left"/>
      <w:pPr>
        <w:ind w:left="5760" w:hanging="360"/>
      </w:pPr>
    </w:lvl>
    <w:lvl w:ilvl="8" w:tplc="E3548CDC" w:tentative="1">
      <w:start w:val="1"/>
      <w:numFmt w:val="lowerRoman"/>
      <w:lvlText w:val="%9."/>
      <w:lvlJc w:val="right"/>
      <w:pPr>
        <w:ind w:left="6480" w:hanging="180"/>
      </w:pPr>
    </w:lvl>
  </w:abstractNum>
  <w:abstractNum w:abstractNumId="3" w15:restartNumberingAfterBreak="0">
    <w:nsid w:val="69995E6D"/>
    <w:multiLevelType w:val="hybridMultilevel"/>
    <w:tmpl w:val="93AA65AE"/>
    <w:lvl w:ilvl="0" w:tplc="758846C0">
      <w:start w:val="1"/>
      <w:numFmt w:val="lowerRoman"/>
      <w:lvlText w:val="%1."/>
      <w:lvlJc w:val="right"/>
      <w:pPr>
        <w:ind w:left="720" w:hanging="360"/>
      </w:pPr>
    </w:lvl>
    <w:lvl w:ilvl="1" w:tplc="B59EFA32" w:tentative="1">
      <w:start w:val="1"/>
      <w:numFmt w:val="lowerLetter"/>
      <w:lvlText w:val="%2."/>
      <w:lvlJc w:val="left"/>
      <w:pPr>
        <w:ind w:left="1440" w:hanging="360"/>
      </w:pPr>
    </w:lvl>
    <w:lvl w:ilvl="2" w:tplc="F7FC39E8" w:tentative="1">
      <w:start w:val="1"/>
      <w:numFmt w:val="lowerRoman"/>
      <w:lvlText w:val="%3."/>
      <w:lvlJc w:val="right"/>
      <w:pPr>
        <w:ind w:left="2160" w:hanging="180"/>
      </w:pPr>
    </w:lvl>
    <w:lvl w:ilvl="3" w:tplc="C4ACA9F4" w:tentative="1">
      <w:start w:val="1"/>
      <w:numFmt w:val="decimal"/>
      <w:lvlText w:val="%4."/>
      <w:lvlJc w:val="left"/>
      <w:pPr>
        <w:ind w:left="2880" w:hanging="360"/>
      </w:pPr>
    </w:lvl>
    <w:lvl w:ilvl="4" w:tplc="68C24C42" w:tentative="1">
      <w:start w:val="1"/>
      <w:numFmt w:val="lowerLetter"/>
      <w:lvlText w:val="%5."/>
      <w:lvlJc w:val="left"/>
      <w:pPr>
        <w:ind w:left="3600" w:hanging="360"/>
      </w:pPr>
    </w:lvl>
    <w:lvl w:ilvl="5" w:tplc="15BC1356" w:tentative="1">
      <w:start w:val="1"/>
      <w:numFmt w:val="lowerRoman"/>
      <w:lvlText w:val="%6."/>
      <w:lvlJc w:val="right"/>
      <w:pPr>
        <w:ind w:left="4320" w:hanging="180"/>
      </w:pPr>
    </w:lvl>
    <w:lvl w:ilvl="6" w:tplc="46BE39CC" w:tentative="1">
      <w:start w:val="1"/>
      <w:numFmt w:val="decimal"/>
      <w:lvlText w:val="%7."/>
      <w:lvlJc w:val="left"/>
      <w:pPr>
        <w:ind w:left="5040" w:hanging="360"/>
      </w:pPr>
    </w:lvl>
    <w:lvl w:ilvl="7" w:tplc="A5682AA4" w:tentative="1">
      <w:start w:val="1"/>
      <w:numFmt w:val="lowerLetter"/>
      <w:lvlText w:val="%8."/>
      <w:lvlJc w:val="left"/>
      <w:pPr>
        <w:ind w:left="5760" w:hanging="360"/>
      </w:pPr>
    </w:lvl>
    <w:lvl w:ilvl="8" w:tplc="63BCA604" w:tentative="1">
      <w:start w:val="1"/>
      <w:numFmt w:val="lowerRoman"/>
      <w:lvlText w:val="%9."/>
      <w:lvlJc w:val="right"/>
      <w:pPr>
        <w:ind w:left="6480" w:hanging="180"/>
      </w:pPr>
    </w:lvl>
  </w:abstractNum>
  <w:abstractNum w:abstractNumId="4" w15:restartNumberingAfterBreak="0">
    <w:nsid w:val="790628D3"/>
    <w:multiLevelType w:val="multilevel"/>
    <w:tmpl w:val="AE6C08F2"/>
    <w:lvl w:ilvl="0">
      <w:start w:val="6"/>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1439986524">
    <w:abstractNumId w:val="2"/>
  </w:num>
  <w:num w:numId="2" w16cid:durableId="1800487164">
    <w:abstractNumId w:val="4"/>
  </w:num>
  <w:num w:numId="3" w16cid:durableId="1059131577">
    <w:abstractNumId w:val="1"/>
  </w:num>
  <w:num w:numId="4" w16cid:durableId="964391852">
    <w:abstractNumId w:val="0"/>
  </w:num>
  <w:num w:numId="5" w16cid:durableId="14192064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89D"/>
    <w:rsid w:val="002F089D"/>
    <w:rsid w:val="003B7B9D"/>
    <w:rsid w:val="005A02A1"/>
    <w:rsid w:val="005C183D"/>
    <w:rsid w:val="00DF7638"/>
    <w:rsid w:val="00F74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9C869"/>
  <w15:chartTrackingRefBased/>
  <w15:docId w15:val="{EA32BC49-07FC-4979-939A-2EDA05C31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183D"/>
    <w:pPr>
      <w:tabs>
        <w:tab w:val="center" w:pos="4513"/>
        <w:tab w:val="right" w:pos="9026"/>
      </w:tabs>
      <w:spacing w:after="0" w:line="240" w:lineRule="auto"/>
    </w:pPr>
    <w:rPr>
      <w:rFonts w:ascii="Times New Roman" w:hAnsi="Times New Roman"/>
      <w:sz w:val="24"/>
    </w:rPr>
  </w:style>
  <w:style w:type="character" w:customStyle="1" w:styleId="HeaderChar">
    <w:name w:val="Header Char"/>
    <w:basedOn w:val="DefaultParagraphFont"/>
    <w:link w:val="Header"/>
    <w:uiPriority w:val="99"/>
    <w:rsid w:val="005C183D"/>
    <w:rPr>
      <w:rFonts w:ascii="Times New Roman" w:hAnsi="Times New Roman"/>
      <w:sz w:val="24"/>
    </w:rPr>
  </w:style>
  <w:style w:type="paragraph" w:styleId="Footer">
    <w:name w:val="footer"/>
    <w:basedOn w:val="Normal"/>
    <w:link w:val="FooterChar"/>
    <w:uiPriority w:val="99"/>
    <w:unhideWhenUsed/>
    <w:rsid w:val="005C1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22</Pages>
  <Words>9683</Words>
  <Characters>55195</Characters>
  <Application>Microsoft Office Word</Application>
  <DocSecurity>0</DocSecurity>
  <Lines>459</Lines>
  <Paragraphs>129</Paragraphs>
  <ScaleCrop>false</ScaleCrop>
  <Company/>
  <LinksUpToDate>false</LinksUpToDate>
  <CharactersWithSpaces>64749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 Petrova (1914907)</dc:creator>
  <cp:keywords/>
  <dc:description/>
  <cp:lastModifiedBy>Stefani Petrova (1914907)</cp:lastModifiedBy>
  <cp:revision>2</cp:revision>
  <dcterms:created xsi:type="dcterms:W3CDTF">2023-05-02T22:08:00Z</dcterms:created>
  <dcterms:modified xsi:type="dcterms:W3CDTF">2023-05-02T22:12:00Z</dcterms:modified>
</cp:coreProperties>
</file>