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ADBE1" w14:textId="77777777" w:rsidR="00281394" w:rsidRPr="0074432E" w:rsidRDefault="00281394" w:rsidP="0074432E">
      <w:pPr>
        <w:pStyle w:val="Title"/>
        <w:spacing w:line="360" w:lineRule="auto"/>
        <w:jc w:val="center"/>
        <w:rPr>
          <w:rFonts w:ascii="Arial" w:hAnsi="Arial" w:cs="Arial"/>
        </w:rPr>
      </w:pPr>
    </w:p>
    <w:p w14:paraId="6D3FF3AC" w14:textId="77777777" w:rsidR="00281394" w:rsidRPr="0074432E" w:rsidRDefault="00281394" w:rsidP="0074432E">
      <w:pPr>
        <w:pStyle w:val="Title"/>
        <w:spacing w:line="360" w:lineRule="auto"/>
        <w:jc w:val="center"/>
        <w:rPr>
          <w:rFonts w:ascii="Arial" w:hAnsi="Arial" w:cs="Arial"/>
        </w:rPr>
      </w:pPr>
    </w:p>
    <w:p w14:paraId="296B7A68" w14:textId="56563622" w:rsidR="00B34833" w:rsidRPr="0074432E" w:rsidRDefault="00A733DC" w:rsidP="0074432E">
      <w:pPr>
        <w:pStyle w:val="Title"/>
        <w:spacing w:line="360" w:lineRule="auto"/>
        <w:jc w:val="center"/>
        <w:rPr>
          <w:rFonts w:ascii="Arial" w:hAnsi="Arial" w:cs="Arial"/>
          <w:sz w:val="52"/>
          <w:szCs w:val="52"/>
        </w:rPr>
      </w:pPr>
      <w:r w:rsidRPr="0074432E">
        <w:rPr>
          <w:rFonts w:ascii="Arial" w:hAnsi="Arial" w:cs="Arial"/>
          <w:sz w:val="52"/>
          <w:szCs w:val="52"/>
        </w:rPr>
        <w:t xml:space="preserve">Accounting Fundamentals </w:t>
      </w:r>
      <w:r w:rsidR="004A29C0" w:rsidRPr="0074432E">
        <w:rPr>
          <w:rFonts w:ascii="Arial" w:hAnsi="Arial" w:cs="Arial"/>
          <w:sz w:val="52"/>
          <w:szCs w:val="52"/>
        </w:rPr>
        <w:t>Assessment</w:t>
      </w:r>
    </w:p>
    <w:p w14:paraId="39D57144" w14:textId="77777777" w:rsidR="00281394" w:rsidRPr="0074432E" w:rsidRDefault="00281394" w:rsidP="0074432E">
      <w:pPr>
        <w:spacing w:line="360" w:lineRule="auto"/>
        <w:rPr>
          <w:rFonts w:ascii="Arial" w:hAnsi="Arial" w:cs="Arial"/>
        </w:rPr>
      </w:pPr>
    </w:p>
    <w:p w14:paraId="26D185C5" w14:textId="77777777" w:rsidR="00281394" w:rsidRPr="0074432E" w:rsidRDefault="00281394" w:rsidP="0074432E">
      <w:pPr>
        <w:spacing w:line="360" w:lineRule="auto"/>
        <w:rPr>
          <w:rFonts w:ascii="Arial" w:hAnsi="Arial" w:cs="Arial"/>
        </w:rPr>
      </w:pPr>
    </w:p>
    <w:p w14:paraId="04EEDDC8" w14:textId="77777777" w:rsidR="00DC6EE6" w:rsidRPr="0074432E" w:rsidRDefault="00DC6EE6" w:rsidP="0074432E">
      <w:pPr>
        <w:spacing w:line="360" w:lineRule="auto"/>
        <w:rPr>
          <w:rFonts w:ascii="Arial" w:hAnsi="Arial" w:cs="Arial"/>
        </w:rPr>
      </w:pPr>
    </w:p>
    <w:p w14:paraId="6C97F675" w14:textId="77777777" w:rsidR="00DC6EE6" w:rsidRPr="0074432E" w:rsidRDefault="00DC6EE6" w:rsidP="0074432E">
      <w:pPr>
        <w:spacing w:line="360" w:lineRule="auto"/>
        <w:rPr>
          <w:rFonts w:ascii="Arial" w:hAnsi="Arial" w:cs="Arial"/>
        </w:rPr>
      </w:pPr>
    </w:p>
    <w:p w14:paraId="1F0B74A9" w14:textId="77777777" w:rsidR="007E5DCD" w:rsidRPr="0074432E" w:rsidRDefault="007E5DCD" w:rsidP="0074432E">
      <w:pPr>
        <w:widowControl w:val="0"/>
        <w:autoSpaceDE w:val="0"/>
        <w:autoSpaceDN w:val="0"/>
        <w:adjustRightInd w:val="0"/>
        <w:spacing w:after="200" w:line="360" w:lineRule="auto"/>
        <w:rPr>
          <w:rFonts w:ascii="Arial" w:hAnsi="Arial" w:cs="Arial"/>
          <w:kern w:val="0"/>
          <w:lang w:val="en"/>
        </w:rPr>
      </w:pPr>
    </w:p>
    <w:p w14:paraId="1B85E993" w14:textId="689B0B40" w:rsidR="00DC6EE6" w:rsidRPr="0074432E" w:rsidRDefault="00DC6EE6" w:rsidP="0074432E">
      <w:pPr>
        <w:widowControl w:val="0"/>
        <w:autoSpaceDE w:val="0"/>
        <w:autoSpaceDN w:val="0"/>
        <w:adjustRightInd w:val="0"/>
        <w:spacing w:after="200" w:line="360" w:lineRule="auto"/>
        <w:rPr>
          <w:rFonts w:ascii="Arial" w:hAnsi="Arial" w:cs="Arial"/>
          <w:kern w:val="0"/>
          <w:lang w:val="en"/>
        </w:rPr>
      </w:pPr>
      <w:r w:rsidRPr="0074432E">
        <w:rPr>
          <w:rFonts w:ascii="Arial" w:hAnsi="Arial" w:cs="Arial"/>
          <w:kern w:val="0"/>
          <w:lang w:val="en"/>
        </w:rPr>
        <w:t>Student name: Ionel Golovatii</w:t>
      </w:r>
    </w:p>
    <w:p w14:paraId="7B5E6904" w14:textId="77777777" w:rsidR="00DC6EE6" w:rsidRPr="0074432E" w:rsidRDefault="00DC6EE6" w:rsidP="0074432E">
      <w:pPr>
        <w:widowControl w:val="0"/>
        <w:autoSpaceDE w:val="0"/>
        <w:autoSpaceDN w:val="0"/>
        <w:adjustRightInd w:val="0"/>
        <w:spacing w:after="200" w:line="360" w:lineRule="auto"/>
        <w:rPr>
          <w:rFonts w:ascii="Arial" w:hAnsi="Arial" w:cs="Arial"/>
          <w:kern w:val="0"/>
          <w:lang w:val="en"/>
        </w:rPr>
      </w:pPr>
      <w:r w:rsidRPr="0074432E">
        <w:rPr>
          <w:rFonts w:ascii="Arial" w:hAnsi="Arial" w:cs="Arial"/>
          <w:kern w:val="0"/>
          <w:lang w:val="en"/>
        </w:rPr>
        <w:t>Student ID: 2228604</w:t>
      </w:r>
    </w:p>
    <w:p w14:paraId="6FEFBCA1" w14:textId="58864AA4" w:rsidR="00DC6EE6" w:rsidRPr="0074432E" w:rsidRDefault="00DC6EE6" w:rsidP="0074432E">
      <w:pPr>
        <w:widowControl w:val="0"/>
        <w:autoSpaceDE w:val="0"/>
        <w:autoSpaceDN w:val="0"/>
        <w:adjustRightInd w:val="0"/>
        <w:spacing w:after="200" w:line="360" w:lineRule="auto"/>
        <w:rPr>
          <w:rFonts w:ascii="Arial" w:hAnsi="Arial" w:cs="Arial"/>
          <w:kern w:val="0"/>
          <w:lang w:val="en"/>
        </w:rPr>
      </w:pPr>
      <w:r w:rsidRPr="0074432E">
        <w:rPr>
          <w:rFonts w:ascii="Arial" w:hAnsi="Arial" w:cs="Arial"/>
          <w:kern w:val="0"/>
          <w:lang w:val="en"/>
        </w:rPr>
        <w:t xml:space="preserve">Module code: </w:t>
      </w:r>
      <w:r w:rsidR="0040127C" w:rsidRPr="0074432E">
        <w:rPr>
          <w:rFonts w:ascii="Arial" w:hAnsi="Arial" w:cs="Arial"/>
          <w:kern w:val="0"/>
          <w:lang w:val="en"/>
        </w:rPr>
        <w:t>LCBB4001</w:t>
      </w:r>
    </w:p>
    <w:p w14:paraId="5B246832" w14:textId="47593E8D" w:rsidR="00DC6EE6" w:rsidRPr="0074432E" w:rsidRDefault="00DC6EE6" w:rsidP="0074432E">
      <w:pPr>
        <w:widowControl w:val="0"/>
        <w:autoSpaceDE w:val="0"/>
        <w:autoSpaceDN w:val="0"/>
        <w:adjustRightInd w:val="0"/>
        <w:spacing w:after="200" w:line="360" w:lineRule="auto"/>
        <w:rPr>
          <w:rFonts w:ascii="Arial" w:hAnsi="Arial" w:cs="Arial"/>
          <w:kern w:val="0"/>
          <w:lang w:val="en"/>
        </w:rPr>
      </w:pPr>
      <w:r w:rsidRPr="0074432E">
        <w:rPr>
          <w:rFonts w:ascii="Arial" w:hAnsi="Arial" w:cs="Arial"/>
          <w:kern w:val="0"/>
          <w:lang w:val="en"/>
        </w:rPr>
        <w:t xml:space="preserve">Module name: </w:t>
      </w:r>
      <w:r w:rsidR="00BB5562" w:rsidRPr="0074432E">
        <w:rPr>
          <w:rFonts w:ascii="Arial" w:hAnsi="Arial" w:cs="Arial"/>
          <w:kern w:val="0"/>
          <w:lang w:val="en"/>
        </w:rPr>
        <w:t>Accounting Fundamentals</w:t>
      </w:r>
    </w:p>
    <w:p w14:paraId="1EBE1BCF" w14:textId="77777777" w:rsidR="00DC6EE6" w:rsidRPr="0074432E" w:rsidRDefault="00DC6EE6" w:rsidP="0074432E">
      <w:pPr>
        <w:widowControl w:val="0"/>
        <w:autoSpaceDE w:val="0"/>
        <w:autoSpaceDN w:val="0"/>
        <w:adjustRightInd w:val="0"/>
        <w:spacing w:after="200" w:line="360" w:lineRule="auto"/>
        <w:rPr>
          <w:rFonts w:ascii="Arial" w:hAnsi="Arial" w:cs="Arial"/>
          <w:kern w:val="0"/>
          <w:lang w:val="en"/>
        </w:rPr>
      </w:pPr>
      <w:r w:rsidRPr="0074432E">
        <w:rPr>
          <w:rFonts w:ascii="Arial" w:hAnsi="Arial" w:cs="Arial"/>
          <w:kern w:val="0"/>
          <w:lang w:val="en"/>
        </w:rPr>
        <w:t>Lecturer: Nadeem Mirza</w:t>
      </w:r>
    </w:p>
    <w:p w14:paraId="25A3E49C" w14:textId="77777777" w:rsidR="00DC6EE6" w:rsidRPr="0074432E" w:rsidRDefault="00DC6EE6" w:rsidP="0074432E">
      <w:pPr>
        <w:spacing w:line="360" w:lineRule="auto"/>
        <w:rPr>
          <w:rFonts w:ascii="Arial" w:hAnsi="Arial" w:cs="Arial"/>
        </w:rPr>
      </w:pPr>
    </w:p>
    <w:p w14:paraId="05D96F30" w14:textId="342DE026" w:rsidR="0074432E" w:rsidRDefault="00281394" w:rsidP="0074432E">
      <w:pPr>
        <w:spacing w:line="360" w:lineRule="auto"/>
        <w:rPr>
          <w:rFonts w:ascii="Arial" w:hAnsi="Arial" w:cs="Arial"/>
        </w:rPr>
      </w:pPr>
      <w:r w:rsidRPr="0074432E">
        <w:rPr>
          <w:rFonts w:ascii="Arial" w:hAnsi="Arial" w:cs="Arial"/>
        </w:rPr>
        <w:br w:type="page"/>
      </w:r>
    </w:p>
    <w:sdt>
      <w:sdtPr>
        <w:rPr>
          <w:rFonts w:asciiTheme="minorHAnsi" w:eastAsiaTheme="minorHAnsi" w:hAnsiTheme="minorHAnsi" w:cstheme="minorBidi"/>
          <w:color w:val="auto"/>
          <w:kern w:val="2"/>
          <w:sz w:val="22"/>
          <w:szCs w:val="22"/>
          <w:lang w:val="en-GB"/>
          <w14:ligatures w14:val="standardContextual"/>
        </w:rPr>
        <w:id w:val="-1974899768"/>
        <w:docPartObj>
          <w:docPartGallery w:val="Table of Contents"/>
          <w:docPartUnique/>
        </w:docPartObj>
      </w:sdtPr>
      <w:sdtEndPr>
        <w:rPr>
          <w:b/>
          <w:bCs/>
          <w:noProof/>
        </w:rPr>
      </w:sdtEndPr>
      <w:sdtContent>
        <w:p w14:paraId="7E61ED99" w14:textId="0F8A3BCE" w:rsidR="00CF3DF9" w:rsidRDefault="00CF3DF9">
          <w:pPr>
            <w:pStyle w:val="TOCHeading"/>
          </w:pPr>
          <w:r>
            <w:t>Table of Contents</w:t>
          </w:r>
        </w:p>
        <w:p w14:paraId="490976CA" w14:textId="1BE80948" w:rsidR="006126BE" w:rsidRDefault="00CF3DF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487208" w:history="1">
            <w:r w:rsidR="006126BE" w:rsidRPr="00486E09">
              <w:rPr>
                <w:rStyle w:val="Hyperlink"/>
                <w:rFonts w:ascii="Arial" w:hAnsi="Arial" w:cs="Arial"/>
                <w:noProof/>
              </w:rPr>
              <w:t>Introduction</w:t>
            </w:r>
            <w:r w:rsidR="006126BE">
              <w:rPr>
                <w:noProof/>
                <w:webHidden/>
              </w:rPr>
              <w:tab/>
            </w:r>
            <w:r w:rsidR="006126BE">
              <w:rPr>
                <w:noProof/>
                <w:webHidden/>
              </w:rPr>
              <w:fldChar w:fldCharType="begin"/>
            </w:r>
            <w:r w:rsidR="006126BE">
              <w:rPr>
                <w:noProof/>
                <w:webHidden/>
              </w:rPr>
              <w:instrText xml:space="preserve"> PAGEREF _Toc153487208 \h </w:instrText>
            </w:r>
            <w:r w:rsidR="006126BE">
              <w:rPr>
                <w:noProof/>
                <w:webHidden/>
              </w:rPr>
            </w:r>
            <w:r w:rsidR="006126BE">
              <w:rPr>
                <w:noProof/>
                <w:webHidden/>
              </w:rPr>
              <w:fldChar w:fldCharType="separate"/>
            </w:r>
            <w:r w:rsidR="006126BE">
              <w:rPr>
                <w:noProof/>
                <w:webHidden/>
              </w:rPr>
              <w:t>3</w:t>
            </w:r>
            <w:r w:rsidR="006126BE">
              <w:rPr>
                <w:noProof/>
                <w:webHidden/>
              </w:rPr>
              <w:fldChar w:fldCharType="end"/>
            </w:r>
          </w:hyperlink>
        </w:p>
        <w:p w14:paraId="0B1F095D" w14:textId="09D47C9F" w:rsidR="006126BE" w:rsidRDefault="00B85079">
          <w:pPr>
            <w:pStyle w:val="TOC1"/>
            <w:tabs>
              <w:tab w:val="right" w:leader="dot" w:pos="9016"/>
            </w:tabs>
            <w:rPr>
              <w:rFonts w:eastAsiaTheme="minorEastAsia"/>
              <w:noProof/>
              <w:lang w:eastAsia="en-GB"/>
            </w:rPr>
          </w:pPr>
          <w:hyperlink w:anchor="_Toc153487209" w:history="1">
            <w:r w:rsidR="006126BE" w:rsidRPr="00486E09">
              <w:rPr>
                <w:rStyle w:val="Hyperlink"/>
                <w:rFonts w:ascii="Arial" w:hAnsi="Arial" w:cs="Arial"/>
                <w:noProof/>
              </w:rPr>
              <w:t>Comment on the next statements.</w:t>
            </w:r>
            <w:r w:rsidR="006126BE">
              <w:rPr>
                <w:noProof/>
                <w:webHidden/>
              </w:rPr>
              <w:tab/>
            </w:r>
            <w:r w:rsidR="006126BE">
              <w:rPr>
                <w:noProof/>
                <w:webHidden/>
              </w:rPr>
              <w:fldChar w:fldCharType="begin"/>
            </w:r>
            <w:r w:rsidR="006126BE">
              <w:rPr>
                <w:noProof/>
                <w:webHidden/>
              </w:rPr>
              <w:instrText xml:space="preserve"> PAGEREF _Toc153487209 \h </w:instrText>
            </w:r>
            <w:r w:rsidR="006126BE">
              <w:rPr>
                <w:noProof/>
                <w:webHidden/>
              </w:rPr>
            </w:r>
            <w:r w:rsidR="006126BE">
              <w:rPr>
                <w:noProof/>
                <w:webHidden/>
              </w:rPr>
              <w:fldChar w:fldCharType="separate"/>
            </w:r>
            <w:r w:rsidR="006126BE">
              <w:rPr>
                <w:noProof/>
                <w:webHidden/>
              </w:rPr>
              <w:t>3</w:t>
            </w:r>
            <w:r w:rsidR="006126BE">
              <w:rPr>
                <w:noProof/>
                <w:webHidden/>
              </w:rPr>
              <w:fldChar w:fldCharType="end"/>
            </w:r>
          </w:hyperlink>
        </w:p>
        <w:p w14:paraId="40B6F06E" w14:textId="63D08A60" w:rsidR="006126BE" w:rsidRDefault="00B85079">
          <w:pPr>
            <w:pStyle w:val="TOC1"/>
            <w:tabs>
              <w:tab w:val="right" w:leader="dot" w:pos="9016"/>
            </w:tabs>
            <w:rPr>
              <w:rFonts w:eastAsiaTheme="minorEastAsia"/>
              <w:noProof/>
              <w:lang w:eastAsia="en-GB"/>
            </w:rPr>
          </w:pPr>
          <w:hyperlink w:anchor="_Toc153487210" w:history="1">
            <w:r w:rsidR="006126BE" w:rsidRPr="00486E09">
              <w:rPr>
                <w:rStyle w:val="Hyperlink"/>
                <w:rFonts w:ascii="Arial" w:hAnsi="Arial" w:cs="Arial"/>
                <w:noProof/>
              </w:rPr>
              <w:t>Income statement for the year ended 31st December 2022 for Wales plc.</w:t>
            </w:r>
            <w:r w:rsidR="006126BE">
              <w:rPr>
                <w:noProof/>
                <w:webHidden/>
              </w:rPr>
              <w:tab/>
            </w:r>
            <w:r w:rsidR="006126BE">
              <w:rPr>
                <w:noProof/>
                <w:webHidden/>
              </w:rPr>
              <w:fldChar w:fldCharType="begin"/>
            </w:r>
            <w:r w:rsidR="006126BE">
              <w:rPr>
                <w:noProof/>
                <w:webHidden/>
              </w:rPr>
              <w:instrText xml:space="preserve"> PAGEREF _Toc153487210 \h </w:instrText>
            </w:r>
            <w:r w:rsidR="006126BE">
              <w:rPr>
                <w:noProof/>
                <w:webHidden/>
              </w:rPr>
            </w:r>
            <w:r w:rsidR="006126BE">
              <w:rPr>
                <w:noProof/>
                <w:webHidden/>
              </w:rPr>
              <w:fldChar w:fldCharType="separate"/>
            </w:r>
            <w:r w:rsidR="006126BE">
              <w:rPr>
                <w:noProof/>
                <w:webHidden/>
              </w:rPr>
              <w:t>6</w:t>
            </w:r>
            <w:r w:rsidR="006126BE">
              <w:rPr>
                <w:noProof/>
                <w:webHidden/>
              </w:rPr>
              <w:fldChar w:fldCharType="end"/>
            </w:r>
          </w:hyperlink>
        </w:p>
        <w:p w14:paraId="453275EA" w14:textId="6B457090" w:rsidR="006126BE" w:rsidRDefault="00B85079">
          <w:pPr>
            <w:pStyle w:val="TOC1"/>
            <w:tabs>
              <w:tab w:val="right" w:leader="dot" w:pos="9016"/>
            </w:tabs>
            <w:rPr>
              <w:rFonts w:eastAsiaTheme="minorEastAsia"/>
              <w:noProof/>
              <w:lang w:eastAsia="en-GB"/>
            </w:rPr>
          </w:pPr>
          <w:hyperlink w:anchor="_Toc153487211" w:history="1">
            <w:r w:rsidR="006126BE" w:rsidRPr="00486E09">
              <w:rPr>
                <w:rStyle w:val="Hyperlink"/>
                <w:rFonts w:ascii="Arial" w:hAnsi="Arial" w:cs="Arial"/>
                <w:noProof/>
              </w:rPr>
              <w:t>Sweets plc's financial ratios calculation and critical interpretation of the results.</w:t>
            </w:r>
            <w:r w:rsidR="006126BE">
              <w:rPr>
                <w:noProof/>
                <w:webHidden/>
              </w:rPr>
              <w:tab/>
            </w:r>
            <w:r w:rsidR="006126BE">
              <w:rPr>
                <w:noProof/>
                <w:webHidden/>
              </w:rPr>
              <w:fldChar w:fldCharType="begin"/>
            </w:r>
            <w:r w:rsidR="006126BE">
              <w:rPr>
                <w:noProof/>
                <w:webHidden/>
              </w:rPr>
              <w:instrText xml:space="preserve"> PAGEREF _Toc153487211 \h </w:instrText>
            </w:r>
            <w:r w:rsidR="006126BE">
              <w:rPr>
                <w:noProof/>
                <w:webHidden/>
              </w:rPr>
            </w:r>
            <w:r w:rsidR="006126BE">
              <w:rPr>
                <w:noProof/>
                <w:webHidden/>
              </w:rPr>
              <w:fldChar w:fldCharType="separate"/>
            </w:r>
            <w:r w:rsidR="006126BE">
              <w:rPr>
                <w:noProof/>
                <w:webHidden/>
              </w:rPr>
              <w:t>7</w:t>
            </w:r>
            <w:r w:rsidR="006126BE">
              <w:rPr>
                <w:noProof/>
                <w:webHidden/>
              </w:rPr>
              <w:fldChar w:fldCharType="end"/>
            </w:r>
          </w:hyperlink>
        </w:p>
        <w:p w14:paraId="3BE27690" w14:textId="5FBB3675" w:rsidR="006126BE" w:rsidRDefault="00B85079">
          <w:pPr>
            <w:pStyle w:val="TOC2"/>
            <w:tabs>
              <w:tab w:val="right" w:leader="dot" w:pos="9016"/>
            </w:tabs>
            <w:rPr>
              <w:rFonts w:eastAsiaTheme="minorEastAsia"/>
              <w:noProof/>
              <w:lang w:eastAsia="en-GB"/>
            </w:rPr>
          </w:pPr>
          <w:hyperlink w:anchor="_Toc153487212" w:history="1">
            <w:r w:rsidR="006126BE" w:rsidRPr="00486E09">
              <w:rPr>
                <w:rStyle w:val="Hyperlink"/>
                <w:rFonts w:ascii="Arial" w:hAnsi="Arial" w:cs="Arial"/>
                <w:i/>
                <w:iCs/>
                <w:noProof/>
              </w:rPr>
              <w:t>Results and Formulas</w:t>
            </w:r>
            <w:r w:rsidR="006126BE">
              <w:rPr>
                <w:noProof/>
                <w:webHidden/>
              </w:rPr>
              <w:tab/>
            </w:r>
            <w:r w:rsidR="006126BE">
              <w:rPr>
                <w:noProof/>
                <w:webHidden/>
              </w:rPr>
              <w:fldChar w:fldCharType="begin"/>
            </w:r>
            <w:r w:rsidR="006126BE">
              <w:rPr>
                <w:noProof/>
                <w:webHidden/>
              </w:rPr>
              <w:instrText xml:space="preserve"> PAGEREF _Toc153487212 \h </w:instrText>
            </w:r>
            <w:r w:rsidR="006126BE">
              <w:rPr>
                <w:noProof/>
                <w:webHidden/>
              </w:rPr>
            </w:r>
            <w:r w:rsidR="006126BE">
              <w:rPr>
                <w:noProof/>
                <w:webHidden/>
              </w:rPr>
              <w:fldChar w:fldCharType="separate"/>
            </w:r>
            <w:r w:rsidR="006126BE">
              <w:rPr>
                <w:noProof/>
                <w:webHidden/>
              </w:rPr>
              <w:t>8</w:t>
            </w:r>
            <w:r w:rsidR="006126BE">
              <w:rPr>
                <w:noProof/>
                <w:webHidden/>
              </w:rPr>
              <w:fldChar w:fldCharType="end"/>
            </w:r>
          </w:hyperlink>
        </w:p>
        <w:p w14:paraId="79EB4302" w14:textId="7C7516B2" w:rsidR="006126BE" w:rsidRDefault="00B85079">
          <w:pPr>
            <w:pStyle w:val="TOC2"/>
            <w:tabs>
              <w:tab w:val="right" w:leader="dot" w:pos="9016"/>
            </w:tabs>
            <w:rPr>
              <w:rFonts w:eastAsiaTheme="minorEastAsia"/>
              <w:noProof/>
              <w:lang w:eastAsia="en-GB"/>
            </w:rPr>
          </w:pPr>
          <w:hyperlink w:anchor="_Toc153487213" w:history="1">
            <w:r w:rsidR="006126BE" w:rsidRPr="00486E09">
              <w:rPr>
                <w:rStyle w:val="Hyperlink"/>
                <w:rFonts w:ascii="Arial" w:hAnsi="Arial" w:cs="Arial"/>
                <w:i/>
                <w:iCs/>
                <w:noProof/>
              </w:rPr>
              <w:t>Workings</w:t>
            </w:r>
            <w:r w:rsidR="006126BE">
              <w:rPr>
                <w:noProof/>
                <w:webHidden/>
              </w:rPr>
              <w:tab/>
            </w:r>
            <w:r w:rsidR="006126BE">
              <w:rPr>
                <w:noProof/>
                <w:webHidden/>
              </w:rPr>
              <w:fldChar w:fldCharType="begin"/>
            </w:r>
            <w:r w:rsidR="006126BE">
              <w:rPr>
                <w:noProof/>
                <w:webHidden/>
              </w:rPr>
              <w:instrText xml:space="preserve"> PAGEREF _Toc153487213 \h </w:instrText>
            </w:r>
            <w:r w:rsidR="006126BE">
              <w:rPr>
                <w:noProof/>
                <w:webHidden/>
              </w:rPr>
            </w:r>
            <w:r w:rsidR="006126BE">
              <w:rPr>
                <w:noProof/>
                <w:webHidden/>
              </w:rPr>
              <w:fldChar w:fldCharType="separate"/>
            </w:r>
            <w:r w:rsidR="006126BE">
              <w:rPr>
                <w:noProof/>
                <w:webHidden/>
              </w:rPr>
              <w:t>9</w:t>
            </w:r>
            <w:r w:rsidR="006126BE">
              <w:rPr>
                <w:noProof/>
                <w:webHidden/>
              </w:rPr>
              <w:fldChar w:fldCharType="end"/>
            </w:r>
          </w:hyperlink>
        </w:p>
        <w:p w14:paraId="5176959E" w14:textId="5DF26575" w:rsidR="006126BE" w:rsidRDefault="00B85079">
          <w:pPr>
            <w:pStyle w:val="TOC2"/>
            <w:tabs>
              <w:tab w:val="right" w:leader="dot" w:pos="9016"/>
            </w:tabs>
            <w:rPr>
              <w:rFonts w:eastAsiaTheme="minorEastAsia"/>
              <w:noProof/>
              <w:lang w:eastAsia="en-GB"/>
            </w:rPr>
          </w:pPr>
          <w:hyperlink w:anchor="_Toc153487214" w:history="1">
            <w:r w:rsidR="006126BE" w:rsidRPr="00486E09">
              <w:rPr>
                <w:rStyle w:val="Hyperlink"/>
                <w:rFonts w:ascii="Arial" w:hAnsi="Arial" w:cs="Arial"/>
                <w:i/>
                <w:iCs/>
                <w:noProof/>
              </w:rPr>
              <w:t>Critical assessment of Sweets plc's financial performance and position.</w:t>
            </w:r>
            <w:r w:rsidR="006126BE">
              <w:rPr>
                <w:noProof/>
                <w:webHidden/>
              </w:rPr>
              <w:tab/>
            </w:r>
            <w:r w:rsidR="006126BE">
              <w:rPr>
                <w:noProof/>
                <w:webHidden/>
              </w:rPr>
              <w:fldChar w:fldCharType="begin"/>
            </w:r>
            <w:r w:rsidR="006126BE">
              <w:rPr>
                <w:noProof/>
                <w:webHidden/>
              </w:rPr>
              <w:instrText xml:space="preserve"> PAGEREF _Toc153487214 \h </w:instrText>
            </w:r>
            <w:r w:rsidR="006126BE">
              <w:rPr>
                <w:noProof/>
                <w:webHidden/>
              </w:rPr>
            </w:r>
            <w:r w:rsidR="006126BE">
              <w:rPr>
                <w:noProof/>
                <w:webHidden/>
              </w:rPr>
              <w:fldChar w:fldCharType="separate"/>
            </w:r>
            <w:r w:rsidR="006126BE">
              <w:rPr>
                <w:noProof/>
                <w:webHidden/>
              </w:rPr>
              <w:t>11</w:t>
            </w:r>
            <w:r w:rsidR="006126BE">
              <w:rPr>
                <w:noProof/>
                <w:webHidden/>
              </w:rPr>
              <w:fldChar w:fldCharType="end"/>
            </w:r>
          </w:hyperlink>
        </w:p>
        <w:p w14:paraId="4D56ABD5" w14:textId="51C97877" w:rsidR="006126BE" w:rsidRDefault="00B85079">
          <w:pPr>
            <w:pStyle w:val="TOC1"/>
            <w:tabs>
              <w:tab w:val="right" w:leader="dot" w:pos="9016"/>
            </w:tabs>
            <w:rPr>
              <w:rFonts w:eastAsiaTheme="minorEastAsia"/>
              <w:noProof/>
              <w:lang w:eastAsia="en-GB"/>
            </w:rPr>
          </w:pPr>
          <w:hyperlink w:anchor="_Toc153487215" w:history="1">
            <w:r w:rsidR="006126BE" w:rsidRPr="00486E09">
              <w:rPr>
                <w:rStyle w:val="Hyperlink"/>
                <w:rFonts w:ascii="Arial" w:hAnsi="Arial" w:cs="Arial"/>
                <w:noProof/>
              </w:rPr>
              <w:t>Conclusion</w:t>
            </w:r>
            <w:r w:rsidR="006126BE">
              <w:rPr>
                <w:noProof/>
                <w:webHidden/>
              </w:rPr>
              <w:tab/>
            </w:r>
            <w:r w:rsidR="006126BE">
              <w:rPr>
                <w:noProof/>
                <w:webHidden/>
              </w:rPr>
              <w:fldChar w:fldCharType="begin"/>
            </w:r>
            <w:r w:rsidR="006126BE">
              <w:rPr>
                <w:noProof/>
                <w:webHidden/>
              </w:rPr>
              <w:instrText xml:space="preserve"> PAGEREF _Toc153487215 \h </w:instrText>
            </w:r>
            <w:r w:rsidR="006126BE">
              <w:rPr>
                <w:noProof/>
                <w:webHidden/>
              </w:rPr>
            </w:r>
            <w:r w:rsidR="006126BE">
              <w:rPr>
                <w:noProof/>
                <w:webHidden/>
              </w:rPr>
              <w:fldChar w:fldCharType="separate"/>
            </w:r>
            <w:r w:rsidR="006126BE">
              <w:rPr>
                <w:noProof/>
                <w:webHidden/>
              </w:rPr>
              <w:t>11</w:t>
            </w:r>
            <w:r w:rsidR="006126BE">
              <w:rPr>
                <w:noProof/>
                <w:webHidden/>
              </w:rPr>
              <w:fldChar w:fldCharType="end"/>
            </w:r>
          </w:hyperlink>
        </w:p>
        <w:p w14:paraId="110AF7A1" w14:textId="03792079" w:rsidR="006126BE" w:rsidRDefault="00B85079">
          <w:pPr>
            <w:pStyle w:val="TOC1"/>
            <w:tabs>
              <w:tab w:val="right" w:leader="dot" w:pos="9016"/>
            </w:tabs>
            <w:rPr>
              <w:rFonts w:eastAsiaTheme="minorEastAsia"/>
              <w:noProof/>
              <w:lang w:eastAsia="en-GB"/>
            </w:rPr>
          </w:pPr>
          <w:hyperlink w:anchor="_Toc153487216" w:history="1">
            <w:r w:rsidR="006126BE" w:rsidRPr="00486E09">
              <w:rPr>
                <w:rStyle w:val="Hyperlink"/>
                <w:rFonts w:ascii="Arial" w:hAnsi="Arial" w:cs="Arial"/>
                <w:noProof/>
              </w:rPr>
              <w:t>References</w:t>
            </w:r>
            <w:r w:rsidR="006126BE">
              <w:rPr>
                <w:noProof/>
                <w:webHidden/>
              </w:rPr>
              <w:tab/>
            </w:r>
            <w:r w:rsidR="006126BE">
              <w:rPr>
                <w:noProof/>
                <w:webHidden/>
              </w:rPr>
              <w:fldChar w:fldCharType="begin"/>
            </w:r>
            <w:r w:rsidR="006126BE">
              <w:rPr>
                <w:noProof/>
                <w:webHidden/>
              </w:rPr>
              <w:instrText xml:space="preserve"> PAGEREF _Toc153487216 \h </w:instrText>
            </w:r>
            <w:r w:rsidR="006126BE">
              <w:rPr>
                <w:noProof/>
                <w:webHidden/>
              </w:rPr>
            </w:r>
            <w:r w:rsidR="006126BE">
              <w:rPr>
                <w:noProof/>
                <w:webHidden/>
              </w:rPr>
              <w:fldChar w:fldCharType="separate"/>
            </w:r>
            <w:r w:rsidR="006126BE">
              <w:rPr>
                <w:noProof/>
                <w:webHidden/>
              </w:rPr>
              <w:t>13</w:t>
            </w:r>
            <w:r w:rsidR="006126BE">
              <w:rPr>
                <w:noProof/>
                <w:webHidden/>
              </w:rPr>
              <w:fldChar w:fldCharType="end"/>
            </w:r>
          </w:hyperlink>
        </w:p>
        <w:p w14:paraId="0DE5134E" w14:textId="6CCA8885" w:rsidR="00CF3DF9" w:rsidRDefault="00CF3DF9">
          <w:r>
            <w:rPr>
              <w:b/>
              <w:bCs/>
              <w:noProof/>
            </w:rPr>
            <w:fldChar w:fldCharType="end"/>
          </w:r>
        </w:p>
      </w:sdtContent>
    </w:sdt>
    <w:p w14:paraId="1FA3D7A5" w14:textId="23BFCACB" w:rsidR="00CF3DF9" w:rsidRDefault="002927F8" w:rsidP="002927F8">
      <w:pPr>
        <w:rPr>
          <w:rFonts w:ascii="Arial" w:hAnsi="Arial" w:cs="Arial"/>
        </w:rPr>
      </w:pPr>
      <w:r>
        <w:rPr>
          <w:rFonts w:ascii="Arial" w:hAnsi="Arial" w:cs="Arial"/>
        </w:rPr>
        <w:br w:type="page"/>
      </w:r>
    </w:p>
    <w:p w14:paraId="1524CC1C" w14:textId="53BFF2FB" w:rsidR="00B25FA3" w:rsidRPr="0074432E" w:rsidRDefault="00B25FA3" w:rsidP="0074432E">
      <w:pPr>
        <w:pStyle w:val="Heading1"/>
        <w:spacing w:line="360" w:lineRule="auto"/>
        <w:rPr>
          <w:rFonts w:ascii="Arial" w:hAnsi="Arial" w:cs="Arial"/>
        </w:rPr>
      </w:pPr>
      <w:bookmarkStart w:id="0" w:name="_Toc153487208"/>
      <w:r w:rsidRPr="0074432E">
        <w:rPr>
          <w:rFonts w:ascii="Arial" w:hAnsi="Arial" w:cs="Arial"/>
        </w:rPr>
        <w:lastRenderedPageBreak/>
        <w:t>Introduction</w:t>
      </w:r>
      <w:bookmarkEnd w:id="0"/>
    </w:p>
    <w:p w14:paraId="6C586DDA" w14:textId="77777777" w:rsidR="00B25FA3" w:rsidRPr="0074432E" w:rsidRDefault="00B25FA3" w:rsidP="0074432E">
      <w:pPr>
        <w:spacing w:line="360" w:lineRule="auto"/>
        <w:rPr>
          <w:rFonts w:ascii="Arial" w:hAnsi="Arial" w:cs="Arial"/>
          <w:sz w:val="24"/>
          <w:szCs w:val="24"/>
        </w:rPr>
      </w:pPr>
    </w:p>
    <w:p w14:paraId="6C98B912" w14:textId="1A947766" w:rsidR="00B25FA3" w:rsidRPr="0074432E" w:rsidRDefault="00B25FA3" w:rsidP="0074432E">
      <w:pPr>
        <w:spacing w:line="360" w:lineRule="auto"/>
        <w:rPr>
          <w:rFonts w:ascii="Arial" w:hAnsi="Arial" w:cs="Arial"/>
          <w:sz w:val="24"/>
          <w:szCs w:val="24"/>
        </w:rPr>
      </w:pPr>
      <w:r w:rsidRPr="0074432E">
        <w:rPr>
          <w:rFonts w:ascii="Arial" w:hAnsi="Arial" w:cs="Arial"/>
          <w:sz w:val="24"/>
          <w:szCs w:val="24"/>
        </w:rPr>
        <w:t>This report will examine various statements related to financial reporting principles and managerial decisions. Each statement is analysed for accuracy to established accounting practices and principles. The statements will navigate through different aspects, from the purpose of the statement of financial position to the inclusion of prepayments and accruals, the necessity of financial regulations, and the significance of balancing ledger accounts before preparing financial statements. We will also analyse Wales plc's income statement for the fiscal year concluding on December 31, 2022, and the performance and position of Sweets plc</w:t>
      </w:r>
      <w:r w:rsidR="00B85079">
        <w:rPr>
          <w:rFonts w:ascii="Arial" w:hAnsi="Arial" w:cs="Arial"/>
          <w:sz w:val="24"/>
          <w:szCs w:val="24"/>
        </w:rPr>
        <w:t xml:space="preserve"> </w:t>
      </w:r>
      <w:r w:rsidR="00B85079" w:rsidRPr="0074432E">
        <w:rPr>
          <w:rFonts w:ascii="Arial" w:hAnsi="Arial" w:cs="Arial"/>
          <w:sz w:val="24"/>
          <w:szCs w:val="24"/>
        </w:rPr>
        <w:t>for the years 2021 and 2022</w:t>
      </w:r>
      <w:r w:rsidR="00B85079">
        <w:rPr>
          <w:rFonts w:ascii="Arial" w:hAnsi="Arial" w:cs="Arial"/>
          <w:sz w:val="24"/>
          <w:szCs w:val="24"/>
        </w:rPr>
        <w:t>,</w:t>
      </w:r>
      <w:r w:rsidR="00B85079" w:rsidRPr="0074432E">
        <w:rPr>
          <w:rFonts w:ascii="Arial" w:hAnsi="Arial" w:cs="Arial"/>
          <w:sz w:val="24"/>
          <w:szCs w:val="24"/>
        </w:rPr>
        <w:t xml:space="preserve"> </w:t>
      </w:r>
      <w:r w:rsidRPr="0074432E">
        <w:rPr>
          <w:rFonts w:ascii="Arial" w:hAnsi="Arial" w:cs="Arial"/>
          <w:sz w:val="24"/>
          <w:szCs w:val="24"/>
        </w:rPr>
        <w:t>using key financial ratios. The report concludes with a critical assessment of Sweets plc's overall financial performance, underlining areas that need attention.</w:t>
      </w:r>
    </w:p>
    <w:p w14:paraId="6C901A69" w14:textId="77777777" w:rsidR="00B25FA3" w:rsidRPr="0074432E" w:rsidRDefault="00B25FA3" w:rsidP="0074432E">
      <w:pPr>
        <w:spacing w:line="360" w:lineRule="auto"/>
        <w:rPr>
          <w:rFonts w:ascii="Arial" w:eastAsiaTheme="majorEastAsia" w:hAnsi="Arial" w:cs="Arial"/>
          <w:color w:val="2F5496" w:themeColor="accent1" w:themeShade="BF"/>
          <w:sz w:val="24"/>
          <w:szCs w:val="24"/>
        </w:rPr>
      </w:pPr>
    </w:p>
    <w:p w14:paraId="7FFC1A59" w14:textId="3FB70D90" w:rsidR="00954071" w:rsidRPr="0074432E" w:rsidRDefault="00ED40C7" w:rsidP="0074432E">
      <w:pPr>
        <w:pStyle w:val="Heading1"/>
        <w:spacing w:line="360" w:lineRule="auto"/>
        <w:rPr>
          <w:rFonts w:ascii="Arial" w:hAnsi="Arial" w:cs="Arial"/>
        </w:rPr>
      </w:pPr>
      <w:bookmarkStart w:id="1" w:name="_Toc153487209"/>
      <w:r w:rsidRPr="0074432E">
        <w:rPr>
          <w:rFonts w:ascii="Arial" w:hAnsi="Arial" w:cs="Arial"/>
        </w:rPr>
        <w:t xml:space="preserve">Comment </w:t>
      </w:r>
      <w:r w:rsidR="002252E4" w:rsidRPr="0074432E">
        <w:rPr>
          <w:rFonts w:ascii="Arial" w:hAnsi="Arial" w:cs="Arial"/>
        </w:rPr>
        <w:t xml:space="preserve">on the </w:t>
      </w:r>
      <w:r w:rsidRPr="0074432E">
        <w:rPr>
          <w:rFonts w:ascii="Arial" w:hAnsi="Arial" w:cs="Arial"/>
        </w:rPr>
        <w:t>next statements.</w:t>
      </w:r>
      <w:bookmarkEnd w:id="1"/>
    </w:p>
    <w:p w14:paraId="4E533CEF" w14:textId="77777777" w:rsidR="00ED40C7" w:rsidRPr="0074432E" w:rsidRDefault="00ED40C7" w:rsidP="0074432E">
      <w:pPr>
        <w:spacing w:line="360" w:lineRule="auto"/>
        <w:rPr>
          <w:rFonts w:ascii="Arial" w:hAnsi="Arial" w:cs="Arial"/>
        </w:rPr>
      </w:pPr>
    </w:p>
    <w:p w14:paraId="6449CAB9" w14:textId="1D65F8A8" w:rsidR="00954071" w:rsidRPr="0074432E" w:rsidRDefault="00954071" w:rsidP="0074432E">
      <w:pPr>
        <w:spacing w:line="360" w:lineRule="auto"/>
        <w:rPr>
          <w:rFonts w:ascii="Arial" w:hAnsi="Arial" w:cs="Arial"/>
          <w:b/>
          <w:bCs/>
          <w:i/>
          <w:iCs/>
          <w:sz w:val="24"/>
          <w:szCs w:val="24"/>
        </w:rPr>
      </w:pPr>
      <w:r w:rsidRPr="0074432E">
        <w:rPr>
          <w:rFonts w:ascii="Arial" w:hAnsi="Arial" w:cs="Arial"/>
          <w:b/>
          <w:bCs/>
          <w:i/>
          <w:iCs/>
          <w:sz w:val="24"/>
          <w:szCs w:val="24"/>
        </w:rPr>
        <w:t>“The statement of financial position shows how much cash has come into and left the business during the accounting period and the resulting balance at the end of the period.”</w:t>
      </w:r>
    </w:p>
    <w:p w14:paraId="79211786" w14:textId="7A562AE9" w:rsidR="001C4441" w:rsidRPr="0074432E" w:rsidRDefault="004044EC" w:rsidP="0074432E">
      <w:pPr>
        <w:spacing w:line="360" w:lineRule="auto"/>
        <w:rPr>
          <w:rFonts w:ascii="Arial" w:hAnsi="Arial" w:cs="Arial"/>
          <w:sz w:val="24"/>
          <w:szCs w:val="24"/>
        </w:rPr>
      </w:pPr>
      <w:r w:rsidRPr="0074432E">
        <w:rPr>
          <w:rFonts w:ascii="Arial" w:hAnsi="Arial" w:cs="Arial"/>
          <w:sz w:val="24"/>
          <w:szCs w:val="24"/>
        </w:rPr>
        <w:t>The statement is misinterpreting the purpose of the statement of financial position, also known as balance sheet, as this type of statement provides an overview of a company's financial position at a certain time segment, outlining its assets, liabilities and equity</w:t>
      </w:r>
      <w:r w:rsidR="00A5186D" w:rsidRPr="0074432E">
        <w:rPr>
          <w:rFonts w:ascii="Arial" w:hAnsi="Arial" w:cs="Arial"/>
          <w:sz w:val="24"/>
          <w:szCs w:val="24"/>
        </w:rPr>
        <w:t xml:space="preserve"> (Atrill, 2019</w:t>
      </w:r>
      <w:r w:rsidR="005B2880" w:rsidRPr="0074432E">
        <w:rPr>
          <w:rFonts w:ascii="Arial" w:hAnsi="Arial" w:cs="Arial"/>
          <w:sz w:val="24"/>
          <w:szCs w:val="24"/>
        </w:rPr>
        <w:t>, pp. 33-34</w:t>
      </w:r>
      <w:r w:rsidR="00A5186D" w:rsidRPr="0074432E">
        <w:rPr>
          <w:rFonts w:ascii="Arial" w:hAnsi="Arial" w:cs="Arial"/>
          <w:sz w:val="24"/>
          <w:szCs w:val="24"/>
        </w:rPr>
        <w:t>)</w:t>
      </w:r>
      <w:r w:rsidRPr="0074432E">
        <w:rPr>
          <w:rFonts w:ascii="Arial" w:hAnsi="Arial" w:cs="Arial"/>
          <w:sz w:val="24"/>
          <w:szCs w:val="24"/>
        </w:rPr>
        <w:t>. Moreover, it does not give explicit details about the cash flow during the assessed accounting period. To identify the cash flow, we can use a cash flow statement specifically designed to showcase the inflow and outflow of cash during a given time segment</w:t>
      </w:r>
      <w:r w:rsidR="00D80CE7" w:rsidRPr="0074432E">
        <w:rPr>
          <w:rFonts w:ascii="Arial" w:hAnsi="Arial" w:cs="Arial"/>
          <w:sz w:val="24"/>
          <w:szCs w:val="24"/>
        </w:rPr>
        <w:t xml:space="preserve"> </w:t>
      </w:r>
      <w:r w:rsidR="00A506AE" w:rsidRPr="0074432E">
        <w:rPr>
          <w:rFonts w:ascii="Arial" w:hAnsi="Arial" w:cs="Arial"/>
          <w:sz w:val="24"/>
          <w:szCs w:val="24"/>
        </w:rPr>
        <w:t>(Atrill, 2019, p. 29)</w:t>
      </w:r>
      <w:r w:rsidRPr="0074432E">
        <w:rPr>
          <w:rFonts w:ascii="Arial" w:hAnsi="Arial" w:cs="Arial"/>
          <w:sz w:val="24"/>
          <w:szCs w:val="24"/>
        </w:rPr>
        <w:t xml:space="preserve">. The company's financial health and capability to meet its long-term and short-term obligations are reflected in its statement of financial position. </w:t>
      </w:r>
      <w:r w:rsidR="00B72E48" w:rsidRPr="0074432E">
        <w:rPr>
          <w:rFonts w:ascii="Arial" w:hAnsi="Arial" w:cs="Arial"/>
          <w:sz w:val="24"/>
          <w:szCs w:val="24"/>
        </w:rPr>
        <w:t>Recognising the differences between these financial statements is essential</w:t>
      </w:r>
      <w:r w:rsidRPr="0074432E">
        <w:rPr>
          <w:rFonts w:ascii="Arial" w:hAnsi="Arial" w:cs="Arial"/>
          <w:sz w:val="24"/>
          <w:szCs w:val="24"/>
        </w:rPr>
        <w:t>, as this ensures a comprehensive understanding of a company's financial situation and operational efficiency.</w:t>
      </w:r>
    </w:p>
    <w:p w14:paraId="1919D8F5" w14:textId="77777777" w:rsidR="00CC4D30" w:rsidRPr="0074432E" w:rsidRDefault="00CC4D30" w:rsidP="0074432E">
      <w:pPr>
        <w:spacing w:line="360" w:lineRule="auto"/>
        <w:rPr>
          <w:rFonts w:ascii="Arial" w:hAnsi="Arial" w:cs="Arial"/>
          <w:sz w:val="24"/>
          <w:szCs w:val="24"/>
        </w:rPr>
      </w:pPr>
    </w:p>
    <w:p w14:paraId="476E2DDE" w14:textId="5E874F64" w:rsidR="00CC4D30" w:rsidRPr="0074432E" w:rsidRDefault="00EA426C" w:rsidP="0074432E">
      <w:pPr>
        <w:spacing w:line="360" w:lineRule="auto"/>
        <w:rPr>
          <w:rFonts w:ascii="Arial" w:hAnsi="Arial" w:cs="Arial"/>
          <w:sz w:val="24"/>
          <w:szCs w:val="24"/>
        </w:rPr>
      </w:pPr>
      <w:r w:rsidRPr="0074432E">
        <w:rPr>
          <w:rFonts w:ascii="Arial" w:hAnsi="Arial" w:cs="Arial"/>
          <w:b/>
          <w:bCs/>
          <w:i/>
          <w:iCs/>
          <w:sz w:val="24"/>
          <w:szCs w:val="24"/>
        </w:rPr>
        <w:t>“Non-current assets are things that cannot be moved.”</w:t>
      </w:r>
    </w:p>
    <w:p w14:paraId="4DDD3151" w14:textId="77D8EFB3" w:rsidR="00FD228A" w:rsidRPr="0074432E" w:rsidRDefault="0033071B" w:rsidP="0074432E">
      <w:pPr>
        <w:spacing w:line="360" w:lineRule="auto"/>
        <w:rPr>
          <w:rFonts w:ascii="Arial" w:hAnsi="Arial" w:cs="Arial"/>
          <w:sz w:val="24"/>
          <w:szCs w:val="24"/>
        </w:rPr>
      </w:pPr>
      <w:r w:rsidRPr="0074432E">
        <w:rPr>
          <w:rFonts w:ascii="Arial" w:hAnsi="Arial" w:cs="Arial"/>
          <w:sz w:val="24"/>
          <w:szCs w:val="24"/>
        </w:rPr>
        <w:t xml:space="preserve">The statement above is not accurate as non-current assets, also known as fixed assets, are items with long-term value for a business and mobility is not a main characteristic that describes them. </w:t>
      </w:r>
      <w:r w:rsidR="00B3677B" w:rsidRPr="0074432E">
        <w:rPr>
          <w:rFonts w:ascii="Arial" w:hAnsi="Arial" w:cs="Arial"/>
          <w:sz w:val="24"/>
          <w:szCs w:val="24"/>
        </w:rPr>
        <w:t>The non-current</w:t>
      </w:r>
      <w:r w:rsidRPr="0074432E">
        <w:rPr>
          <w:rFonts w:ascii="Arial" w:hAnsi="Arial" w:cs="Arial"/>
          <w:sz w:val="24"/>
          <w:szCs w:val="24"/>
        </w:rPr>
        <w:t xml:space="preserve"> asset is a term that incorporates a wide variety of items like property, equipment, motor vehicles, fixtures and fittings, etc. While some fixed assets, like buildings, may be immovable, others, such as vehicles, are used with a different level of mobility </w:t>
      </w:r>
      <w:r w:rsidR="006C794D" w:rsidRPr="0074432E">
        <w:rPr>
          <w:rFonts w:ascii="Arial" w:hAnsi="Arial" w:cs="Arial"/>
          <w:sz w:val="24"/>
          <w:szCs w:val="24"/>
        </w:rPr>
        <w:t>or</w:t>
      </w:r>
      <w:r w:rsidRPr="0074432E">
        <w:rPr>
          <w:rFonts w:ascii="Arial" w:hAnsi="Arial" w:cs="Arial"/>
          <w:sz w:val="24"/>
          <w:szCs w:val="24"/>
        </w:rPr>
        <w:t xml:space="preserve"> designed for movement. Therefore, the term "non-current" or "fixed" is used to describe the long-term utility and not the ability to be relocated</w:t>
      </w:r>
      <w:r w:rsidR="00434456" w:rsidRPr="0074432E">
        <w:rPr>
          <w:rFonts w:ascii="Arial" w:hAnsi="Arial" w:cs="Arial"/>
          <w:sz w:val="24"/>
          <w:szCs w:val="24"/>
        </w:rPr>
        <w:t xml:space="preserve"> (Sangster, 2018, p. 16)</w:t>
      </w:r>
      <w:r w:rsidR="00BC3916" w:rsidRPr="0074432E">
        <w:rPr>
          <w:rFonts w:ascii="Arial" w:hAnsi="Arial" w:cs="Arial"/>
          <w:sz w:val="24"/>
          <w:szCs w:val="24"/>
        </w:rPr>
        <w:t>.</w:t>
      </w:r>
      <w:r w:rsidR="00164FD8" w:rsidRPr="0074432E">
        <w:rPr>
          <w:rFonts w:ascii="Arial" w:hAnsi="Arial" w:cs="Arial"/>
          <w:sz w:val="24"/>
          <w:szCs w:val="24"/>
        </w:rPr>
        <w:t xml:space="preserve"> </w:t>
      </w:r>
      <w:r w:rsidR="000020EE" w:rsidRPr="0074432E">
        <w:rPr>
          <w:rFonts w:ascii="Arial" w:hAnsi="Arial" w:cs="Arial"/>
          <w:sz w:val="24"/>
          <w:szCs w:val="24"/>
        </w:rPr>
        <w:t>Understanding</w:t>
      </w:r>
      <w:r w:rsidRPr="0074432E">
        <w:rPr>
          <w:rFonts w:ascii="Arial" w:hAnsi="Arial" w:cs="Arial"/>
          <w:sz w:val="24"/>
          <w:szCs w:val="24"/>
        </w:rPr>
        <w:t xml:space="preserve"> the diverse nature of non-current assets and their purpose in a business is crucial for precise financial reporting and, subsequently, for business decision-making and strategic planning.</w:t>
      </w:r>
    </w:p>
    <w:p w14:paraId="29E189BC" w14:textId="77777777" w:rsidR="00FD228A" w:rsidRPr="0074432E" w:rsidRDefault="00FD228A" w:rsidP="0074432E">
      <w:pPr>
        <w:spacing w:line="360" w:lineRule="auto"/>
        <w:rPr>
          <w:rFonts w:ascii="Arial" w:hAnsi="Arial" w:cs="Arial"/>
          <w:sz w:val="24"/>
          <w:szCs w:val="24"/>
        </w:rPr>
      </w:pPr>
    </w:p>
    <w:p w14:paraId="65693754" w14:textId="09BF88C2" w:rsidR="00FD228A" w:rsidRPr="0074432E" w:rsidRDefault="00FD228A" w:rsidP="0074432E">
      <w:pPr>
        <w:spacing w:line="360" w:lineRule="auto"/>
        <w:rPr>
          <w:rFonts w:ascii="Arial" w:hAnsi="Arial" w:cs="Arial"/>
          <w:b/>
          <w:bCs/>
          <w:i/>
          <w:iCs/>
          <w:sz w:val="24"/>
          <w:szCs w:val="24"/>
        </w:rPr>
      </w:pPr>
      <w:r w:rsidRPr="0074432E">
        <w:rPr>
          <w:rFonts w:ascii="Arial" w:hAnsi="Arial" w:cs="Arial"/>
          <w:b/>
          <w:bCs/>
          <w:i/>
          <w:iCs/>
          <w:sz w:val="24"/>
          <w:szCs w:val="24"/>
        </w:rPr>
        <w:t>“Managers should only supply financial information to the "current" shareholders of companies.”</w:t>
      </w:r>
    </w:p>
    <w:p w14:paraId="3104237F" w14:textId="751EB1BF" w:rsidR="00C17936" w:rsidRPr="0074432E" w:rsidRDefault="00447272" w:rsidP="0074432E">
      <w:pPr>
        <w:spacing w:line="360" w:lineRule="auto"/>
        <w:rPr>
          <w:rFonts w:ascii="Arial" w:hAnsi="Arial" w:cs="Arial"/>
          <w:sz w:val="24"/>
          <w:szCs w:val="24"/>
        </w:rPr>
      </w:pPr>
      <w:r w:rsidRPr="0074432E">
        <w:rPr>
          <w:rFonts w:ascii="Arial" w:hAnsi="Arial" w:cs="Arial"/>
          <w:sz w:val="24"/>
          <w:szCs w:val="24"/>
        </w:rPr>
        <w:t xml:space="preserve">This statement is impractical and may be against the principles of transparency and corporate governance. Management has to provide financial information to a wide variety of users like potential investors, customers, competitors, investment analysts, and government to promote transparency, trust and accountability, subsequently fostering confidence in the company's operations and enhancing stakeholders' decision-making. </w:t>
      </w:r>
      <w:r w:rsidR="000020EE" w:rsidRPr="0074432E">
        <w:rPr>
          <w:rFonts w:ascii="Arial" w:hAnsi="Arial" w:cs="Arial"/>
          <w:sz w:val="24"/>
          <w:szCs w:val="24"/>
        </w:rPr>
        <w:t>Current</w:t>
      </w:r>
      <w:r w:rsidRPr="0074432E">
        <w:rPr>
          <w:rFonts w:ascii="Arial" w:hAnsi="Arial" w:cs="Arial"/>
          <w:sz w:val="24"/>
          <w:szCs w:val="24"/>
        </w:rPr>
        <w:t xml:space="preserve"> and potential stakeholders need the financial information to understand the actual state of the business and its prospects. By supplying information exclusively to the current stakeholders, the business may lose investors or damage its reputation by creating an impression of non-transparency. Promoting transparency contributes to an honest and non-discriminatory marketplace, following the principles of corporate governance and regulatory requirements</w:t>
      </w:r>
      <w:r w:rsidR="002E58C2" w:rsidRPr="0074432E">
        <w:rPr>
          <w:rFonts w:ascii="Arial" w:hAnsi="Arial" w:cs="Arial"/>
          <w:sz w:val="24"/>
          <w:szCs w:val="24"/>
        </w:rPr>
        <w:t xml:space="preserve"> (Atrill, 2019, pp. </w:t>
      </w:r>
      <w:r w:rsidR="0033218C" w:rsidRPr="0074432E">
        <w:rPr>
          <w:rFonts w:ascii="Arial" w:hAnsi="Arial" w:cs="Arial"/>
          <w:sz w:val="24"/>
          <w:szCs w:val="24"/>
        </w:rPr>
        <w:t>2-6</w:t>
      </w:r>
      <w:r w:rsidR="002E58C2" w:rsidRPr="0074432E">
        <w:rPr>
          <w:rFonts w:ascii="Arial" w:hAnsi="Arial" w:cs="Arial"/>
          <w:sz w:val="24"/>
          <w:szCs w:val="24"/>
        </w:rPr>
        <w:t>).</w:t>
      </w:r>
    </w:p>
    <w:p w14:paraId="594354FB" w14:textId="77777777" w:rsidR="00C17936" w:rsidRPr="0074432E" w:rsidRDefault="00C17936" w:rsidP="0074432E">
      <w:pPr>
        <w:spacing w:line="360" w:lineRule="auto"/>
        <w:rPr>
          <w:rFonts w:ascii="Arial" w:hAnsi="Arial" w:cs="Arial"/>
          <w:b/>
          <w:bCs/>
          <w:sz w:val="24"/>
          <w:szCs w:val="24"/>
        </w:rPr>
      </w:pPr>
    </w:p>
    <w:p w14:paraId="73636A87" w14:textId="63A861C0" w:rsidR="00C17936" w:rsidRPr="0074432E" w:rsidRDefault="00F1263E" w:rsidP="0074432E">
      <w:pPr>
        <w:spacing w:line="360" w:lineRule="auto"/>
        <w:rPr>
          <w:rFonts w:ascii="Arial" w:hAnsi="Arial" w:cs="Arial"/>
          <w:sz w:val="24"/>
          <w:szCs w:val="24"/>
        </w:rPr>
      </w:pPr>
      <w:r w:rsidRPr="0074432E">
        <w:rPr>
          <w:rFonts w:ascii="Arial" w:hAnsi="Arial" w:cs="Arial"/>
          <w:b/>
          <w:bCs/>
          <w:i/>
          <w:iCs/>
          <w:sz w:val="24"/>
          <w:szCs w:val="24"/>
        </w:rPr>
        <w:t>“No need to include prepayments and accruals on the statement of financial position.”</w:t>
      </w:r>
    </w:p>
    <w:p w14:paraId="19E32286" w14:textId="2E07F940" w:rsidR="00F1263E" w:rsidRPr="0074432E" w:rsidRDefault="00B13355" w:rsidP="0074432E">
      <w:pPr>
        <w:spacing w:line="360" w:lineRule="auto"/>
        <w:rPr>
          <w:rFonts w:ascii="Arial" w:hAnsi="Arial" w:cs="Arial"/>
          <w:sz w:val="24"/>
          <w:szCs w:val="24"/>
        </w:rPr>
      </w:pPr>
      <w:r w:rsidRPr="0074432E">
        <w:rPr>
          <w:rFonts w:ascii="Arial" w:hAnsi="Arial" w:cs="Arial"/>
          <w:sz w:val="24"/>
          <w:szCs w:val="24"/>
        </w:rPr>
        <w:lastRenderedPageBreak/>
        <w:t xml:space="preserve">The statement is </w:t>
      </w:r>
      <w:r w:rsidR="00B3677B" w:rsidRPr="0074432E">
        <w:rPr>
          <w:rFonts w:ascii="Arial" w:hAnsi="Arial" w:cs="Arial"/>
          <w:sz w:val="24"/>
          <w:szCs w:val="24"/>
        </w:rPr>
        <w:t>inaccurate</w:t>
      </w:r>
      <w:r w:rsidRPr="0074432E">
        <w:rPr>
          <w:rFonts w:ascii="Arial" w:hAnsi="Arial" w:cs="Arial"/>
          <w:sz w:val="24"/>
          <w:szCs w:val="24"/>
        </w:rPr>
        <w:t xml:space="preserve"> in the context of accepted accounting principles as prepayments and accruals are fundamental components of financial reporting, and excluding them would result in an incomplete representation of a business's financial position. According to Weetman (2013, p</w:t>
      </w:r>
      <w:r w:rsidR="00A052F4" w:rsidRPr="0074432E">
        <w:rPr>
          <w:rFonts w:ascii="Arial" w:hAnsi="Arial" w:cs="Arial"/>
          <w:sz w:val="24"/>
          <w:szCs w:val="24"/>
        </w:rPr>
        <w:t>.</w:t>
      </w:r>
      <w:r w:rsidRPr="0074432E">
        <w:rPr>
          <w:rFonts w:ascii="Arial" w:hAnsi="Arial" w:cs="Arial"/>
          <w:sz w:val="24"/>
          <w:szCs w:val="24"/>
        </w:rPr>
        <w:t>p. 258-279), prepayments represent expenses paid in advance, while accruals account for incurred but not yet paid expenses. Both are imperative for an accurate economic position of a business at a given point in time. Including prepayments and accruals in the statement of financial position (balance sheet) enhances its accuracy, reflecting a wider picture of the company's financial obligations.</w:t>
      </w:r>
      <w:r w:rsidR="0047155F" w:rsidRPr="0074432E">
        <w:rPr>
          <w:rFonts w:ascii="Arial" w:hAnsi="Arial" w:cs="Arial"/>
          <w:sz w:val="24"/>
          <w:szCs w:val="24"/>
        </w:rPr>
        <w:t xml:space="preserve"> </w:t>
      </w:r>
      <w:r w:rsidR="0018761A" w:rsidRPr="0074432E">
        <w:rPr>
          <w:rFonts w:ascii="Arial" w:hAnsi="Arial" w:cs="Arial"/>
          <w:sz w:val="24"/>
          <w:szCs w:val="24"/>
        </w:rPr>
        <w:t xml:space="preserve">Financial statements are not exclusively about cash transactions as they aim to present a fair view of a company's financial position, performance, and cash flows, considering the economic substance of transactions rather than just their timing. Therefore, excluding prepayments and accruals would compromise the integrity of financial reporting, weakening stakeholders' ability to make </w:t>
      </w:r>
      <w:r w:rsidR="005826BB" w:rsidRPr="0074432E">
        <w:rPr>
          <w:rFonts w:ascii="Arial" w:hAnsi="Arial" w:cs="Arial"/>
          <w:sz w:val="24"/>
          <w:szCs w:val="24"/>
        </w:rPr>
        <w:t xml:space="preserve">the </w:t>
      </w:r>
      <w:r w:rsidR="0018761A" w:rsidRPr="0074432E">
        <w:rPr>
          <w:rFonts w:ascii="Arial" w:hAnsi="Arial" w:cs="Arial"/>
          <w:sz w:val="24"/>
          <w:szCs w:val="24"/>
        </w:rPr>
        <w:t>right decisions.</w:t>
      </w:r>
    </w:p>
    <w:p w14:paraId="0CB5D294" w14:textId="77777777" w:rsidR="00C17936" w:rsidRPr="0074432E" w:rsidRDefault="00C17936" w:rsidP="0074432E">
      <w:pPr>
        <w:spacing w:line="360" w:lineRule="auto"/>
        <w:rPr>
          <w:rFonts w:ascii="Arial" w:hAnsi="Arial" w:cs="Arial"/>
          <w:b/>
          <w:bCs/>
          <w:sz w:val="24"/>
          <w:szCs w:val="24"/>
        </w:rPr>
      </w:pPr>
    </w:p>
    <w:p w14:paraId="0B71DE7D" w14:textId="4528527B" w:rsidR="00C17936" w:rsidRPr="0074432E" w:rsidRDefault="00027CD9" w:rsidP="0074432E">
      <w:pPr>
        <w:spacing w:line="360" w:lineRule="auto"/>
        <w:rPr>
          <w:rFonts w:ascii="Arial" w:hAnsi="Arial" w:cs="Arial"/>
          <w:b/>
          <w:bCs/>
          <w:i/>
          <w:iCs/>
          <w:sz w:val="24"/>
          <w:szCs w:val="24"/>
        </w:rPr>
      </w:pPr>
      <w:r w:rsidRPr="0074432E">
        <w:rPr>
          <w:rFonts w:ascii="Arial" w:hAnsi="Arial" w:cs="Arial"/>
          <w:b/>
          <w:bCs/>
          <w:i/>
          <w:iCs/>
          <w:sz w:val="24"/>
          <w:szCs w:val="24"/>
        </w:rPr>
        <w:t>“No need for regulation over financial accounts.”</w:t>
      </w:r>
    </w:p>
    <w:p w14:paraId="727CF9D3" w14:textId="7DE42BC3" w:rsidR="00097F28" w:rsidRPr="0074432E" w:rsidRDefault="00097F28" w:rsidP="0074432E">
      <w:pPr>
        <w:spacing w:line="360" w:lineRule="auto"/>
        <w:rPr>
          <w:rFonts w:ascii="Arial" w:hAnsi="Arial" w:cs="Arial"/>
          <w:sz w:val="24"/>
          <w:szCs w:val="24"/>
        </w:rPr>
      </w:pPr>
      <w:r w:rsidRPr="0074432E">
        <w:rPr>
          <w:rFonts w:ascii="Arial" w:hAnsi="Arial" w:cs="Arial"/>
          <w:sz w:val="24"/>
          <w:szCs w:val="24"/>
        </w:rPr>
        <w:t>Regulations play an important role in ensuring financial accounts' accuracy, transparency, and reliability. The global efforts towards harmonisation, led by the International Accounting Standards Board (IASB), further emphasise the recognition of standardised rules for transparent financial information. By introducing standardised accounting practices, financial regulations protect the investors, stakeholders, and market interests. Without regulatory control, there is a risk of financial fraud and misleading financial reporting, potentially leading to catastrophic consequences within the economic environment. Regulations provide a framework for consistency, comparability, and accountability and are essential to maintain the integrity of financial information and contribute to the stability of the overall economic system</w:t>
      </w:r>
      <w:r w:rsidR="00E9645F" w:rsidRPr="0074432E">
        <w:rPr>
          <w:rFonts w:ascii="Arial" w:hAnsi="Arial" w:cs="Arial"/>
          <w:sz w:val="24"/>
          <w:szCs w:val="24"/>
        </w:rPr>
        <w:t xml:space="preserve"> (Walker, 2011, p. 16)</w:t>
      </w:r>
      <w:r w:rsidR="00203612" w:rsidRPr="0074432E">
        <w:rPr>
          <w:rFonts w:ascii="Arial" w:hAnsi="Arial" w:cs="Arial"/>
          <w:sz w:val="24"/>
          <w:szCs w:val="24"/>
        </w:rPr>
        <w:t>.</w:t>
      </w:r>
    </w:p>
    <w:p w14:paraId="4B438AA2" w14:textId="77777777" w:rsidR="00C17936" w:rsidRPr="0074432E" w:rsidRDefault="00C17936" w:rsidP="0074432E">
      <w:pPr>
        <w:spacing w:line="360" w:lineRule="auto"/>
        <w:rPr>
          <w:rFonts w:ascii="Arial" w:hAnsi="Arial" w:cs="Arial"/>
          <w:b/>
          <w:bCs/>
          <w:sz w:val="24"/>
          <w:szCs w:val="24"/>
        </w:rPr>
      </w:pPr>
    </w:p>
    <w:p w14:paraId="656FD06B" w14:textId="706A4957" w:rsidR="00C17936" w:rsidRPr="0074432E" w:rsidRDefault="00FC18D9" w:rsidP="0074432E">
      <w:pPr>
        <w:spacing w:line="360" w:lineRule="auto"/>
        <w:rPr>
          <w:rFonts w:ascii="Arial" w:hAnsi="Arial" w:cs="Arial"/>
          <w:sz w:val="24"/>
          <w:szCs w:val="24"/>
        </w:rPr>
      </w:pPr>
      <w:r w:rsidRPr="0074432E">
        <w:rPr>
          <w:rFonts w:ascii="Arial" w:hAnsi="Arial" w:cs="Arial"/>
          <w:b/>
          <w:bCs/>
          <w:i/>
          <w:iCs/>
          <w:sz w:val="24"/>
          <w:szCs w:val="24"/>
        </w:rPr>
        <w:t>“It is important to balance ledger (T) accounts and trial balance before preparing financial statements.”</w:t>
      </w:r>
    </w:p>
    <w:p w14:paraId="2397533C" w14:textId="7D6D151E" w:rsidR="00C17936" w:rsidRPr="0074432E" w:rsidRDefault="0026658D" w:rsidP="0074432E">
      <w:pPr>
        <w:spacing w:line="360" w:lineRule="auto"/>
        <w:rPr>
          <w:rFonts w:ascii="Arial" w:hAnsi="Arial" w:cs="Arial"/>
          <w:sz w:val="24"/>
          <w:szCs w:val="24"/>
        </w:rPr>
      </w:pPr>
      <w:r w:rsidRPr="0074432E">
        <w:rPr>
          <w:rFonts w:ascii="Arial" w:hAnsi="Arial" w:cs="Arial"/>
          <w:sz w:val="24"/>
          <w:szCs w:val="24"/>
        </w:rPr>
        <w:lastRenderedPageBreak/>
        <w:t>The statement underlining the importance of balancing ledger (T) accounts and the trial balance before preparing financial statements is true and fundamental to accounting practices. Balancing ledger accounts involves calculating the net balance by subtracting total credit entries from total debit entries, ensuring the preciseness of individual accounts and maintaining track of a business's financial transactions. Balancing at regular intervals enhances control over financial management. The trial balance, an imperative document at the end of an accounting period, validates the accuracy of transactions in the ledger system, verifies the correctness of individual account balances, and facilitates the preparation of financial statements. If the debit and credit column totals in the trial balance match, it provides confidence that the double-entry procedures have been executed accurately. This systematic approach is important to add integrity and reliability to financial statements, promoting transparency, and informed decision-making</w:t>
      </w:r>
      <w:r w:rsidR="00300ED7" w:rsidRPr="0074432E">
        <w:rPr>
          <w:rFonts w:ascii="Arial" w:hAnsi="Arial" w:cs="Arial"/>
          <w:sz w:val="24"/>
          <w:szCs w:val="24"/>
        </w:rPr>
        <w:t xml:space="preserve"> (Dyson, 2020</w:t>
      </w:r>
      <w:r w:rsidR="00690593" w:rsidRPr="0074432E">
        <w:rPr>
          <w:rFonts w:ascii="Arial" w:hAnsi="Arial" w:cs="Arial"/>
          <w:sz w:val="24"/>
          <w:szCs w:val="24"/>
        </w:rPr>
        <w:t xml:space="preserve">, pp. </w:t>
      </w:r>
      <w:r w:rsidR="00843534" w:rsidRPr="0074432E">
        <w:rPr>
          <w:rFonts w:ascii="Arial" w:hAnsi="Arial" w:cs="Arial"/>
          <w:sz w:val="24"/>
          <w:szCs w:val="24"/>
        </w:rPr>
        <w:t>56-66</w:t>
      </w:r>
      <w:r w:rsidR="00300ED7" w:rsidRPr="0074432E">
        <w:rPr>
          <w:rFonts w:ascii="Arial" w:hAnsi="Arial" w:cs="Arial"/>
          <w:sz w:val="24"/>
          <w:szCs w:val="24"/>
        </w:rPr>
        <w:t>).</w:t>
      </w:r>
    </w:p>
    <w:p w14:paraId="43277227" w14:textId="77777777" w:rsidR="00C17936" w:rsidRPr="0074432E" w:rsidRDefault="00C17936" w:rsidP="0074432E">
      <w:pPr>
        <w:spacing w:line="360" w:lineRule="auto"/>
        <w:rPr>
          <w:rFonts w:ascii="Arial" w:hAnsi="Arial" w:cs="Arial"/>
          <w:sz w:val="24"/>
          <w:szCs w:val="24"/>
        </w:rPr>
      </w:pPr>
    </w:p>
    <w:p w14:paraId="1C04E5D1" w14:textId="0B09906B" w:rsidR="00C17936" w:rsidRPr="0074432E" w:rsidRDefault="00B1712B" w:rsidP="0074432E">
      <w:pPr>
        <w:pStyle w:val="Heading1"/>
        <w:spacing w:line="360" w:lineRule="auto"/>
        <w:rPr>
          <w:rFonts w:ascii="Arial" w:hAnsi="Arial" w:cs="Arial"/>
        </w:rPr>
      </w:pPr>
      <w:bookmarkStart w:id="2" w:name="_Toc153487210"/>
      <w:r w:rsidRPr="0074432E">
        <w:rPr>
          <w:rFonts w:ascii="Arial" w:hAnsi="Arial" w:cs="Arial"/>
        </w:rPr>
        <w:t>Income statement for the year ended 31st December 2022 for Wales plc.</w:t>
      </w:r>
      <w:bookmarkEnd w:id="2"/>
    </w:p>
    <w:p w14:paraId="4B896499" w14:textId="77777777" w:rsidR="00FC25A1" w:rsidRPr="0074432E" w:rsidRDefault="00FC25A1" w:rsidP="0074432E">
      <w:pPr>
        <w:spacing w:line="360" w:lineRule="auto"/>
        <w:rPr>
          <w:rFonts w:ascii="Arial" w:hAnsi="Arial" w:cs="Arial"/>
          <w:sz w:val="24"/>
          <w:szCs w:val="24"/>
        </w:rPr>
      </w:pPr>
    </w:p>
    <w:p w14:paraId="1143BF60" w14:textId="3164E4C4" w:rsidR="000A7472" w:rsidRPr="0074432E" w:rsidRDefault="000A7472" w:rsidP="0074432E">
      <w:pPr>
        <w:spacing w:line="360" w:lineRule="auto"/>
        <w:rPr>
          <w:rFonts w:ascii="Arial" w:hAnsi="Arial" w:cs="Arial"/>
          <w:sz w:val="24"/>
          <w:szCs w:val="24"/>
        </w:rPr>
      </w:pPr>
      <w:r w:rsidRPr="0074432E">
        <w:rPr>
          <w:rFonts w:ascii="Arial" w:hAnsi="Arial" w:cs="Arial"/>
          <w:sz w:val="24"/>
          <w:szCs w:val="24"/>
        </w:rPr>
        <w:t>The income statement provides a comprehensive overview of the business's financial performance over a specified timeframe. Often referred to as the profit and loss statement, it provides information about a company's profitability by detailing all revenues and deducting operating and non-operating expenses. This statement is an important component in corporate finance and accounting, serving as an essential financial statement alongside the balance sheet and cash flow statement. The income statement systematically analyses the company's revenue, costs, gross profit, selling and administrative expenses, other income and expenses, taxes paid, and the ultimate net profit. It provides aid in understanding a company's financial position and performance, making it an indispensable tool for each business</w:t>
      </w:r>
      <w:r w:rsidR="00F5376F" w:rsidRPr="0074432E">
        <w:rPr>
          <w:rFonts w:ascii="Arial" w:hAnsi="Arial" w:cs="Arial"/>
          <w:sz w:val="24"/>
          <w:szCs w:val="24"/>
        </w:rPr>
        <w:t xml:space="preserve"> (CFI Education Inc., 2023).</w:t>
      </w:r>
    </w:p>
    <w:p w14:paraId="44A324BE" w14:textId="7E9649C8" w:rsidR="00ED3A78" w:rsidRPr="0074432E" w:rsidRDefault="002927F8" w:rsidP="002927F8">
      <w:pPr>
        <w:rPr>
          <w:rFonts w:ascii="Arial" w:hAnsi="Arial" w:cs="Arial"/>
          <w:sz w:val="24"/>
          <w:szCs w:val="24"/>
        </w:rPr>
      </w:pPr>
      <w:r>
        <w:rPr>
          <w:rFonts w:ascii="Arial" w:hAnsi="Arial" w:cs="Arial"/>
          <w:sz w:val="24"/>
          <w:szCs w:val="24"/>
        </w:rPr>
        <w:br w:type="page"/>
      </w:r>
    </w:p>
    <w:tbl>
      <w:tblPr>
        <w:tblStyle w:val="TableGrid"/>
        <w:tblW w:w="0" w:type="auto"/>
        <w:tblLook w:val="04A0" w:firstRow="1" w:lastRow="0" w:firstColumn="1" w:lastColumn="0" w:noHBand="0" w:noVBand="1"/>
      </w:tblPr>
      <w:tblGrid>
        <w:gridCol w:w="6010"/>
        <w:gridCol w:w="3006"/>
      </w:tblGrid>
      <w:tr w:rsidR="00741A5F" w:rsidRPr="0074432E" w14:paraId="2674CF42" w14:textId="77777777" w:rsidTr="002A74AD">
        <w:tc>
          <w:tcPr>
            <w:tcW w:w="9016" w:type="dxa"/>
            <w:gridSpan w:val="2"/>
          </w:tcPr>
          <w:p w14:paraId="3A533DC0" w14:textId="67CAE198" w:rsidR="00741A5F" w:rsidRPr="0074432E" w:rsidRDefault="00816307" w:rsidP="0074432E">
            <w:pPr>
              <w:spacing w:line="360" w:lineRule="auto"/>
              <w:jc w:val="center"/>
              <w:rPr>
                <w:rFonts w:ascii="Arial" w:hAnsi="Arial" w:cs="Arial"/>
                <w:b/>
                <w:bCs/>
                <w:sz w:val="28"/>
                <w:szCs w:val="28"/>
              </w:rPr>
            </w:pPr>
            <w:r w:rsidRPr="0074432E">
              <w:rPr>
                <w:rFonts w:ascii="Arial" w:hAnsi="Arial" w:cs="Arial"/>
                <w:b/>
                <w:bCs/>
                <w:sz w:val="28"/>
                <w:szCs w:val="28"/>
              </w:rPr>
              <w:lastRenderedPageBreak/>
              <w:t xml:space="preserve">Wales plc </w:t>
            </w:r>
            <w:r w:rsidR="00A51AE5" w:rsidRPr="0074432E">
              <w:rPr>
                <w:rFonts w:ascii="Arial" w:hAnsi="Arial" w:cs="Arial"/>
                <w:b/>
                <w:bCs/>
                <w:sz w:val="28"/>
                <w:szCs w:val="28"/>
              </w:rPr>
              <w:t xml:space="preserve">Income </w:t>
            </w:r>
            <w:r w:rsidRPr="0074432E">
              <w:rPr>
                <w:rFonts w:ascii="Arial" w:hAnsi="Arial" w:cs="Arial"/>
                <w:b/>
                <w:bCs/>
                <w:sz w:val="28"/>
                <w:szCs w:val="28"/>
              </w:rPr>
              <w:t>S</w:t>
            </w:r>
            <w:r w:rsidR="00A51AE5" w:rsidRPr="0074432E">
              <w:rPr>
                <w:rFonts w:ascii="Arial" w:hAnsi="Arial" w:cs="Arial"/>
                <w:b/>
                <w:bCs/>
                <w:sz w:val="28"/>
                <w:szCs w:val="28"/>
              </w:rPr>
              <w:t xml:space="preserve">tatement for the year ended 31st December </w:t>
            </w:r>
          </w:p>
        </w:tc>
      </w:tr>
      <w:tr w:rsidR="002F2643" w:rsidRPr="0074432E" w14:paraId="3E622764" w14:textId="77777777" w:rsidTr="002A74AD">
        <w:tc>
          <w:tcPr>
            <w:tcW w:w="9016" w:type="dxa"/>
            <w:gridSpan w:val="2"/>
          </w:tcPr>
          <w:p w14:paraId="70CE88C7" w14:textId="14A578EA" w:rsidR="002F2643" w:rsidRPr="0074432E" w:rsidRDefault="00A95A34" w:rsidP="0074432E">
            <w:pPr>
              <w:tabs>
                <w:tab w:val="left" w:pos="7575"/>
              </w:tabs>
              <w:spacing w:line="360" w:lineRule="auto"/>
              <w:rPr>
                <w:rFonts w:ascii="Arial" w:hAnsi="Arial" w:cs="Arial"/>
                <w:sz w:val="24"/>
                <w:szCs w:val="24"/>
              </w:rPr>
            </w:pPr>
            <w:r w:rsidRPr="0074432E">
              <w:rPr>
                <w:rFonts w:ascii="Arial" w:hAnsi="Arial" w:cs="Arial"/>
                <w:b/>
                <w:bCs/>
                <w:sz w:val="28"/>
                <w:szCs w:val="28"/>
              </w:rPr>
              <w:t xml:space="preserve">                                                                                             </w:t>
            </w:r>
            <w:r w:rsidR="002F2643" w:rsidRPr="0074432E">
              <w:rPr>
                <w:rFonts w:ascii="Arial" w:hAnsi="Arial" w:cs="Arial"/>
                <w:sz w:val="24"/>
                <w:szCs w:val="24"/>
              </w:rPr>
              <w:t>(£)</w:t>
            </w:r>
          </w:p>
        </w:tc>
      </w:tr>
      <w:tr w:rsidR="00170CE0" w:rsidRPr="0074432E" w14:paraId="41CD4512" w14:textId="77777777" w:rsidTr="005F0847">
        <w:tc>
          <w:tcPr>
            <w:tcW w:w="6010" w:type="dxa"/>
          </w:tcPr>
          <w:p w14:paraId="2EF1056B" w14:textId="0EA7207A" w:rsidR="00170CE0" w:rsidRPr="0074432E" w:rsidRDefault="000A3B73" w:rsidP="0074432E">
            <w:pPr>
              <w:spacing w:line="360" w:lineRule="auto"/>
              <w:rPr>
                <w:rFonts w:ascii="Arial" w:hAnsi="Arial" w:cs="Arial"/>
                <w:sz w:val="24"/>
                <w:szCs w:val="24"/>
              </w:rPr>
            </w:pPr>
            <w:r w:rsidRPr="0074432E">
              <w:rPr>
                <w:rFonts w:ascii="Arial" w:hAnsi="Arial" w:cs="Arial"/>
                <w:sz w:val="24"/>
                <w:szCs w:val="24"/>
              </w:rPr>
              <w:t>Sales</w:t>
            </w:r>
          </w:p>
        </w:tc>
        <w:tc>
          <w:tcPr>
            <w:tcW w:w="3006" w:type="dxa"/>
          </w:tcPr>
          <w:p w14:paraId="6F699D87" w14:textId="1B2F6B85" w:rsidR="00170CE0" w:rsidRPr="0074432E" w:rsidRDefault="00413657" w:rsidP="0074432E">
            <w:pPr>
              <w:spacing w:line="360" w:lineRule="auto"/>
              <w:jc w:val="center"/>
              <w:rPr>
                <w:rFonts w:ascii="Arial" w:hAnsi="Arial" w:cs="Arial"/>
                <w:sz w:val="24"/>
                <w:szCs w:val="24"/>
              </w:rPr>
            </w:pPr>
            <w:r w:rsidRPr="0074432E">
              <w:rPr>
                <w:rFonts w:ascii="Arial" w:hAnsi="Arial" w:cs="Arial"/>
                <w:sz w:val="24"/>
                <w:szCs w:val="24"/>
              </w:rPr>
              <w:t>900,000</w:t>
            </w:r>
          </w:p>
        </w:tc>
      </w:tr>
      <w:tr w:rsidR="00170CE0" w:rsidRPr="0074432E" w14:paraId="56ABB2D1" w14:textId="77777777" w:rsidTr="006C50FB">
        <w:tc>
          <w:tcPr>
            <w:tcW w:w="6010" w:type="dxa"/>
          </w:tcPr>
          <w:p w14:paraId="31C156B4" w14:textId="21EF5E09" w:rsidR="00170CE0" w:rsidRPr="0074432E" w:rsidRDefault="000A3B73" w:rsidP="0074432E">
            <w:pPr>
              <w:spacing w:line="360" w:lineRule="auto"/>
              <w:rPr>
                <w:rFonts w:ascii="Arial" w:hAnsi="Arial" w:cs="Arial"/>
                <w:sz w:val="24"/>
                <w:szCs w:val="24"/>
              </w:rPr>
            </w:pPr>
            <w:r w:rsidRPr="0074432E">
              <w:rPr>
                <w:rFonts w:ascii="Arial" w:hAnsi="Arial" w:cs="Arial"/>
                <w:sz w:val="24"/>
                <w:szCs w:val="24"/>
              </w:rPr>
              <w:t xml:space="preserve">Cost of </w:t>
            </w:r>
            <w:r w:rsidR="00D200D3" w:rsidRPr="0074432E">
              <w:rPr>
                <w:rFonts w:ascii="Arial" w:hAnsi="Arial" w:cs="Arial"/>
                <w:sz w:val="24"/>
                <w:szCs w:val="24"/>
              </w:rPr>
              <w:t>S</w:t>
            </w:r>
            <w:r w:rsidRPr="0074432E">
              <w:rPr>
                <w:rFonts w:ascii="Arial" w:hAnsi="Arial" w:cs="Arial"/>
                <w:sz w:val="24"/>
                <w:szCs w:val="24"/>
              </w:rPr>
              <w:t>ales</w:t>
            </w:r>
          </w:p>
        </w:tc>
        <w:tc>
          <w:tcPr>
            <w:tcW w:w="3006" w:type="dxa"/>
          </w:tcPr>
          <w:p w14:paraId="61280098" w14:textId="1DA0F382" w:rsidR="00170CE0" w:rsidRPr="0074432E" w:rsidRDefault="007340BA" w:rsidP="0074432E">
            <w:pPr>
              <w:spacing w:line="360" w:lineRule="auto"/>
              <w:jc w:val="center"/>
              <w:rPr>
                <w:rFonts w:ascii="Arial" w:hAnsi="Arial" w:cs="Arial"/>
                <w:sz w:val="24"/>
                <w:szCs w:val="24"/>
              </w:rPr>
            </w:pPr>
            <w:r w:rsidRPr="0074432E">
              <w:rPr>
                <w:rFonts w:ascii="Arial" w:hAnsi="Arial" w:cs="Arial"/>
                <w:sz w:val="24"/>
                <w:szCs w:val="24"/>
              </w:rPr>
              <w:t>(</w:t>
            </w:r>
            <w:r w:rsidR="00413657" w:rsidRPr="0074432E">
              <w:rPr>
                <w:rFonts w:ascii="Arial" w:hAnsi="Arial" w:cs="Arial"/>
                <w:sz w:val="24"/>
                <w:szCs w:val="24"/>
              </w:rPr>
              <w:t>578,650</w:t>
            </w:r>
            <w:r w:rsidRPr="0074432E">
              <w:rPr>
                <w:rFonts w:ascii="Arial" w:hAnsi="Arial" w:cs="Arial"/>
                <w:sz w:val="24"/>
                <w:szCs w:val="24"/>
              </w:rPr>
              <w:t>)</w:t>
            </w:r>
          </w:p>
        </w:tc>
      </w:tr>
      <w:tr w:rsidR="00170CE0" w:rsidRPr="0074432E" w14:paraId="58BB1B8F" w14:textId="77777777" w:rsidTr="00672E7E">
        <w:tc>
          <w:tcPr>
            <w:tcW w:w="6010" w:type="dxa"/>
          </w:tcPr>
          <w:p w14:paraId="726504B7" w14:textId="520EAD82" w:rsidR="00170CE0" w:rsidRPr="0074432E" w:rsidRDefault="00AA78BE" w:rsidP="0074432E">
            <w:pPr>
              <w:spacing w:line="360" w:lineRule="auto"/>
              <w:rPr>
                <w:rFonts w:ascii="Arial" w:hAnsi="Arial" w:cs="Arial"/>
                <w:sz w:val="24"/>
                <w:szCs w:val="24"/>
              </w:rPr>
            </w:pPr>
            <w:r w:rsidRPr="0074432E">
              <w:rPr>
                <w:rFonts w:ascii="Arial" w:hAnsi="Arial" w:cs="Arial"/>
                <w:sz w:val="24"/>
                <w:szCs w:val="24"/>
              </w:rPr>
              <w:t xml:space="preserve">Gross Profit </w:t>
            </w:r>
          </w:p>
        </w:tc>
        <w:tc>
          <w:tcPr>
            <w:tcW w:w="3006" w:type="dxa"/>
          </w:tcPr>
          <w:p w14:paraId="2872D752" w14:textId="2CB79D57" w:rsidR="00170CE0" w:rsidRPr="0074432E" w:rsidRDefault="00930C7C" w:rsidP="0074432E">
            <w:pPr>
              <w:spacing w:line="360" w:lineRule="auto"/>
              <w:jc w:val="right"/>
              <w:rPr>
                <w:rFonts w:ascii="Arial" w:hAnsi="Arial" w:cs="Arial"/>
                <w:b/>
                <w:bCs/>
                <w:sz w:val="24"/>
                <w:szCs w:val="24"/>
              </w:rPr>
            </w:pPr>
            <w:r w:rsidRPr="0074432E">
              <w:rPr>
                <w:rFonts w:ascii="Arial" w:hAnsi="Arial" w:cs="Arial"/>
                <w:b/>
                <w:bCs/>
                <w:sz w:val="24"/>
                <w:szCs w:val="24"/>
              </w:rPr>
              <w:t>321,350</w:t>
            </w:r>
          </w:p>
        </w:tc>
      </w:tr>
      <w:tr w:rsidR="00052FA1" w:rsidRPr="0074432E" w14:paraId="38BE497E" w14:textId="77777777" w:rsidTr="00641906">
        <w:tc>
          <w:tcPr>
            <w:tcW w:w="9016" w:type="dxa"/>
            <w:gridSpan w:val="2"/>
          </w:tcPr>
          <w:p w14:paraId="4CB78D8D" w14:textId="0FE97AED" w:rsidR="00052FA1" w:rsidRPr="0074432E" w:rsidRDefault="00D851F4" w:rsidP="0074432E">
            <w:pPr>
              <w:spacing w:line="360" w:lineRule="auto"/>
              <w:jc w:val="center"/>
              <w:rPr>
                <w:rFonts w:ascii="Arial" w:hAnsi="Arial" w:cs="Arial"/>
                <w:b/>
                <w:bCs/>
                <w:sz w:val="24"/>
                <w:szCs w:val="24"/>
              </w:rPr>
            </w:pPr>
            <w:r w:rsidRPr="0074432E">
              <w:rPr>
                <w:rFonts w:ascii="Arial" w:hAnsi="Arial" w:cs="Arial"/>
                <w:b/>
                <w:bCs/>
                <w:sz w:val="24"/>
                <w:szCs w:val="24"/>
              </w:rPr>
              <w:t xml:space="preserve">Operating </w:t>
            </w:r>
            <w:r w:rsidR="00744E93" w:rsidRPr="0074432E">
              <w:rPr>
                <w:rFonts w:ascii="Arial" w:hAnsi="Arial" w:cs="Arial"/>
                <w:b/>
                <w:bCs/>
                <w:sz w:val="24"/>
                <w:szCs w:val="24"/>
              </w:rPr>
              <w:t>Cost</w:t>
            </w:r>
          </w:p>
        </w:tc>
      </w:tr>
      <w:tr w:rsidR="00170CE0" w:rsidRPr="0074432E" w14:paraId="3D7E56B7" w14:textId="77777777" w:rsidTr="006504D9">
        <w:tc>
          <w:tcPr>
            <w:tcW w:w="6010" w:type="dxa"/>
          </w:tcPr>
          <w:p w14:paraId="19B6EBD8" w14:textId="591A34E8" w:rsidR="00170CE0" w:rsidRPr="0074432E" w:rsidRDefault="00744E93" w:rsidP="0074432E">
            <w:pPr>
              <w:spacing w:line="360" w:lineRule="auto"/>
              <w:rPr>
                <w:rFonts w:ascii="Arial" w:hAnsi="Arial" w:cs="Arial"/>
                <w:sz w:val="24"/>
                <w:szCs w:val="24"/>
              </w:rPr>
            </w:pPr>
            <w:r w:rsidRPr="0074432E">
              <w:rPr>
                <w:rFonts w:ascii="Arial" w:hAnsi="Arial" w:cs="Arial"/>
                <w:sz w:val="24"/>
                <w:szCs w:val="24"/>
              </w:rPr>
              <w:t xml:space="preserve">Administrative </w:t>
            </w:r>
            <w:r w:rsidR="00D200D3" w:rsidRPr="0074432E">
              <w:rPr>
                <w:rFonts w:ascii="Arial" w:hAnsi="Arial" w:cs="Arial"/>
                <w:sz w:val="24"/>
                <w:szCs w:val="24"/>
              </w:rPr>
              <w:t>E</w:t>
            </w:r>
            <w:r w:rsidRPr="0074432E">
              <w:rPr>
                <w:rFonts w:ascii="Arial" w:hAnsi="Arial" w:cs="Arial"/>
                <w:sz w:val="24"/>
                <w:szCs w:val="24"/>
              </w:rPr>
              <w:t>xpenses</w:t>
            </w:r>
          </w:p>
        </w:tc>
        <w:tc>
          <w:tcPr>
            <w:tcW w:w="3006" w:type="dxa"/>
          </w:tcPr>
          <w:p w14:paraId="19827990" w14:textId="77E4BD88" w:rsidR="00170CE0" w:rsidRPr="0074432E" w:rsidRDefault="007765AF" w:rsidP="0074432E">
            <w:pPr>
              <w:spacing w:line="360" w:lineRule="auto"/>
              <w:jc w:val="center"/>
              <w:rPr>
                <w:rFonts w:ascii="Arial" w:hAnsi="Arial" w:cs="Arial"/>
                <w:sz w:val="24"/>
                <w:szCs w:val="24"/>
              </w:rPr>
            </w:pPr>
            <w:r w:rsidRPr="0074432E">
              <w:rPr>
                <w:rFonts w:ascii="Arial" w:hAnsi="Arial" w:cs="Arial"/>
                <w:sz w:val="24"/>
                <w:szCs w:val="24"/>
              </w:rPr>
              <w:t>160</w:t>
            </w:r>
            <w:r w:rsidR="002F2643" w:rsidRPr="0074432E">
              <w:rPr>
                <w:rFonts w:ascii="Arial" w:hAnsi="Arial" w:cs="Arial"/>
                <w:sz w:val="24"/>
                <w:szCs w:val="24"/>
              </w:rPr>
              <w:t>,000</w:t>
            </w:r>
          </w:p>
        </w:tc>
      </w:tr>
      <w:tr w:rsidR="00170CE0" w:rsidRPr="0074432E" w14:paraId="0C3D4E60" w14:textId="77777777" w:rsidTr="00BA2D98">
        <w:tc>
          <w:tcPr>
            <w:tcW w:w="6010" w:type="dxa"/>
          </w:tcPr>
          <w:p w14:paraId="756101A3" w14:textId="073F9A16" w:rsidR="005D58A8" w:rsidRPr="0074432E" w:rsidRDefault="005D58A8" w:rsidP="0074432E">
            <w:pPr>
              <w:spacing w:line="360" w:lineRule="auto"/>
              <w:rPr>
                <w:rFonts w:ascii="Arial" w:hAnsi="Arial" w:cs="Arial"/>
                <w:sz w:val="24"/>
                <w:szCs w:val="24"/>
              </w:rPr>
            </w:pPr>
            <w:r w:rsidRPr="0074432E">
              <w:rPr>
                <w:rFonts w:ascii="Arial" w:hAnsi="Arial" w:cs="Arial"/>
                <w:sz w:val="24"/>
                <w:szCs w:val="24"/>
              </w:rPr>
              <w:t xml:space="preserve">Interest </w:t>
            </w:r>
            <w:r w:rsidR="00D200D3" w:rsidRPr="0074432E">
              <w:rPr>
                <w:rFonts w:ascii="Arial" w:hAnsi="Arial" w:cs="Arial"/>
                <w:sz w:val="24"/>
                <w:szCs w:val="24"/>
              </w:rPr>
              <w:t>P</w:t>
            </w:r>
            <w:r w:rsidRPr="0074432E">
              <w:rPr>
                <w:rFonts w:ascii="Arial" w:hAnsi="Arial" w:cs="Arial"/>
                <w:sz w:val="24"/>
                <w:szCs w:val="24"/>
              </w:rPr>
              <w:t>aid</w:t>
            </w:r>
          </w:p>
        </w:tc>
        <w:tc>
          <w:tcPr>
            <w:tcW w:w="3006" w:type="dxa"/>
          </w:tcPr>
          <w:p w14:paraId="2588CD6B" w14:textId="06966FC0" w:rsidR="00170CE0" w:rsidRPr="0074432E" w:rsidRDefault="006D2B16" w:rsidP="0074432E">
            <w:pPr>
              <w:spacing w:line="360" w:lineRule="auto"/>
              <w:jc w:val="center"/>
              <w:rPr>
                <w:rFonts w:ascii="Arial" w:hAnsi="Arial" w:cs="Arial"/>
                <w:sz w:val="24"/>
                <w:szCs w:val="24"/>
              </w:rPr>
            </w:pPr>
            <w:r w:rsidRPr="0074432E">
              <w:rPr>
                <w:rFonts w:ascii="Arial" w:hAnsi="Arial" w:cs="Arial"/>
                <w:sz w:val="24"/>
                <w:szCs w:val="24"/>
              </w:rPr>
              <w:t>2</w:t>
            </w:r>
            <w:r w:rsidR="00030F00" w:rsidRPr="0074432E">
              <w:rPr>
                <w:rFonts w:ascii="Arial" w:hAnsi="Arial" w:cs="Arial"/>
                <w:sz w:val="24"/>
                <w:szCs w:val="24"/>
              </w:rPr>
              <w:t>,</w:t>
            </w:r>
            <w:r w:rsidRPr="0074432E">
              <w:rPr>
                <w:rFonts w:ascii="Arial" w:hAnsi="Arial" w:cs="Arial"/>
                <w:sz w:val="24"/>
                <w:szCs w:val="24"/>
              </w:rPr>
              <w:t>000</w:t>
            </w:r>
          </w:p>
        </w:tc>
      </w:tr>
      <w:tr w:rsidR="00170CE0" w:rsidRPr="0074432E" w14:paraId="2DC249F8" w14:textId="77777777" w:rsidTr="00986570">
        <w:tc>
          <w:tcPr>
            <w:tcW w:w="6010" w:type="dxa"/>
          </w:tcPr>
          <w:p w14:paraId="571310F3" w14:textId="2775292D" w:rsidR="00170CE0" w:rsidRPr="0074432E" w:rsidRDefault="005D58A8" w:rsidP="0074432E">
            <w:pPr>
              <w:spacing w:line="360" w:lineRule="auto"/>
              <w:rPr>
                <w:rFonts w:ascii="Arial" w:hAnsi="Arial" w:cs="Arial"/>
                <w:sz w:val="24"/>
                <w:szCs w:val="24"/>
              </w:rPr>
            </w:pPr>
            <w:r w:rsidRPr="0074432E">
              <w:rPr>
                <w:rFonts w:ascii="Arial" w:hAnsi="Arial" w:cs="Arial"/>
                <w:sz w:val="24"/>
                <w:szCs w:val="24"/>
              </w:rPr>
              <w:t xml:space="preserve">Director’s </w:t>
            </w:r>
            <w:r w:rsidR="00D200D3" w:rsidRPr="0074432E">
              <w:rPr>
                <w:rFonts w:ascii="Arial" w:hAnsi="Arial" w:cs="Arial"/>
                <w:sz w:val="24"/>
                <w:szCs w:val="24"/>
              </w:rPr>
              <w:t>R</w:t>
            </w:r>
            <w:r w:rsidRPr="0074432E">
              <w:rPr>
                <w:rFonts w:ascii="Arial" w:hAnsi="Arial" w:cs="Arial"/>
                <w:sz w:val="24"/>
                <w:szCs w:val="24"/>
              </w:rPr>
              <w:t>emuneration</w:t>
            </w:r>
          </w:p>
        </w:tc>
        <w:tc>
          <w:tcPr>
            <w:tcW w:w="3006" w:type="dxa"/>
          </w:tcPr>
          <w:p w14:paraId="117E1A43" w14:textId="5449D73D" w:rsidR="00170CE0" w:rsidRPr="0074432E" w:rsidRDefault="007E7FBD" w:rsidP="0074432E">
            <w:pPr>
              <w:spacing w:line="360" w:lineRule="auto"/>
              <w:jc w:val="center"/>
              <w:rPr>
                <w:rFonts w:ascii="Arial" w:hAnsi="Arial" w:cs="Arial"/>
                <w:sz w:val="24"/>
                <w:szCs w:val="24"/>
              </w:rPr>
            </w:pPr>
            <w:r w:rsidRPr="0074432E">
              <w:rPr>
                <w:rFonts w:ascii="Arial" w:hAnsi="Arial" w:cs="Arial"/>
                <w:sz w:val="24"/>
                <w:szCs w:val="24"/>
              </w:rPr>
              <w:t>5</w:t>
            </w:r>
            <w:r w:rsidR="00030F00" w:rsidRPr="0074432E">
              <w:rPr>
                <w:rFonts w:ascii="Arial" w:hAnsi="Arial" w:cs="Arial"/>
                <w:sz w:val="24"/>
                <w:szCs w:val="24"/>
              </w:rPr>
              <w:t>,</w:t>
            </w:r>
            <w:r w:rsidRPr="0074432E">
              <w:rPr>
                <w:rFonts w:ascii="Arial" w:hAnsi="Arial" w:cs="Arial"/>
                <w:sz w:val="24"/>
                <w:szCs w:val="24"/>
              </w:rPr>
              <w:t>000</w:t>
            </w:r>
          </w:p>
        </w:tc>
      </w:tr>
      <w:tr w:rsidR="00170CE0" w:rsidRPr="0074432E" w14:paraId="6F2E61BD" w14:textId="77777777" w:rsidTr="00986570">
        <w:tc>
          <w:tcPr>
            <w:tcW w:w="6010" w:type="dxa"/>
          </w:tcPr>
          <w:p w14:paraId="7C54326F" w14:textId="6863CA5F" w:rsidR="00170CE0" w:rsidRPr="0074432E" w:rsidRDefault="00C57AA0" w:rsidP="0074432E">
            <w:pPr>
              <w:spacing w:line="360" w:lineRule="auto"/>
              <w:rPr>
                <w:rFonts w:ascii="Arial" w:hAnsi="Arial" w:cs="Arial"/>
                <w:sz w:val="24"/>
                <w:szCs w:val="24"/>
              </w:rPr>
            </w:pPr>
            <w:r w:rsidRPr="0074432E">
              <w:rPr>
                <w:rFonts w:ascii="Arial" w:hAnsi="Arial" w:cs="Arial"/>
                <w:sz w:val="24"/>
                <w:szCs w:val="24"/>
              </w:rPr>
              <w:t xml:space="preserve">Distribution </w:t>
            </w:r>
            <w:r w:rsidR="00D200D3" w:rsidRPr="0074432E">
              <w:rPr>
                <w:rFonts w:ascii="Arial" w:hAnsi="Arial" w:cs="Arial"/>
                <w:sz w:val="24"/>
                <w:szCs w:val="24"/>
              </w:rPr>
              <w:t>C</w:t>
            </w:r>
            <w:r w:rsidRPr="0074432E">
              <w:rPr>
                <w:rFonts w:ascii="Arial" w:hAnsi="Arial" w:cs="Arial"/>
                <w:sz w:val="24"/>
                <w:szCs w:val="24"/>
              </w:rPr>
              <w:t>osts</w:t>
            </w:r>
          </w:p>
        </w:tc>
        <w:tc>
          <w:tcPr>
            <w:tcW w:w="3006" w:type="dxa"/>
          </w:tcPr>
          <w:p w14:paraId="451FC752" w14:textId="10D7051C" w:rsidR="00170CE0" w:rsidRPr="0074432E" w:rsidRDefault="007E7FBD" w:rsidP="0074432E">
            <w:pPr>
              <w:spacing w:line="360" w:lineRule="auto"/>
              <w:jc w:val="center"/>
              <w:rPr>
                <w:rFonts w:ascii="Arial" w:hAnsi="Arial" w:cs="Arial"/>
                <w:sz w:val="24"/>
                <w:szCs w:val="24"/>
              </w:rPr>
            </w:pPr>
            <w:r w:rsidRPr="0074432E">
              <w:rPr>
                <w:rFonts w:ascii="Arial" w:hAnsi="Arial" w:cs="Arial"/>
                <w:sz w:val="24"/>
                <w:szCs w:val="24"/>
              </w:rPr>
              <w:t>28,000</w:t>
            </w:r>
          </w:p>
        </w:tc>
      </w:tr>
      <w:tr w:rsidR="003073E5" w:rsidRPr="0074432E" w14:paraId="461074B0" w14:textId="77777777" w:rsidTr="00986570">
        <w:tc>
          <w:tcPr>
            <w:tcW w:w="6010" w:type="dxa"/>
          </w:tcPr>
          <w:p w14:paraId="78DCFE53" w14:textId="760FAD40" w:rsidR="003073E5" w:rsidRPr="0074432E" w:rsidRDefault="00324FB3" w:rsidP="0074432E">
            <w:pPr>
              <w:spacing w:line="360" w:lineRule="auto"/>
              <w:rPr>
                <w:rFonts w:ascii="Arial" w:hAnsi="Arial" w:cs="Arial"/>
                <w:sz w:val="24"/>
                <w:szCs w:val="24"/>
              </w:rPr>
            </w:pPr>
            <w:r w:rsidRPr="0074432E">
              <w:rPr>
                <w:rFonts w:ascii="Arial" w:hAnsi="Arial" w:cs="Arial"/>
                <w:sz w:val="24"/>
                <w:szCs w:val="24"/>
              </w:rPr>
              <w:t>Debenture Interest (100,000</w:t>
            </w:r>
            <w:r w:rsidR="00893F55" w:rsidRPr="0074432E">
              <w:rPr>
                <w:rFonts w:ascii="Arial" w:hAnsi="Arial" w:cs="Arial"/>
                <w:sz w:val="24"/>
                <w:szCs w:val="24"/>
              </w:rPr>
              <w:t>*</w:t>
            </w:r>
            <w:r w:rsidR="00993DA7" w:rsidRPr="0074432E">
              <w:rPr>
                <w:rFonts w:ascii="Arial" w:hAnsi="Arial" w:cs="Arial"/>
                <w:sz w:val="24"/>
                <w:szCs w:val="24"/>
              </w:rPr>
              <w:t>4</w:t>
            </w:r>
            <w:r w:rsidR="00893F55" w:rsidRPr="0074432E">
              <w:rPr>
                <w:rFonts w:ascii="Arial" w:hAnsi="Arial" w:cs="Arial"/>
                <w:sz w:val="24"/>
                <w:szCs w:val="24"/>
              </w:rPr>
              <w:t>%)</w:t>
            </w:r>
          </w:p>
        </w:tc>
        <w:tc>
          <w:tcPr>
            <w:tcW w:w="3006" w:type="dxa"/>
          </w:tcPr>
          <w:p w14:paraId="5115A2B9" w14:textId="53EEAE02" w:rsidR="003073E5" w:rsidRPr="0074432E" w:rsidRDefault="00934C83" w:rsidP="0074432E">
            <w:pPr>
              <w:spacing w:line="360" w:lineRule="auto"/>
              <w:jc w:val="center"/>
              <w:rPr>
                <w:rFonts w:ascii="Arial" w:hAnsi="Arial" w:cs="Arial"/>
                <w:sz w:val="24"/>
                <w:szCs w:val="24"/>
              </w:rPr>
            </w:pPr>
            <w:r w:rsidRPr="0074432E">
              <w:rPr>
                <w:rFonts w:ascii="Arial" w:hAnsi="Arial" w:cs="Arial"/>
                <w:sz w:val="24"/>
                <w:szCs w:val="24"/>
              </w:rPr>
              <w:t>4</w:t>
            </w:r>
            <w:r w:rsidR="00030F00" w:rsidRPr="0074432E">
              <w:rPr>
                <w:rFonts w:ascii="Arial" w:hAnsi="Arial" w:cs="Arial"/>
                <w:sz w:val="24"/>
                <w:szCs w:val="24"/>
              </w:rPr>
              <w:t>,000</w:t>
            </w:r>
          </w:p>
        </w:tc>
      </w:tr>
      <w:tr w:rsidR="00170CE0" w:rsidRPr="0074432E" w14:paraId="3EB555C9" w14:textId="77777777" w:rsidTr="00986570">
        <w:tc>
          <w:tcPr>
            <w:tcW w:w="6010" w:type="dxa"/>
          </w:tcPr>
          <w:p w14:paraId="1CF47582" w14:textId="5BD08C8F" w:rsidR="00170CE0" w:rsidRPr="0074432E" w:rsidRDefault="00C57AA0" w:rsidP="0074432E">
            <w:pPr>
              <w:spacing w:line="360" w:lineRule="auto"/>
              <w:rPr>
                <w:rFonts w:ascii="Arial" w:hAnsi="Arial" w:cs="Arial"/>
                <w:sz w:val="24"/>
                <w:szCs w:val="24"/>
              </w:rPr>
            </w:pPr>
            <w:r w:rsidRPr="0074432E">
              <w:rPr>
                <w:rFonts w:ascii="Arial" w:hAnsi="Arial" w:cs="Arial"/>
                <w:sz w:val="24"/>
                <w:szCs w:val="24"/>
              </w:rPr>
              <w:t>Depreciation</w:t>
            </w:r>
            <w:r w:rsidR="00B03D45" w:rsidRPr="0074432E">
              <w:rPr>
                <w:rFonts w:ascii="Arial" w:hAnsi="Arial" w:cs="Arial"/>
                <w:sz w:val="24"/>
                <w:szCs w:val="24"/>
              </w:rPr>
              <w:t xml:space="preserve"> (</w:t>
            </w:r>
            <w:r w:rsidR="00B27AFB" w:rsidRPr="0074432E">
              <w:rPr>
                <w:rFonts w:ascii="Arial" w:hAnsi="Arial" w:cs="Arial"/>
                <w:sz w:val="24"/>
                <w:szCs w:val="24"/>
              </w:rPr>
              <w:t>650,000*10%</w:t>
            </w:r>
            <w:r w:rsidR="00D0196A" w:rsidRPr="0074432E">
              <w:rPr>
                <w:rFonts w:ascii="Arial" w:hAnsi="Arial" w:cs="Arial"/>
                <w:sz w:val="24"/>
                <w:szCs w:val="24"/>
              </w:rPr>
              <w:t>)</w:t>
            </w:r>
          </w:p>
        </w:tc>
        <w:tc>
          <w:tcPr>
            <w:tcW w:w="3006" w:type="dxa"/>
          </w:tcPr>
          <w:p w14:paraId="694CB47F" w14:textId="7B18775E" w:rsidR="00170CE0" w:rsidRPr="0074432E" w:rsidRDefault="005B33CC" w:rsidP="0074432E">
            <w:pPr>
              <w:spacing w:line="360" w:lineRule="auto"/>
              <w:jc w:val="center"/>
              <w:rPr>
                <w:rFonts w:ascii="Arial" w:hAnsi="Arial" w:cs="Arial"/>
                <w:sz w:val="24"/>
                <w:szCs w:val="24"/>
              </w:rPr>
            </w:pPr>
            <w:r w:rsidRPr="0074432E">
              <w:rPr>
                <w:rFonts w:ascii="Arial" w:hAnsi="Arial" w:cs="Arial"/>
                <w:sz w:val="24"/>
                <w:szCs w:val="24"/>
              </w:rPr>
              <w:t>65,000</w:t>
            </w:r>
          </w:p>
        </w:tc>
      </w:tr>
      <w:tr w:rsidR="00170CE0" w:rsidRPr="0074432E" w14:paraId="6FA738D6" w14:textId="77777777" w:rsidTr="00986570">
        <w:tc>
          <w:tcPr>
            <w:tcW w:w="6010" w:type="dxa"/>
          </w:tcPr>
          <w:p w14:paraId="0CEA39CA" w14:textId="1BE3FB03" w:rsidR="00170CE0" w:rsidRPr="0074432E" w:rsidRDefault="00B27AFB" w:rsidP="0074432E">
            <w:pPr>
              <w:spacing w:line="360" w:lineRule="auto"/>
              <w:rPr>
                <w:rFonts w:ascii="Arial" w:hAnsi="Arial" w:cs="Arial"/>
                <w:sz w:val="24"/>
                <w:szCs w:val="24"/>
              </w:rPr>
            </w:pPr>
            <w:r w:rsidRPr="0074432E">
              <w:rPr>
                <w:rFonts w:ascii="Arial" w:hAnsi="Arial" w:cs="Arial"/>
                <w:sz w:val="24"/>
                <w:szCs w:val="24"/>
              </w:rPr>
              <w:t xml:space="preserve">Outstanding </w:t>
            </w:r>
            <w:r w:rsidR="00094653" w:rsidRPr="0074432E">
              <w:rPr>
                <w:rFonts w:ascii="Arial" w:hAnsi="Arial" w:cs="Arial"/>
                <w:sz w:val="24"/>
                <w:szCs w:val="24"/>
              </w:rPr>
              <w:t>Commission</w:t>
            </w:r>
          </w:p>
        </w:tc>
        <w:tc>
          <w:tcPr>
            <w:tcW w:w="3006" w:type="dxa"/>
          </w:tcPr>
          <w:p w14:paraId="10B7A0F9" w14:textId="6161DEAF" w:rsidR="00170CE0" w:rsidRPr="0074432E" w:rsidRDefault="003E08AD" w:rsidP="0074432E">
            <w:pPr>
              <w:spacing w:line="360" w:lineRule="auto"/>
              <w:jc w:val="center"/>
              <w:rPr>
                <w:rFonts w:ascii="Arial" w:hAnsi="Arial" w:cs="Arial"/>
                <w:sz w:val="24"/>
                <w:szCs w:val="24"/>
              </w:rPr>
            </w:pPr>
            <w:r w:rsidRPr="0074432E">
              <w:rPr>
                <w:rFonts w:ascii="Arial" w:hAnsi="Arial" w:cs="Arial"/>
                <w:sz w:val="24"/>
                <w:szCs w:val="24"/>
              </w:rPr>
              <w:t>2,000</w:t>
            </w:r>
          </w:p>
        </w:tc>
      </w:tr>
      <w:tr w:rsidR="000E1BA2" w:rsidRPr="0074432E" w14:paraId="179C8FA6" w14:textId="77777777" w:rsidTr="00986570">
        <w:tc>
          <w:tcPr>
            <w:tcW w:w="6010" w:type="dxa"/>
          </w:tcPr>
          <w:p w14:paraId="10519972" w14:textId="6EFA8AB7" w:rsidR="000E1BA2" w:rsidRPr="0074432E" w:rsidRDefault="000E1BA2" w:rsidP="0074432E">
            <w:pPr>
              <w:spacing w:line="360" w:lineRule="auto"/>
              <w:rPr>
                <w:rFonts w:ascii="Arial" w:hAnsi="Arial" w:cs="Arial"/>
                <w:sz w:val="24"/>
                <w:szCs w:val="24"/>
              </w:rPr>
            </w:pPr>
            <w:r w:rsidRPr="0074432E">
              <w:rPr>
                <w:rFonts w:ascii="Arial" w:hAnsi="Arial" w:cs="Arial"/>
                <w:sz w:val="24"/>
                <w:szCs w:val="24"/>
              </w:rPr>
              <w:t>Outstanding Salaries</w:t>
            </w:r>
          </w:p>
        </w:tc>
        <w:tc>
          <w:tcPr>
            <w:tcW w:w="3006" w:type="dxa"/>
          </w:tcPr>
          <w:p w14:paraId="25786A8E" w14:textId="1CA8749C" w:rsidR="000E1BA2" w:rsidRPr="0074432E" w:rsidRDefault="000E1BA2" w:rsidP="0074432E">
            <w:pPr>
              <w:spacing w:line="360" w:lineRule="auto"/>
              <w:jc w:val="center"/>
              <w:rPr>
                <w:rFonts w:ascii="Arial" w:hAnsi="Arial" w:cs="Arial"/>
                <w:sz w:val="24"/>
                <w:szCs w:val="24"/>
              </w:rPr>
            </w:pPr>
            <w:r w:rsidRPr="0074432E">
              <w:rPr>
                <w:rFonts w:ascii="Arial" w:hAnsi="Arial" w:cs="Arial"/>
                <w:sz w:val="24"/>
                <w:szCs w:val="24"/>
              </w:rPr>
              <w:t>10,000</w:t>
            </w:r>
          </w:p>
        </w:tc>
      </w:tr>
      <w:tr w:rsidR="000E1BA2" w:rsidRPr="0074432E" w14:paraId="58E85404" w14:textId="77777777" w:rsidTr="00986570">
        <w:tc>
          <w:tcPr>
            <w:tcW w:w="6010" w:type="dxa"/>
          </w:tcPr>
          <w:p w14:paraId="4BF6099C" w14:textId="45972A4A" w:rsidR="000E1BA2" w:rsidRPr="0074432E" w:rsidRDefault="000E1BA2" w:rsidP="0074432E">
            <w:pPr>
              <w:spacing w:line="360" w:lineRule="auto"/>
              <w:rPr>
                <w:rFonts w:ascii="Arial" w:hAnsi="Arial" w:cs="Arial"/>
                <w:sz w:val="24"/>
                <w:szCs w:val="24"/>
              </w:rPr>
            </w:pPr>
            <w:r w:rsidRPr="0074432E">
              <w:rPr>
                <w:rFonts w:ascii="Arial" w:hAnsi="Arial" w:cs="Arial"/>
                <w:sz w:val="24"/>
                <w:szCs w:val="24"/>
              </w:rPr>
              <w:t>Outstanding Receivable</w:t>
            </w:r>
            <w:r w:rsidR="004A1E2D" w:rsidRPr="0074432E">
              <w:rPr>
                <w:rFonts w:ascii="Arial" w:hAnsi="Arial" w:cs="Arial"/>
                <w:sz w:val="24"/>
                <w:szCs w:val="24"/>
              </w:rPr>
              <w:t xml:space="preserve"> </w:t>
            </w:r>
          </w:p>
        </w:tc>
        <w:tc>
          <w:tcPr>
            <w:tcW w:w="3006" w:type="dxa"/>
          </w:tcPr>
          <w:p w14:paraId="38DB8775" w14:textId="7B0EBEED" w:rsidR="000E1BA2" w:rsidRPr="0074432E" w:rsidRDefault="00C475A6" w:rsidP="0074432E">
            <w:pPr>
              <w:spacing w:line="360" w:lineRule="auto"/>
              <w:jc w:val="center"/>
              <w:rPr>
                <w:rFonts w:ascii="Arial" w:hAnsi="Arial" w:cs="Arial"/>
                <w:sz w:val="24"/>
                <w:szCs w:val="24"/>
              </w:rPr>
            </w:pPr>
            <w:r w:rsidRPr="0074432E">
              <w:rPr>
                <w:rFonts w:ascii="Arial" w:hAnsi="Arial" w:cs="Arial"/>
                <w:sz w:val="24"/>
                <w:szCs w:val="24"/>
              </w:rPr>
              <w:t>(</w:t>
            </w:r>
            <w:r w:rsidR="00564110" w:rsidRPr="0074432E">
              <w:rPr>
                <w:rFonts w:ascii="Arial" w:hAnsi="Arial" w:cs="Arial"/>
                <w:sz w:val="24"/>
                <w:szCs w:val="24"/>
              </w:rPr>
              <w:t>1,000</w:t>
            </w:r>
            <w:r w:rsidRPr="0074432E">
              <w:rPr>
                <w:rFonts w:ascii="Arial" w:hAnsi="Arial" w:cs="Arial"/>
                <w:sz w:val="24"/>
                <w:szCs w:val="24"/>
              </w:rPr>
              <w:t>)</w:t>
            </w:r>
          </w:p>
        </w:tc>
      </w:tr>
      <w:tr w:rsidR="000E1BA2" w:rsidRPr="0074432E" w14:paraId="7AF472C7" w14:textId="77777777" w:rsidTr="00986570">
        <w:tc>
          <w:tcPr>
            <w:tcW w:w="6010" w:type="dxa"/>
          </w:tcPr>
          <w:p w14:paraId="6D5D628E" w14:textId="666A5081" w:rsidR="000E1BA2" w:rsidRPr="0074432E" w:rsidRDefault="005B75A0" w:rsidP="0074432E">
            <w:pPr>
              <w:spacing w:line="360" w:lineRule="auto"/>
              <w:jc w:val="center"/>
              <w:rPr>
                <w:rFonts w:ascii="Arial" w:hAnsi="Arial" w:cs="Arial"/>
                <w:b/>
                <w:bCs/>
                <w:sz w:val="24"/>
                <w:szCs w:val="24"/>
              </w:rPr>
            </w:pPr>
            <w:r w:rsidRPr="0074432E">
              <w:rPr>
                <w:rFonts w:ascii="Arial" w:hAnsi="Arial" w:cs="Arial"/>
                <w:b/>
                <w:bCs/>
                <w:sz w:val="24"/>
                <w:szCs w:val="24"/>
              </w:rPr>
              <w:t xml:space="preserve">Total </w:t>
            </w:r>
          </w:p>
        </w:tc>
        <w:tc>
          <w:tcPr>
            <w:tcW w:w="3006" w:type="dxa"/>
          </w:tcPr>
          <w:p w14:paraId="329AE29D" w14:textId="696E4E2C" w:rsidR="000E1BA2" w:rsidRPr="0074432E" w:rsidRDefault="00BC3E97" w:rsidP="0074432E">
            <w:pPr>
              <w:spacing w:line="360" w:lineRule="auto"/>
              <w:jc w:val="right"/>
              <w:rPr>
                <w:rFonts w:ascii="Arial" w:hAnsi="Arial" w:cs="Arial"/>
                <w:b/>
                <w:bCs/>
                <w:sz w:val="24"/>
                <w:szCs w:val="24"/>
              </w:rPr>
            </w:pPr>
            <w:r w:rsidRPr="0074432E">
              <w:rPr>
                <w:rFonts w:ascii="Arial" w:hAnsi="Arial" w:cs="Arial"/>
                <w:b/>
                <w:bCs/>
                <w:sz w:val="24"/>
                <w:szCs w:val="24"/>
              </w:rPr>
              <w:t>275,000</w:t>
            </w:r>
          </w:p>
        </w:tc>
      </w:tr>
      <w:tr w:rsidR="004A1E2D" w:rsidRPr="0074432E" w14:paraId="058B7A48" w14:textId="77777777" w:rsidTr="00986570">
        <w:tc>
          <w:tcPr>
            <w:tcW w:w="6010" w:type="dxa"/>
          </w:tcPr>
          <w:p w14:paraId="21CFF551" w14:textId="77EE283F" w:rsidR="004A1E2D" w:rsidRPr="0074432E" w:rsidRDefault="007604BA" w:rsidP="0074432E">
            <w:pPr>
              <w:spacing w:line="360" w:lineRule="auto"/>
              <w:jc w:val="center"/>
              <w:rPr>
                <w:rFonts w:ascii="Arial" w:hAnsi="Arial" w:cs="Arial"/>
                <w:b/>
                <w:bCs/>
                <w:sz w:val="24"/>
                <w:szCs w:val="24"/>
              </w:rPr>
            </w:pPr>
            <w:r w:rsidRPr="0074432E">
              <w:rPr>
                <w:rFonts w:ascii="Arial" w:hAnsi="Arial" w:cs="Arial"/>
                <w:b/>
                <w:bCs/>
                <w:sz w:val="24"/>
                <w:szCs w:val="24"/>
              </w:rPr>
              <w:t>O</w:t>
            </w:r>
            <w:r w:rsidR="00CE6186" w:rsidRPr="0074432E">
              <w:rPr>
                <w:rFonts w:ascii="Arial" w:hAnsi="Arial" w:cs="Arial"/>
                <w:b/>
                <w:bCs/>
                <w:sz w:val="24"/>
                <w:szCs w:val="24"/>
              </w:rPr>
              <w:t>perating Profit</w:t>
            </w:r>
            <w:r w:rsidR="00DD744F" w:rsidRPr="0074432E">
              <w:rPr>
                <w:rFonts w:ascii="Arial" w:hAnsi="Arial" w:cs="Arial"/>
                <w:b/>
                <w:bCs/>
                <w:sz w:val="24"/>
                <w:szCs w:val="24"/>
              </w:rPr>
              <w:t xml:space="preserve"> (</w:t>
            </w:r>
            <w:r w:rsidR="00DD744F" w:rsidRPr="0074432E">
              <w:rPr>
                <w:rFonts w:ascii="Arial" w:hAnsi="Arial" w:cs="Arial"/>
                <w:b/>
                <w:bCs/>
                <w:i/>
                <w:iCs/>
                <w:sz w:val="24"/>
                <w:szCs w:val="24"/>
              </w:rPr>
              <w:t>Gross Profit</w:t>
            </w:r>
            <w:r w:rsidR="00701581" w:rsidRPr="0074432E">
              <w:rPr>
                <w:rFonts w:ascii="Arial" w:hAnsi="Arial" w:cs="Arial"/>
                <w:b/>
                <w:bCs/>
                <w:i/>
                <w:iCs/>
                <w:sz w:val="24"/>
                <w:szCs w:val="24"/>
              </w:rPr>
              <w:t xml:space="preserve"> – Operating Cost</w:t>
            </w:r>
            <w:r w:rsidR="00701581" w:rsidRPr="0074432E">
              <w:rPr>
                <w:rFonts w:ascii="Arial" w:hAnsi="Arial" w:cs="Arial"/>
                <w:b/>
                <w:bCs/>
                <w:sz w:val="24"/>
                <w:szCs w:val="24"/>
              </w:rPr>
              <w:t>)</w:t>
            </w:r>
          </w:p>
        </w:tc>
        <w:tc>
          <w:tcPr>
            <w:tcW w:w="3006" w:type="dxa"/>
          </w:tcPr>
          <w:p w14:paraId="4202EEAF" w14:textId="31DA2AB0" w:rsidR="004A1E2D" w:rsidRPr="0074432E" w:rsidRDefault="00E70E92" w:rsidP="0074432E">
            <w:pPr>
              <w:spacing w:line="360" w:lineRule="auto"/>
              <w:jc w:val="right"/>
              <w:rPr>
                <w:rFonts w:ascii="Arial" w:hAnsi="Arial" w:cs="Arial"/>
                <w:b/>
                <w:bCs/>
                <w:sz w:val="24"/>
                <w:szCs w:val="24"/>
              </w:rPr>
            </w:pPr>
            <w:r w:rsidRPr="0074432E">
              <w:rPr>
                <w:rFonts w:ascii="Arial" w:hAnsi="Arial" w:cs="Arial"/>
                <w:b/>
                <w:bCs/>
                <w:sz w:val="24"/>
                <w:szCs w:val="24"/>
              </w:rPr>
              <w:t>46,350</w:t>
            </w:r>
          </w:p>
        </w:tc>
      </w:tr>
      <w:tr w:rsidR="004A1E2D" w:rsidRPr="0074432E" w14:paraId="27CF390A" w14:textId="77777777" w:rsidTr="00986570">
        <w:tc>
          <w:tcPr>
            <w:tcW w:w="6010" w:type="dxa"/>
          </w:tcPr>
          <w:p w14:paraId="156871B7" w14:textId="34EEBB60" w:rsidR="004A1E2D" w:rsidRPr="0074432E" w:rsidRDefault="00D63336" w:rsidP="0074432E">
            <w:pPr>
              <w:spacing w:line="360" w:lineRule="auto"/>
              <w:jc w:val="center"/>
              <w:rPr>
                <w:rFonts w:ascii="Arial" w:hAnsi="Arial" w:cs="Arial"/>
                <w:sz w:val="24"/>
                <w:szCs w:val="24"/>
              </w:rPr>
            </w:pPr>
            <w:r w:rsidRPr="0074432E">
              <w:rPr>
                <w:rFonts w:ascii="Arial" w:hAnsi="Arial" w:cs="Arial"/>
                <w:sz w:val="24"/>
                <w:szCs w:val="24"/>
              </w:rPr>
              <w:t xml:space="preserve">Annual </w:t>
            </w:r>
            <w:r w:rsidR="00701581" w:rsidRPr="0074432E">
              <w:rPr>
                <w:rFonts w:ascii="Arial" w:hAnsi="Arial" w:cs="Arial"/>
                <w:sz w:val="24"/>
                <w:szCs w:val="24"/>
              </w:rPr>
              <w:t>Cor</w:t>
            </w:r>
            <w:r w:rsidRPr="0074432E">
              <w:rPr>
                <w:rFonts w:ascii="Arial" w:hAnsi="Arial" w:cs="Arial"/>
                <w:sz w:val="24"/>
                <w:szCs w:val="24"/>
              </w:rPr>
              <w:t>poration Tax</w:t>
            </w:r>
            <w:r w:rsidR="0009239A" w:rsidRPr="0074432E">
              <w:rPr>
                <w:rFonts w:ascii="Arial" w:hAnsi="Arial" w:cs="Arial"/>
                <w:sz w:val="24"/>
                <w:szCs w:val="24"/>
              </w:rPr>
              <w:t xml:space="preserve"> </w:t>
            </w:r>
          </w:p>
        </w:tc>
        <w:tc>
          <w:tcPr>
            <w:tcW w:w="3006" w:type="dxa"/>
          </w:tcPr>
          <w:p w14:paraId="62DF33B3" w14:textId="4AADF5F1" w:rsidR="004A1E2D" w:rsidRPr="0074432E" w:rsidRDefault="007340BA" w:rsidP="0074432E">
            <w:pPr>
              <w:spacing w:line="360" w:lineRule="auto"/>
              <w:jc w:val="right"/>
              <w:rPr>
                <w:rFonts w:ascii="Arial" w:hAnsi="Arial" w:cs="Arial"/>
                <w:sz w:val="24"/>
                <w:szCs w:val="24"/>
              </w:rPr>
            </w:pPr>
            <w:r w:rsidRPr="0074432E">
              <w:rPr>
                <w:rFonts w:ascii="Arial" w:hAnsi="Arial" w:cs="Arial"/>
                <w:sz w:val="24"/>
                <w:szCs w:val="24"/>
              </w:rPr>
              <w:t>(</w:t>
            </w:r>
            <w:r w:rsidR="00576466" w:rsidRPr="0074432E">
              <w:rPr>
                <w:rFonts w:ascii="Arial" w:hAnsi="Arial" w:cs="Arial"/>
                <w:sz w:val="24"/>
                <w:szCs w:val="24"/>
              </w:rPr>
              <w:t>15,000</w:t>
            </w:r>
            <w:r w:rsidRPr="0074432E">
              <w:rPr>
                <w:rFonts w:ascii="Arial" w:hAnsi="Arial" w:cs="Arial"/>
                <w:sz w:val="24"/>
                <w:szCs w:val="24"/>
              </w:rPr>
              <w:t>)</w:t>
            </w:r>
          </w:p>
        </w:tc>
      </w:tr>
      <w:tr w:rsidR="004A1E2D" w:rsidRPr="0074432E" w14:paraId="3C5B41DB" w14:textId="77777777" w:rsidTr="00986570">
        <w:tc>
          <w:tcPr>
            <w:tcW w:w="6010" w:type="dxa"/>
          </w:tcPr>
          <w:p w14:paraId="23562409" w14:textId="77F8B686" w:rsidR="004A1E2D" w:rsidRPr="0074432E" w:rsidRDefault="003E0CB0" w:rsidP="0074432E">
            <w:pPr>
              <w:spacing w:line="360" w:lineRule="auto"/>
              <w:jc w:val="center"/>
              <w:rPr>
                <w:rFonts w:ascii="Arial" w:hAnsi="Arial" w:cs="Arial"/>
                <w:b/>
                <w:bCs/>
                <w:sz w:val="24"/>
                <w:szCs w:val="24"/>
              </w:rPr>
            </w:pPr>
            <w:r w:rsidRPr="0074432E">
              <w:rPr>
                <w:rFonts w:ascii="Arial" w:hAnsi="Arial" w:cs="Arial"/>
                <w:b/>
                <w:bCs/>
                <w:sz w:val="24"/>
                <w:szCs w:val="24"/>
              </w:rPr>
              <w:t>Net Profit</w:t>
            </w:r>
          </w:p>
        </w:tc>
        <w:tc>
          <w:tcPr>
            <w:tcW w:w="3006" w:type="dxa"/>
          </w:tcPr>
          <w:p w14:paraId="3AB13C18" w14:textId="59D80E97" w:rsidR="004A1E2D" w:rsidRPr="0074432E" w:rsidRDefault="00A6030F" w:rsidP="0074432E">
            <w:pPr>
              <w:spacing w:line="360" w:lineRule="auto"/>
              <w:jc w:val="right"/>
              <w:rPr>
                <w:rFonts w:ascii="Arial" w:hAnsi="Arial" w:cs="Arial"/>
                <w:b/>
                <w:bCs/>
                <w:sz w:val="24"/>
                <w:szCs w:val="24"/>
              </w:rPr>
            </w:pPr>
            <w:r w:rsidRPr="0074432E">
              <w:rPr>
                <w:rFonts w:ascii="Arial" w:hAnsi="Arial" w:cs="Arial"/>
                <w:b/>
                <w:bCs/>
                <w:sz w:val="24"/>
                <w:szCs w:val="24"/>
              </w:rPr>
              <w:t>31,350</w:t>
            </w:r>
          </w:p>
        </w:tc>
      </w:tr>
    </w:tbl>
    <w:p w14:paraId="490B608A" w14:textId="77777777" w:rsidR="003A7421" w:rsidRPr="0074432E" w:rsidRDefault="003A7421" w:rsidP="0074432E">
      <w:pPr>
        <w:spacing w:line="360" w:lineRule="auto"/>
        <w:rPr>
          <w:rFonts w:ascii="Arial" w:hAnsi="Arial" w:cs="Arial"/>
          <w:sz w:val="24"/>
          <w:szCs w:val="24"/>
        </w:rPr>
      </w:pPr>
    </w:p>
    <w:p w14:paraId="7F21ECA6" w14:textId="21160EC9" w:rsidR="00C17936" w:rsidRPr="0074432E" w:rsidRDefault="00A80C4A" w:rsidP="0074432E">
      <w:pPr>
        <w:spacing w:line="360" w:lineRule="auto"/>
        <w:rPr>
          <w:rFonts w:ascii="Arial" w:hAnsi="Arial" w:cs="Arial"/>
          <w:sz w:val="24"/>
          <w:szCs w:val="24"/>
        </w:rPr>
      </w:pPr>
      <w:r w:rsidRPr="0074432E">
        <w:rPr>
          <w:rFonts w:ascii="Arial" w:hAnsi="Arial" w:cs="Arial"/>
          <w:sz w:val="24"/>
          <w:szCs w:val="24"/>
        </w:rPr>
        <w:t>Gross Profit is calculated by subtracting the Cost of Sales from Sales (Revenue). As a result, In the year ending on the 31st of December 2022 Wales plc generated a Gross Profit equal to 321,350 £. Operating Profit is calculated by subtracting the Total Operating Cost from Gross Profit thus the Operating Profit is equal to 46,350 £. The Net Profit is calculated by subtracting the value of Corporate Tax from Operating Profit and the result is equal to 31,350 £.</w:t>
      </w:r>
    </w:p>
    <w:p w14:paraId="267629B0" w14:textId="77777777" w:rsidR="003A7421" w:rsidRPr="0074432E" w:rsidRDefault="003A7421" w:rsidP="0074432E">
      <w:pPr>
        <w:spacing w:line="360" w:lineRule="auto"/>
        <w:rPr>
          <w:rFonts w:ascii="Arial" w:hAnsi="Arial" w:cs="Arial"/>
          <w:sz w:val="24"/>
          <w:szCs w:val="24"/>
        </w:rPr>
      </w:pPr>
    </w:p>
    <w:p w14:paraId="4EC0C2ED" w14:textId="07474DD8" w:rsidR="003A7421" w:rsidRPr="0074432E" w:rsidRDefault="000539CC" w:rsidP="0074432E">
      <w:pPr>
        <w:pStyle w:val="Heading1"/>
        <w:spacing w:line="360" w:lineRule="auto"/>
        <w:rPr>
          <w:rFonts w:ascii="Arial" w:hAnsi="Arial" w:cs="Arial"/>
        </w:rPr>
      </w:pPr>
      <w:bookmarkStart w:id="3" w:name="_Toc153487211"/>
      <w:r w:rsidRPr="0074432E">
        <w:rPr>
          <w:rFonts w:ascii="Arial" w:hAnsi="Arial" w:cs="Arial"/>
        </w:rPr>
        <w:t xml:space="preserve">Sweets plc's financial ratios calculation and critical interpretation of </w:t>
      </w:r>
      <w:r w:rsidR="00F47E28" w:rsidRPr="0074432E">
        <w:rPr>
          <w:rFonts w:ascii="Arial" w:hAnsi="Arial" w:cs="Arial"/>
        </w:rPr>
        <w:t xml:space="preserve">the </w:t>
      </w:r>
      <w:r w:rsidRPr="0074432E">
        <w:rPr>
          <w:rFonts w:ascii="Arial" w:hAnsi="Arial" w:cs="Arial"/>
        </w:rPr>
        <w:t>results.</w:t>
      </w:r>
      <w:bookmarkEnd w:id="3"/>
    </w:p>
    <w:p w14:paraId="79E2C811" w14:textId="77777777" w:rsidR="00CE1D5F" w:rsidRPr="0074432E" w:rsidRDefault="00CE1D5F" w:rsidP="0074432E">
      <w:pPr>
        <w:spacing w:line="360" w:lineRule="auto"/>
        <w:rPr>
          <w:rFonts w:ascii="Arial" w:hAnsi="Arial" w:cs="Arial"/>
        </w:rPr>
      </w:pPr>
    </w:p>
    <w:p w14:paraId="66DF3261" w14:textId="76DF21FD" w:rsidR="00CE1D5F" w:rsidRPr="0074432E" w:rsidRDefault="00CE1D5F" w:rsidP="0074432E">
      <w:pPr>
        <w:pStyle w:val="Heading2"/>
        <w:spacing w:line="360" w:lineRule="auto"/>
        <w:rPr>
          <w:rFonts w:ascii="Arial" w:hAnsi="Arial" w:cs="Arial"/>
          <w:i/>
          <w:iCs/>
        </w:rPr>
      </w:pPr>
      <w:bookmarkStart w:id="4" w:name="_Toc153487212"/>
      <w:r w:rsidRPr="0074432E">
        <w:rPr>
          <w:rFonts w:ascii="Arial" w:hAnsi="Arial" w:cs="Arial"/>
          <w:i/>
          <w:iCs/>
        </w:rPr>
        <w:lastRenderedPageBreak/>
        <w:t xml:space="preserve">Results and </w:t>
      </w:r>
      <w:r w:rsidR="007C7D31">
        <w:rPr>
          <w:rFonts w:ascii="Arial" w:hAnsi="Arial" w:cs="Arial"/>
          <w:i/>
          <w:iCs/>
        </w:rPr>
        <w:t>F</w:t>
      </w:r>
      <w:r w:rsidRPr="0074432E">
        <w:rPr>
          <w:rFonts w:ascii="Arial" w:hAnsi="Arial" w:cs="Arial"/>
          <w:i/>
          <w:iCs/>
        </w:rPr>
        <w:t>ormulas</w:t>
      </w:r>
      <w:bookmarkEnd w:id="4"/>
    </w:p>
    <w:p w14:paraId="194AC403" w14:textId="77777777" w:rsidR="001F7CA5" w:rsidRPr="0074432E" w:rsidRDefault="001F7CA5" w:rsidP="0074432E">
      <w:pPr>
        <w:spacing w:line="360" w:lineRule="auto"/>
        <w:rPr>
          <w:rFonts w:ascii="Arial" w:hAnsi="Arial" w:cs="Arial"/>
        </w:rPr>
      </w:pPr>
    </w:p>
    <w:tbl>
      <w:tblPr>
        <w:tblStyle w:val="TableGrid"/>
        <w:tblW w:w="0" w:type="auto"/>
        <w:tblLook w:val="04A0" w:firstRow="1" w:lastRow="0" w:firstColumn="1" w:lastColumn="0" w:noHBand="0" w:noVBand="1"/>
      </w:tblPr>
      <w:tblGrid>
        <w:gridCol w:w="2254"/>
        <w:gridCol w:w="1710"/>
        <w:gridCol w:w="1843"/>
        <w:gridCol w:w="3209"/>
      </w:tblGrid>
      <w:tr w:rsidR="007B57E6" w:rsidRPr="0074432E" w14:paraId="29989F52" w14:textId="77777777" w:rsidTr="00566179">
        <w:tc>
          <w:tcPr>
            <w:tcW w:w="9016" w:type="dxa"/>
            <w:gridSpan w:val="4"/>
          </w:tcPr>
          <w:p w14:paraId="075A2DB8" w14:textId="09589F53" w:rsidR="007B57E6" w:rsidRPr="0074432E" w:rsidRDefault="007B57E6" w:rsidP="0074432E">
            <w:pPr>
              <w:spacing w:line="360" w:lineRule="auto"/>
              <w:jc w:val="center"/>
              <w:rPr>
                <w:rFonts w:ascii="Arial" w:hAnsi="Arial" w:cs="Arial"/>
                <w:sz w:val="24"/>
                <w:szCs w:val="24"/>
              </w:rPr>
            </w:pPr>
            <w:r w:rsidRPr="0074432E">
              <w:rPr>
                <w:rFonts w:ascii="Arial" w:hAnsi="Arial" w:cs="Arial"/>
                <w:b/>
                <w:bCs/>
                <w:sz w:val="28"/>
                <w:szCs w:val="28"/>
              </w:rPr>
              <w:t>Sweet plc financial ratios results</w:t>
            </w:r>
          </w:p>
        </w:tc>
      </w:tr>
      <w:tr w:rsidR="007B57E6" w:rsidRPr="0074432E" w14:paraId="1063ABEC" w14:textId="77777777" w:rsidTr="00124A42">
        <w:tc>
          <w:tcPr>
            <w:tcW w:w="2254" w:type="dxa"/>
          </w:tcPr>
          <w:p w14:paraId="5F24DE76" w14:textId="3B3FF2B2" w:rsidR="007B57E6" w:rsidRPr="0074432E" w:rsidRDefault="007B57E6" w:rsidP="0074432E">
            <w:pPr>
              <w:spacing w:line="360" w:lineRule="auto"/>
              <w:jc w:val="center"/>
              <w:rPr>
                <w:rFonts w:ascii="Arial" w:hAnsi="Arial" w:cs="Arial"/>
                <w:b/>
                <w:bCs/>
                <w:i/>
                <w:iCs/>
                <w:sz w:val="24"/>
                <w:szCs w:val="24"/>
              </w:rPr>
            </w:pPr>
            <w:r w:rsidRPr="0074432E">
              <w:rPr>
                <w:rFonts w:ascii="Arial" w:hAnsi="Arial" w:cs="Arial"/>
                <w:b/>
                <w:bCs/>
                <w:i/>
                <w:iCs/>
                <w:sz w:val="24"/>
                <w:szCs w:val="24"/>
              </w:rPr>
              <w:t>Ratio</w:t>
            </w:r>
          </w:p>
        </w:tc>
        <w:tc>
          <w:tcPr>
            <w:tcW w:w="1710" w:type="dxa"/>
          </w:tcPr>
          <w:p w14:paraId="24772E42" w14:textId="4AC62370" w:rsidR="007B57E6" w:rsidRPr="0074432E" w:rsidRDefault="007B57E6" w:rsidP="0074432E">
            <w:pPr>
              <w:spacing w:line="360" w:lineRule="auto"/>
              <w:jc w:val="center"/>
              <w:rPr>
                <w:rFonts w:ascii="Arial" w:hAnsi="Arial" w:cs="Arial"/>
                <w:b/>
                <w:bCs/>
                <w:i/>
                <w:iCs/>
                <w:sz w:val="24"/>
                <w:szCs w:val="24"/>
              </w:rPr>
            </w:pPr>
            <w:r w:rsidRPr="0074432E">
              <w:rPr>
                <w:rFonts w:ascii="Arial" w:hAnsi="Arial" w:cs="Arial"/>
                <w:b/>
                <w:bCs/>
                <w:i/>
                <w:iCs/>
                <w:sz w:val="24"/>
                <w:szCs w:val="24"/>
              </w:rPr>
              <w:t>2021</w:t>
            </w:r>
          </w:p>
        </w:tc>
        <w:tc>
          <w:tcPr>
            <w:tcW w:w="1843" w:type="dxa"/>
          </w:tcPr>
          <w:p w14:paraId="0B366835" w14:textId="785E9EEC" w:rsidR="007B57E6" w:rsidRPr="0074432E" w:rsidRDefault="007B57E6" w:rsidP="0074432E">
            <w:pPr>
              <w:spacing w:line="360" w:lineRule="auto"/>
              <w:jc w:val="center"/>
              <w:rPr>
                <w:rFonts w:ascii="Arial" w:hAnsi="Arial" w:cs="Arial"/>
                <w:b/>
                <w:bCs/>
                <w:i/>
                <w:iCs/>
                <w:sz w:val="24"/>
                <w:szCs w:val="24"/>
              </w:rPr>
            </w:pPr>
            <w:r w:rsidRPr="0074432E">
              <w:rPr>
                <w:rFonts w:ascii="Arial" w:hAnsi="Arial" w:cs="Arial"/>
                <w:b/>
                <w:bCs/>
                <w:i/>
                <w:iCs/>
                <w:sz w:val="24"/>
                <w:szCs w:val="24"/>
              </w:rPr>
              <w:t>2022</w:t>
            </w:r>
          </w:p>
        </w:tc>
        <w:tc>
          <w:tcPr>
            <w:tcW w:w="3209" w:type="dxa"/>
          </w:tcPr>
          <w:p w14:paraId="41485EA5" w14:textId="598CBAFD" w:rsidR="007B57E6" w:rsidRPr="0074432E" w:rsidRDefault="007B57E6" w:rsidP="0074432E">
            <w:pPr>
              <w:spacing w:line="360" w:lineRule="auto"/>
              <w:jc w:val="center"/>
              <w:rPr>
                <w:rFonts w:ascii="Arial" w:hAnsi="Arial" w:cs="Arial"/>
                <w:b/>
                <w:bCs/>
                <w:i/>
                <w:iCs/>
                <w:sz w:val="24"/>
                <w:szCs w:val="24"/>
              </w:rPr>
            </w:pPr>
            <w:r w:rsidRPr="0074432E">
              <w:rPr>
                <w:rFonts w:ascii="Arial" w:hAnsi="Arial" w:cs="Arial"/>
                <w:b/>
                <w:bCs/>
                <w:i/>
                <w:iCs/>
                <w:sz w:val="24"/>
                <w:szCs w:val="24"/>
              </w:rPr>
              <w:t>Formula</w:t>
            </w:r>
          </w:p>
        </w:tc>
      </w:tr>
      <w:tr w:rsidR="007B57E6" w:rsidRPr="0074432E" w14:paraId="02277979" w14:textId="77777777" w:rsidTr="00124A42">
        <w:tc>
          <w:tcPr>
            <w:tcW w:w="2254" w:type="dxa"/>
          </w:tcPr>
          <w:p w14:paraId="5AC73741" w14:textId="422A56B1" w:rsidR="007B57E6" w:rsidRPr="0074432E" w:rsidRDefault="00DF205D" w:rsidP="0074432E">
            <w:pPr>
              <w:spacing w:line="360" w:lineRule="auto"/>
              <w:jc w:val="center"/>
              <w:rPr>
                <w:rFonts w:ascii="Arial" w:hAnsi="Arial" w:cs="Arial"/>
                <w:sz w:val="24"/>
                <w:szCs w:val="24"/>
              </w:rPr>
            </w:pPr>
            <w:r w:rsidRPr="0074432E">
              <w:rPr>
                <w:rFonts w:ascii="Arial" w:hAnsi="Arial" w:cs="Arial"/>
                <w:sz w:val="24"/>
                <w:szCs w:val="24"/>
              </w:rPr>
              <w:t>ROCE</w:t>
            </w:r>
          </w:p>
        </w:tc>
        <w:tc>
          <w:tcPr>
            <w:tcW w:w="1710" w:type="dxa"/>
          </w:tcPr>
          <w:p w14:paraId="279F8D22" w14:textId="5C5908B4" w:rsidR="007B57E6" w:rsidRPr="0074432E" w:rsidRDefault="00D45EFE" w:rsidP="0074432E">
            <w:pPr>
              <w:spacing w:line="360" w:lineRule="auto"/>
              <w:jc w:val="center"/>
              <w:rPr>
                <w:rFonts w:ascii="Arial" w:hAnsi="Arial" w:cs="Arial"/>
                <w:sz w:val="24"/>
                <w:szCs w:val="24"/>
              </w:rPr>
            </w:pPr>
            <w:r w:rsidRPr="0074432E">
              <w:rPr>
                <w:rFonts w:ascii="Arial" w:hAnsi="Arial" w:cs="Arial"/>
                <w:sz w:val="24"/>
                <w:szCs w:val="24"/>
              </w:rPr>
              <w:t>7</w:t>
            </w:r>
            <w:r w:rsidR="00B20C5C" w:rsidRPr="0074432E">
              <w:rPr>
                <w:rFonts w:ascii="Arial" w:hAnsi="Arial" w:cs="Arial"/>
                <w:sz w:val="24"/>
                <w:szCs w:val="24"/>
              </w:rPr>
              <w:t>.66%</w:t>
            </w:r>
          </w:p>
        </w:tc>
        <w:tc>
          <w:tcPr>
            <w:tcW w:w="1843" w:type="dxa"/>
          </w:tcPr>
          <w:p w14:paraId="2EF626FF" w14:textId="36367EA8" w:rsidR="007B57E6" w:rsidRPr="0074432E" w:rsidRDefault="00B20C5C" w:rsidP="0074432E">
            <w:pPr>
              <w:spacing w:line="360" w:lineRule="auto"/>
              <w:jc w:val="center"/>
              <w:rPr>
                <w:rFonts w:ascii="Arial" w:hAnsi="Arial" w:cs="Arial"/>
                <w:sz w:val="24"/>
                <w:szCs w:val="24"/>
              </w:rPr>
            </w:pPr>
            <w:r w:rsidRPr="0074432E">
              <w:rPr>
                <w:rFonts w:ascii="Arial" w:hAnsi="Arial" w:cs="Arial"/>
                <w:sz w:val="24"/>
                <w:szCs w:val="24"/>
              </w:rPr>
              <w:t>8.58%</w:t>
            </w:r>
          </w:p>
        </w:tc>
        <w:tc>
          <w:tcPr>
            <w:tcW w:w="3209" w:type="dxa"/>
          </w:tcPr>
          <w:p w14:paraId="3442CFB7" w14:textId="6B746777" w:rsidR="007B57E6" w:rsidRPr="0074432E" w:rsidRDefault="00E0155C" w:rsidP="0074432E">
            <w:pPr>
              <w:spacing w:line="360" w:lineRule="auto"/>
              <w:rPr>
                <w:rFonts w:ascii="Arial" w:hAnsi="Arial" w:cs="Arial"/>
                <w:sz w:val="24"/>
                <w:szCs w:val="24"/>
              </w:rPr>
            </w:pPr>
            <w:r w:rsidRPr="0074432E">
              <w:rPr>
                <w:rFonts w:ascii="Arial" w:hAnsi="Arial" w:cs="Arial"/>
                <w:sz w:val="24"/>
                <w:szCs w:val="24"/>
              </w:rPr>
              <w:t xml:space="preserve">(Profit </w:t>
            </w:r>
            <w:r w:rsidR="008F7297" w:rsidRPr="0074432E">
              <w:rPr>
                <w:rFonts w:ascii="Arial" w:hAnsi="Arial" w:cs="Arial"/>
                <w:sz w:val="24"/>
                <w:szCs w:val="24"/>
              </w:rPr>
              <w:t xml:space="preserve">before tax / </w:t>
            </w:r>
            <w:r w:rsidR="00651ECD" w:rsidRPr="0074432E">
              <w:rPr>
                <w:rFonts w:ascii="Arial" w:hAnsi="Arial" w:cs="Arial"/>
                <w:sz w:val="24"/>
                <w:szCs w:val="24"/>
              </w:rPr>
              <w:t>Capital employed</w:t>
            </w:r>
            <w:r w:rsidR="008F7297" w:rsidRPr="0074432E">
              <w:rPr>
                <w:rFonts w:ascii="Arial" w:hAnsi="Arial" w:cs="Arial"/>
                <w:sz w:val="24"/>
                <w:szCs w:val="24"/>
              </w:rPr>
              <w:t>)</w:t>
            </w:r>
            <w:r w:rsidR="00505CAA" w:rsidRPr="0074432E">
              <w:rPr>
                <w:rFonts w:ascii="Arial" w:hAnsi="Arial" w:cs="Arial"/>
                <w:sz w:val="24"/>
                <w:szCs w:val="24"/>
              </w:rPr>
              <w:t xml:space="preserve"> * 100% = ROCE</w:t>
            </w:r>
          </w:p>
        </w:tc>
      </w:tr>
      <w:tr w:rsidR="007B57E6" w:rsidRPr="0074432E" w14:paraId="6FF9002A" w14:textId="77777777" w:rsidTr="00124A42">
        <w:tc>
          <w:tcPr>
            <w:tcW w:w="2254" w:type="dxa"/>
          </w:tcPr>
          <w:p w14:paraId="3F6BD034" w14:textId="366B69C7" w:rsidR="007B57E6" w:rsidRPr="0074432E" w:rsidRDefault="00DF205D" w:rsidP="0074432E">
            <w:pPr>
              <w:spacing w:line="360" w:lineRule="auto"/>
              <w:jc w:val="center"/>
              <w:rPr>
                <w:rFonts w:ascii="Arial" w:hAnsi="Arial" w:cs="Arial"/>
                <w:sz w:val="24"/>
                <w:szCs w:val="24"/>
              </w:rPr>
            </w:pPr>
            <w:r w:rsidRPr="0074432E">
              <w:rPr>
                <w:rFonts w:ascii="Arial" w:hAnsi="Arial" w:cs="Arial"/>
                <w:sz w:val="24"/>
                <w:szCs w:val="24"/>
              </w:rPr>
              <w:t>ROE</w:t>
            </w:r>
          </w:p>
        </w:tc>
        <w:tc>
          <w:tcPr>
            <w:tcW w:w="1710" w:type="dxa"/>
          </w:tcPr>
          <w:p w14:paraId="261F2C0B" w14:textId="6C01CEC1" w:rsidR="007B57E6" w:rsidRPr="0074432E" w:rsidRDefault="003A1C78" w:rsidP="0074432E">
            <w:pPr>
              <w:spacing w:line="360" w:lineRule="auto"/>
              <w:jc w:val="center"/>
              <w:rPr>
                <w:rFonts w:ascii="Arial" w:hAnsi="Arial" w:cs="Arial"/>
                <w:sz w:val="24"/>
                <w:szCs w:val="24"/>
              </w:rPr>
            </w:pPr>
            <w:r w:rsidRPr="0074432E">
              <w:rPr>
                <w:rFonts w:ascii="Arial" w:hAnsi="Arial" w:cs="Arial"/>
                <w:sz w:val="24"/>
                <w:szCs w:val="24"/>
              </w:rPr>
              <w:t>12.</w:t>
            </w:r>
            <w:r w:rsidR="00504451" w:rsidRPr="0074432E">
              <w:rPr>
                <w:rFonts w:ascii="Arial" w:hAnsi="Arial" w:cs="Arial"/>
                <w:sz w:val="24"/>
                <w:szCs w:val="24"/>
              </w:rPr>
              <w:t>57%</w:t>
            </w:r>
          </w:p>
        </w:tc>
        <w:tc>
          <w:tcPr>
            <w:tcW w:w="1843" w:type="dxa"/>
          </w:tcPr>
          <w:p w14:paraId="14E9619D" w14:textId="14C40795" w:rsidR="007B57E6" w:rsidRPr="0074432E" w:rsidRDefault="00504451" w:rsidP="0074432E">
            <w:pPr>
              <w:spacing w:line="360" w:lineRule="auto"/>
              <w:jc w:val="center"/>
              <w:rPr>
                <w:rFonts w:ascii="Arial" w:hAnsi="Arial" w:cs="Arial"/>
                <w:sz w:val="24"/>
                <w:szCs w:val="24"/>
              </w:rPr>
            </w:pPr>
            <w:r w:rsidRPr="0074432E">
              <w:rPr>
                <w:rFonts w:ascii="Arial" w:hAnsi="Arial" w:cs="Arial"/>
                <w:sz w:val="24"/>
                <w:szCs w:val="24"/>
              </w:rPr>
              <w:t>13.96%</w:t>
            </w:r>
          </w:p>
        </w:tc>
        <w:tc>
          <w:tcPr>
            <w:tcW w:w="3209" w:type="dxa"/>
          </w:tcPr>
          <w:p w14:paraId="58527FAD" w14:textId="0317B448" w:rsidR="007B57E6" w:rsidRPr="0074432E" w:rsidRDefault="00504451" w:rsidP="0074432E">
            <w:pPr>
              <w:spacing w:line="360" w:lineRule="auto"/>
              <w:rPr>
                <w:rFonts w:ascii="Arial" w:hAnsi="Arial" w:cs="Arial"/>
                <w:sz w:val="24"/>
                <w:szCs w:val="24"/>
              </w:rPr>
            </w:pPr>
            <w:r w:rsidRPr="0074432E">
              <w:rPr>
                <w:rFonts w:ascii="Arial" w:hAnsi="Arial" w:cs="Arial"/>
                <w:sz w:val="24"/>
                <w:szCs w:val="24"/>
              </w:rPr>
              <w:t xml:space="preserve">(Net income / </w:t>
            </w:r>
            <w:r w:rsidR="005B5E25" w:rsidRPr="0074432E">
              <w:rPr>
                <w:rFonts w:ascii="Arial" w:hAnsi="Arial" w:cs="Arial"/>
                <w:sz w:val="24"/>
                <w:szCs w:val="24"/>
              </w:rPr>
              <w:t>Equity</w:t>
            </w:r>
            <w:r w:rsidR="00B2019C" w:rsidRPr="0074432E">
              <w:rPr>
                <w:rFonts w:ascii="Arial" w:hAnsi="Arial" w:cs="Arial"/>
                <w:sz w:val="24"/>
                <w:szCs w:val="24"/>
              </w:rPr>
              <w:t xml:space="preserve">) * 100% = </w:t>
            </w:r>
            <w:r w:rsidR="00124A42" w:rsidRPr="0074432E">
              <w:rPr>
                <w:rFonts w:ascii="Arial" w:hAnsi="Arial" w:cs="Arial"/>
                <w:sz w:val="24"/>
                <w:szCs w:val="24"/>
              </w:rPr>
              <w:t>ROE</w:t>
            </w:r>
          </w:p>
        </w:tc>
      </w:tr>
      <w:tr w:rsidR="007B57E6" w:rsidRPr="0074432E" w14:paraId="36789548" w14:textId="77777777" w:rsidTr="00124A42">
        <w:tc>
          <w:tcPr>
            <w:tcW w:w="2254" w:type="dxa"/>
          </w:tcPr>
          <w:p w14:paraId="3E882FD0" w14:textId="10773D19" w:rsidR="007B57E6" w:rsidRPr="0074432E" w:rsidRDefault="00DF205D" w:rsidP="0074432E">
            <w:pPr>
              <w:spacing w:line="360" w:lineRule="auto"/>
              <w:jc w:val="center"/>
              <w:rPr>
                <w:rFonts w:ascii="Arial" w:hAnsi="Arial" w:cs="Arial"/>
                <w:sz w:val="24"/>
                <w:szCs w:val="24"/>
              </w:rPr>
            </w:pPr>
            <w:r w:rsidRPr="0074432E">
              <w:rPr>
                <w:rFonts w:ascii="Arial" w:hAnsi="Arial" w:cs="Arial"/>
                <w:sz w:val="24"/>
                <w:szCs w:val="24"/>
              </w:rPr>
              <w:t xml:space="preserve">Earnings </w:t>
            </w:r>
            <w:r w:rsidR="00A46AEA" w:rsidRPr="0074432E">
              <w:rPr>
                <w:rFonts w:ascii="Arial" w:hAnsi="Arial" w:cs="Arial"/>
                <w:sz w:val="24"/>
                <w:szCs w:val="24"/>
              </w:rPr>
              <w:t>per share</w:t>
            </w:r>
          </w:p>
        </w:tc>
        <w:tc>
          <w:tcPr>
            <w:tcW w:w="1710" w:type="dxa"/>
          </w:tcPr>
          <w:p w14:paraId="099F0F6A" w14:textId="196B2783" w:rsidR="007B57E6" w:rsidRPr="0074432E" w:rsidRDefault="00B42264" w:rsidP="0074432E">
            <w:pPr>
              <w:spacing w:line="360" w:lineRule="auto"/>
              <w:jc w:val="center"/>
              <w:rPr>
                <w:rFonts w:ascii="Arial" w:hAnsi="Arial" w:cs="Arial"/>
                <w:sz w:val="24"/>
                <w:szCs w:val="24"/>
              </w:rPr>
            </w:pPr>
            <w:r w:rsidRPr="0074432E">
              <w:rPr>
                <w:rFonts w:ascii="Arial" w:hAnsi="Arial" w:cs="Arial"/>
                <w:sz w:val="24"/>
                <w:szCs w:val="24"/>
              </w:rPr>
              <w:t>1.22</w:t>
            </w:r>
          </w:p>
        </w:tc>
        <w:tc>
          <w:tcPr>
            <w:tcW w:w="1843" w:type="dxa"/>
          </w:tcPr>
          <w:p w14:paraId="361F089C" w14:textId="0B7CEDD9" w:rsidR="007B57E6" w:rsidRPr="0074432E" w:rsidRDefault="00B42264" w:rsidP="0074432E">
            <w:pPr>
              <w:spacing w:line="360" w:lineRule="auto"/>
              <w:jc w:val="center"/>
              <w:rPr>
                <w:rFonts w:ascii="Arial" w:hAnsi="Arial" w:cs="Arial"/>
                <w:sz w:val="24"/>
                <w:szCs w:val="24"/>
              </w:rPr>
            </w:pPr>
            <w:r w:rsidRPr="0074432E">
              <w:rPr>
                <w:rFonts w:ascii="Arial" w:hAnsi="Arial" w:cs="Arial"/>
                <w:sz w:val="24"/>
                <w:szCs w:val="24"/>
              </w:rPr>
              <w:t>1.44</w:t>
            </w:r>
          </w:p>
        </w:tc>
        <w:tc>
          <w:tcPr>
            <w:tcW w:w="3209" w:type="dxa"/>
          </w:tcPr>
          <w:p w14:paraId="5F9A1DDD" w14:textId="5C85CDEF" w:rsidR="007B57E6" w:rsidRPr="0074432E" w:rsidRDefault="00D224FB" w:rsidP="0074432E">
            <w:pPr>
              <w:spacing w:line="360" w:lineRule="auto"/>
              <w:rPr>
                <w:rFonts w:ascii="Arial" w:hAnsi="Arial" w:cs="Arial"/>
                <w:sz w:val="24"/>
                <w:szCs w:val="24"/>
              </w:rPr>
            </w:pPr>
            <w:r w:rsidRPr="0074432E">
              <w:rPr>
                <w:rFonts w:ascii="Arial" w:hAnsi="Arial" w:cs="Arial"/>
                <w:sz w:val="24"/>
                <w:szCs w:val="24"/>
              </w:rPr>
              <w:t>N</w:t>
            </w:r>
            <w:r w:rsidR="00440FFA" w:rsidRPr="0074432E">
              <w:rPr>
                <w:rFonts w:ascii="Arial" w:hAnsi="Arial" w:cs="Arial"/>
                <w:sz w:val="24"/>
                <w:szCs w:val="24"/>
              </w:rPr>
              <w:t xml:space="preserve">et income / </w:t>
            </w:r>
            <w:r w:rsidR="000D29B1" w:rsidRPr="0074432E">
              <w:rPr>
                <w:rFonts w:ascii="Arial" w:hAnsi="Arial" w:cs="Arial"/>
                <w:sz w:val="24"/>
                <w:szCs w:val="24"/>
              </w:rPr>
              <w:t>Number of Ordinary shares</w:t>
            </w:r>
            <w:r w:rsidR="00C65096" w:rsidRPr="0074432E">
              <w:rPr>
                <w:rFonts w:ascii="Arial" w:hAnsi="Arial" w:cs="Arial"/>
                <w:sz w:val="24"/>
                <w:szCs w:val="24"/>
              </w:rPr>
              <w:t xml:space="preserve"> </w:t>
            </w:r>
            <w:r w:rsidR="006154E7" w:rsidRPr="0074432E">
              <w:rPr>
                <w:rFonts w:ascii="Arial" w:hAnsi="Arial" w:cs="Arial"/>
                <w:sz w:val="24"/>
                <w:szCs w:val="24"/>
              </w:rPr>
              <w:t xml:space="preserve">= </w:t>
            </w:r>
            <w:r w:rsidR="00671BEA" w:rsidRPr="0074432E">
              <w:rPr>
                <w:rFonts w:ascii="Arial" w:hAnsi="Arial" w:cs="Arial"/>
                <w:sz w:val="24"/>
                <w:szCs w:val="24"/>
              </w:rPr>
              <w:t>Earning per share</w:t>
            </w:r>
          </w:p>
        </w:tc>
      </w:tr>
      <w:tr w:rsidR="007B57E6" w:rsidRPr="0074432E" w14:paraId="40F34D76" w14:textId="77777777" w:rsidTr="00124A42">
        <w:tc>
          <w:tcPr>
            <w:tcW w:w="2254" w:type="dxa"/>
          </w:tcPr>
          <w:p w14:paraId="4B03B782" w14:textId="145AF7CA" w:rsidR="007B57E6" w:rsidRPr="0074432E" w:rsidRDefault="00A46AEA" w:rsidP="0074432E">
            <w:pPr>
              <w:spacing w:line="360" w:lineRule="auto"/>
              <w:jc w:val="center"/>
              <w:rPr>
                <w:rFonts w:ascii="Arial" w:hAnsi="Arial" w:cs="Arial"/>
                <w:sz w:val="24"/>
                <w:szCs w:val="24"/>
              </w:rPr>
            </w:pPr>
            <w:r w:rsidRPr="0074432E">
              <w:rPr>
                <w:rFonts w:ascii="Arial" w:hAnsi="Arial" w:cs="Arial"/>
                <w:sz w:val="24"/>
                <w:szCs w:val="24"/>
              </w:rPr>
              <w:t>Net profit margin</w:t>
            </w:r>
          </w:p>
        </w:tc>
        <w:tc>
          <w:tcPr>
            <w:tcW w:w="1710" w:type="dxa"/>
          </w:tcPr>
          <w:p w14:paraId="68A3D396" w14:textId="31B815AB" w:rsidR="007B57E6" w:rsidRPr="0074432E" w:rsidRDefault="004F2DFC" w:rsidP="0074432E">
            <w:pPr>
              <w:spacing w:line="360" w:lineRule="auto"/>
              <w:jc w:val="center"/>
              <w:rPr>
                <w:rFonts w:ascii="Arial" w:hAnsi="Arial" w:cs="Arial"/>
                <w:sz w:val="24"/>
                <w:szCs w:val="24"/>
              </w:rPr>
            </w:pPr>
            <w:r w:rsidRPr="0074432E">
              <w:rPr>
                <w:rFonts w:ascii="Arial" w:hAnsi="Arial" w:cs="Arial"/>
                <w:sz w:val="24"/>
                <w:szCs w:val="24"/>
              </w:rPr>
              <w:t>5.68</w:t>
            </w:r>
            <w:r w:rsidR="00FC420D" w:rsidRPr="0074432E">
              <w:rPr>
                <w:rFonts w:ascii="Arial" w:hAnsi="Arial" w:cs="Arial"/>
                <w:sz w:val="24"/>
                <w:szCs w:val="24"/>
              </w:rPr>
              <w:t>%</w:t>
            </w:r>
          </w:p>
        </w:tc>
        <w:tc>
          <w:tcPr>
            <w:tcW w:w="1843" w:type="dxa"/>
          </w:tcPr>
          <w:p w14:paraId="6FF907C4" w14:textId="2B93173D" w:rsidR="007B57E6" w:rsidRPr="0074432E" w:rsidRDefault="00884E70" w:rsidP="0074432E">
            <w:pPr>
              <w:spacing w:line="360" w:lineRule="auto"/>
              <w:jc w:val="center"/>
              <w:rPr>
                <w:rFonts w:ascii="Arial" w:hAnsi="Arial" w:cs="Arial"/>
                <w:sz w:val="24"/>
                <w:szCs w:val="24"/>
              </w:rPr>
            </w:pPr>
            <w:r w:rsidRPr="0074432E">
              <w:rPr>
                <w:rFonts w:ascii="Arial" w:hAnsi="Arial" w:cs="Arial"/>
                <w:sz w:val="24"/>
                <w:szCs w:val="24"/>
              </w:rPr>
              <w:t>6.4%</w:t>
            </w:r>
          </w:p>
        </w:tc>
        <w:tc>
          <w:tcPr>
            <w:tcW w:w="3209" w:type="dxa"/>
          </w:tcPr>
          <w:p w14:paraId="3FABE815" w14:textId="487D0B9A" w:rsidR="007B57E6" w:rsidRPr="0074432E" w:rsidRDefault="00884E70" w:rsidP="0074432E">
            <w:pPr>
              <w:spacing w:line="360" w:lineRule="auto"/>
              <w:rPr>
                <w:rFonts w:ascii="Arial" w:hAnsi="Arial" w:cs="Arial"/>
                <w:sz w:val="24"/>
                <w:szCs w:val="24"/>
              </w:rPr>
            </w:pPr>
            <w:r w:rsidRPr="0074432E">
              <w:rPr>
                <w:rFonts w:ascii="Arial" w:hAnsi="Arial" w:cs="Arial"/>
                <w:sz w:val="24"/>
                <w:szCs w:val="24"/>
              </w:rPr>
              <w:t>(</w:t>
            </w:r>
            <w:r w:rsidR="00412423" w:rsidRPr="0074432E">
              <w:rPr>
                <w:rFonts w:ascii="Arial" w:hAnsi="Arial" w:cs="Arial"/>
                <w:sz w:val="24"/>
                <w:szCs w:val="24"/>
              </w:rPr>
              <w:t>Net Profit</w:t>
            </w:r>
            <w:r w:rsidRPr="0074432E">
              <w:rPr>
                <w:rFonts w:ascii="Arial" w:hAnsi="Arial" w:cs="Arial"/>
                <w:sz w:val="24"/>
                <w:szCs w:val="24"/>
              </w:rPr>
              <w:t xml:space="preserve"> / </w:t>
            </w:r>
            <w:r w:rsidR="008E0F5F" w:rsidRPr="0074432E">
              <w:rPr>
                <w:rFonts w:ascii="Arial" w:hAnsi="Arial" w:cs="Arial"/>
                <w:sz w:val="24"/>
                <w:szCs w:val="24"/>
              </w:rPr>
              <w:t xml:space="preserve">Revenue) * 100% = Net </w:t>
            </w:r>
            <w:r w:rsidR="005A3A6D" w:rsidRPr="0074432E">
              <w:rPr>
                <w:rFonts w:ascii="Arial" w:hAnsi="Arial" w:cs="Arial"/>
                <w:sz w:val="24"/>
                <w:szCs w:val="24"/>
              </w:rPr>
              <w:t>profit margin</w:t>
            </w:r>
          </w:p>
        </w:tc>
      </w:tr>
      <w:tr w:rsidR="007B57E6" w:rsidRPr="0074432E" w14:paraId="5296279D" w14:textId="77777777" w:rsidTr="00124A42">
        <w:tc>
          <w:tcPr>
            <w:tcW w:w="2254" w:type="dxa"/>
          </w:tcPr>
          <w:p w14:paraId="50EF8DEB" w14:textId="2CBA97D7" w:rsidR="007B57E6" w:rsidRPr="0074432E" w:rsidRDefault="00A46AEA" w:rsidP="0074432E">
            <w:pPr>
              <w:spacing w:line="360" w:lineRule="auto"/>
              <w:jc w:val="center"/>
              <w:rPr>
                <w:rFonts w:ascii="Arial" w:hAnsi="Arial" w:cs="Arial"/>
                <w:sz w:val="24"/>
                <w:szCs w:val="24"/>
              </w:rPr>
            </w:pPr>
            <w:r w:rsidRPr="0074432E">
              <w:rPr>
                <w:rFonts w:ascii="Arial" w:hAnsi="Arial" w:cs="Arial"/>
                <w:sz w:val="24"/>
                <w:szCs w:val="24"/>
              </w:rPr>
              <w:t>Asset turnover</w:t>
            </w:r>
          </w:p>
        </w:tc>
        <w:tc>
          <w:tcPr>
            <w:tcW w:w="1710" w:type="dxa"/>
          </w:tcPr>
          <w:p w14:paraId="11245959" w14:textId="188873D0" w:rsidR="007B57E6" w:rsidRPr="0074432E" w:rsidRDefault="00DF68AE" w:rsidP="0074432E">
            <w:pPr>
              <w:spacing w:line="360" w:lineRule="auto"/>
              <w:jc w:val="center"/>
              <w:rPr>
                <w:rFonts w:ascii="Arial" w:hAnsi="Arial" w:cs="Arial"/>
                <w:sz w:val="24"/>
                <w:szCs w:val="24"/>
              </w:rPr>
            </w:pPr>
            <w:r w:rsidRPr="0074432E">
              <w:rPr>
                <w:rFonts w:ascii="Arial" w:hAnsi="Arial" w:cs="Arial"/>
                <w:sz w:val="24"/>
                <w:szCs w:val="24"/>
              </w:rPr>
              <w:t>0.64</w:t>
            </w:r>
          </w:p>
        </w:tc>
        <w:tc>
          <w:tcPr>
            <w:tcW w:w="1843" w:type="dxa"/>
          </w:tcPr>
          <w:p w14:paraId="3A84712A" w14:textId="3EDAD878" w:rsidR="007B57E6" w:rsidRPr="0074432E" w:rsidRDefault="00DF68AE" w:rsidP="0074432E">
            <w:pPr>
              <w:spacing w:line="360" w:lineRule="auto"/>
              <w:jc w:val="center"/>
              <w:rPr>
                <w:rFonts w:ascii="Arial" w:hAnsi="Arial" w:cs="Arial"/>
                <w:sz w:val="24"/>
                <w:szCs w:val="24"/>
              </w:rPr>
            </w:pPr>
            <w:r w:rsidRPr="0074432E">
              <w:rPr>
                <w:rFonts w:ascii="Arial" w:hAnsi="Arial" w:cs="Arial"/>
                <w:sz w:val="24"/>
                <w:szCs w:val="24"/>
              </w:rPr>
              <w:t>0.69</w:t>
            </w:r>
          </w:p>
        </w:tc>
        <w:tc>
          <w:tcPr>
            <w:tcW w:w="3209" w:type="dxa"/>
          </w:tcPr>
          <w:p w14:paraId="05F63D31" w14:textId="1A579E86" w:rsidR="007B57E6" w:rsidRPr="0074432E" w:rsidRDefault="0088397F" w:rsidP="0074432E">
            <w:pPr>
              <w:spacing w:line="360" w:lineRule="auto"/>
              <w:rPr>
                <w:rFonts w:ascii="Arial" w:hAnsi="Arial" w:cs="Arial"/>
                <w:sz w:val="24"/>
                <w:szCs w:val="24"/>
              </w:rPr>
            </w:pPr>
            <w:r w:rsidRPr="0074432E">
              <w:rPr>
                <w:rFonts w:ascii="Arial" w:hAnsi="Arial" w:cs="Arial"/>
                <w:sz w:val="24"/>
                <w:szCs w:val="24"/>
              </w:rPr>
              <w:t>R</w:t>
            </w:r>
            <w:r w:rsidR="00B758F3" w:rsidRPr="0074432E">
              <w:rPr>
                <w:rFonts w:ascii="Arial" w:hAnsi="Arial" w:cs="Arial"/>
                <w:sz w:val="24"/>
                <w:szCs w:val="24"/>
              </w:rPr>
              <w:t xml:space="preserve">evenue / </w:t>
            </w:r>
            <w:r w:rsidR="000F6B09" w:rsidRPr="0074432E">
              <w:rPr>
                <w:rFonts w:ascii="Arial" w:hAnsi="Arial" w:cs="Arial"/>
                <w:sz w:val="24"/>
                <w:szCs w:val="24"/>
              </w:rPr>
              <w:t xml:space="preserve">Total </w:t>
            </w:r>
            <w:r w:rsidR="0067156D" w:rsidRPr="0074432E">
              <w:rPr>
                <w:rFonts w:ascii="Arial" w:hAnsi="Arial" w:cs="Arial"/>
                <w:sz w:val="24"/>
                <w:szCs w:val="24"/>
              </w:rPr>
              <w:t>A</w:t>
            </w:r>
            <w:r w:rsidR="000F6B09" w:rsidRPr="0074432E">
              <w:rPr>
                <w:rFonts w:ascii="Arial" w:hAnsi="Arial" w:cs="Arial"/>
                <w:sz w:val="24"/>
                <w:szCs w:val="24"/>
              </w:rPr>
              <w:t>ssets</w:t>
            </w:r>
            <w:r w:rsidR="0067156D" w:rsidRPr="0074432E">
              <w:rPr>
                <w:rFonts w:ascii="Arial" w:hAnsi="Arial" w:cs="Arial"/>
                <w:sz w:val="24"/>
                <w:szCs w:val="24"/>
              </w:rPr>
              <w:t xml:space="preserve"> = Asset turnover</w:t>
            </w:r>
          </w:p>
        </w:tc>
      </w:tr>
      <w:tr w:rsidR="007B57E6" w:rsidRPr="0074432E" w14:paraId="648E538B" w14:textId="77777777" w:rsidTr="00124A42">
        <w:tc>
          <w:tcPr>
            <w:tcW w:w="2254" w:type="dxa"/>
          </w:tcPr>
          <w:p w14:paraId="657A8F52" w14:textId="67696F00" w:rsidR="007B57E6" w:rsidRPr="0074432E" w:rsidRDefault="00A46AEA" w:rsidP="0074432E">
            <w:pPr>
              <w:spacing w:line="360" w:lineRule="auto"/>
              <w:jc w:val="center"/>
              <w:rPr>
                <w:rFonts w:ascii="Arial" w:hAnsi="Arial" w:cs="Arial"/>
                <w:sz w:val="24"/>
                <w:szCs w:val="24"/>
              </w:rPr>
            </w:pPr>
            <w:r w:rsidRPr="0074432E">
              <w:rPr>
                <w:rFonts w:ascii="Arial" w:hAnsi="Arial" w:cs="Arial"/>
                <w:sz w:val="24"/>
                <w:szCs w:val="24"/>
              </w:rPr>
              <w:t>Stock holding days</w:t>
            </w:r>
          </w:p>
        </w:tc>
        <w:tc>
          <w:tcPr>
            <w:tcW w:w="1710" w:type="dxa"/>
          </w:tcPr>
          <w:p w14:paraId="29D91C19" w14:textId="360A35E3" w:rsidR="007B57E6" w:rsidRPr="0074432E" w:rsidRDefault="00522E1B" w:rsidP="0074432E">
            <w:pPr>
              <w:spacing w:line="360" w:lineRule="auto"/>
              <w:jc w:val="center"/>
              <w:rPr>
                <w:rFonts w:ascii="Arial" w:hAnsi="Arial" w:cs="Arial"/>
                <w:sz w:val="24"/>
                <w:szCs w:val="24"/>
              </w:rPr>
            </w:pPr>
            <w:r w:rsidRPr="0074432E">
              <w:rPr>
                <w:rFonts w:ascii="Arial" w:hAnsi="Arial" w:cs="Arial"/>
                <w:sz w:val="24"/>
                <w:szCs w:val="24"/>
              </w:rPr>
              <w:t>77.69</w:t>
            </w:r>
            <w:r w:rsidR="007E51F9" w:rsidRPr="0074432E">
              <w:rPr>
                <w:rFonts w:ascii="Arial" w:hAnsi="Arial" w:cs="Arial"/>
                <w:sz w:val="24"/>
                <w:szCs w:val="24"/>
              </w:rPr>
              <w:t xml:space="preserve"> days</w:t>
            </w:r>
          </w:p>
        </w:tc>
        <w:tc>
          <w:tcPr>
            <w:tcW w:w="1843" w:type="dxa"/>
          </w:tcPr>
          <w:p w14:paraId="0917C6B9" w14:textId="36409D1A" w:rsidR="007B57E6" w:rsidRPr="0074432E" w:rsidRDefault="00882E12" w:rsidP="0074432E">
            <w:pPr>
              <w:spacing w:line="360" w:lineRule="auto"/>
              <w:jc w:val="center"/>
              <w:rPr>
                <w:rFonts w:ascii="Arial" w:hAnsi="Arial" w:cs="Arial"/>
                <w:sz w:val="24"/>
                <w:szCs w:val="24"/>
              </w:rPr>
            </w:pPr>
            <w:r w:rsidRPr="0074432E">
              <w:rPr>
                <w:rFonts w:ascii="Arial" w:hAnsi="Arial" w:cs="Arial"/>
                <w:sz w:val="24"/>
                <w:szCs w:val="24"/>
              </w:rPr>
              <w:t>79.88</w:t>
            </w:r>
            <w:r w:rsidR="007E51F9" w:rsidRPr="0074432E">
              <w:rPr>
                <w:rFonts w:ascii="Arial" w:hAnsi="Arial" w:cs="Arial"/>
                <w:sz w:val="24"/>
                <w:szCs w:val="24"/>
              </w:rPr>
              <w:t xml:space="preserve"> days</w:t>
            </w:r>
          </w:p>
        </w:tc>
        <w:tc>
          <w:tcPr>
            <w:tcW w:w="3209" w:type="dxa"/>
          </w:tcPr>
          <w:p w14:paraId="702F604D" w14:textId="1ED35AE0" w:rsidR="007B57E6" w:rsidRPr="0074432E" w:rsidRDefault="00882E12" w:rsidP="0074432E">
            <w:pPr>
              <w:spacing w:line="360" w:lineRule="auto"/>
              <w:rPr>
                <w:rFonts w:ascii="Arial" w:hAnsi="Arial" w:cs="Arial"/>
                <w:sz w:val="24"/>
                <w:szCs w:val="24"/>
              </w:rPr>
            </w:pPr>
            <w:r w:rsidRPr="0074432E">
              <w:rPr>
                <w:rFonts w:ascii="Arial" w:hAnsi="Arial" w:cs="Arial"/>
                <w:sz w:val="24"/>
                <w:szCs w:val="24"/>
              </w:rPr>
              <w:t>(</w:t>
            </w:r>
            <w:r w:rsidR="00D76508" w:rsidRPr="0074432E">
              <w:rPr>
                <w:rFonts w:ascii="Arial" w:hAnsi="Arial" w:cs="Arial"/>
                <w:sz w:val="24"/>
                <w:szCs w:val="24"/>
              </w:rPr>
              <w:t>Inventory</w:t>
            </w:r>
            <w:r w:rsidRPr="0074432E">
              <w:rPr>
                <w:rFonts w:ascii="Arial" w:hAnsi="Arial" w:cs="Arial"/>
                <w:sz w:val="24"/>
                <w:szCs w:val="24"/>
              </w:rPr>
              <w:t xml:space="preserve"> / Cost of </w:t>
            </w:r>
            <w:r w:rsidR="003B1AE2" w:rsidRPr="0074432E">
              <w:rPr>
                <w:rFonts w:ascii="Arial" w:hAnsi="Arial" w:cs="Arial"/>
                <w:sz w:val="24"/>
                <w:szCs w:val="24"/>
              </w:rPr>
              <w:t>sales</w:t>
            </w:r>
            <w:r w:rsidRPr="0074432E">
              <w:rPr>
                <w:rFonts w:ascii="Arial" w:hAnsi="Arial" w:cs="Arial"/>
                <w:sz w:val="24"/>
                <w:szCs w:val="24"/>
              </w:rPr>
              <w:t xml:space="preserve">) </w:t>
            </w:r>
            <w:r w:rsidR="007E51F9" w:rsidRPr="0074432E">
              <w:rPr>
                <w:rFonts w:ascii="Arial" w:hAnsi="Arial" w:cs="Arial"/>
                <w:sz w:val="24"/>
                <w:szCs w:val="24"/>
              </w:rPr>
              <w:t xml:space="preserve">* 365 days = Stock </w:t>
            </w:r>
            <w:r w:rsidR="00DE4AB8" w:rsidRPr="0074432E">
              <w:rPr>
                <w:rFonts w:ascii="Arial" w:hAnsi="Arial" w:cs="Arial"/>
                <w:sz w:val="24"/>
                <w:szCs w:val="24"/>
              </w:rPr>
              <w:t>holding days</w:t>
            </w:r>
          </w:p>
        </w:tc>
      </w:tr>
      <w:tr w:rsidR="007B57E6" w:rsidRPr="0074432E" w14:paraId="3F26228D" w14:textId="77777777" w:rsidTr="00124A42">
        <w:tc>
          <w:tcPr>
            <w:tcW w:w="2254" w:type="dxa"/>
          </w:tcPr>
          <w:p w14:paraId="54551512" w14:textId="6B9897DA" w:rsidR="007B57E6" w:rsidRPr="0074432E" w:rsidRDefault="00CF5ECE" w:rsidP="0074432E">
            <w:pPr>
              <w:spacing w:line="360" w:lineRule="auto"/>
              <w:jc w:val="center"/>
              <w:rPr>
                <w:rFonts w:ascii="Arial" w:hAnsi="Arial" w:cs="Arial"/>
                <w:sz w:val="24"/>
                <w:szCs w:val="24"/>
              </w:rPr>
            </w:pPr>
            <w:r w:rsidRPr="0074432E">
              <w:rPr>
                <w:rFonts w:ascii="Arial" w:hAnsi="Arial" w:cs="Arial"/>
                <w:sz w:val="24"/>
                <w:szCs w:val="24"/>
              </w:rPr>
              <w:t>Debtors collection period</w:t>
            </w:r>
          </w:p>
        </w:tc>
        <w:tc>
          <w:tcPr>
            <w:tcW w:w="1710" w:type="dxa"/>
          </w:tcPr>
          <w:p w14:paraId="5F1637B7" w14:textId="3B578BD2" w:rsidR="007B57E6" w:rsidRPr="0074432E" w:rsidRDefault="00432ADF" w:rsidP="0074432E">
            <w:pPr>
              <w:spacing w:line="360" w:lineRule="auto"/>
              <w:jc w:val="center"/>
              <w:rPr>
                <w:rFonts w:ascii="Arial" w:hAnsi="Arial" w:cs="Arial"/>
                <w:sz w:val="24"/>
                <w:szCs w:val="24"/>
              </w:rPr>
            </w:pPr>
            <w:r w:rsidRPr="0074432E">
              <w:rPr>
                <w:rFonts w:ascii="Arial" w:hAnsi="Arial" w:cs="Arial"/>
                <w:sz w:val="24"/>
                <w:szCs w:val="24"/>
              </w:rPr>
              <w:t>72.93</w:t>
            </w:r>
            <w:r w:rsidR="00571BE2" w:rsidRPr="0074432E">
              <w:rPr>
                <w:rFonts w:ascii="Arial" w:hAnsi="Arial" w:cs="Arial"/>
                <w:sz w:val="24"/>
                <w:szCs w:val="24"/>
              </w:rPr>
              <w:t xml:space="preserve"> days</w:t>
            </w:r>
          </w:p>
        </w:tc>
        <w:tc>
          <w:tcPr>
            <w:tcW w:w="1843" w:type="dxa"/>
          </w:tcPr>
          <w:p w14:paraId="7264620F" w14:textId="481ED748" w:rsidR="007B57E6" w:rsidRPr="0074432E" w:rsidRDefault="00432ADF" w:rsidP="0074432E">
            <w:pPr>
              <w:spacing w:line="360" w:lineRule="auto"/>
              <w:jc w:val="center"/>
              <w:rPr>
                <w:rFonts w:ascii="Arial" w:hAnsi="Arial" w:cs="Arial"/>
                <w:sz w:val="24"/>
                <w:szCs w:val="24"/>
              </w:rPr>
            </w:pPr>
            <w:r w:rsidRPr="0074432E">
              <w:rPr>
                <w:rFonts w:ascii="Arial" w:hAnsi="Arial" w:cs="Arial"/>
                <w:sz w:val="24"/>
                <w:szCs w:val="24"/>
              </w:rPr>
              <w:t>67.66</w:t>
            </w:r>
            <w:r w:rsidR="00571BE2" w:rsidRPr="0074432E">
              <w:rPr>
                <w:rFonts w:ascii="Arial" w:hAnsi="Arial" w:cs="Arial"/>
                <w:sz w:val="24"/>
                <w:szCs w:val="24"/>
              </w:rPr>
              <w:t xml:space="preserve"> days</w:t>
            </w:r>
          </w:p>
        </w:tc>
        <w:tc>
          <w:tcPr>
            <w:tcW w:w="3209" w:type="dxa"/>
          </w:tcPr>
          <w:p w14:paraId="1012DFF3" w14:textId="2B846275" w:rsidR="007B57E6" w:rsidRPr="0074432E" w:rsidRDefault="00432ADF" w:rsidP="0074432E">
            <w:pPr>
              <w:spacing w:line="360" w:lineRule="auto"/>
              <w:rPr>
                <w:rFonts w:ascii="Arial" w:hAnsi="Arial" w:cs="Arial"/>
                <w:sz w:val="24"/>
                <w:szCs w:val="24"/>
              </w:rPr>
            </w:pPr>
            <w:r w:rsidRPr="0074432E">
              <w:rPr>
                <w:rFonts w:ascii="Arial" w:hAnsi="Arial" w:cs="Arial"/>
                <w:sz w:val="24"/>
                <w:szCs w:val="24"/>
              </w:rPr>
              <w:t>(</w:t>
            </w:r>
            <w:r w:rsidR="006E01B2" w:rsidRPr="0074432E">
              <w:rPr>
                <w:rFonts w:ascii="Arial" w:hAnsi="Arial" w:cs="Arial"/>
                <w:sz w:val="24"/>
                <w:szCs w:val="24"/>
              </w:rPr>
              <w:t>Trade re</w:t>
            </w:r>
            <w:r w:rsidR="00A80B53" w:rsidRPr="0074432E">
              <w:rPr>
                <w:rFonts w:ascii="Arial" w:hAnsi="Arial" w:cs="Arial"/>
                <w:sz w:val="24"/>
                <w:szCs w:val="24"/>
              </w:rPr>
              <w:t>ceivable</w:t>
            </w:r>
            <w:r w:rsidR="007E0D9B" w:rsidRPr="0074432E">
              <w:rPr>
                <w:rFonts w:ascii="Arial" w:hAnsi="Arial" w:cs="Arial"/>
                <w:sz w:val="24"/>
                <w:szCs w:val="24"/>
              </w:rPr>
              <w:t xml:space="preserve"> / </w:t>
            </w:r>
            <w:r w:rsidR="001614B1" w:rsidRPr="0074432E">
              <w:rPr>
                <w:rFonts w:ascii="Arial" w:hAnsi="Arial" w:cs="Arial"/>
                <w:sz w:val="24"/>
                <w:szCs w:val="24"/>
              </w:rPr>
              <w:t>C</w:t>
            </w:r>
            <w:r w:rsidR="007E0D9B" w:rsidRPr="0074432E">
              <w:rPr>
                <w:rFonts w:ascii="Arial" w:hAnsi="Arial" w:cs="Arial"/>
                <w:sz w:val="24"/>
                <w:szCs w:val="24"/>
              </w:rPr>
              <w:t xml:space="preserve">redit sales) </w:t>
            </w:r>
            <w:r w:rsidR="00132D9B" w:rsidRPr="0074432E">
              <w:rPr>
                <w:rFonts w:ascii="Arial" w:hAnsi="Arial" w:cs="Arial"/>
                <w:sz w:val="24"/>
                <w:szCs w:val="24"/>
              </w:rPr>
              <w:t xml:space="preserve">* 365 days = Debtor collection period </w:t>
            </w:r>
          </w:p>
        </w:tc>
      </w:tr>
      <w:tr w:rsidR="007B57E6" w:rsidRPr="0074432E" w14:paraId="16C55055" w14:textId="77777777" w:rsidTr="00124A42">
        <w:tc>
          <w:tcPr>
            <w:tcW w:w="2254" w:type="dxa"/>
          </w:tcPr>
          <w:p w14:paraId="21953186" w14:textId="45E3F857" w:rsidR="007B57E6" w:rsidRPr="0074432E" w:rsidRDefault="00AF7ADE" w:rsidP="0074432E">
            <w:pPr>
              <w:spacing w:line="360" w:lineRule="auto"/>
              <w:jc w:val="center"/>
              <w:rPr>
                <w:rFonts w:ascii="Arial" w:hAnsi="Arial" w:cs="Arial"/>
                <w:sz w:val="24"/>
                <w:szCs w:val="24"/>
              </w:rPr>
            </w:pPr>
            <w:r w:rsidRPr="0074432E">
              <w:rPr>
                <w:rFonts w:ascii="Arial" w:hAnsi="Arial" w:cs="Arial"/>
                <w:sz w:val="24"/>
                <w:szCs w:val="24"/>
              </w:rPr>
              <w:t>Current ratio</w:t>
            </w:r>
          </w:p>
        </w:tc>
        <w:tc>
          <w:tcPr>
            <w:tcW w:w="1710" w:type="dxa"/>
          </w:tcPr>
          <w:p w14:paraId="73999933" w14:textId="4AE6EA66" w:rsidR="007B57E6" w:rsidRPr="0074432E" w:rsidRDefault="005951CC" w:rsidP="0074432E">
            <w:pPr>
              <w:spacing w:line="360" w:lineRule="auto"/>
              <w:jc w:val="center"/>
              <w:rPr>
                <w:rFonts w:ascii="Arial" w:hAnsi="Arial" w:cs="Arial"/>
                <w:sz w:val="24"/>
                <w:szCs w:val="24"/>
              </w:rPr>
            </w:pPr>
            <w:r w:rsidRPr="0074432E">
              <w:rPr>
                <w:rFonts w:ascii="Arial" w:hAnsi="Arial" w:cs="Arial"/>
                <w:sz w:val="24"/>
                <w:szCs w:val="24"/>
              </w:rPr>
              <w:t>0.77</w:t>
            </w:r>
          </w:p>
        </w:tc>
        <w:tc>
          <w:tcPr>
            <w:tcW w:w="1843" w:type="dxa"/>
          </w:tcPr>
          <w:p w14:paraId="66972A38" w14:textId="6321C492" w:rsidR="007B57E6" w:rsidRPr="0074432E" w:rsidRDefault="004E012E" w:rsidP="0074432E">
            <w:pPr>
              <w:spacing w:line="360" w:lineRule="auto"/>
              <w:jc w:val="center"/>
              <w:rPr>
                <w:rFonts w:ascii="Arial" w:hAnsi="Arial" w:cs="Arial"/>
                <w:sz w:val="24"/>
                <w:szCs w:val="24"/>
              </w:rPr>
            </w:pPr>
            <w:r w:rsidRPr="0074432E">
              <w:rPr>
                <w:rFonts w:ascii="Arial" w:hAnsi="Arial" w:cs="Arial"/>
                <w:sz w:val="24"/>
                <w:szCs w:val="24"/>
              </w:rPr>
              <w:t>0.92</w:t>
            </w:r>
          </w:p>
        </w:tc>
        <w:tc>
          <w:tcPr>
            <w:tcW w:w="3209" w:type="dxa"/>
          </w:tcPr>
          <w:p w14:paraId="503B8760" w14:textId="259279E1" w:rsidR="007B57E6" w:rsidRPr="0074432E" w:rsidRDefault="00F405A4" w:rsidP="0074432E">
            <w:pPr>
              <w:spacing w:line="360" w:lineRule="auto"/>
              <w:rPr>
                <w:rFonts w:ascii="Arial" w:hAnsi="Arial" w:cs="Arial"/>
                <w:sz w:val="24"/>
                <w:szCs w:val="24"/>
              </w:rPr>
            </w:pPr>
            <w:r w:rsidRPr="0074432E">
              <w:rPr>
                <w:rFonts w:ascii="Arial" w:hAnsi="Arial" w:cs="Arial"/>
                <w:sz w:val="24"/>
                <w:szCs w:val="24"/>
              </w:rPr>
              <w:t>Current asset</w:t>
            </w:r>
            <w:r w:rsidR="00437D09" w:rsidRPr="0074432E">
              <w:rPr>
                <w:rFonts w:ascii="Arial" w:hAnsi="Arial" w:cs="Arial"/>
                <w:sz w:val="24"/>
                <w:szCs w:val="24"/>
              </w:rPr>
              <w:t xml:space="preserve">s / Current liabilities = </w:t>
            </w:r>
            <w:r w:rsidR="00730D5E" w:rsidRPr="0074432E">
              <w:rPr>
                <w:rFonts w:ascii="Arial" w:hAnsi="Arial" w:cs="Arial"/>
                <w:sz w:val="24"/>
                <w:szCs w:val="24"/>
              </w:rPr>
              <w:t>Current ratio</w:t>
            </w:r>
          </w:p>
        </w:tc>
      </w:tr>
      <w:tr w:rsidR="007B57E6" w:rsidRPr="0074432E" w14:paraId="76468D12" w14:textId="77777777" w:rsidTr="00124A42">
        <w:tc>
          <w:tcPr>
            <w:tcW w:w="2254" w:type="dxa"/>
          </w:tcPr>
          <w:p w14:paraId="379F3017" w14:textId="023A90D6" w:rsidR="007B57E6" w:rsidRPr="0074432E" w:rsidRDefault="00AF7ADE" w:rsidP="0074432E">
            <w:pPr>
              <w:spacing w:line="360" w:lineRule="auto"/>
              <w:jc w:val="center"/>
              <w:rPr>
                <w:rFonts w:ascii="Arial" w:hAnsi="Arial" w:cs="Arial"/>
                <w:sz w:val="24"/>
                <w:szCs w:val="24"/>
              </w:rPr>
            </w:pPr>
            <w:r w:rsidRPr="0074432E">
              <w:rPr>
                <w:rFonts w:ascii="Arial" w:hAnsi="Arial" w:cs="Arial"/>
                <w:sz w:val="24"/>
                <w:szCs w:val="24"/>
              </w:rPr>
              <w:t>Gearing ratio</w:t>
            </w:r>
          </w:p>
        </w:tc>
        <w:tc>
          <w:tcPr>
            <w:tcW w:w="1710" w:type="dxa"/>
          </w:tcPr>
          <w:p w14:paraId="7104B214" w14:textId="3EA6D0CD" w:rsidR="007B57E6" w:rsidRPr="0074432E" w:rsidRDefault="00B448B4" w:rsidP="0074432E">
            <w:pPr>
              <w:spacing w:line="360" w:lineRule="auto"/>
              <w:jc w:val="center"/>
              <w:rPr>
                <w:rFonts w:ascii="Arial" w:hAnsi="Arial" w:cs="Arial"/>
                <w:sz w:val="24"/>
                <w:szCs w:val="24"/>
              </w:rPr>
            </w:pPr>
            <w:r w:rsidRPr="0074432E">
              <w:rPr>
                <w:rFonts w:ascii="Arial" w:hAnsi="Arial" w:cs="Arial"/>
                <w:sz w:val="24"/>
                <w:szCs w:val="24"/>
              </w:rPr>
              <w:t>58</w:t>
            </w:r>
            <w:r w:rsidR="00475624" w:rsidRPr="0074432E">
              <w:rPr>
                <w:rFonts w:ascii="Arial" w:hAnsi="Arial" w:cs="Arial"/>
                <w:sz w:val="24"/>
                <w:szCs w:val="24"/>
              </w:rPr>
              <w:t>.64%</w:t>
            </w:r>
          </w:p>
        </w:tc>
        <w:tc>
          <w:tcPr>
            <w:tcW w:w="1843" w:type="dxa"/>
          </w:tcPr>
          <w:p w14:paraId="5C308D4B" w14:textId="2E96B1C7" w:rsidR="007B57E6" w:rsidRPr="0074432E" w:rsidRDefault="00FA6412" w:rsidP="0074432E">
            <w:pPr>
              <w:spacing w:line="360" w:lineRule="auto"/>
              <w:jc w:val="center"/>
              <w:rPr>
                <w:rFonts w:ascii="Arial" w:hAnsi="Arial" w:cs="Arial"/>
                <w:sz w:val="24"/>
                <w:szCs w:val="24"/>
              </w:rPr>
            </w:pPr>
            <w:r w:rsidRPr="0074432E">
              <w:rPr>
                <w:rFonts w:ascii="Arial" w:hAnsi="Arial" w:cs="Arial"/>
                <w:sz w:val="24"/>
                <w:szCs w:val="24"/>
              </w:rPr>
              <w:t>57</w:t>
            </w:r>
            <w:r w:rsidR="004B746A" w:rsidRPr="0074432E">
              <w:rPr>
                <w:rFonts w:ascii="Arial" w:hAnsi="Arial" w:cs="Arial"/>
                <w:sz w:val="24"/>
                <w:szCs w:val="24"/>
              </w:rPr>
              <w:t>.26%</w:t>
            </w:r>
          </w:p>
        </w:tc>
        <w:tc>
          <w:tcPr>
            <w:tcW w:w="3209" w:type="dxa"/>
          </w:tcPr>
          <w:p w14:paraId="4DA962F7" w14:textId="1772880F" w:rsidR="007B57E6" w:rsidRPr="0074432E" w:rsidRDefault="005F3F9E" w:rsidP="0074432E">
            <w:pPr>
              <w:spacing w:line="360" w:lineRule="auto"/>
              <w:rPr>
                <w:rFonts w:ascii="Arial" w:hAnsi="Arial" w:cs="Arial"/>
                <w:sz w:val="24"/>
                <w:szCs w:val="24"/>
              </w:rPr>
            </w:pPr>
            <w:r w:rsidRPr="0074432E">
              <w:rPr>
                <w:rFonts w:ascii="Arial" w:hAnsi="Arial" w:cs="Arial"/>
                <w:sz w:val="24"/>
                <w:szCs w:val="24"/>
              </w:rPr>
              <w:t>[</w:t>
            </w:r>
            <w:r w:rsidR="000D34A3" w:rsidRPr="0074432E">
              <w:rPr>
                <w:rFonts w:ascii="Arial" w:hAnsi="Arial" w:cs="Arial"/>
                <w:sz w:val="24"/>
                <w:szCs w:val="24"/>
              </w:rPr>
              <w:t>Non-current liabilities / (</w:t>
            </w:r>
            <w:r w:rsidR="003F5688" w:rsidRPr="0074432E">
              <w:rPr>
                <w:rFonts w:ascii="Arial" w:hAnsi="Arial" w:cs="Arial"/>
                <w:sz w:val="24"/>
                <w:szCs w:val="24"/>
              </w:rPr>
              <w:t>Equity</w:t>
            </w:r>
            <w:r w:rsidR="009D6BFB" w:rsidRPr="0074432E">
              <w:rPr>
                <w:rFonts w:ascii="Arial" w:hAnsi="Arial" w:cs="Arial"/>
                <w:sz w:val="24"/>
                <w:szCs w:val="24"/>
              </w:rPr>
              <w:t xml:space="preserve"> + Non-current liabilities)</w:t>
            </w:r>
            <w:r w:rsidRPr="0074432E">
              <w:rPr>
                <w:rFonts w:ascii="Arial" w:hAnsi="Arial" w:cs="Arial"/>
                <w:sz w:val="24"/>
                <w:szCs w:val="24"/>
              </w:rPr>
              <w:t>] *</w:t>
            </w:r>
            <w:r w:rsidR="00625F8F" w:rsidRPr="0074432E">
              <w:rPr>
                <w:rFonts w:ascii="Arial" w:hAnsi="Arial" w:cs="Arial"/>
                <w:sz w:val="24"/>
                <w:szCs w:val="24"/>
              </w:rPr>
              <w:t xml:space="preserve"> 100% = Gearing ratio</w:t>
            </w:r>
            <w:r w:rsidR="000D34A3" w:rsidRPr="0074432E">
              <w:rPr>
                <w:rFonts w:ascii="Arial" w:hAnsi="Arial" w:cs="Arial"/>
                <w:sz w:val="24"/>
                <w:szCs w:val="24"/>
              </w:rPr>
              <w:t xml:space="preserve"> </w:t>
            </w:r>
          </w:p>
        </w:tc>
      </w:tr>
      <w:tr w:rsidR="007B57E6" w:rsidRPr="0074432E" w14:paraId="20D9D5C8" w14:textId="77777777" w:rsidTr="00124A42">
        <w:tc>
          <w:tcPr>
            <w:tcW w:w="2254" w:type="dxa"/>
          </w:tcPr>
          <w:p w14:paraId="40C41629" w14:textId="7E1BA85F" w:rsidR="007B57E6" w:rsidRPr="0074432E" w:rsidRDefault="00AF7ADE" w:rsidP="0074432E">
            <w:pPr>
              <w:spacing w:line="360" w:lineRule="auto"/>
              <w:jc w:val="center"/>
              <w:rPr>
                <w:rFonts w:ascii="Arial" w:hAnsi="Arial" w:cs="Arial"/>
                <w:sz w:val="24"/>
                <w:szCs w:val="24"/>
              </w:rPr>
            </w:pPr>
            <w:r w:rsidRPr="0074432E">
              <w:rPr>
                <w:rFonts w:ascii="Arial" w:hAnsi="Arial" w:cs="Arial"/>
                <w:sz w:val="24"/>
                <w:szCs w:val="24"/>
              </w:rPr>
              <w:t>Interest cover</w:t>
            </w:r>
          </w:p>
        </w:tc>
        <w:tc>
          <w:tcPr>
            <w:tcW w:w="1710" w:type="dxa"/>
          </w:tcPr>
          <w:p w14:paraId="3D92F4CB" w14:textId="18A54125" w:rsidR="007B57E6" w:rsidRPr="0074432E" w:rsidRDefault="006D5A88" w:rsidP="0074432E">
            <w:pPr>
              <w:spacing w:line="360" w:lineRule="auto"/>
              <w:jc w:val="center"/>
              <w:rPr>
                <w:rFonts w:ascii="Arial" w:hAnsi="Arial" w:cs="Arial"/>
                <w:sz w:val="24"/>
                <w:szCs w:val="24"/>
              </w:rPr>
            </w:pPr>
            <w:r w:rsidRPr="0074432E">
              <w:rPr>
                <w:rFonts w:ascii="Arial" w:hAnsi="Arial" w:cs="Arial"/>
                <w:sz w:val="24"/>
                <w:szCs w:val="24"/>
              </w:rPr>
              <w:t>3.86</w:t>
            </w:r>
          </w:p>
        </w:tc>
        <w:tc>
          <w:tcPr>
            <w:tcW w:w="1843" w:type="dxa"/>
          </w:tcPr>
          <w:p w14:paraId="49C5D7AD" w14:textId="3B47424B" w:rsidR="007B57E6" w:rsidRPr="0074432E" w:rsidRDefault="006D5A88" w:rsidP="0074432E">
            <w:pPr>
              <w:spacing w:line="360" w:lineRule="auto"/>
              <w:jc w:val="center"/>
              <w:rPr>
                <w:rFonts w:ascii="Arial" w:hAnsi="Arial" w:cs="Arial"/>
                <w:sz w:val="24"/>
                <w:szCs w:val="24"/>
              </w:rPr>
            </w:pPr>
            <w:r w:rsidRPr="0074432E">
              <w:rPr>
                <w:rFonts w:ascii="Arial" w:hAnsi="Arial" w:cs="Arial"/>
                <w:sz w:val="24"/>
                <w:szCs w:val="24"/>
              </w:rPr>
              <w:t>3.56</w:t>
            </w:r>
          </w:p>
        </w:tc>
        <w:tc>
          <w:tcPr>
            <w:tcW w:w="3209" w:type="dxa"/>
          </w:tcPr>
          <w:p w14:paraId="45EFF013" w14:textId="00652B39" w:rsidR="007B57E6" w:rsidRPr="0074432E" w:rsidRDefault="005A3751" w:rsidP="0074432E">
            <w:pPr>
              <w:spacing w:line="360" w:lineRule="auto"/>
              <w:rPr>
                <w:rFonts w:ascii="Arial" w:hAnsi="Arial" w:cs="Arial"/>
                <w:sz w:val="24"/>
                <w:szCs w:val="24"/>
              </w:rPr>
            </w:pPr>
            <w:r w:rsidRPr="0074432E">
              <w:rPr>
                <w:rFonts w:ascii="Arial" w:hAnsi="Arial" w:cs="Arial"/>
                <w:sz w:val="24"/>
                <w:szCs w:val="24"/>
              </w:rPr>
              <w:t>Operating profit / Interest payable = Interest cover</w:t>
            </w:r>
          </w:p>
        </w:tc>
      </w:tr>
    </w:tbl>
    <w:p w14:paraId="161E264C" w14:textId="77777777" w:rsidR="003A7421" w:rsidRPr="0074432E" w:rsidRDefault="003A7421" w:rsidP="0074432E">
      <w:pPr>
        <w:spacing w:line="360" w:lineRule="auto"/>
        <w:rPr>
          <w:rFonts w:ascii="Arial" w:hAnsi="Arial" w:cs="Arial"/>
          <w:sz w:val="24"/>
          <w:szCs w:val="24"/>
        </w:rPr>
      </w:pPr>
    </w:p>
    <w:p w14:paraId="69920ACB" w14:textId="77777777" w:rsidR="00F84AEE" w:rsidRPr="0074432E" w:rsidRDefault="00F84AEE" w:rsidP="0074432E">
      <w:pPr>
        <w:spacing w:line="360" w:lineRule="auto"/>
        <w:rPr>
          <w:rFonts w:ascii="Arial" w:hAnsi="Arial" w:cs="Arial"/>
          <w:sz w:val="24"/>
          <w:szCs w:val="24"/>
        </w:rPr>
      </w:pPr>
    </w:p>
    <w:p w14:paraId="73BCE580" w14:textId="7C9D0C24" w:rsidR="00F84AEE" w:rsidRPr="0074432E" w:rsidRDefault="00C6304B" w:rsidP="0074432E">
      <w:pPr>
        <w:pStyle w:val="Heading2"/>
        <w:spacing w:line="360" w:lineRule="auto"/>
        <w:rPr>
          <w:rFonts w:ascii="Arial" w:hAnsi="Arial" w:cs="Arial"/>
          <w:i/>
          <w:iCs/>
        </w:rPr>
      </w:pPr>
      <w:bookmarkStart w:id="5" w:name="_Toc153487213"/>
      <w:r w:rsidRPr="0074432E">
        <w:rPr>
          <w:rFonts w:ascii="Arial" w:hAnsi="Arial" w:cs="Arial"/>
          <w:i/>
          <w:iCs/>
        </w:rPr>
        <w:lastRenderedPageBreak/>
        <w:t>Workings</w:t>
      </w:r>
      <w:bookmarkEnd w:id="5"/>
    </w:p>
    <w:p w14:paraId="33718B1E" w14:textId="77777777" w:rsidR="00C700CF" w:rsidRPr="0074432E" w:rsidRDefault="00C700CF" w:rsidP="0074432E">
      <w:pPr>
        <w:spacing w:line="360" w:lineRule="auto"/>
        <w:rPr>
          <w:rFonts w:ascii="Arial" w:hAnsi="Arial" w:cs="Arial"/>
        </w:rPr>
      </w:pPr>
    </w:p>
    <w:p w14:paraId="0A463507" w14:textId="7887BB6C" w:rsidR="009B7E64" w:rsidRPr="0074432E" w:rsidRDefault="007A53BC" w:rsidP="0074432E">
      <w:pPr>
        <w:spacing w:line="360" w:lineRule="auto"/>
        <w:rPr>
          <w:rFonts w:ascii="Arial" w:hAnsi="Arial" w:cs="Arial"/>
          <w:sz w:val="24"/>
          <w:szCs w:val="24"/>
        </w:rPr>
      </w:pPr>
      <w:r w:rsidRPr="0074432E">
        <w:rPr>
          <w:rFonts w:ascii="Arial" w:hAnsi="Arial" w:cs="Arial"/>
          <w:b/>
          <w:bCs/>
          <w:sz w:val="24"/>
          <w:szCs w:val="24"/>
        </w:rPr>
        <w:t>Return on Capital Employed (ROCE)</w:t>
      </w:r>
      <w:r w:rsidRPr="0074432E">
        <w:rPr>
          <w:rFonts w:ascii="Arial" w:hAnsi="Arial" w:cs="Arial"/>
          <w:sz w:val="24"/>
          <w:szCs w:val="24"/>
        </w:rPr>
        <w:t>, known as a profitability ratio, assesses the effectiveness with which a company utilises its capital to generate earnings</w:t>
      </w:r>
      <w:r w:rsidR="00E33BA3" w:rsidRPr="0074432E">
        <w:rPr>
          <w:rFonts w:ascii="Arial" w:hAnsi="Arial" w:cs="Arial"/>
          <w:sz w:val="24"/>
          <w:szCs w:val="24"/>
        </w:rPr>
        <w:t xml:space="preserve"> (CFI Education Inc., 2023)</w:t>
      </w:r>
      <w:r w:rsidRPr="0074432E">
        <w:rPr>
          <w:rFonts w:ascii="Arial" w:hAnsi="Arial" w:cs="Arial"/>
          <w:sz w:val="24"/>
          <w:szCs w:val="24"/>
        </w:rPr>
        <w:t>.</w:t>
      </w:r>
      <w:r w:rsidR="001D34C5" w:rsidRPr="0074432E">
        <w:rPr>
          <w:rFonts w:ascii="Arial" w:hAnsi="Arial" w:cs="Arial"/>
          <w:sz w:val="24"/>
          <w:szCs w:val="24"/>
        </w:rPr>
        <w:t xml:space="preserve"> The ROCE for Sweets plc is:</w:t>
      </w:r>
    </w:p>
    <w:p w14:paraId="3D321C05" w14:textId="7DA35059" w:rsidR="001D34C5" w:rsidRPr="0074432E" w:rsidRDefault="001D34C5" w:rsidP="0074432E">
      <w:pPr>
        <w:spacing w:line="360" w:lineRule="auto"/>
        <w:jc w:val="center"/>
        <w:rPr>
          <w:rFonts w:ascii="Arial" w:hAnsi="Arial" w:cs="Arial"/>
          <w:sz w:val="24"/>
          <w:szCs w:val="24"/>
        </w:rPr>
      </w:pPr>
      <w:r w:rsidRPr="0074432E">
        <w:rPr>
          <w:rFonts w:ascii="Arial" w:hAnsi="Arial" w:cs="Arial"/>
          <w:sz w:val="24"/>
          <w:szCs w:val="24"/>
        </w:rPr>
        <w:t>2021 year “</w:t>
      </w:r>
      <w:r w:rsidR="00543F19" w:rsidRPr="0074432E">
        <w:rPr>
          <w:rFonts w:ascii="Arial" w:hAnsi="Arial" w:cs="Arial"/>
          <w:sz w:val="24"/>
          <w:szCs w:val="24"/>
        </w:rPr>
        <w:t>[539 / (10</w:t>
      </w:r>
      <w:r w:rsidR="008D54C9" w:rsidRPr="0074432E">
        <w:rPr>
          <w:rFonts w:ascii="Arial" w:hAnsi="Arial" w:cs="Arial"/>
          <w:sz w:val="24"/>
          <w:szCs w:val="24"/>
        </w:rPr>
        <w:t xml:space="preserve">,087 </w:t>
      </w:r>
      <w:r w:rsidR="008022EB" w:rsidRPr="0074432E">
        <w:rPr>
          <w:rFonts w:ascii="Arial" w:hAnsi="Arial" w:cs="Arial"/>
          <w:sz w:val="24"/>
          <w:szCs w:val="24"/>
        </w:rPr>
        <w:t>–</w:t>
      </w:r>
      <w:r w:rsidR="008D54C9" w:rsidRPr="0074432E">
        <w:rPr>
          <w:rFonts w:ascii="Arial" w:hAnsi="Arial" w:cs="Arial"/>
          <w:sz w:val="24"/>
          <w:szCs w:val="24"/>
        </w:rPr>
        <w:t xml:space="preserve"> 3</w:t>
      </w:r>
      <w:r w:rsidR="008022EB" w:rsidRPr="0074432E">
        <w:rPr>
          <w:rFonts w:ascii="Arial" w:hAnsi="Arial" w:cs="Arial"/>
          <w:sz w:val="24"/>
          <w:szCs w:val="24"/>
        </w:rPr>
        <w:t>,</w:t>
      </w:r>
      <w:r w:rsidR="008D54C9" w:rsidRPr="0074432E">
        <w:rPr>
          <w:rFonts w:ascii="Arial" w:hAnsi="Arial" w:cs="Arial"/>
          <w:sz w:val="24"/>
          <w:szCs w:val="24"/>
        </w:rPr>
        <w:t>046</w:t>
      </w:r>
      <w:r w:rsidR="008022EB" w:rsidRPr="0074432E">
        <w:rPr>
          <w:rFonts w:ascii="Arial" w:hAnsi="Arial" w:cs="Arial"/>
          <w:sz w:val="24"/>
          <w:szCs w:val="24"/>
        </w:rPr>
        <w:t>)] * 100% = 7.66%</w:t>
      </w:r>
      <w:r w:rsidR="00CD6433" w:rsidRPr="0074432E">
        <w:rPr>
          <w:rFonts w:ascii="Arial" w:hAnsi="Arial" w:cs="Arial"/>
          <w:sz w:val="24"/>
          <w:szCs w:val="24"/>
        </w:rPr>
        <w:t>”</w:t>
      </w:r>
    </w:p>
    <w:p w14:paraId="7867AD6A" w14:textId="1E0BFDBE" w:rsidR="008022EB" w:rsidRPr="0074432E" w:rsidRDefault="008022EB" w:rsidP="0074432E">
      <w:pPr>
        <w:spacing w:line="360" w:lineRule="auto"/>
        <w:jc w:val="center"/>
        <w:rPr>
          <w:rFonts w:ascii="Arial" w:hAnsi="Arial" w:cs="Arial"/>
          <w:sz w:val="24"/>
          <w:szCs w:val="24"/>
        </w:rPr>
      </w:pPr>
      <w:r w:rsidRPr="0074432E">
        <w:rPr>
          <w:rFonts w:ascii="Arial" w:hAnsi="Arial" w:cs="Arial"/>
          <w:sz w:val="24"/>
          <w:szCs w:val="24"/>
        </w:rPr>
        <w:t>2022 year “[</w:t>
      </w:r>
      <w:r w:rsidR="008F2D68" w:rsidRPr="0074432E">
        <w:rPr>
          <w:rFonts w:ascii="Arial" w:hAnsi="Arial" w:cs="Arial"/>
          <w:sz w:val="24"/>
          <w:szCs w:val="24"/>
        </w:rPr>
        <w:t>620</w:t>
      </w:r>
      <w:r w:rsidRPr="0074432E">
        <w:rPr>
          <w:rFonts w:ascii="Arial" w:hAnsi="Arial" w:cs="Arial"/>
          <w:sz w:val="24"/>
          <w:szCs w:val="24"/>
        </w:rPr>
        <w:t xml:space="preserve"> / (</w:t>
      </w:r>
      <w:r w:rsidR="008F2D68" w:rsidRPr="0074432E">
        <w:rPr>
          <w:rFonts w:ascii="Arial" w:hAnsi="Arial" w:cs="Arial"/>
          <w:sz w:val="24"/>
          <w:szCs w:val="24"/>
        </w:rPr>
        <w:t>9,736</w:t>
      </w:r>
      <w:r w:rsidRPr="0074432E">
        <w:rPr>
          <w:rFonts w:ascii="Arial" w:hAnsi="Arial" w:cs="Arial"/>
          <w:sz w:val="24"/>
          <w:szCs w:val="24"/>
        </w:rPr>
        <w:t xml:space="preserve"> – </w:t>
      </w:r>
      <w:r w:rsidR="008F2D68" w:rsidRPr="0074432E">
        <w:rPr>
          <w:rFonts w:ascii="Arial" w:hAnsi="Arial" w:cs="Arial"/>
          <w:sz w:val="24"/>
          <w:szCs w:val="24"/>
        </w:rPr>
        <w:t>2,511</w:t>
      </w:r>
      <w:r w:rsidRPr="0074432E">
        <w:rPr>
          <w:rFonts w:ascii="Arial" w:hAnsi="Arial" w:cs="Arial"/>
          <w:sz w:val="24"/>
          <w:szCs w:val="24"/>
        </w:rPr>
        <w:t xml:space="preserve">)] * 100% = </w:t>
      </w:r>
      <w:r w:rsidR="00830239" w:rsidRPr="0074432E">
        <w:rPr>
          <w:rFonts w:ascii="Arial" w:hAnsi="Arial" w:cs="Arial"/>
          <w:sz w:val="24"/>
          <w:szCs w:val="24"/>
        </w:rPr>
        <w:t>8.</w:t>
      </w:r>
      <w:r w:rsidR="004C0A99" w:rsidRPr="0074432E">
        <w:rPr>
          <w:rFonts w:ascii="Arial" w:hAnsi="Arial" w:cs="Arial"/>
          <w:sz w:val="24"/>
          <w:szCs w:val="24"/>
        </w:rPr>
        <w:t>58</w:t>
      </w:r>
      <w:r w:rsidRPr="0074432E">
        <w:rPr>
          <w:rFonts w:ascii="Arial" w:hAnsi="Arial" w:cs="Arial"/>
          <w:sz w:val="24"/>
          <w:szCs w:val="24"/>
        </w:rPr>
        <w:t>%</w:t>
      </w:r>
      <w:r w:rsidR="00CD6433" w:rsidRPr="0074432E">
        <w:rPr>
          <w:rFonts w:ascii="Arial" w:hAnsi="Arial" w:cs="Arial"/>
          <w:sz w:val="24"/>
          <w:szCs w:val="24"/>
        </w:rPr>
        <w:t>”</w:t>
      </w:r>
    </w:p>
    <w:p w14:paraId="5EAB9B0A" w14:textId="77777777" w:rsidR="008022EB" w:rsidRPr="0074432E" w:rsidRDefault="008022EB" w:rsidP="0074432E">
      <w:pPr>
        <w:spacing w:line="360" w:lineRule="auto"/>
        <w:jc w:val="center"/>
        <w:rPr>
          <w:rFonts w:ascii="Arial" w:hAnsi="Arial" w:cs="Arial"/>
          <w:sz w:val="24"/>
          <w:szCs w:val="24"/>
        </w:rPr>
      </w:pPr>
    </w:p>
    <w:p w14:paraId="484988B6" w14:textId="34F35ED0" w:rsidR="00157184" w:rsidRPr="0074432E" w:rsidRDefault="00157184" w:rsidP="0074432E">
      <w:pPr>
        <w:spacing w:line="360" w:lineRule="auto"/>
        <w:rPr>
          <w:rFonts w:ascii="Arial" w:hAnsi="Arial" w:cs="Arial"/>
          <w:sz w:val="24"/>
          <w:szCs w:val="24"/>
        </w:rPr>
      </w:pPr>
      <w:r w:rsidRPr="0074432E">
        <w:rPr>
          <w:rFonts w:ascii="Arial" w:hAnsi="Arial" w:cs="Arial"/>
          <w:b/>
          <w:bCs/>
          <w:sz w:val="24"/>
          <w:szCs w:val="24"/>
        </w:rPr>
        <w:t>Return on Equity (ROE)</w:t>
      </w:r>
      <w:r w:rsidRPr="0074432E">
        <w:rPr>
          <w:rFonts w:ascii="Arial" w:hAnsi="Arial" w:cs="Arial"/>
          <w:sz w:val="24"/>
          <w:szCs w:val="24"/>
        </w:rPr>
        <w:t xml:space="preserve"> quantifies a company's yearly return (net income) relative to the total value of its shareholders' equity, presented as a percentage</w:t>
      </w:r>
      <w:r w:rsidR="00DD51CF" w:rsidRPr="0074432E">
        <w:rPr>
          <w:rFonts w:ascii="Arial" w:hAnsi="Arial" w:cs="Arial"/>
          <w:sz w:val="24"/>
          <w:szCs w:val="24"/>
        </w:rPr>
        <w:t xml:space="preserve"> (CFI Education Inc., 2023)</w:t>
      </w:r>
      <w:r w:rsidRPr="0074432E">
        <w:rPr>
          <w:rFonts w:ascii="Arial" w:hAnsi="Arial" w:cs="Arial"/>
          <w:sz w:val="24"/>
          <w:szCs w:val="24"/>
        </w:rPr>
        <w:t>.</w:t>
      </w:r>
      <w:r w:rsidR="003B2E90" w:rsidRPr="0074432E">
        <w:rPr>
          <w:rFonts w:ascii="Arial" w:hAnsi="Arial" w:cs="Arial"/>
          <w:sz w:val="24"/>
          <w:szCs w:val="24"/>
        </w:rPr>
        <w:t xml:space="preserve"> </w:t>
      </w:r>
      <w:r w:rsidR="001A368C" w:rsidRPr="0074432E">
        <w:rPr>
          <w:rFonts w:ascii="Arial" w:hAnsi="Arial" w:cs="Arial"/>
          <w:sz w:val="24"/>
          <w:szCs w:val="24"/>
        </w:rPr>
        <w:t>The ROE for Sweets plc is:</w:t>
      </w:r>
    </w:p>
    <w:p w14:paraId="68B49FEE" w14:textId="3ECEA951" w:rsidR="001A368C" w:rsidRPr="0074432E" w:rsidRDefault="001A368C" w:rsidP="0074432E">
      <w:pPr>
        <w:spacing w:line="360" w:lineRule="auto"/>
        <w:jc w:val="center"/>
        <w:rPr>
          <w:rFonts w:ascii="Arial" w:hAnsi="Arial" w:cs="Arial"/>
          <w:sz w:val="24"/>
          <w:szCs w:val="24"/>
        </w:rPr>
      </w:pPr>
      <w:r w:rsidRPr="0074432E">
        <w:rPr>
          <w:rFonts w:ascii="Arial" w:hAnsi="Arial" w:cs="Arial"/>
          <w:sz w:val="24"/>
          <w:szCs w:val="24"/>
        </w:rPr>
        <w:t>2021 year “</w:t>
      </w:r>
      <w:r w:rsidR="00B52213" w:rsidRPr="0074432E">
        <w:rPr>
          <w:rFonts w:ascii="Arial" w:hAnsi="Arial" w:cs="Arial"/>
          <w:sz w:val="24"/>
          <w:szCs w:val="24"/>
        </w:rPr>
        <w:t xml:space="preserve">(366 / </w:t>
      </w:r>
      <w:r w:rsidR="0078043F" w:rsidRPr="0074432E">
        <w:rPr>
          <w:rFonts w:ascii="Arial" w:hAnsi="Arial" w:cs="Arial"/>
          <w:sz w:val="24"/>
          <w:szCs w:val="24"/>
        </w:rPr>
        <w:t>2</w:t>
      </w:r>
      <w:r w:rsidR="00F7370D" w:rsidRPr="0074432E">
        <w:rPr>
          <w:rFonts w:ascii="Arial" w:hAnsi="Arial" w:cs="Arial"/>
          <w:sz w:val="24"/>
          <w:szCs w:val="24"/>
        </w:rPr>
        <w:t>,</w:t>
      </w:r>
      <w:r w:rsidR="0078043F" w:rsidRPr="0074432E">
        <w:rPr>
          <w:rFonts w:ascii="Arial" w:hAnsi="Arial" w:cs="Arial"/>
          <w:sz w:val="24"/>
          <w:szCs w:val="24"/>
        </w:rPr>
        <w:t>912) * 100%</w:t>
      </w:r>
      <w:r w:rsidR="00461FB4" w:rsidRPr="0074432E">
        <w:rPr>
          <w:rFonts w:ascii="Arial" w:hAnsi="Arial" w:cs="Arial"/>
          <w:sz w:val="24"/>
          <w:szCs w:val="24"/>
        </w:rPr>
        <w:t xml:space="preserve"> </w:t>
      </w:r>
      <w:r w:rsidR="00BA6CAA" w:rsidRPr="0074432E">
        <w:rPr>
          <w:rFonts w:ascii="Arial" w:hAnsi="Arial" w:cs="Arial"/>
          <w:sz w:val="24"/>
          <w:szCs w:val="24"/>
        </w:rPr>
        <w:t>= 12.57%</w:t>
      </w:r>
      <w:r w:rsidR="00CD6433" w:rsidRPr="0074432E">
        <w:rPr>
          <w:rFonts w:ascii="Arial" w:hAnsi="Arial" w:cs="Arial"/>
          <w:sz w:val="24"/>
          <w:szCs w:val="24"/>
        </w:rPr>
        <w:t>”</w:t>
      </w:r>
    </w:p>
    <w:p w14:paraId="5E485D89" w14:textId="19426112" w:rsidR="001A368C" w:rsidRPr="0074432E" w:rsidRDefault="001A368C" w:rsidP="0074432E">
      <w:pPr>
        <w:spacing w:line="360" w:lineRule="auto"/>
        <w:jc w:val="center"/>
        <w:rPr>
          <w:rFonts w:ascii="Arial" w:hAnsi="Arial" w:cs="Arial"/>
          <w:sz w:val="24"/>
          <w:szCs w:val="24"/>
        </w:rPr>
      </w:pPr>
      <w:r w:rsidRPr="0074432E">
        <w:rPr>
          <w:rFonts w:ascii="Arial" w:hAnsi="Arial" w:cs="Arial"/>
          <w:sz w:val="24"/>
          <w:szCs w:val="24"/>
        </w:rPr>
        <w:t>2022 year</w:t>
      </w:r>
      <w:r w:rsidR="00BA6CAA" w:rsidRPr="0074432E">
        <w:rPr>
          <w:rFonts w:ascii="Arial" w:hAnsi="Arial" w:cs="Arial"/>
          <w:sz w:val="24"/>
          <w:szCs w:val="24"/>
        </w:rPr>
        <w:t xml:space="preserve"> “</w:t>
      </w:r>
      <w:r w:rsidR="00461FB4" w:rsidRPr="0074432E">
        <w:rPr>
          <w:rFonts w:ascii="Arial" w:hAnsi="Arial" w:cs="Arial"/>
          <w:sz w:val="24"/>
          <w:szCs w:val="24"/>
        </w:rPr>
        <w:t>(431 / 3</w:t>
      </w:r>
      <w:r w:rsidR="00F7370D" w:rsidRPr="0074432E">
        <w:rPr>
          <w:rFonts w:ascii="Arial" w:hAnsi="Arial" w:cs="Arial"/>
          <w:sz w:val="24"/>
          <w:szCs w:val="24"/>
        </w:rPr>
        <w:t>,</w:t>
      </w:r>
      <w:r w:rsidR="00461FB4" w:rsidRPr="0074432E">
        <w:rPr>
          <w:rFonts w:ascii="Arial" w:hAnsi="Arial" w:cs="Arial"/>
          <w:sz w:val="24"/>
          <w:szCs w:val="24"/>
        </w:rPr>
        <w:t>088) * 100%</w:t>
      </w:r>
      <w:r w:rsidR="003F7F13" w:rsidRPr="0074432E">
        <w:rPr>
          <w:rFonts w:ascii="Arial" w:hAnsi="Arial" w:cs="Arial"/>
          <w:sz w:val="24"/>
          <w:szCs w:val="24"/>
        </w:rPr>
        <w:t xml:space="preserve"> </w:t>
      </w:r>
      <w:r w:rsidR="00BA6CAA" w:rsidRPr="0074432E">
        <w:rPr>
          <w:rFonts w:ascii="Arial" w:hAnsi="Arial" w:cs="Arial"/>
          <w:sz w:val="24"/>
          <w:szCs w:val="24"/>
        </w:rPr>
        <w:t>= 13.96%</w:t>
      </w:r>
      <w:r w:rsidR="00CD6433" w:rsidRPr="0074432E">
        <w:rPr>
          <w:rFonts w:ascii="Arial" w:hAnsi="Arial" w:cs="Arial"/>
          <w:sz w:val="24"/>
          <w:szCs w:val="24"/>
        </w:rPr>
        <w:t>”</w:t>
      </w:r>
    </w:p>
    <w:p w14:paraId="4AD2D9A1" w14:textId="77777777" w:rsidR="00484BF0" w:rsidRPr="0074432E" w:rsidRDefault="00484BF0" w:rsidP="0074432E">
      <w:pPr>
        <w:spacing w:line="360" w:lineRule="auto"/>
        <w:jc w:val="center"/>
        <w:rPr>
          <w:rFonts w:ascii="Arial" w:hAnsi="Arial" w:cs="Arial"/>
          <w:sz w:val="24"/>
          <w:szCs w:val="24"/>
        </w:rPr>
      </w:pPr>
    </w:p>
    <w:p w14:paraId="45B61791" w14:textId="68A37F03" w:rsidR="00484BF0" w:rsidRPr="0074432E" w:rsidRDefault="00390806" w:rsidP="0074432E">
      <w:pPr>
        <w:spacing w:line="360" w:lineRule="auto"/>
        <w:rPr>
          <w:rFonts w:ascii="Arial" w:hAnsi="Arial" w:cs="Arial"/>
          <w:sz w:val="24"/>
          <w:szCs w:val="24"/>
        </w:rPr>
      </w:pPr>
      <w:r w:rsidRPr="0074432E">
        <w:rPr>
          <w:rFonts w:ascii="Arial" w:hAnsi="Arial" w:cs="Arial"/>
          <w:b/>
          <w:bCs/>
          <w:sz w:val="24"/>
          <w:szCs w:val="24"/>
        </w:rPr>
        <w:t>The Earning</w:t>
      </w:r>
      <w:r w:rsidR="004C46AD" w:rsidRPr="0074432E">
        <w:rPr>
          <w:rFonts w:ascii="Arial" w:hAnsi="Arial" w:cs="Arial"/>
          <w:b/>
          <w:bCs/>
          <w:sz w:val="24"/>
          <w:szCs w:val="24"/>
        </w:rPr>
        <w:t>s</w:t>
      </w:r>
      <w:r w:rsidRPr="0074432E">
        <w:rPr>
          <w:rFonts w:ascii="Arial" w:hAnsi="Arial" w:cs="Arial"/>
          <w:b/>
          <w:bCs/>
          <w:sz w:val="24"/>
          <w:szCs w:val="24"/>
        </w:rPr>
        <w:t xml:space="preserve"> per Share</w:t>
      </w:r>
      <w:r w:rsidRPr="0074432E">
        <w:rPr>
          <w:rFonts w:ascii="Arial" w:hAnsi="Arial" w:cs="Arial"/>
          <w:sz w:val="24"/>
          <w:szCs w:val="24"/>
        </w:rPr>
        <w:t xml:space="preserve"> formula represents a company's capacity to generate net profits for its shareholders</w:t>
      </w:r>
      <w:r w:rsidR="002A221A" w:rsidRPr="0074432E">
        <w:rPr>
          <w:rFonts w:ascii="Arial" w:hAnsi="Arial" w:cs="Arial"/>
          <w:sz w:val="24"/>
          <w:szCs w:val="24"/>
        </w:rPr>
        <w:t xml:space="preserve"> (Schmidt, 2023)</w:t>
      </w:r>
      <w:r w:rsidRPr="0074432E">
        <w:rPr>
          <w:rFonts w:ascii="Arial" w:hAnsi="Arial" w:cs="Arial"/>
          <w:sz w:val="24"/>
          <w:szCs w:val="24"/>
        </w:rPr>
        <w:t xml:space="preserve">. </w:t>
      </w:r>
      <w:r w:rsidR="004C46AD" w:rsidRPr="0074432E">
        <w:rPr>
          <w:rFonts w:ascii="Arial" w:hAnsi="Arial" w:cs="Arial"/>
          <w:sz w:val="24"/>
          <w:szCs w:val="24"/>
        </w:rPr>
        <w:t xml:space="preserve">The Earnings per Share for Sweets plc is: </w:t>
      </w:r>
    </w:p>
    <w:p w14:paraId="086B983F" w14:textId="57626210" w:rsidR="002A221A" w:rsidRPr="0074432E" w:rsidRDefault="00B75078" w:rsidP="0074432E">
      <w:pPr>
        <w:spacing w:line="360" w:lineRule="auto"/>
        <w:jc w:val="center"/>
        <w:rPr>
          <w:rFonts w:ascii="Arial" w:hAnsi="Arial" w:cs="Arial"/>
          <w:sz w:val="24"/>
          <w:szCs w:val="24"/>
        </w:rPr>
      </w:pPr>
      <w:r w:rsidRPr="0074432E">
        <w:rPr>
          <w:rFonts w:ascii="Arial" w:hAnsi="Arial" w:cs="Arial"/>
          <w:sz w:val="24"/>
          <w:szCs w:val="24"/>
        </w:rPr>
        <w:t>2021 year “</w:t>
      </w:r>
      <w:r w:rsidR="00DA7D6C" w:rsidRPr="0074432E">
        <w:rPr>
          <w:rFonts w:ascii="Arial" w:hAnsi="Arial" w:cs="Arial"/>
          <w:sz w:val="24"/>
          <w:szCs w:val="24"/>
        </w:rPr>
        <w:t xml:space="preserve">366 / 300 = </w:t>
      </w:r>
      <w:r w:rsidR="00245DA4" w:rsidRPr="0074432E">
        <w:rPr>
          <w:rFonts w:ascii="Arial" w:hAnsi="Arial" w:cs="Arial"/>
          <w:sz w:val="24"/>
          <w:szCs w:val="24"/>
        </w:rPr>
        <w:t>1.22</w:t>
      </w:r>
      <w:r w:rsidR="00CD6433" w:rsidRPr="0074432E">
        <w:rPr>
          <w:rFonts w:ascii="Arial" w:hAnsi="Arial" w:cs="Arial"/>
          <w:sz w:val="24"/>
          <w:szCs w:val="24"/>
        </w:rPr>
        <w:t>”</w:t>
      </w:r>
    </w:p>
    <w:p w14:paraId="251D2D64" w14:textId="4D121F9D" w:rsidR="00245DA4" w:rsidRPr="0074432E" w:rsidRDefault="00B75078" w:rsidP="0074432E">
      <w:pPr>
        <w:spacing w:line="360" w:lineRule="auto"/>
        <w:jc w:val="center"/>
        <w:rPr>
          <w:rFonts w:ascii="Arial" w:hAnsi="Arial" w:cs="Arial"/>
          <w:sz w:val="24"/>
          <w:szCs w:val="24"/>
        </w:rPr>
      </w:pPr>
      <w:r w:rsidRPr="0074432E">
        <w:rPr>
          <w:rFonts w:ascii="Arial" w:hAnsi="Arial" w:cs="Arial"/>
          <w:sz w:val="24"/>
          <w:szCs w:val="24"/>
        </w:rPr>
        <w:t>2022 year</w:t>
      </w:r>
      <w:r w:rsidR="00DA7D6C" w:rsidRPr="0074432E">
        <w:rPr>
          <w:rFonts w:ascii="Arial" w:hAnsi="Arial" w:cs="Arial"/>
          <w:sz w:val="24"/>
          <w:szCs w:val="24"/>
        </w:rPr>
        <w:t xml:space="preserve"> “</w:t>
      </w:r>
      <w:r w:rsidR="00CD6433" w:rsidRPr="0074432E">
        <w:rPr>
          <w:rFonts w:ascii="Arial" w:hAnsi="Arial" w:cs="Arial"/>
          <w:sz w:val="24"/>
          <w:szCs w:val="24"/>
        </w:rPr>
        <w:t xml:space="preserve">431 / 300 = </w:t>
      </w:r>
      <w:r w:rsidR="00245DA4" w:rsidRPr="0074432E">
        <w:rPr>
          <w:rFonts w:ascii="Arial" w:hAnsi="Arial" w:cs="Arial"/>
          <w:sz w:val="24"/>
          <w:szCs w:val="24"/>
        </w:rPr>
        <w:t>1.44</w:t>
      </w:r>
      <w:r w:rsidR="00CD6433" w:rsidRPr="0074432E">
        <w:rPr>
          <w:rFonts w:ascii="Arial" w:hAnsi="Arial" w:cs="Arial"/>
          <w:sz w:val="24"/>
          <w:szCs w:val="24"/>
        </w:rPr>
        <w:t>”</w:t>
      </w:r>
    </w:p>
    <w:p w14:paraId="4A13F86B" w14:textId="77777777" w:rsidR="009B7E64" w:rsidRPr="0074432E" w:rsidRDefault="009B7E64" w:rsidP="0074432E">
      <w:pPr>
        <w:spacing w:line="360" w:lineRule="auto"/>
        <w:rPr>
          <w:rFonts w:ascii="Arial" w:hAnsi="Arial" w:cs="Arial"/>
          <w:sz w:val="24"/>
          <w:szCs w:val="24"/>
        </w:rPr>
      </w:pPr>
    </w:p>
    <w:p w14:paraId="666B3B3F" w14:textId="491F6560" w:rsidR="001B7212" w:rsidRPr="0074432E" w:rsidRDefault="001B7212" w:rsidP="0074432E">
      <w:pPr>
        <w:spacing w:line="360" w:lineRule="auto"/>
        <w:rPr>
          <w:rFonts w:ascii="Arial" w:hAnsi="Arial" w:cs="Arial"/>
          <w:sz w:val="24"/>
          <w:szCs w:val="24"/>
        </w:rPr>
      </w:pPr>
      <w:r w:rsidRPr="0074432E">
        <w:rPr>
          <w:rFonts w:ascii="Arial" w:hAnsi="Arial" w:cs="Arial"/>
          <w:b/>
          <w:bCs/>
          <w:sz w:val="24"/>
          <w:szCs w:val="24"/>
        </w:rPr>
        <w:t>The Net Profit Margin</w:t>
      </w:r>
      <w:r w:rsidRPr="0074432E">
        <w:rPr>
          <w:rFonts w:ascii="Arial" w:hAnsi="Arial" w:cs="Arial"/>
          <w:sz w:val="24"/>
          <w:szCs w:val="24"/>
        </w:rPr>
        <w:t>, alternatively termed "Profit Margin" or "Net Profit Margin Ratio," is a financial tool used to determine the percentage of profit relative to revenue generated</w:t>
      </w:r>
      <w:r w:rsidR="00BF568C" w:rsidRPr="0074432E">
        <w:rPr>
          <w:rFonts w:ascii="Arial" w:hAnsi="Arial" w:cs="Arial"/>
          <w:sz w:val="24"/>
          <w:szCs w:val="24"/>
        </w:rPr>
        <w:t xml:space="preserve"> (CFI Education Inc., 2023)</w:t>
      </w:r>
      <w:r w:rsidRPr="0074432E">
        <w:rPr>
          <w:rFonts w:ascii="Arial" w:hAnsi="Arial" w:cs="Arial"/>
          <w:sz w:val="24"/>
          <w:szCs w:val="24"/>
        </w:rPr>
        <w:t xml:space="preserve">. </w:t>
      </w:r>
      <w:r w:rsidR="00D1796A" w:rsidRPr="0074432E">
        <w:rPr>
          <w:rFonts w:ascii="Arial" w:hAnsi="Arial" w:cs="Arial"/>
          <w:sz w:val="24"/>
          <w:szCs w:val="24"/>
        </w:rPr>
        <w:t>The Net Profit Margin for Sweets plc is:</w:t>
      </w:r>
    </w:p>
    <w:p w14:paraId="5A6E3FDC" w14:textId="4901AF1D" w:rsidR="002414E8" w:rsidRPr="0074432E" w:rsidRDefault="002414E8" w:rsidP="0074432E">
      <w:pPr>
        <w:spacing w:line="360" w:lineRule="auto"/>
        <w:jc w:val="center"/>
        <w:rPr>
          <w:rFonts w:ascii="Arial" w:hAnsi="Arial" w:cs="Arial"/>
          <w:sz w:val="24"/>
          <w:szCs w:val="24"/>
        </w:rPr>
      </w:pPr>
      <w:r w:rsidRPr="0074432E">
        <w:rPr>
          <w:rFonts w:ascii="Arial" w:hAnsi="Arial" w:cs="Arial"/>
          <w:sz w:val="24"/>
          <w:szCs w:val="24"/>
        </w:rPr>
        <w:t>2021 year “(</w:t>
      </w:r>
      <w:r w:rsidR="00114120" w:rsidRPr="0074432E">
        <w:rPr>
          <w:rFonts w:ascii="Arial" w:hAnsi="Arial" w:cs="Arial"/>
          <w:sz w:val="24"/>
          <w:szCs w:val="24"/>
        </w:rPr>
        <w:t>366 / 6</w:t>
      </w:r>
      <w:r w:rsidR="008A3C5B" w:rsidRPr="0074432E">
        <w:rPr>
          <w:rFonts w:ascii="Arial" w:hAnsi="Arial" w:cs="Arial"/>
          <w:sz w:val="24"/>
          <w:szCs w:val="24"/>
        </w:rPr>
        <w:t>,</w:t>
      </w:r>
      <w:r w:rsidR="00114120" w:rsidRPr="0074432E">
        <w:rPr>
          <w:rFonts w:ascii="Arial" w:hAnsi="Arial" w:cs="Arial"/>
          <w:sz w:val="24"/>
          <w:szCs w:val="24"/>
        </w:rPr>
        <w:t xml:space="preserve">441) * 100% = </w:t>
      </w:r>
      <w:r w:rsidR="009B7E64" w:rsidRPr="0074432E">
        <w:rPr>
          <w:rFonts w:ascii="Arial" w:hAnsi="Arial" w:cs="Arial"/>
          <w:sz w:val="24"/>
          <w:szCs w:val="24"/>
        </w:rPr>
        <w:t>5.68%</w:t>
      </w:r>
      <w:r w:rsidR="00CD6433" w:rsidRPr="0074432E">
        <w:rPr>
          <w:rFonts w:ascii="Arial" w:hAnsi="Arial" w:cs="Arial"/>
          <w:sz w:val="24"/>
          <w:szCs w:val="24"/>
        </w:rPr>
        <w:t>”</w:t>
      </w:r>
    </w:p>
    <w:p w14:paraId="48DB446C" w14:textId="60A7C7B2" w:rsidR="00552615" w:rsidRPr="0074432E" w:rsidRDefault="00A2139F" w:rsidP="0074432E">
      <w:pPr>
        <w:spacing w:line="360" w:lineRule="auto"/>
        <w:jc w:val="center"/>
        <w:rPr>
          <w:rFonts w:ascii="Arial" w:hAnsi="Arial" w:cs="Arial"/>
          <w:sz w:val="24"/>
          <w:szCs w:val="24"/>
        </w:rPr>
      </w:pPr>
      <w:r w:rsidRPr="0074432E">
        <w:rPr>
          <w:rFonts w:ascii="Arial" w:hAnsi="Arial" w:cs="Arial"/>
          <w:sz w:val="24"/>
          <w:szCs w:val="24"/>
        </w:rPr>
        <w:t>2022 year</w:t>
      </w:r>
      <w:r w:rsidR="00803F56" w:rsidRPr="0074432E">
        <w:rPr>
          <w:rFonts w:ascii="Arial" w:hAnsi="Arial" w:cs="Arial"/>
          <w:sz w:val="24"/>
          <w:szCs w:val="24"/>
        </w:rPr>
        <w:t xml:space="preserve"> “</w:t>
      </w:r>
      <w:r w:rsidR="007727CB" w:rsidRPr="0074432E">
        <w:rPr>
          <w:rFonts w:ascii="Arial" w:hAnsi="Arial" w:cs="Arial"/>
          <w:sz w:val="24"/>
          <w:szCs w:val="24"/>
        </w:rPr>
        <w:t>(431 / 6</w:t>
      </w:r>
      <w:r w:rsidR="008A3C5B" w:rsidRPr="0074432E">
        <w:rPr>
          <w:rFonts w:ascii="Arial" w:hAnsi="Arial" w:cs="Arial"/>
          <w:sz w:val="24"/>
          <w:szCs w:val="24"/>
        </w:rPr>
        <w:t>,</w:t>
      </w:r>
      <w:r w:rsidR="007727CB" w:rsidRPr="0074432E">
        <w:rPr>
          <w:rFonts w:ascii="Arial" w:hAnsi="Arial" w:cs="Arial"/>
          <w:sz w:val="24"/>
          <w:szCs w:val="24"/>
        </w:rPr>
        <w:t>738) * 100% =</w:t>
      </w:r>
      <w:r w:rsidR="00552615" w:rsidRPr="0074432E">
        <w:rPr>
          <w:rFonts w:ascii="Arial" w:hAnsi="Arial" w:cs="Arial"/>
          <w:sz w:val="24"/>
          <w:szCs w:val="24"/>
        </w:rPr>
        <w:t xml:space="preserve"> 6.4 %</w:t>
      </w:r>
      <w:r w:rsidR="00CD6433" w:rsidRPr="0074432E">
        <w:rPr>
          <w:rFonts w:ascii="Arial" w:hAnsi="Arial" w:cs="Arial"/>
          <w:sz w:val="24"/>
          <w:szCs w:val="24"/>
        </w:rPr>
        <w:t>”</w:t>
      </w:r>
    </w:p>
    <w:p w14:paraId="4590A967" w14:textId="77777777" w:rsidR="001F7FEA" w:rsidRPr="0074432E" w:rsidRDefault="001F7FEA" w:rsidP="0074432E">
      <w:pPr>
        <w:spacing w:line="360" w:lineRule="auto"/>
        <w:jc w:val="center"/>
        <w:rPr>
          <w:rFonts w:ascii="Arial" w:hAnsi="Arial" w:cs="Arial"/>
          <w:sz w:val="24"/>
          <w:szCs w:val="24"/>
        </w:rPr>
      </w:pPr>
    </w:p>
    <w:p w14:paraId="149A02EB" w14:textId="73084590" w:rsidR="00E17BE4" w:rsidRPr="0074432E" w:rsidRDefault="001F7FEA" w:rsidP="0074432E">
      <w:pPr>
        <w:spacing w:line="360" w:lineRule="auto"/>
        <w:rPr>
          <w:rFonts w:ascii="Arial" w:hAnsi="Arial" w:cs="Arial"/>
          <w:sz w:val="24"/>
          <w:szCs w:val="24"/>
        </w:rPr>
      </w:pPr>
      <w:r w:rsidRPr="0074432E">
        <w:rPr>
          <w:rFonts w:ascii="Arial" w:hAnsi="Arial" w:cs="Arial"/>
          <w:b/>
          <w:bCs/>
          <w:sz w:val="24"/>
          <w:szCs w:val="24"/>
        </w:rPr>
        <w:lastRenderedPageBreak/>
        <w:t>The Asset turnover</w:t>
      </w:r>
      <w:r w:rsidRPr="0074432E">
        <w:rPr>
          <w:rFonts w:ascii="Arial" w:hAnsi="Arial" w:cs="Arial"/>
          <w:sz w:val="24"/>
          <w:szCs w:val="24"/>
        </w:rPr>
        <w:t xml:space="preserve"> ratio analyses how effectively a company utilises its assets to generate sales. A company exhibiting a high asset turnover ratio operates more efficiently and vice versa (Schmidt, 2023). </w:t>
      </w:r>
      <w:r w:rsidR="00E17BE4" w:rsidRPr="0074432E">
        <w:rPr>
          <w:rFonts w:ascii="Arial" w:hAnsi="Arial" w:cs="Arial"/>
          <w:sz w:val="24"/>
          <w:szCs w:val="24"/>
        </w:rPr>
        <w:t>The Asset turnover for Sweets plc is:</w:t>
      </w:r>
    </w:p>
    <w:p w14:paraId="29A10ABF" w14:textId="736E9F39" w:rsidR="001F7FEA" w:rsidRPr="0074432E" w:rsidRDefault="001F7FEA" w:rsidP="0074432E">
      <w:pPr>
        <w:spacing w:line="360" w:lineRule="auto"/>
        <w:rPr>
          <w:rFonts w:ascii="Arial" w:hAnsi="Arial" w:cs="Arial"/>
          <w:sz w:val="24"/>
          <w:szCs w:val="24"/>
        </w:rPr>
      </w:pPr>
    </w:p>
    <w:p w14:paraId="14610C48" w14:textId="3389946D" w:rsidR="00EB4C94" w:rsidRPr="0074432E" w:rsidRDefault="00EB4C94" w:rsidP="0074432E">
      <w:pPr>
        <w:spacing w:line="360" w:lineRule="auto"/>
        <w:jc w:val="center"/>
        <w:rPr>
          <w:rFonts w:ascii="Arial" w:hAnsi="Arial" w:cs="Arial"/>
          <w:sz w:val="24"/>
          <w:szCs w:val="24"/>
        </w:rPr>
      </w:pPr>
      <w:r w:rsidRPr="0074432E">
        <w:rPr>
          <w:rFonts w:ascii="Arial" w:hAnsi="Arial" w:cs="Arial"/>
          <w:sz w:val="24"/>
          <w:szCs w:val="24"/>
        </w:rPr>
        <w:t>2021 year “6</w:t>
      </w:r>
      <w:r w:rsidR="00116D71" w:rsidRPr="0074432E">
        <w:rPr>
          <w:rFonts w:ascii="Arial" w:hAnsi="Arial" w:cs="Arial"/>
          <w:sz w:val="24"/>
          <w:szCs w:val="24"/>
        </w:rPr>
        <w:t>,</w:t>
      </w:r>
      <w:r w:rsidRPr="0074432E">
        <w:rPr>
          <w:rFonts w:ascii="Arial" w:hAnsi="Arial" w:cs="Arial"/>
          <w:sz w:val="24"/>
          <w:szCs w:val="24"/>
        </w:rPr>
        <w:t xml:space="preserve">441 / </w:t>
      </w:r>
      <w:r w:rsidR="008A3C5B" w:rsidRPr="0074432E">
        <w:rPr>
          <w:rFonts w:ascii="Arial" w:hAnsi="Arial" w:cs="Arial"/>
          <w:sz w:val="24"/>
          <w:szCs w:val="24"/>
        </w:rPr>
        <w:t>10,</w:t>
      </w:r>
      <w:r w:rsidR="00B537F8" w:rsidRPr="0074432E">
        <w:rPr>
          <w:rFonts w:ascii="Arial" w:hAnsi="Arial" w:cs="Arial"/>
          <w:sz w:val="24"/>
          <w:szCs w:val="24"/>
        </w:rPr>
        <w:t xml:space="preserve">087 </w:t>
      </w:r>
      <w:r w:rsidRPr="0074432E">
        <w:rPr>
          <w:rFonts w:ascii="Arial" w:hAnsi="Arial" w:cs="Arial"/>
          <w:sz w:val="24"/>
          <w:szCs w:val="24"/>
        </w:rPr>
        <w:t xml:space="preserve">= </w:t>
      </w:r>
      <w:r w:rsidR="008107CE" w:rsidRPr="0074432E">
        <w:rPr>
          <w:rFonts w:ascii="Arial" w:hAnsi="Arial" w:cs="Arial"/>
          <w:sz w:val="24"/>
          <w:szCs w:val="24"/>
        </w:rPr>
        <w:t>0.</w:t>
      </w:r>
      <w:r w:rsidR="005B1424" w:rsidRPr="0074432E">
        <w:rPr>
          <w:rFonts w:ascii="Arial" w:hAnsi="Arial" w:cs="Arial"/>
          <w:sz w:val="24"/>
          <w:szCs w:val="24"/>
        </w:rPr>
        <w:t>64</w:t>
      </w:r>
      <w:r w:rsidRPr="0074432E">
        <w:rPr>
          <w:rFonts w:ascii="Arial" w:hAnsi="Arial" w:cs="Arial"/>
          <w:sz w:val="24"/>
          <w:szCs w:val="24"/>
        </w:rPr>
        <w:t>”</w:t>
      </w:r>
    </w:p>
    <w:p w14:paraId="6A20EFA9" w14:textId="04E056AA" w:rsidR="00EB4C94" w:rsidRPr="0074432E" w:rsidRDefault="00EB4C94" w:rsidP="0074432E">
      <w:pPr>
        <w:spacing w:line="360" w:lineRule="auto"/>
        <w:jc w:val="center"/>
        <w:rPr>
          <w:rFonts w:ascii="Arial" w:hAnsi="Arial" w:cs="Arial"/>
          <w:sz w:val="24"/>
          <w:szCs w:val="24"/>
        </w:rPr>
      </w:pPr>
      <w:r w:rsidRPr="0074432E">
        <w:rPr>
          <w:rFonts w:ascii="Arial" w:hAnsi="Arial" w:cs="Arial"/>
          <w:sz w:val="24"/>
          <w:szCs w:val="24"/>
        </w:rPr>
        <w:t>2022 year “</w:t>
      </w:r>
      <w:r w:rsidR="00426FE4" w:rsidRPr="0074432E">
        <w:rPr>
          <w:rFonts w:ascii="Arial" w:hAnsi="Arial" w:cs="Arial"/>
          <w:sz w:val="24"/>
          <w:szCs w:val="24"/>
        </w:rPr>
        <w:t>6,738 / 9</w:t>
      </w:r>
      <w:r w:rsidR="00116D71" w:rsidRPr="0074432E">
        <w:rPr>
          <w:rFonts w:ascii="Arial" w:hAnsi="Arial" w:cs="Arial"/>
          <w:sz w:val="24"/>
          <w:szCs w:val="24"/>
        </w:rPr>
        <w:t xml:space="preserve">,736 </w:t>
      </w:r>
      <w:r w:rsidRPr="0074432E">
        <w:rPr>
          <w:rFonts w:ascii="Arial" w:hAnsi="Arial" w:cs="Arial"/>
          <w:sz w:val="24"/>
          <w:szCs w:val="24"/>
        </w:rPr>
        <w:t>=</w:t>
      </w:r>
      <w:r w:rsidR="00426FE4" w:rsidRPr="0074432E">
        <w:rPr>
          <w:rFonts w:ascii="Arial" w:hAnsi="Arial" w:cs="Arial"/>
          <w:sz w:val="24"/>
          <w:szCs w:val="24"/>
        </w:rPr>
        <w:t xml:space="preserve"> 0.69</w:t>
      </w:r>
      <w:r w:rsidRPr="0074432E">
        <w:rPr>
          <w:rFonts w:ascii="Arial" w:hAnsi="Arial" w:cs="Arial"/>
          <w:sz w:val="24"/>
          <w:szCs w:val="24"/>
        </w:rPr>
        <w:t>”</w:t>
      </w:r>
    </w:p>
    <w:p w14:paraId="3A20785C" w14:textId="77777777" w:rsidR="00570957" w:rsidRPr="0074432E" w:rsidRDefault="00570957" w:rsidP="0074432E">
      <w:pPr>
        <w:spacing w:line="360" w:lineRule="auto"/>
        <w:jc w:val="center"/>
        <w:rPr>
          <w:rFonts w:ascii="Arial" w:hAnsi="Arial" w:cs="Arial"/>
          <w:sz w:val="24"/>
          <w:szCs w:val="24"/>
        </w:rPr>
      </w:pPr>
    </w:p>
    <w:p w14:paraId="0AF297B0" w14:textId="1D1513AC" w:rsidR="00570957" w:rsidRPr="0074432E" w:rsidRDefault="00D77F75" w:rsidP="0074432E">
      <w:pPr>
        <w:spacing w:line="360" w:lineRule="auto"/>
        <w:rPr>
          <w:rFonts w:ascii="Arial" w:hAnsi="Arial" w:cs="Arial"/>
          <w:sz w:val="24"/>
          <w:szCs w:val="24"/>
        </w:rPr>
      </w:pPr>
      <w:r w:rsidRPr="0074432E">
        <w:rPr>
          <w:rFonts w:ascii="Arial" w:hAnsi="Arial" w:cs="Arial"/>
          <w:b/>
          <w:bCs/>
          <w:sz w:val="24"/>
          <w:szCs w:val="24"/>
        </w:rPr>
        <w:t>Stock holding days</w:t>
      </w:r>
      <w:r w:rsidRPr="0074432E">
        <w:rPr>
          <w:rFonts w:ascii="Arial" w:hAnsi="Arial" w:cs="Arial"/>
          <w:sz w:val="24"/>
          <w:szCs w:val="24"/>
        </w:rPr>
        <w:t xml:space="preserve"> ratio is a tool used to assess the speed at which a company utilises the average inventory at its disposal</w:t>
      </w:r>
      <w:r w:rsidR="009B2418" w:rsidRPr="0074432E">
        <w:rPr>
          <w:rFonts w:ascii="Arial" w:hAnsi="Arial" w:cs="Arial"/>
          <w:sz w:val="24"/>
          <w:szCs w:val="24"/>
        </w:rPr>
        <w:t xml:space="preserve"> (CFI Education Inc., 2023). The Stock holding days for Sweets plc are:</w:t>
      </w:r>
    </w:p>
    <w:p w14:paraId="7EA7E89B" w14:textId="4FED5628" w:rsidR="00836DBB" w:rsidRPr="0074432E" w:rsidRDefault="00836DBB" w:rsidP="0074432E">
      <w:pPr>
        <w:spacing w:line="360" w:lineRule="auto"/>
        <w:jc w:val="center"/>
        <w:rPr>
          <w:rFonts w:ascii="Arial" w:hAnsi="Arial" w:cs="Arial"/>
          <w:sz w:val="24"/>
          <w:szCs w:val="24"/>
        </w:rPr>
      </w:pPr>
      <w:r w:rsidRPr="0074432E">
        <w:rPr>
          <w:rFonts w:ascii="Arial" w:hAnsi="Arial" w:cs="Arial"/>
          <w:sz w:val="24"/>
          <w:szCs w:val="24"/>
        </w:rPr>
        <w:t>2021 year “</w:t>
      </w:r>
      <w:r w:rsidR="00813F15" w:rsidRPr="0074432E">
        <w:rPr>
          <w:rFonts w:ascii="Arial" w:hAnsi="Arial" w:cs="Arial"/>
          <w:sz w:val="24"/>
          <w:szCs w:val="24"/>
        </w:rPr>
        <w:t>(</w:t>
      </w:r>
      <w:r w:rsidR="0006020F" w:rsidRPr="0074432E">
        <w:rPr>
          <w:rFonts w:ascii="Arial" w:hAnsi="Arial" w:cs="Arial"/>
          <w:sz w:val="24"/>
          <w:szCs w:val="24"/>
        </w:rPr>
        <w:t>659 / 3</w:t>
      </w:r>
      <w:r w:rsidR="00813F15" w:rsidRPr="0074432E">
        <w:rPr>
          <w:rFonts w:ascii="Arial" w:hAnsi="Arial" w:cs="Arial"/>
          <w:sz w:val="24"/>
          <w:szCs w:val="24"/>
        </w:rPr>
        <w:t>,</w:t>
      </w:r>
      <w:r w:rsidR="0006020F" w:rsidRPr="0074432E">
        <w:rPr>
          <w:rFonts w:ascii="Arial" w:hAnsi="Arial" w:cs="Arial"/>
          <w:sz w:val="24"/>
          <w:szCs w:val="24"/>
        </w:rPr>
        <w:t>096</w:t>
      </w:r>
      <w:r w:rsidR="00813F15" w:rsidRPr="0074432E">
        <w:rPr>
          <w:rFonts w:ascii="Arial" w:hAnsi="Arial" w:cs="Arial"/>
          <w:sz w:val="24"/>
          <w:szCs w:val="24"/>
        </w:rPr>
        <w:t>) * 365</w:t>
      </w:r>
      <w:r w:rsidRPr="0074432E">
        <w:rPr>
          <w:rFonts w:ascii="Arial" w:hAnsi="Arial" w:cs="Arial"/>
          <w:sz w:val="24"/>
          <w:szCs w:val="24"/>
        </w:rPr>
        <w:t xml:space="preserve"> =</w:t>
      </w:r>
      <w:r w:rsidR="00813F15" w:rsidRPr="0074432E">
        <w:rPr>
          <w:rFonts w:ascii="Arial" w:hAnsi="Arial" w:cs="Arial"/>
          <w:sz w:val="24"/>
          <w:szCs w:val="24"/>
        </w:rPr>
        <w:t xml:space="preserve"> 77.69 days</w:t>
      </w:r>
      <w:r w:rsidRPr="0074432E">
        <w:rPr>
          <w:rFonts w:ascii="Arial" w:hAnsi="Arial" w:cs="Arial"/>
          <w:sz w:val="24"/>
          <w:szCs w:val="24"/>
        </w:rPr>
        <w:t>”</w:t>
      </w:r>
    </w:p>
    <w:p w14:paraId="0A937F25" w14:textId="43642370" w:rsidR="00836DBB" w:rsidRPr="0074432E" w:rsidRDefault="00836DBB" w:rsidP="0074432E">
      <w:pPr>
        <w:spacing w:line="360" w:lineRule="auto"/>
        <w:jc w:val="center"/>
        <w:rPr>
          <w:rFonts w:ascii="Arial" w:hAnsi="Arial" w:cs="Arial"/>
          <w:sz w:val="24"/>
          <w:szCs w:val="24"/>
        </w:rPr>
      </w:pPr>
      <w:r w:rsidRPr="0074432E">
        <w:rPr>
          <w:rFonts w:ascii="Arial" w:hAnsi="Arial" w:cs="Arial"/>
          <w:sz w:val="24"/>
          <w:szCs w:val="24"/>
        </w:rPr>
        <w:t>2022 year “</w:t>
      </w:r>
      <w:r w:rsidR="00876C42" w:rsidRPr="0074432E">
        <w:rPr>
          <w:rFonts w:ascii="Arial" w:hAnsi="Arial" w:cs="Arial"/>
          <w:sz w:val="24"/>
          <w:szCs w:val="24"/>
        </w:rPr>
        <w:t>(</w:t>
      </w:r>
      <w:r w:rsidR="00845454" w:rsidRPr="0074432E">
        <w:rPr>
          <w:rFonts w:ascii="Arial" w:hAnsi="Arial" w:cs="Arial"/>
          <w:sz w:val="24"/>
          <w:szCs w:val="24"/>
        </w:rPr>
        <w:t xml:space="preserve">708 / </w:t>
      </w:r>
      <w:r w:rsidR="00876C42" w:rsidRPr="0074432E">
        <w:rPr>
          <w:rFonts w:ascii="Arial" w:hAnsi="Arial" w:cs="Arial"/>
          <w:sz w:val="24"/>
          <w:szCs w:val="24"/>
        </w:rPr>
        <w:t xml:space="preserve">3,235) * 365 </w:t>
      </w:r>
      <w:r w:rsidRPr="0074432E">
        <w:rPr>
          <w:rFonts w:ascii="Arial" w:hAnsi="Arial" w:cs="Arial"/>
          <w:sz w:val="24"/>
          <w:szCs w:val="24"/>
        </w:rPr>
        <w:t>=</w:t>
      </w:r>
      <w:r w:rsidR="00876C42" w:rsidRPr="0074432E">
        <w:rPr>
          <w:rFonts w:ascii="Arial" w:hAnsi="Arial" w:cs="Arial"/>
          <w:sz w:val="24"/>
          <w:szCs w:val="24"/>
        </w:rPr>
        <w:t xml:space="preserve"> 79.88 days</w:t>
      </w:r>
      <w:r w:rsidRPr="0074432E">
        <w:rPr>
          <w:rFonts w:ascii="Arial" w:hAnsi="Arial" w:cs="Arial"/>
          <w:sz w:val="24"/>
          <w:szCs w:val="24"/>
        </w:rPr>
        <w:t>”</w:t>
      </w:r>
    </w:p>
    <w:p w14:paraId="285FB6A2" w14:textId="3C221936" w:rsidR="00B42F60" w:rsidRPr="0074432E" w:rsidRDefault="00B42F60" w:rsidP="0074432E">
      <w:pPr>
        <w:spacing w:line="360" w:lineRule="auto"/>
        <w:jc w:val="center"/>
        <w:rPr>
          <w:rFonts w:ascii="Arial" w:hAnsi="Arial" w:cs="Arial"/>
          <w:sz w:val="24"/>
          <w:szCs w:val="24"/>
        </w:rPr>
      </w:pPr>
    </w:p>
    <w:p w14:paraId="055240EB" w14:textId="63F9CC6F" w:rsidR="00C17936" w:rsidRPr="0074432E" w:rsidRDefault="00571BE2" w:rsidP="0074432E">
      <w:pPr>
        <w:spacing w:line="360" w:lineRule="auto"/>
        <w:rPr>
          <w:rFonts w:ascii="Arial" w:hAnsi="Arial" w:cs="Arial"/>
          <w:sz w:val="24"/>
          <w:szCs w:val="24"/>
        </w:rPr>
      </w:pPr>
      <w:r w:rsidRPr="0074432E">
        <w:rPr>
          <w:rFonts w:ascii="Arial" w:hAnsi="Arial" w:cs="Arial"/>
          <w:b/>
          <w:bCs/>
          <w:sz w:val="24"/>
          <w:szCs w:val="24"/>
        </w:rPr>
        <w:t>The Debtors collection period</w:t>
      </w:r>
      <w:r w:rsidRPr="0074432E">
        <w:rPr>
          <w:rFonts w:ascii="Arial" w:hAnsi="Arial" w:cs="Arial"/>
          <w:sz w:val="24"/>
          <w:szCs w:val="24"/>
        </w:rPr>
        <w:t xml:space="preserve"> assesses the average duration it takes for a business to receive payments owed by clients or customers. Monitoring the average collection period is essential to ensure that a company maintains sufficient available cash to meet its imminent financial obligations (CFI Education Inc., 2023). The Debtors collection period for Sweets plc is:</w:t>
      </w:r>
    </w:p>
    <w:p w14:paraId="34BD7A41" w14:textId="5B79AF6E" w:rsidR="00571BE2" w:rsidRPr="0074432E" w:rsidRDefault="00571BE2" w:rsidP="0074432E">
      <w:pPr>
        <w:spacing w:line="360" w:lineRule="auto"/>
        <w:jc w:val="center"/>
        <w:rPr>
          <w:rFonts w:ascii="Arial" w:hAnsi="Arial" w:cs="Arial"/>
          <w:sz w:val="24"/>
          <w:szCs w:val="24"/>
        </w:rPr>
      </w:pPr>
      <w:r w:rsidRPr="0074432E">
        <w:rPr>
          <w:rFonts w:ascii="Arial" w:hAnsi="Arial" w:cs="Arial"/>
          <w:sz w:val="24"/>
          <w:szCs w:val="24"/>
        </w:rPr>
        <w:t>2021 year “(</w:t>
      </w:r>
      <w:r w:rsidR="004C5507" w:rsidRPr="0074432E">
        <w:rPr>
          <w:rFonts w:ascii="Arial" w:hAnsi="Arial" w:cs="Arial"/>
          <w:sz w:val="24"/>
          <w:szCs w:val="24"/>
        </w:rPr>
        <w:t>1,287</w:t>
      </w:r>
      <w:r w:rsidR="003C2495" w:rsidRPr="0074432E">
        <w:rPr>
          <w:rFonts w:ascii="Arial" w:hAnsi="Arial" w:cs="Arial"/>
          <w:sz w:val="24"/>
          <w:szCs w:val="24"/>
        </w:rPr>
        <w:t xml:space="preserve"> / 6,441</w:t>
      </w:r>
      <w:r w:rsidRPr="0074432E">
        <w:rPr>
          <w:rFonts w:ascii="Arial" w:hAnsi="Arial" w:cs="Arial"/>
          <w:sz w:val="24"/>
          <w:szCs w:val="24"/>
        </w:rPr>
        <w:t>) * 365 = 72.93 days days”</w:t>
      </w:r>
    </w:p>
    <w:p w14:paraId="6407E4A8" w14:textId="0DA17A93" w:rsidR="00571BE2" w:rsidRPr="0074432E" w:rsidRDefault="00571BE2" w:rsidP="0074432E">
      <w:pPr>
        <w:spacing w:line="360" w:lineRule="auto"/>
        <w:jc w:val="center"/>
        <w:rPr>
          <w:rFonts w:ascii="Arial" w:hAnsi="Arial" w:cs="Arial"/>
          <w:sz w:val="24"/>
          <w:szCs w:val="24"/>
        </w:rPr>
      </w:pPr>
      <w:r w:rsidRPr="0074432E">
        <w:rPr>
          <w:rFonts w:ascii="Arial" w:hAnsi="Arial" w:cs="Arial"/>
          <w:sz w:val="24"/>
          <w:szCs w:val="24"/>
        </w:rPr>
        <w:t>2022 year “(</w:t>
      </w:r>
      <w:r w:rsidR="003C2495" w:rsidRPr="0074432E">
        <w:rPr>
          <w:rFonts w:ascii="Arial" w:hAnsi="Arial" w:cs="Arial"/>
          <w:sz w:val="24"/>
          <w:szCs w:val="24"/>
        </w:rPr>
        <w:t xml:space="preserve">1,249 / </w:t>
      </w:r>
      <w:r w:rsidR="00427315" w:rsidRPr="0074432E">
        <w:rPr>
          <w:rFonts w:ascii="Arial" w:hAnsi="Arial" w:cs="Arial"/>
          <w:sz w:val="24"/>
          <w:szCs w:val="24"/>
        </w:rPr>
        <w:t>6,738</w:t>
      </w:r>
      <w:r w:rsidRPr="0074432E">
        <w:rPr>
          <w:rFonts w:ascii="Arial" w:hAnsi="Arial" w:cs="Arial"/>
          <w:sz w:val="24"/>
          <w:szCs w:val="24"/>
        </w:rPr>
        <w:t>) * 365 = 67.66 days”</w:t>
      </w:r>
    </w:p>
    <w:p w14:paraId="174AD483" w14:textId="77777777" w:rsidR="00571BE2" w:rsidRPr="0074432E" w:rsidRDefault="00571BE2" w:rsidP="0074432E">
      <w:pPr>
        <w:spacing w:line="360" w:lineRule="auto"/>
        <w:jc w:val="center"/>
        <w:rPr>
          <w:rFonts w:ascii="Arial" w:hAnsi="Arial" w:cs="Arial"/>
          <w:b/>
          <w:bCs/>
          <w:sz w:val="24"/>
          <w:szCs w:val="24"/>
        </w:rPr>
      </w:pPr>
    </w:p>
    <w:p w14:paraId="18C8F4C2" w14:textId="1CE2DCB7" w:rsidR="00EF78BD" w:rsidRPr="0074432E" w:rsidRDefault="006517DA" w:rsidP="0074432E">
      <w:pPr>
        <w:spacing w:line="360" w:lineRule="auto"/>
        <w:rPr>
          <w:rFonts w:ascii="Arial" w:hAnsi="Arial" w:cs="Arial"/>
          <w:sz w:val="24"/>
          <w:szCs w:val="24"/>
        </w:rPr>
      </w:pPr>
      <w:r w:rsidRPr="0074432E">
        <w:rPr>
          <w:rFonts w:ascii="Arial" w:hAnsi="Arial" w:cs="Arial"/>
          <w:b/>
          <w:bCs/>
          <w:sz w:val="24"/>
          <w:szCs w:val="24"/>
        </w:rPr>
        <w:t>The Current ratio</w:t>
      </w:r>
      <w:r w:rsidRPr="0074432E">
        <w:rPr>
          <w:rFonts w:ascii="Arial" w:hAnsi="Arial" w:cs="Arial"/>
          <w:sz w:val="24"/>
          <w:szCs w:val="24"/>
        </w:rPr>
        <w:t xml:space="preserve"> assesses a business's capacity to fulfil its short-term obligations that are payable within a year (Vipond, 2023). The Current ratio for Sweets plc is:</w:t>
      </w:r>
    </w:p>
    <w:p w14:paraId="72C72032" w14:textId="7EEB30A4" w:rsidR="006517DA" w:rsidRPr="0074432E" w:rsidRDefault="006517DA" w:rsidP="0074432E">
      <w:pPr>
        <w:spacing w:line="360" w:lineRule="auto"/>
        <w:jc w:val="center"/>
        <w:rPr>
          <w:rFonts w:ascii="Arial" w:hAnsi="Arial" w:cs="Arial"/>
          <w:sz w:val="24"/>
          <w:szCs w:val="24"/>
        </w:rPr>
      </w:pPr>
      <w:r w:rsidRPr="0074432E">
        <w:rPr>
          <w:rFonts w:ascii="Arial" w:hAnsi="Arial" w:cs="Arial"/>
          <w:sz w:val="24"/>
          <w:szCs w:val="24"/>
        </w:rPr>
        <w:t>2021 year “</w:t>
      </w:r>
      <w:r w:rsidR="006D43CD" w:rsidRPr="0074432E">
        <w:rPr>
          <w:rFonts w:ascii="Arial" w:hAnsi="Arial" w:cs="Arial"/>
          <w:sz w:val="24"/>
          <w:szCs w:val="24"/>
        </w:rPr>
        <w:t>2,</w:t>
      </w:r>
      <w:r w:rsidR="00EF2F87" w:rsidRPr="0074432E">
        <w:rPr>
          <w:rFonts w:ascii="Arial" w:hAnsi="Arial" w:cs="Arial"/>
          <w:sz w:val="24"/>
          <w:szCs w:val="24"/>
        </w:rPr>
        <w:t>355 / 3,046</w:t>
      </w:r>
      <w:r w:rsidRPr="0074432E">
        <w:rPr>
          <w:rFonts w:ascii="Arial" w:hAnsi="Arial" w:cs="Arial"/>
          <w:sz w:val="24"/>
          <w:szCs w:val="24"/>
        </w:rPr>
        <w:t xml:space="preserve"> = 0.77”</w:t>
      </w:r>
    </w:p>
    <w:p w14:paraId="5C2B0231" w14:textId="4FAD4662" w:rsidR="006517DA" w:rsidRPr="0074432E" w:rsidRDefault="006517DA" w:rsidP="0074432E">
      <w:pPr>
        <w:spacing w:line="360" w:lineRule="auto"/>
        <w:jc w:val="center"/>
        <w:rPr>
          <w:rFonts w:ascii="Arial" w:hAnsi="Arial" w:cs="Arial"/>
          <w:sz w:val="24"/>
          <w:szCs w:val="24"/>
        </w:rPr>
      </w:pPr>
      <w:r w:rsidRPr="0074432E">
        <w:rPr>
          <w:rFonts w:ascii="Arial" w:hAnsi="Arial" w:cs="Arial"/>
          <w:sz w:val="24"/>
          <w:szCs w:val="24"/>
        </w:rPr>
        <w:t>2022 year “</w:t>
      </w:r>
      <w:r w:rsidR="00E7746F" w:rsidRPr="0074432E">
        <w:rPr>
          <w:rFonts w:ascii="Arial" w:hAnsi="Arial" w:cs="Arial"/>
          <w:sz w:val="24"/>
          <w:szCs w:val="24"/>
        </w:rPr>
        <w:t>2,303 / 2,511</w:t>
      </w:r>
      <w:r w:rsidRPr="0074432E">
        <w:rPr>
          <w:rFonts w:ascii="Arial" w:hAnsi="Arial" w:cs="Arial"/>
          <w:sz w:val="24"/>
          <w:szCs w:val="24"/>
        </w:rPr>
        <w:t xml:space="preserve"> = 0.92”</w:t>
      </w:r>
    </w:p>
    <w:p w14:paraId="76E47084" w14:textId="77777777" w:rsidR="00571BE2" w:rsidRPr="0074432E" w:rsidRDefault="00571BE2" w:rsidP="0074432E">
      <w:pPr>
        <w:spacing w:line="360" w:lineRule="auto"/>
        <w:jc w:val="center"/>
        <w:rPr>
          <w:rFonts w:ascii="Arial" w:hAnsi="Arial" w:cs="Arial"/>
          <w:sz w:val="24"/>
          <w:szCs w:val="24"/>
        </w:rPr>
      </w:pPr>
    </w:p>
    <w:p w14:paraId="426BF144" w14:textId="636FAE7B" w:rsidR="00F11708" w:rsidRPr="0074432E" w:rsidRDefault="004C54C0" w:rsidP="0074432E">
      <w:pPr>
        <w:spacing w:line="360" w:lineRule="auto"/>
        <w:rPr>
          <w:rFonts w:ascii="Arial" w:hAnsi="Arial" w:cs="Arial"/>
          <w:sz w:val="24"/>
          <w:szCs w:val="24"/>
        </w:rPr>
      </w:pPr>
      <w:r w:rsidRPr="0074432E">
        <w:rPr>
          <w:rFonts w:ascii="Arial" w:hAnsi="Arial" w:cs="Arial"/>
          <w:b/>
          <w:bCs/>
          <w:sz w:val="24"/>
          <w:szCs w:val="24"/>
        </w:rPr>
        <w:lastRenderedPageBreak/>
        <w:t>The gearing ratio</w:t>
      </w:r>
      <w:r w:rsidRPr="0074432E">
        <w:rPr>
          <w:rFonts w:ascii="Arial" w:hAnsi="Arial" w:cs="Arial"/>
          <w:sz w:val="24"/>
          <w:szCs w:val="24"/>
        </w:rPr>
        <w:t xml:space="preserve"> represents the proportion of debt, relative to equity capital, employed by a company for its operational funding. A high gearing ratio indicates an elevated debt-to-equity ratio, thereby potentially heightening the risk of financial instability for the business (CFI Education Inc., 2023). The Gearing ratio for Sweets plc is:</w:t>
      </w:r>
    </w:p>
    <w:p w14:paraId="547B9BDB" w14:textId="32AF73B5" w:rsidR="004C54C0" w:rsidRPr="0074432E" w:rsidRDefault="004C54C0" w:rsidP="0074432E">
      <w:pPr>
        <w:spacing w:line="360" w:lineRule="auto"/>
        <w:jc w:val="center"/>
        <w:rPr>
          <w:rFonts w:ascii="Arial" w:hAnsi="Arial" w:cs="Arial"/>
          <w:sz w:val="24"/>
          <w:szCs w:val="24"/>
        </w:rPr>
      </w:pPr>
      <w:r w:rsidRPr="0074432E">
        <w:rPr>
          <w:rFonts w:ascii="Arial" w:hAnsi="Arial" w:cs="Arial"/>
          <w:sz w:val="24"/>
          <w:szCs w:val="24"/>
        </w:rPr>
        <w:t>2021 year “</w:t>
      </w:r>
      <w:r w:rsidR="00646831" w:rsidRPr="0074432E">
        <w:rPr>
          <w:rFonts w:ascii="Arial" w:hAnsi="Arial" w:cs="Arial"/>
          <w:sz w:val="24"/>
          <w:szCs w:val="24"/>
        </w:rPr>
        <w:t>[</w:t>
      </w:r>
      <w:r w:rsidR="00E7413C" w:rsidRPr="0074432E">
        <w:rPr>
          <w:rFonts w:ascii="Arial" w:hAnsi="Arial" w:cs="Arial"/>
          <w:sz w:val="24"/>
          <w:szCs w:val="24"/>
        </w:rPr>
        <w:t xml:space="preserve">4,129 / (4,129 + </w:t>
      </w:r>
      <w:r w:rsidR="0028725E" w:rsidRPr="0074432E">
        <w:rPr>
          <w:rFonts w:ascii="Arial" w:hAnsi="Arial" w:cs="Arial"/>
          <w:sz w:val="24"/>
          <w:szCs w:val="24"/>
        </w:rPr>
        <w:t>2,912)</w:t>
      </w:r>
      <w:r w:rsidR="00646831" w:rsidRPr="0074432E">
        <w:rPr>
          <w:rFonts w:ascii="Arial" w:hAnsi="Arial" w:cs="Arial"/>
          <w:sz w:val="24"/>
          <w:szCs w:val="24"/>
        </w:rPr>
        <w:t>] * 100%</w:t>
      </w:r>
      <w:r w:rsidRPr="0074432E">
        <w:rPr>
          <w:rFonts w:ascii="Arial" w:hAnsi="Arial" w:cs="Arial"/>
          <w:sz w:val="24"/>
          <w:szCs w:val="24"/>
        </w:rPr>
        <w:t xml:space="preserve"> = </w:t>
      </w:r>
      <w:r w:rsidR="00382E09" w:rsidRPr="0074432E">
        <w:rPr>
          <w:rFonts w:ascii="Arial" w:hAnsi="Arial" w:cs="Arial"/>
          <w:sz w:val="24"/>
          <w:szCs w:val="24"/>
        </w:rPr>
        <w:t>58.64%</w:t>
      </w:r>
      <w:r w:rsidRPr="0074432E">
        <w:rPr>
          <w:rFonts w:ascii="Arial" w:hAnsi="Arial" w:cs="Arial"/>
          <w:sz w:val="24"/>
          <w:szCs w:val="24"/>
        </w:rPr>
        <w:t>”</w:t>
      </w:r>
    </w:p>
    <w:p w14:paraId="2516F7DA" w14:textId="4744BA64" w:rsidR="004C54C0" w:rsidRPr="0074432E" w:rsidRDefault="004C54C0" w:rsidP="0074432E">
      <w:pPr>
        <w:spacing w:line="360" w:lineRule="auto"/>
        <w:jc w:val="center"/>
        <w:rPr>
          <w:rFonts w:ascii="Arial" w:hAnsi="Arial" w:cs="Arial"/>
          <w:sz w:val="24"/>
          <w:szCs w:val="24"/>
        </w:rPr>
      </w:pPr>
      <w:r w:rsidRPr="0074432E">
        <w:rPr>
          <w:rFonts w:ascii="Arial" w:hAnsi="Arial" w:cs="Arial"/>
          <w:sz w:val="24"/>
          <w:szCs w:val="24"/>
        </w:rPr>
        <w:t>2022 year “</w:t>
      </w:r>
      <w:r w:rsidR="00646831" w:rsidRPr="0074432E">
        <w:rPr>
          <w:rFonts w:ascii="Arial" w:hAnsi="Arial" w:cs="Arial"/>
          <w:sz w:val="24"/>
          <w:szCs w:val="24"/>
        </w:rPr>
        <w:t>[</w:t>
      </w:r>
      <w:r w:rsidR="00BF7EF1" w:rsidRPr="0074432E">
        <w:rPr>
          <w:rFonts w:ascii="Arial" w:hAnsi="Arial" w:cs="Arial"/>
          <w:sz w:val="24"/>
          <w:szCs w:val="24"/>
        </w:rPr>
        <w:t>4,137</w:t>
      </w:r>
      <w:r w:rsidR="00646831" w:rsidRPr="0074432E">
        <w:rPr>
          <w:rFonts w:ascii="Arial" w:hAnsi="Arial" w:cs="Arial"/>
          <w:sz w:val="24"/>
          <w:szCs w:val="24"/>
        </w:rPr>
        <w:t xml:space="preserve"> / (</w:t>
      </w:r>
      <w:r w:rsidR="00BF7EF1" w:rsidRPr="0074432E">
        <w:rPr>
          <w:rFonts w:ascii="Arial" w:hAnsi="Arial" w:cs="Arial"/>
          <w:sz w:val="24"/>
          <w:szCs w:val="24"/>
        </w:rPr>
        <w:t>4,137 + 3,088</w:t>
      </w:r>
      <w:r w:rsidR="00646831" w:rsidRPr="0074432E">
        <w:rPr>
          <w:rFonts w:ascii="Arial" w:hAnsi="Arial" w:cs="Arial"/>
          <w:sz w:val="24"/>
          <w:szCs w:val="24"/>
        </w:rPr>
        <w:t xml:space="preserve">)] * 100% </w:t>
      </w:r>
      <w:r w:rsidRPr="0074432E">
        <w:rPr>
          <w:rFonts w:ascii="Arial" w:hAnsi="Arial" w:cs="Arial"/>
          <w:sz w:val="24"/>
          <w:szCs w:val="24"/>
        </w:rPr>
        <w:t xml:space="preserve">= </w:t>
      </w:r>
      <w:r w:rsidR="00382E09" w:rsidRPr="0074432E">
        <w:rPr>
          <w:rFonts w:ascii="Arial" w:hAnsi="Arial" w:cs="Arial"/>
          <w:sz w:val="24"/>
          <w:szCs w:val="24"/>
        </w:rPr>
        <w:t>57.26%</w:t>
      </w:r>
      <w:r w:rsidRPr="0074432E">
        <w:rPr>
          <w:rFonts w:ascii="Arial" w:hAnsi="Arial" w:cs="Arial"/>
          <w:sz w:val="24"/>
          <w:szCs w:val="24"/>
        </w:rPr>
        <w:t>”</w:t>
      </w:r>
    </w:p>
    <w:p w14:paraId="496CCC2D" w14:textId="77777777" w:rsidR="004C54C0" w:rsidRPr="0074432E" w:rsidRDefault="004C54C0" w:rsidP="0074432E">
      <w:pPr>
        <w:spacing w:line="360" w:lineRule="auto"/>
        <w:jc w:val="center"/>
        <w:rPr>
          <w:rFonts w:ascii="Arial" w:hAnsi="Arial" w:cs="Arial"/>
          <w:sz w:val="24"/>
          <w:szCs w:val="24"/>
        </w:rPr>
      </w:pPr>
    </w:p>
    <w:p w14:paraId="311E0627" w14:textId="2127586E" w:rsidR="00125FFC" w:rsidRPr="0074432E" w:rsidRDefault="00125FFC" w:rsidP="0074432E">
      <w:pPr>
        <w:spacing w:line="360" w:lineRule="auto"/>
        <w:rPr>
          <w:rFonts w:ascii="Arial" w:hAnsi="Arial" w:cs="Arial"/>
          <w:sz w:val="24"/>
          <w:szCs w:val="24"/>
        </w:rPr>
      </w:pPr>
      <w:r w:rsidRPr="0074432E">
        <w:rPr>
          <w:rFonts w:ascii="Arial" w:hAnsi="Arial" w:cs="Arial"/>
          <w:b/>
          <w:bCs/>
          <w:sz w:val="24"/>
          <w:szCs w:val="24"/>
        </w:rPr>
        <w:t>The Interest Coverage Ratio</w:t>
      </w:r>
      <w:r w:rsidRPr="0074432E">
        <w:rPr>
          <w:rFonts w:ascii="Arial" w:hAnsi="Arial" w:cs="Arial"/>
          <w:sz w:val="24"/>
          <w:szCs w:val="24"/>
        </w:rPr>
        <w:t xml:space="preserve"> is a financial tool utilised to </w:t>
      </w:r>
      <w:r w:rsidR="00662D04" w:rsidRPr="0074432E">
        <w:rPr>
          <w:rFonts w:ascii="Arial" w:hAnsi="Arial" w:cs="Arial"/>
          <w:sz w:val="24"/>
          <w:szCs w:val="24"/>
        </w:rPr>
        <w:t>understand</w:t>
      </w:r>
      <w:r w:rsidRPr="0074432E">
        <w:rPr>
          <w:rFonts w:ascii="Arial" w:hAnsi="Arial" w:cs="Arial"/>
          <w:sz w:val="24"/>
          <w:szCs w:val="24"/>
        </w:rPr>
        <w:t xml:space="preserve"> a company's ability to meet the interest payments on its outstanding debts (CFI Education Inc., 2023). The Interest Coverage Ratio for Sweets plc is:</w:t>
      </w:r>
    </w:p>
    <w:p w14:paraId="073FE791" w14:textId="6224E385" w:rsidR="00426CF6" w:rsidRPr="0074432E" w:rsidRDefault="00426CF6" w:rsidP="0074432E">
      <w:pPr>
        <w:spacing w:line="360" w:lineRule="auto"/>
        <w:jc w:val="center"/>
        <w:rPr>
          <w:rFonts w:ascii="Arial" w:hAnsi="Arial" w:cs="Arial"/>
          <w:sz w:val="24"/>
          <w:szCs w:val="24"/>
        </w:rPr>
      </w:pPr>
      <w:r w:rsidRPr="0074432E">
        <w:rPr>
          <w:rFonts w:ascii="Arial" w:hAnsi="Arial" w:cs="Arial"/>
          <w:sz w:val="24"/>
          <w:szCs w:val="24"/>
        </w:rPr>
        <w:t>2021 year “</w:t>
      </w:r>
      <w:r w:rsidR="00BC7B73" w:rsidRPr="0074432E">
        <w:rPr>
          <w:rFonts w:ascii="Arial" w:hAnsi="Arial" w:cs="Arial"/>
          <w:sz w:val="24"/>
          <w:szCs w:val="24"/>
        </w:rPr>
        <w:t xml:space="preserve">699 / </w:t>
      </w:r>
      <w:r w:rsidR="0055478F" w:rsidRPr="0074432E">
        <w:rPr>
          <w:rFonts w:ascii="Arial" w:hAnsi="Arial" w:cs="Arial"/>
          <w:sz w:val="24"/>
          <w:szCs w:val="24"/>
        </w:rPr>
        <w:t>181</w:t>
      </w:r>
      <w:r w:rsidRPr="0074432E">
        <w:rPr>
          <w:rFonts w:ascii="Arial" w:hAnsi="Arial" w:cs="Arial"/>
          <w:sz w:val="24"/>
          <w:szCs w:val="24"/>
        </w:rPr>
        <w:t>= 3.86”</w:t>
      </w:r>
    </w:p>
    <w:p w14:paraId="39A35076" w14:textId="12A5F5BA" w:rsidR="00426CF6" w:rsidRPr="0074432E" w:rsidRDefault="00426CF6" w:rsidP="0074432E">
      <w:pPr>
        <w:spacing w:line="360" w:lineRule="auto"/>
        <w:jc w:val="center"/>
        <w:rPr>
          <w:rFonts w:ascii="Arial" w:hAnsi="Arial" w:cs="Arial"/>
          <w:sz w:val="24"/>
          <w:szCs w:val="24"/>
        </w:rPr>
      </w:pPr>
      <w:r w:rsidRPr="0074432E">
        <w:rPr>
          <w:rFonts w:ascii="Arial" w:hAnsi="Arial" w:cs="Arial"/>
          <w:sz w:val="24"/>
          <w:szCs w:val="24"/>
        </w:rPr>
        <w:t>2022 year “</w:t>
      </w:r>
      <w:r w:rsidR="0055478F" w:rsidRPr="0074432E">
        <w:rPr>
          <w:rFonts w:ascii="Arial" w:hAnsi="Arial" w:cs="Arial"/>
          <w:sz w:val="24"/>
          <w:szCs w:val="24"/>
        </w:rPr>
        <w:t>805 / 226</w:t>
      </w:r>
      <w:r w:rsidRPr="0074432E">
        <w:rPr>
          <w:rFonts w:ascii="Arial" w:hAnsi="Arial" w:cs="Arial"/>
          <w:sz w:val="24"/>
          <w:szCs w:val="24"/>
        </w:rPr>
        <w:t xml:space="preserve"> = 3.56”</w:t>
      </w:r>
    </w:p>
    <w:p w14:paraId="574298F4" w14:textId="77777777" w:rsidR="002B4282" w:rsidRPr="0074432E" w:rsidRDefault="002B4282" w:rsidP="0074432E">
      <w:pPr>
        <w:spacing w:line="360" w:lineRule="auto"/>
        <w:jc w:val="center"/>
        <w:rPr>
          <w:rFonts w:ascii="Arial" w:hAnsi="Arial" w:cs="Arial"/>
          <w:sz w:val="24"/>
          <w:szCs w:val="24"/>
        </w:rPr>
      </w:pPr>
    </w:p>
    <w:p w14:paraId="70107AC7" w14:textId="4EA6D84D" w:rsidR="00C700CF" w:rsidRPr="0074432E" w:rsidRDefault="00C700CF" w:rsidP="0074432E">
      <w:pPr>
        <w:pStyle w:val="Heading2"/>
        <w:spacing w:line="360" w:lineRule="auto"/>
        <w:rPr>
          <w:rFonts w:ascii="Arial" w:hAnsi="Arial" w:cs="Arial"/>
          <w:i/>
          <w:iCs/>
        </w:rPr>
      </w:pPr>
      <w:bookmarkStart w:id="6" w:name="_Toc153487214"/>
      <w:r w:rsidRPr="0074432E">
        <w:rPr>
          <w:rFonts w:ascii="Arial" w:hAnsi="Arial" w:cs="Arial"/>
          <w:i/>
          <w:iCs/>
        </w:rPr>
        <w:t xml:space="preserve">Critical assessment of Sweets </w:t>
      </w:r>
      <w:r w:rsidR="00FB2D6B" w:rsidRPr="0074432E">
        <w:rPr>
          <w:rFonts w:ascii="Arial" w:hAnsi="Arial" w:cs="Arial"/>
          <w:i/>
          <w:iCs/>
        </w:rPr>
        <w:t>plc's</w:t>
      </w:r>
      <w:r w:rsidRPr="0074432E">
        <w:rPr>
          <w:rFonts w:ascii="Arial" w:hAnsi="Arial" w:cs="Arial"/>
          <w:i/>
          <w:iCs/>
        </w:rPr>
        <w:t xml:space="preserve"> financial performance and position.</w:t>
      </w:r>
      <w:bookmarkEnd w:id="6"/>
    </w:p>
    <w:p w14:paraId="09D331FD" w14:textId="77777777" w:rsidR="00C700CF" w:rsidRPr="0074432E" w:rsidRDefault="00C700CF" w:rsidP="0074432E">
      <w:pPr>
        <w:spacing w:line="360" w:lineRule="auto"/>
        <w:rPr>
          <w:rFonts w:ascii="Arial" w:hAnsi="Arial" w:cs="Arial"/>
        </w:rPr>
      </w:pPr>
    </w:p>
    <w:p w14:paraId="082973E4" w14:textId="5BB04DA4" w:rsidR="009519F3" w:rsidRPr="0074432E" w:rsidRDefault="009519F3" w:rsidP="0074432E">
      <w:pPr>
        <w:spacing w:line="360" w:lineRule="auto"/>
        <w:rPr>
          <w:rFonts w:ascii="Arial" w:hAnsi="Arial" w:cs="Arial"/>
          <w:sz w:val="24"/>
          <w:szCs w:val="24"/>
        </w:rPr>
      </w:pPr>
      <w:r w:rsidRPr="0074432E">
        <w:rPr>
          <w:rFonts w:ascii="Arial" w:hAnsi="Arial" w:cs="Arial"/>
          <w:sz w:val="24"/>
          <w:szCs w:val="24"/>
        </w:rPr>
        <w:t>Sweets plc indicates positive trends in profitability, asset utilisation, and inventory turnover. However, the increase in the current ratio and a decline in the interest coverage ratio suggest areas that need attention, especially in managing short-term obligations and interest payment capabilities. Overall, Sweets plc appears to perform well, but ongoing vigilance is imperative for sustained financial health and stability.</w:t>
      </w:r>
    </w:p>
    <w:p w14:paraId="1547CA06" w14:textId="77777777" w:rsidR="002E73FD" w:rsidRPr="0074432E" w:rsidRDefault="002E73FD" w:rsidP="0074432E">
      <w:pPr>
        <w:spacing w:line="360" w:lineRule="auto"/>
        <w:rPr>
          <w:rFonts w:ascii="Arial" w:hAnsi="Arial" w:cs="Arial"/>
          <w:sz w:val="24"/>
          <w:szCs w:val="24"/>
        </w:rPr>
      </w:pPr>
    </w:p>
    <w:p w14:paraId="5E047C72" w14:textId="063D088F" w:rsidR="002E73FD" w:rsidRPr="0074432E" w:rsidRDefault="0074432E" w:rsidP="0074432E">
      <w:pPr>
        <w:pStyle w:val="Heading1"/>
        <w:spacing w:line="360" w:lineRule="auto"/>
        <w:rPr>
          <w:rFonts w:ascii="Arial" w:hAnsi="Arial" w:cs="Arial"/>
        </w:rPr>
      </w:pPr>
      <w:bookmarkStart w:id="7" w:name="_Toc153487215"/>
      <w:r w:rsidRPr="0074432E">
        <w:rPr>
          <w:rFonts w:ascii="Arial" w:hAnsi="Arial" w:cs="Arial"/>
        </w:rPr>
        <w:t>Conclusion</w:t>
      </w:r>
      <w:bookmarkEnd w:id="7"/>
    </w:p>
    <w:p w14:paraId="2FF074CA" w14:textId="77777777" w:rsidR="0074432E" w:rsidRPr="0074432E" w:rsidRDefault="0074432E" w:rsidP="0074432E">
      <w:pPr>
        <w:spacing w:line="360" w:lineRule="auto"/>
        <w:rPr>
          <w:rFonts w:ascii="Arial" w:hAnsi="Arial" w:cs="Arial"/>
        </w:rPr>
      </w:pPr>
    </w:p>
    <w:p w14:paraId="49803F4B" w14:textId="77777777" w:rsidR="0074432E" w:rsidRPr="0074432E" w:rsidRDefault="0074432E" w:rsidP="0074432E">
      <w:pPr>
        <w:spacing w:line="360" w:lineRule="auto"/>
        <w:rPr>
          <w:rFonts w:ascii="Arial" w:hAnsi="Arial" w:cs="Arial"/>
          <w:sz w:val="24"/>
          <w:szCs w:val="24"/>
        </w:rPr>
      </w:pPr>
      <w:r w:rsidRPr="0074432E">
        <w:rPr>
          <w:rFonts w:ascii="Arial" w:hAnsi="Arial" w:cs="Arial"/>
          <w:sz w:val="24"/>
          <w:szCs w:val="24"/>
        </w:rPr>
        <w:t xml:space="preserve">In conclusion, this report analysed various aspects of financial reporting principles and managerial decisions, ranging from the purpose of the statement of financial position to the inclusion of prepayments and accruals, the necessity of financial regulations, and the importance of balancing ledger accounts before preparing </w:t>
      </w:r>
      <w:r w:rsidRPr="0074432E">
        <w:rPr>
          <w:rFonts w:ascii="Arial" w:hAnsi="Arial" w:cs="Arial"/>
          <w:sz w:val="24"/>
          <w:szCs w:val="24"/>
        </w:rPr>
        <w:lastRenderedPageBreak/>
        <w:t>financial statements. Additionally, the examination extended to the assessment of Wales plc's income statement, and a comprehensive analysis of Sweets plc's financial ratios.</w:t>
      </w:r>
    </w:p>
    <w:p w14:paraId="1148073E" w14:textId="5808EAF3" w:rsidR="0074432E" w:rsidRPr="0074432E" w:rsidRDefault="0074432E" w:rsidP="0074432E">
      <w:pPr>
        <w:spacing w:line="360" w:lineRule="auto"/>
        <w:rPr>
          <w:rFonts w:ascii="Arial" w:hAnsi="Arial" w:cs="Arial"/>
          <w:sz w:val="24"/>
          <w:szCs w:val="24"/>
        </w:rPr>
      </w:pPr>
      <w:r w:rsidRPr="0074432E">
        <w:rPr>
          <w:rFonts w:ascii="Arial" w:hAnsi="Arial" w:cs="Arial"/>
          <w:sz w:val="24"/>
          <w:szCs w:val="24"/>
        </w:rPr>
        <w:t>This report offers a comprehensive view of financial principles, and practical applications through examples. As businesses navigate through dynamic economic landscapes, a continuous focus on financial management remains imperative for success.</w:t>
      </w:r>
    </w:p>
    <w:p w14:paraId="28C35B27" w14:textId="468984BA" w:rsidR="00C17936" w:rsidRPr="0074432E" w:rsidRDefault="002927F8" w:rsidP="002927F8">
      <w:pPr>
        <w:rPr>
          <w:rFonts w:ascii="Arial" w:hAnsi="Arial" w:cs="Arial"/>
          <w:sz w:val="24"/>
          <w:szCs w:val="24"/>
        </w:rPr>
      </w:pPr>
      <w:r>
        <w:rPr>
          <w:rFonts w:ascii="Arial" w:hAnsi="Arial" w:cs="Arial"/>
          <w:sz w:val="24"/>
          <w:szCs w:val="24"/>
        </w:rPr>
        <w:br w:type="page"/>
      </w:r>
    </w:p>
    <w:p w14:paraId="4F1B78EE" w14:textId="4B9DA39F" w:rsidR="00EA426C" w:rsidRPr="0074432E" w:rsidRDefault="00B72E48" w:rsidP="0074432E">
      <w:pPr>
        <w:pStyle w:val="Heading1"/>
        <w:spacing w:line="360" w:lineRule="auto"/>
        <w:rPr>
          <w:rFonts w:ascii="Arial" w:hAnsi="Arial" w:cs="Arial"/>
        </w:rPr>
      </w:pPr>
      <w:bookmarkStart w:id="8" w:name="_Toc153487216"/>
      <w:r w:rsidRPr="0074432E">
        <w:rPr>
          <w:rFonts w:ascii="Arial" w:hAnsi="Arial" w:cs="Arial"/>
        </w:rPr>
        <w:lastRenderedPageBreak/>
        <w:t>References</w:t>
      </w:r>
      <w:bookmarkEnd w:id="8"/>
    </w:p>
    <w:p w14:paraId="6D00CED5" w14:textId="77777777" w:rsidR="00B72E48" w:rsidRPr="0074432E" w:rsidRDefault="00B72E48" w:rsidP="0074432E">
      <w:pPr>
        <w:spacing w:line="360" w:lineRule="auto"/>
        <w:rPr>
          <w:rFonts w:ascii="Arial" w:hAnsi="Arial" w:cs="Arial"/>
          <w:sz w:val="24"/>
          <w:szCs w:val="24"/>
        </w:rPr>
      </w:pPr>
    </w:p>
    <w:p w14:paraId="40C1C879" w14:textId="4BC85E35" w:rsidR="00B72E48" w:rsidRPr="0074432E" w:rsidRDefault="00BC0F0D" w:rsidP="0074432E">
      <w:pPr>
        <w:spacing w:line="360" w:lineRule="auto"/>
        <w:rPr>
          <w:rFonts w:ascii="Arial" w:hAnsi="Arial" w:cs="Arial"/>
          <w:sz w:val="24"/>
          <w:szCs w:val="24"/>
        </w:rPr>
      </w:pPr>
      <w:r w:rsidRPr="0074432E">
        <w:rPr>
          <w:rFonts w:ascii="Arial" w:hAnsi="Arial" w:cs="Arial"/>
          <w:sz w:val="24"/>
          <w:szCs w:val="24"/>
        </w:rPr>
        <w:t>Atrill, P. (201</w:t>
      </w:r>
      <w:r w:rsidR="008608B6" w:rsidRPr="0074432E">
        <w:rPr>
          <w:rFonts w:ascii="Arial" w:hAnsi="Arial" w:cs="Arial"/>
          <w:sz w:val="24"/>
          <w:szCs w:val="24"/>
        </w:rPr>
        <w:t>9</w:t>
      </w:r>
      <w:r w:rsidRPr="0074432E">
        <w:rPr>
          <w:rFonts w:ascii="Arial" w:hAnsi="Arial" w:cs="Arial"/>
          <w:sz w:val="24"/>
          <w:szCs w:val="24"/>
        </w:rPr>
        <w:t xml:space="preserve">) </w:t>
      </w:r>
      <w:r w:rsidRPr="0074432E">
        <w:rPr>
          <w:rFonts w:ascii="Arial" w:hAnsi="Arial" w:cs="Arial"/>
          <w:i/>
          <w:iCs/>
          <w:sz w:val="24"/>
          <w:szCs w:val="24"/>
        </w:rPr>
        <w:t>Accounting and finance for non-specialists</w:t>
      </w:r>
      <w:r w:rsidRPr="0074432E">
        <w:rPr>
          <w:rFonts w:ascii="Arial" w:hAnsi="Arial" w:cs="Arial"/>
          <w:sz w:val="24"/>
          <w:szCs w:val="24"/>
        </w:rPr>
        <w:t>.</w:t>
      </w:r>
      <w:r w:rsidR="00ED23D7" w:rsidRPr="0074432E">
        <w:rPr>
          <w:rFonts w:ascii="Arial" w:hAnsi="Arial" w:cs="Arial"/>
          <w:sz w:val="24"/>
          <w:szCs w:val="24"/>
        </w:rPr>
        <w:t xml:space="preserve"> </w:t>
      </w:r>
      <w:r w:rsidR="00F56158" w:rsidRPr="0074432E">
        <w:rPr>
          <w:rFonts w:ascii="Arial" w:hAnsi="Arial" w:cs="Arial"/>
          <w:sz w:val="24"/>
          <w:szCs w:val="24"/>
        </w:rPr>
        <w:t>11</w:t>
      </w:r>
      <w:r w:rsidR="00ED23D7" w:rsidRPr="0074432E">
        <w:rPr>
          <w:rFonts w:ascii="Arial" w:hAnsi="Arial" w:cs="Arial"/>
          <w:sz w:val="24"/>
          <w:szCs w:val="24"/>
        </w:rPr>
        <w:t>th edition.</w:t>
      </w:r>
      <w:r w:rsidRPr="0074432E">
        <w:rPr>
          <w:rFonts w:ascii="Arial" w:hAnsi="Arial" w:cs="Arial"/>
          <w:sz w:val="24"/>
          <w:szCs w:val="24"/>
        </w:rPr>
        <w:t xml:space="preserve"> Harlow, England: Pearson.</w:t>
      </w:r>
    </w:p>
    <w:p w14:paraId="0ABE8465" w14:textId="27C17385" w:rsidR="00126442" w:rsidRPr="0074432E" w:rsidRDefault="00126442" w:rsidP="0074432E">
      <w:pPr>
        <w:spacing w:line="360" w:lineRule="auto"/>
        <w:rPr>
          <w:rFonts w:ascii="Arial" w:hAnsi="Arial" w:cs="Arial"/>
          <w:sz w:val="24"/>
          <w:szCs w:val="24"/>
        </w:rPr>
      </w:pPr>
      <w:r w:rsidRPr="0074432E">
        <w:rPr>
          <w:rFonts w:ascii="Arial" w:hAnsi="Arial" w:cs="Arial"/>
          <w:sz w:val="24"/>
          <w:szCs w:val="24"/>
        </w:rPr>
        <w:t xml:space="preserve">CFI Education Inc. (2023) </w:t>
      </w:r>
      <w:r w:rsidRPr="0074432E">
        <w:rPr>
          <w:rFonts w:ascii="Arial" w:hAnsi="Arial" w:cs="Arial"/>
          <w:i/>
          <w:iCs/>
          <w:sz w:val="24"/>
          <w:szCs w:val="24"/>
        </w:rPr>
        <w:t>Gearing</w:t>
      </w:r>
      <w:r w:rsidRPr="0074432E">
        <w:rPr>
          <w:rFonts w:ascii="Arial" w:hAnsi="Arial" w:cs="Arial"/>
          <w:sz w:val="24"/>
          <w:szCs w:val="24"/>
        </w:rPr>
        <w:t>. Available at: https://corporatefinanceinstitute.com/resources/accounting/gearing/ (Accessed: 12.12.2023).</w:t>
      </w:r>
    </w:p>
    <w:p w14:paraId="214F84F4" w14:textId="76A6B7E4" w:rsidR="00797F59" w:rsidRPr="0074432E" w:rsidRDefault="00797F59" w:rsidP="0074432E">
      <w:pPr>
        <w:spacing w:line="360" w:lineRule="auto"/>
        <w:rPr>
          <w:rFonts w:ascii="Arial" w:hAnsi="Arial" w:cs="Arial"/>
          <w:sz w:val="24"/>
          <w:szCs w:val="24"/>
        </w:rPr>
      </w:pPr>
      <w:r w:rsidRPr="0074432E">
        <w:rPr>
          <w:rFonts w:ascii="Arial" w:hAnsi="Arial" w:cs="Arial"/>
          <w:sz w:val="24"/>
          <w:szCs w:val="24"/>
        </w:rPr>
        <w:t xml:space="preserve">CFI Education Inc. (2023) </w:t>
      </w:r>
      <w:r w:rsidRPr="0074432E">
        <w:rPr>
          <w:rFonts w:ascii="Arial" w:hAnsi="Arial" w:cs="Arial"/>
          <w:i/>
          <w:iCs/>
          <w:sz w:val="24"/>
          <w:szCs w:val="24"/>
        </w:rPr>
        <w:t>Income Statement</w:t>
      </w:r>
      <w:r w:rsidRPr="0074432E">
        <w:rPr>
          <w:rFonts w:ascii="Arial" w:hAnsi="Arial" w:cs="Arial"/>
          <w:sz w:val="24"/>
          <w:szCs w:val="24"/>
        </w:rPr>
        <w:t>. Available at: https://corporatefinanceinstitute.com/resources/accounting/income-statement/ (Accessed: 12.12.2023).</w:t>
      </w:r>
    </w:p>
    <w:p w14:paraId="50F6704A" w14:textId="13130619" w:rsidR="00703A17" w:rsidRPr="0074432E" w:rsidRDefault="00703A17" w:rsidP="0074432E">
      <w:pPr>
        <w:spacing w:line="360" w:lineRule="auto"/>
        <w:rPr>
          <w:rFonts w:ascii="Arial" w:hAnsi="Arial" w:cs="Arial"/>
          <w:sz w:val="24"/>
          <w:szCs w:val="24"/>
        </w:rPr>
      </w:pPr>
      <w:r w:rsidRPr="0074432E">
        <w:rPr>
          <w:rFonts w:ascii="Arial" w:hAnsi="Arial" w:cs="Arial"/>
          <w:sz w:val="24"/>
          <w:szCs w:val="24"/>
        </w:rPr>
        <w:t xml:space="preserve">CFI Education Inc. (2023) </w:t>
      </w:r>
      <w:r w:rsidRPr="0074432E">
        <w:rPr>
          <w:rFonts w:ascii="Arial" w:hAnsi="Arial" w:cs="Arial"/>
          <w:i/>
          <w:iCs/>
          <w:sz w:val="24"/>
          <w:szCs w:val="24"/>
        </w:rPr>
        <w:t>Return on Capital Employed (ROCE)</w:t>
      </w:r>
      <w:r w:rsidRPr="0074432E">
        <w:rPr>
          <w:rFonts w:ascii="Arial" w:hAnsi="Arial" w:cs="Arial"/>
          <w:sz w:val="24"/>
          <w:szCs w:val="24"/>
        </w:rPr>
        <w:t>. Available at: https://corporatefinanceinstitute.com/resources/accounting/return-on-capital-employed-roce/ (Accessed: 14.12.2023).</w:t>
      </w:r>
    </w:p>
    <w:p w14:paraId="659AA24D" w14:textId="62AB647A" w:rsidR="00B67C6E" w:rsidRPr="0074432E" w:rsidRDefault="00B67C6E" w:rsidP="0074432E">
      <w:pPr>
        <w:spacing w:line="360" w:lineRule="auto"/>
        <w:rPr>
          <w:rFonts w:ascii="Arial" w:hAnsi="Arial" w:cs="Arial"/>
          <w:sz w:val="24"/>
          <w:szCs w:val="24"/>
        </w:rPr>
      </w:pPr>
      <w:r w:rsidRPr="0074432E">
        <w:rPr>
          <w:rFonts w:ascii="Arial" w:hAnsi="Arial" w:cs="Arial"/>
          <w:sz w:val="24"/>
          <w:szCs w:val="24"/>
        </w:rPr>
        <w:t xml:space="preserve">CFI Education Inc. (2023) </w:t>
      </w:r>
      <w:r w:rsidRPr="0074432E">
        <w:rPr>
          <w:rFonts w:ascii="Arial" w:hAnsi="Arial" w:cs="Arial"/>
          <w:i/>
          <w:iCs/>
          <w:sz w:val="24"/>
          <w:szCs w:val="24"/>
        </w:rPr>
        <w:t>Return on Equity (ROE)</w:t>
      </w:r>
      <w:r w:rsidRPr="0074432E">
        <w:rPr>
          <w:rFonts w:ascii="Arial" w:hAnsi="Arial" w:cs="Arial"/>
          <w:sz w:val="24"/>
          <w:szCs w:val="24"/>
        </w:rPr>
        <w:t>. Available at: https://corporatefinanceinstitute.com/resources/accounting/what-is-return-on-equity-roe/ (Accessed: 14.12.2023).</w:t>
      </w:r>
    </w:p>
    <w:p w14:paraId="3CA14924" w14:textId="4727C719" w:rsidR="005D35AD" w:rsidRPr="0074432E" w:rsidRDefault="005D35AD" w:rsidP="0074432E">
      <w:pPr>
        <w:spacing w:line="360" w:lineRule="auto"/>
        <w:rPr>
          <w:rFonts w:ascii="Arial" w:hAnsi="Arial" w:cs="Arial"/>
          <w:sz w:val="24"/>
          <w:szCs w:val="24"/>
        </w:rPr>
      </w:pPr>
      <w:r w:rsidRPr="0074432E">
        <w:rPr>
          <w:rFonts w:ascii="Arial" w:hAnsi="Arial" w:cs="Arial"/>
          <w:sz w:val="24"/>
          <w:szCs w:val="24"/>
        </w:rPr>
        <w:t xml:space="preserve">CFI Education Inc. (2023) </w:t>
      </w:r>
      <w:r w:rsidRPr="0074432E">
        <w:rPr>
          <w:rFonts w:ascii="Arial" w:hAnsi="Arial" w:cs="Arial"/>
          <w:i/>
          <w:iCs/>
          <w:sz w:val="24"/>
          <w:szCs w:val="24"/>
        </w:rPr>
        <w:t>What is Days of Inventory on Hand (DOH)?</w:t>
      </w:r>
      <w:r w:rsidRPr="0074432E">
        <w:rPr>
          <w:rFonts w:ascii="Arial" w:hAnsi="Arial" w:cs="Arial"/>
          <w:sz w:val="24"/>
          <w:szCs w:val="24"/>
        </w:rPr>
        <w:t>. Available at: https://corporatefinanceinstitute.com/resources/accounting/days-of-inventory-on-hand-doh/ (Accessed: 14.12.2023).</w:t>
      </w:r>
    </w:p>
    <w:p w14:paraId="78DEFE9D" w14:textId="6B994A95" w:rsidR="008E38C1" w:rsidRPr="0074432E" w:rsidRDefault="008E38C1" w:rsidP="0074432E">
      <w:pPr>
        <w:spacing w:line="360" w:lineRule="auto"/>
        <w:rPr>
          <w:rFonts w:ascii="Arial" w:hAnsi="Arial" w:cs="Arial"/>
          <w:sz w:val="24"/>
          <w:szCs w:val="24"/>
        </w:rPr>
      </w:pPr>
      <w:r w:rsidRPr="0074432E">
        <w:rPr>
          <w:rFonts w:ascii="Arial" w:hAnsi="Arial" w:cs="Arial"/>
          <w:sz w:val="24"/>
          <w:szCs w:val="24"/>
        </w:rPr>
        <w:t xml:space="preserve">CFI Education Inc. (2023) </w:t>
      </w:r>
      <w:r w:rsidRPr="0074432E">
        <w:rPr>
          <w:rFonts w:ascii="Arial" w:hAnsi="Arial" w:cs="Arial"/>
          <w:i/>
          <w:iCs/>
          <w:sz w:val="24"/>
          <w:szCs w:val="24"/>
        </w:rPr>
        <w:t>What is Interest Coverage Ratio (ICR)?.</w:t>
      </w:r>
      <w:r w:rsidRPr="0074432E">
        <w:rPr>
          <w:rFonts w:ascii="Arial" w:hAnsi="Arial" w:cs="Arial"/>
          <w:sz w:val="24"/>
          <w:szCs w:val="24"/>
        </w:rPr>
        <w:t xml:space="preserve"> Available at: https://corporatefinanceinstitute.com/resources/commercial-lending/interest-coverage-ratio/ (Accessed: 14.12.2023).</w:t>
      </w:r>
    </w:p>
    <w:p w14:paraId="6FF63AB3" w14:textId="3FE60823" w:rsidR="00171610" w:rsidRPr="0074432E" w:rsidRDefault="00171610" w:rsidP="0074432E">
      <w:pPr>
        <w:spacing w:line="360" w:lineRule="auto"/>
        <w:rPr>
          <w:rFonts w:ascii="Arial" w:hAnsi="Arial" w:cs="Arial"/>
          <w:sz w:val="24"/>
          <w:szCs w:val="24"/>
        </w:rPr>
      </w:pPr>
      <w:r w:rsidRPr="0074432E">
        <w:rPr>
          <w:rFonts w:ascii="Arial" w:hAnsi="Arial" w:cs="Arial"/>
          <w:sz w:val="24"/>
          <w:szCs w:val="24"/>
        </w:rPr>
        <w:t xml:space="preserve">CFI Education Inc. (2023) </w:t>
      </w:r>
      <w:r w:rsidRPr="0074432E">
        <w:rPr>
          <w:rFonts w:ascii="Arial" w:hAnsi="Arial" w:cs="Arial"/>
          <w:i/>
          <w:iCs/>
          <w:sz w:val="24"/>
          <w:szCs w:val="24"/>
        </w:rPr>
        <w:t>What is Net Profit Margin?.</w:t>
      </w:r>
      <w:r w:rsidRPr="0074432E">
        <w:rPr>
          <w:rFonts w:ascii="Arial" w:hAnsi="Arial" w:cs="Arial"/>
          <w:sz w:val="24"/>
          <w:szCs w:val="24"/>
        </w:rPr>
        <w:t xml:space="preserve"> Available at:</w:t>
      </w:r>
      <w:r w:rsidR="000B794F" w:rsidRPr="0074432E">
        <w:rPr>
          <w:rFonts w:ascii="Arial" w:hAnsi="Arial" w:cs="Arial"/>
          <w:sz w:val="24"/>
          <w:szCs w:val="24"/>
        </w:rPr>
        <w:t xml:space="preserve"> </w:t>
      </w:r>
      <w:r w:rsidRPr="0074432E">
        <w:rPr>
          <w:rFonts w:ascii="Arial" w:hAnsi="Arial" w:cs="Arial"/>
          <w:sz w:val="24"/>
          <w:szCs w:val="24"/>
        </w:rPr>
        <w:t>https://corporatefinanceinstitute.com/resources/accounting/net-profit-margin-formula/ (Accessed: 14.12.2023).</w:t>
      </w:r>
    </w:p>
    <w:p w14:paraId="53B37023" w14:textId="77777777" w:rsidR="006A2910" w:rsidRPr="0074432E" w:rsidRDefault="006A2910" w:rsidP="0074432E">
      <w:pPr>
        <w:spacing w:line="360" w:lineRule="auto"/>
        <w:rPr>
          <w:rFonts w:ascii="Arial" w:hAnsi="Arial" w:cs="Arial"/>
          <w:sz w:val="24"/>
          <w:szCs w:val="24"/>
        </w:rPr>
      </w:pPr>
      <w:r w:rsidRPr="0074432E">
        <w:rPr>
          <w:rFonts w:ascii="Arial" w:hAnsi="Arial" w:cs="Arial"/>
          <w:sz w:val="24"/>
          <w:szCs w:val="24"/>
        </w:rPr>
        <w:t xml:space="preserve">CFI Education Inc. (2023) </w:t>
      </w:r>
      <w:r w:rsidRPr="0074432E">
        <w:rPr>
          <w:rFonts w:ascii="Arial" w:hAnsi="Arial" w:cs="Arial"/>
          <w:i/>
          <w:iCs/>
          <w:sz w:val="24"/>
          <w:szCs w:val="24"/>
        </w:rPr>
        <w:t>What is the Average Collection Period?.</w:t>
      </w:r>
      <w:r w:rsidRPr="0074432E">
        <w:rPr>
          <w:rFonts w:ascii="Arial" w:hAnsi="Arial" w:cs="Arial"/>
          <w:sz w:val="24"/>
          <w:szCs w:val="24"/>
        </w:rPr>
        <w:t xml:space="preserve"> Available at: https://corporatefinanceinstitute.com/resources/accounting/average-collection-period/ (Accessed: 14.12.2023).</w:t>
      </w:r>
    </w:p>
    <w:p w14:paraId="533FDAA3" w14:textId="77777777" w:rsidR="006A2910" w:rsidRPr="0074432E" w:rsidRDefault="006A2910" w:rsidP="0074432E">
      <w:pPr>
        <w:spacing w:line="360" w:lineRule="auto"/>
        <w:rPr>
          <w:rFonts w:ascii="Arial" w:hAnsi="Arial" w:cs="Arial"/>
          <w:sz w:val="24"/>
          <w:szCs w:val="24"/>
        </w:rPr>
      </w:pPr>
    </w:p>
    <w:p w14:paraId="7A524136" w14:textId="219B4369" w:rsidR="0060088E" w:rsidRPr="0074432E" w:rsidRDefault="0060088E" w:rsidP="0074432E">
      <w:pPr>
        <w:spacing w:line="360" w:lineRule="auto"/>
        <w:rPr>
          <w:rFonts w:ascii="Arial" w:hAnsi="Arial" w:cs="Arial"/>
          <w:sz w:val="24"/>
          <w:szCs w:val="24"/>
        </w:rPr>
      </w:pPr>
      <w:r w:rsidRPr="0074432E">
        <w:rPr>
          <w:rFonts w:ascii="Arial" w:hAnsi="Arial" w:cs="Arial"/>
          <w:sz w:val="24"/>
          <w:szCs w:val="24"/>
        </w:rPr>
        <w:lastRenderedPageBreak/>
        <w:t xml:space="preserve">Dyson, J. R. (2020) </w:t>
      </w:r>
      <w:r w:rsidRPr="0074432E">
        <w:rPr>
          <w:rFonts w:ascii="Arial" w:hAnsi="Arial" w:cs="Arial"/>
          <w:i/>
          <w:iCs/>
          <w:sz w:val="24"/>
          <w:szCs w:val="24"/>
        </w:rPr>
        <w:t>Accounting for non-accounting students</w:t>
      </w:r>
      <w:r w:rsidRPr="0074432E">
        <w:rPr>
          <w:rFonts w:ascii="Arial" w:hAnsi="Arial" w:cs="Arial"/>
          <w:sz w:val="24"/>
          <w:szCs w:val="24"/>
        </w:rPr>
        <w:t>. 10th edition. Harlow, England: Pearson.</w:t>
      </w:r>
    </w:p>
    <w:p w14:paraId="007F3763" w14:textId="30C934A4" w:rsidR="00B72E48" w:rsidRPr="0074432E" w:rsidRDefault="0044475E" w:rsidP="0074432E">
      <w:pPr>
        <w:spacing w:line="360" w:lineRule="auto"/>
        <w:rPr>
          <w:rFonts w:ascii="Arial" w:hAnsi="Arial" w:cs="Arial"/>
          <w:sz w:val="24"/>
          <w:szCs w:val="24"/>
        </w:rPr>
      </w:pPr>
      <w:r w:rsidRPr="0074432E">
        <w:rPr>
          <w:rFonts w:ascii="Arial" w:hAnsi="Arial" w:cs="Arial"/>
          <w:sz w:val="24"/>
          <w:szCs w:val="24"/>
        </w:rPr>
        <w:t xml:space="preserve">Sangster, A. (2018) </w:t>
      </w:r>
      <w:r w:rsidRPr="0074432E">
        <w:rPr>
          <w:rFonts w:ascii="Arial" w:hAnsi="Arial" w:cs="Arial"/>
          <w:i/>
          <w:iCs/>
          <w:sz w:val="24"/>
          <w:szCs w:val="24"/>
        </w:rPr>
        <w:t xml:space="preserve">Frank Wood's </w:t>
      </w:r>
      <w:r w:rsidR="00E06AD2" w:rsidRPr="0074432E">
        <w:rPr>
          <w:rFonts w:ascii="Arial" w:hAnsi="Arial" w:cs="Arial"/>
          <w:i/>
          <w:iCs/>
          <w:sz w:val="24"/>
          <w:szCs w:val="24"/>
        </w:rPr>
        <w:t>Business Accounting</w:t>
      </w:r>
      <w:r w:rsidRPr="0074432E">
        <w:rPr>
          <w:rFonts w:ascii="Arial" w:hAnsi="Arial" w:cs="Arial"/>
          <w:i/>
          <w:iCs/>
          <w:sz w:val="24"/>
          <w:szCs w:val="24"/>
        </w:rPr>
        <w:t xml:space="preserve"> 1</w:t>
      </w:r>
      <w:r w:rsidRPr="0074432E">
        <w:rPr>
          <w:rFonts w:ascii="Arial" w:hAnsi="Arial" w:cs="Arial"/>
          <w:sz w:val="24"/>
          <w:szCs w:val="24"/>
        </w:rPr>
        <w:t>.</w:t>
      </w:r>
      <w:r w:rsidR="006377A6" w:rsidRPr="0074432E">
        <w:rPr>
          <w:rFonts w:ascii="Arial" w:hAnsi="Arial" w:cs="Arial"/>
          <w:sz w:val="24"/>
          <w:szCs w:val="24"/>
        </w:rPr>
        <w:t xml:space="preserve"> 14th </w:t>
      </w:r>
      <w:r w:rsidR="00E06AD2" w:rsidRPr="0074432E">
        <w:rPr>
          <w:rFonts w:ascii="Arial" w:hAnsi="Arial" w:cs="Arial"/>
          <w:sz w:val="24"/>
          <w:szCs w:val="24"/>
        </w:rPr>
        <w:t>e</w:t>
      </w:r>
      <w:r w:rsidR="006377A6" w:rsidRPr="0074432E">
        <w:rPr>
          <w:rFonts w:ascii="Arial" w:hAnsi="Arial" w:cs="Arial"/>
          <w:sz w:val="24"/>
          <w:szCs w:val="24"/>
        </w:rPr>
        <w:t>dition.</w:t>
      </w:r>
      <w:r w:rsidRPr="0074432E">
        <w:rPr>
          <w:rFonts w:ascii="Arial" w:hAnsi="Arial" w:cs="Arial"/>
          <w:sz w:val="24"/>
          <w:szCs w:val="24"/>
        </w:rPr>
        <w:t xml:space="preserve"> Harlow, England: Pearson.</w:t>
      </w:r>
    </w:p>
    <w:p w14:paraId="683EBE58" w14:textId="441D8935" w:rsidR="00781DEB" w:rsidRPr="0074432E" w:rsidRDefault="00781DEB" w:rsidP="0074432E">
      <w:pPr>
        <w:spacing w:line="360" w:lineRule="auto"/>
        <w:rPr>
          <w:rFonts w:ascii="Arial" w:hAnsi="Arial" w:cs="Arial"/>
          <w:sz w:val="24"/>
          <w:szCs w:val="24"/>
        </w:rPr>
      </w:pPr>
      <w:r w:rsidRPr="0074432E">
        <w:rPr>
          <w:rFonts w:ascii="Arial" w:hAnsi="Arial" w:cs="Arial"/>
          <w:sz w:val="24"/>
          <w:szCs w:val="24"/>
        </w:rPr>
        <w:t xml:space="preserve">Schmidt, J. (2023) 'Asset Turnover Ratio', </w:t>
      </w:r>
      <w:r w:rsidRPr="0074432E">
        <w:rPr>
          <w:rFonts w:ascii="Arial" w:hAnsi="Arial" w:cs="Arial"/>
          <w:i/>
          <w:iCs/>
          <w:sz w:val="24"/>
          <w:szCs w:val="24"/>
        </w:rPr>
        <w:t>Corporate Finance Institute</w:t>
      </w:r>
      <w:r w:rsidRPr="0074432E">
        <w:rPr>
          <w:rFonts w:ascii="Arial" w:hAnsi="Arial" w:cs="Arial"/>
          <w:sz w:val="24"/>
          <w:szCs w:val="24"/>
        </w:rPr>
        <w:t>. Available at: https://corporatefinanceinstitute.com/resources/accounting/asset-turnover-ratio/ (Accessed: 14.12.2023).</w:t>
      </w:r>
    </w:p>
    <w:p w14:paraId="2D6AB0D4" w14:textId="77ECA3AD" w:rsidR="00134439" w:rsidRPr="0074432E" w:rsidRDefault="00134439" w:rsidP="0074432E">
      <w:pPr>
        <w:spacing w:line="360" w:lineRule="auto"/>
        <w:rPr>
          <w:rFonts w:ascii="Arial" w:hAnsi="Arial" w:cs="Arial"/>
          <w:sz w:val="24"/>
          <w:szCs w:val="24"/>
        </w:rPr>
      </w:pPr>
      <w:r w:rsidRPr="0074432E">
        <w:rPr>
          <w:rFonts w:ascii="Arial" w:hAnsi="Arial" w:cs="Arial"/>
          <w:sz w:val="24"/>
          <w:szCs w:val="24"/>
        </w:rPr>
        <w:t xml:space="preserve">Schmidt, J. (2023) 'Earnings Per Share Formula (EPS)', </w:t>
      </w:r>
      <w:r w:rsidRPr="0074432E">
        <w:rPr>
          <w:rFonts w:ascii="Arial" w:hAnsi="Arial" w:cs="Arial"/>
          <w:i/>
          <w:iCs/>
          <w:sz w:val="24"/>
          <w:szCs w:val="24"/>
        </w:rPr>
        <w:t>Corporate Finance Institute</w:t>
      </w:r>
      <w:r w:rsidRPr="0074432E">
        <w:rPr>
          <w:rFonts w:ascii="Arial" w:hAnsi="Arial" w:cs="Arial"/>
          <w:sz w:val="24"/>
          <w:szCs w:val="24"/>
        </w:rPr>
        <w:t>. Available at: https://corporatefinanceinstitute.com/resources/valuation/earnings-per-share-eps-formula/ (Accessed: 14.12.2023).</w:t>
      </w:r>
    </w:p>
    <w:p w14:paraId="2BE76BA9" w14:textId="477CEC30" w:rsidR="00413E11" w:rsidRPr="0074432E" w:rsidRDefault="00413E11" w:rsidP="0074432E">
      <w:pPr>
        <w:spacing w:line="360" w:lineRule="auto"/>
        <w:rPr>
          <w:rFonts w:ascii="Arial" w:hAnsi="Arial" w:cs="Arial"/>
          <w:sz w:val="24"/>
          <w:szCs w:val="24"/>
        </w:rPr>
      </w:pPr>
      <w:r w:rsidRPr="0074432E">
        <w:rPr>
          <w:rFonts w:ascii="Arial" w:hAnsi="Arial" w:cs="Arial"/>
          <w:sz w:val="24"/>
          <w:szCs w:val="24"/>
        </w:rPr>
        <w:t xml:space="preserve">Vipond, T. (2023) 'Current Ratio Formula', </w:t>
      </w:r>
      <w:r w:rsidRPr="0074432E">
        <w:rPr>
          <w:rFonts w:ascii="Arial" w:hAnsi="Arial" w:cs="Arial"/>
          <w:i/>
          <w:iCs/>
          <w:sz w:val="24"/>
          <w:szCs w:val="24"/>
        </w:rPr>
        <w:t>Corporate Finance Institute</w:t>
      </w:r>
      <w:r w:rsidRPr="0074432E">
        <w:rPr>
          <w:rFonts w:ascii="Arial" w:hAnsi="Arial" w:cs="Arial"/>
          <w:sz w:val="24"/>
          <w:szCs w:val="24"/>
        </w:rPr>
        <w:t>. Available at: https://corporatefinanceinstitute.com/resources/accounting/current-ratio-formula/ (Accessed: 14.12.2023).</w:t>
      </w:r>
    </w:p>
    <w:p w14:paraId="6AB30285" w14:textId="067C2BA9" w:rsidR="001043E7" w:rsidRPr="0074432E" w:rsidRDefault="001043E7" w:rsidP="0074432E">
      <w:pPr>
        <w:spacing w:line="360" w:lineRule="auto"/>
        <w:rPr>
          <w:rFonts w:ascii="Arial" w:hAnsi="Arial" w:cs="Arial"/>
          <w:sz w:val="24"/>
          <w:szCs w:val="24"/>
        </w:rPr>
      </w:pPr>
      <w:r w:rsidRPr="0074432E">
        <w:rPr>
          <w:rFonts w:ascii="Arial" w:hAnsi="Arial" w:cs="Arial"/>
          <w:sz w:val="24"/>
          <w:szCs w:val="24"/>
        </w:rPr>
        <w:t xml:space="preserve">Walker, J. (2011) </w:t>
      </w:r>
      <w:r w:rsidRPr="0074432E">
        <w:rPr>
          <w:rFonts w:ascii="Arial" w:hAnsi="Arial" w:cs="Arial"/>
          <w:i/>
          <w:iCs/>
          <w:sz w:val="24"/>
          <w:szCs w:val="24"/>
        </w:rPr>
        <w:t>Accounting in a Nutshell</w:t>
      </w:r>
      <w:r w:rsidRPr="0074432E">
        <w:rPr>
          <w:rFonts w:ascii="Arial" w:hAnsi="Arial" w:cs="Arial"/>
          <w:sz w:val="24"/>
          <w:szCs w:val="24"/>
        </w:rPr>
        <w:t>.</w:t>
      </w:r>
      <w:r w:rsidR="00F56158" w:rsidRPr="0074432E">
        <w:rPr>
          <w:rFonts w:ascii="Arial" w:hAnsi="Arial" w:cs="Arial"/>
          <w:sz w:val="24"/>
          <w:szCs w:val="24"/>
        </w:rPr>
        <w:t xml:space="preserve"> 3rd edition.</w:t>
      </w:r>
      <w:r w:rsidRPr="0074432E">
        <w:rPr>
          <w:rFonts w:ascii="Arial" w:hAnsi="Arial" w:cs="Arial"/>
          <w:sz w:val="24"/>
          <w:szCs w:val="24"/>
        </w:rPr>
        <w:t xml:space="preserve"> Burlington: Elsevier Science.</w:t>
      </w:r>
    </w:p>
    <w:p w14:paraId="4AF15A85" w14:textId="72DFD495" w:rsidR="00C80157" w:rsidRPr="0074432E" w:rsidRDefault="004E5242" w:rsidP="0074432E">
      <w:pPr>
        <w:spacing w:line="360" w:lineRule="auto"/>
        <w:rPr>
          <w:rFonts w:ascii="Arial" w:hAnsi="Arial" w:cs="Arial"/>
          <w:sz w:val="24"/>
          <w:szCs w:val="24"/>
        </w:rPr>
      </w:pPr>
      <w:r w:rsidRPr="0074432E">
        <w:rPr>
          <w:rFonts w:ascii="Arial" w:hAnsi="Arial" w:cs="Arial"/>
          <w:sz w:val="24"/>
          <w:szCs w:val="24"/>
        </w:rPr>
        <w:t xml:space="preserve">Weetman, P. (2013) </w:t>
      </w:r>
      <w:r w:rsidRPr="0074432E">
        <w:rPr>
          <w:rFonts w:ascii="Arial" w:hAnsi="Arial" w:cs="Arial"/>
          <w:i/>
          <w:iCs/>
          <w:sz w:val="24"/>
          <w:szCs w:val="24"/>
        </w:rPr>
        <w:t>Financial accounting</w:t>
      </w:r>
      <w:r w:rsidRPr="0074432E">
        <w:rPr>
          <w:rFonts w:ascii="Arial" w:hAnsi="Arial" w:cs="Arial"/>
          <w:sz w:val="24"/>
          <w:szCs w:val="24"/>
        </w:rPr>
        <w:t>.</w:t>
      </w:r>
      <w:r w:rsidR="00BF238B" w:rsidRPr="0074432E">
        <w:rPr>
          <w:rFonts w:ascii="Arial" w:hAnsi="Arial" w:cs="Arial"/>
          <w:sz w:val="24"/>
          <w:szCs w:val="24"/>
        </w:rPr>
        <w:t xml:space="preserve"> 6th edition.</w:t>
      </w:r>
      <w:r w:rsidRPr="0074432E">
        <w:rPr>
          <w:rFonts w:ascii="Arial" w:hAnsi="Arial" w:cs="Arial"/>
          <w:sz w:val="24"/>
          <w:szCs w:val="24"/>
        </w:rPr>
        <w:t xml:space="preserve"> Harlow, England: Pearson.</w:t>
      </w:r>
    </w:p>
    <w:sectPr w:rsidR="00C80157" w:rsidRPr="0074432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29015" w14:textId="77777777" w:rsidR="00E57FAC" w:rsidRDefault="00E57FAC" w:rsidP="00E57FAC">
      <w:pPr>
        <w:spacing w:after="0" w:line="240" w:lineRule="auto"/>
      </w:pPr>
      <w:r>
        <w:separator/>
      </w:r>
    </w:p>
  </w:endnote>
  <w:endnote w:type="continuationSeparator" w:id="0">
    <w:p w14:paraId="5683F706" w14:textId="77777777" w:rsidR="00E57FAC" w:rsidRDefault="00E57FAC" w:rsidP="00E57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722761"/>
      <w:docPartObj>
        <w:docPartGallery w:val="Page Numbers (Bottom of Page)"/>
        <w:docPartUnique/>
      </w:docPartObj>
    </w:sdtPr>
    <w:sdtEndPr>
      <w:rPr>
        <w:noProof/>
      </w:rPr>
    </w:sdtEndPr>
    <w:sdtContent>
      <w:p w14:paraId="2364B900" w14:textId="3E4D785B" w:rsidR="00E57FAC" w:rsidRDefault="00E57F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07CD69" w14:textId="77777777" w:rsidR="00E57FAC" w:rsidRDefault="00E57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4F959" w14:textId="77777777" w:rsidR="00E57FAC" w:rsidRDefault="00E57FAC" w:rsidP="00E57FAC">
      <w:pPr>
        <w:spacing w:after="0" w:line="240" w:lineRule="auto"/>
      </w:pPr>
      <w:r>
        <w:separator/>
      </w:r>
    </w:p>
  </w:footnote>
  <w:footnote w:type="continuationSeparator" w:id="0">
    <w:p w14:paraId="2C309737" w14:textId="77777777" w:rsidR="00E57FAC" w:rsidRDefault="00E57FAC" w:rsidP="00E57F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3435B"/>
    <w:multiLevelType w:val="hybridMultilevel"/>
    <w:tmpl w:val="98EADB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356F9B"/>
    <w:multiLevelType w:val="hybridMultilevel"/>
    <w:tmpl w:val="C232AB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9838037">
    <w:abstractNumId w:val="1"/>
  </w:num>
  <w:num w:numId="2" w16cid:durableId="391270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451"/>
    <w:rsid w:val="000020EE"/>
    <w:rsid w:val="0001453B"/>
    <w:rsid w:val="00027CD9"/>
    <w:rsid w:val="00030F00"/>
    <w:rsid w:val="00052FA1"/>
    <w:rsid w:val="000539CC"/>
    <w:rsid w:val="00053DA0"/>
    <w:rsid w:val="0006020F"/>
    <w:rsid w:val="00067544"/>
    <w:rsid w:val="0009239A"/>
    <w:rsid w:val="00094653"/>
    <w:rsid w:val="00097E1C"/>
    <w:rsid w:val="00097F28"/>
    <w:rsid w:val="000A3B73"/>
    <w:rsid w:val="000A7472"/>
    <w:rsid w:val="000B21B2"/>
    <w:rsid w:val="000B4788"/>
    <w:rsid w:val="000B54F1"/>
    <w:rsid w:val="000B794F"/>
    <w:rsid w:val="000C1FB5"/>
    <w:rsid w:val="000D29B1"/>
    <w:rsid w:val="000D34A3"/>
    <w:rsid w:val="000D69DF"/>
    <w:rsid w:val="000E1569"/>
    <w:rsid w:val="000E1BA2"/>
    <w:rsid w:val="000F6B09"/>
    <w:rsid w:val="00103737"/>
    <w:rsid w:val="001043E7"/>
    <w:rsid w:val="00114120"/>
    <w:rsid w:val="00116D71"/>
    <w:rsid w:val="00124A42"/>
    <w:rsid w:val="00125FFC"/>
    <w:rsid w:val="00126442"/>
    <w:rsid w:val="00126B50"/>
    <w:rsid w:val="00132D9B"/>
    <w:rsid w:val="00134439"/>
    <w:rsid w:val="00137D83"/>
    <w:rsid w:val="00146437"/>
    <w:rsid w:val="00157184"/>
    <w:rsid w:val="001614B1"/>
    <w:rsid w:val="00164FD8"/>
    <w:rsid w:val="00170CE0"/>
    <w:rsid w:val="00171610"/>
    <w:rsid w:val="001774F7"/>
    <w:rsid w:val="00181920"/>
    <w:rsid w:val="0018761A"/>
    <w:rsid w:val="001A368C"/>
    <w:rsid w:val="001B6CF6"/>
    <w:rsid w:val="001B7212"/>
    <w:rsid w:val="001C4441"/>
    <w:rsid w:val="001D34C5"/>
    <w:rsid w:val="001E0B6B"/>
    <w:rsid w:val="001F7CA5"/>
    <w:rsid w:val="001F7FEA"/>
    <w:rsid w:val="00203612"/>
    <w:rsid w:val="00217F8B"/>
    <w:rsid w:val="002252E4"/>
    <w:rsid w:val="002414E8"/>
    <w:rsid w:val="00245DA4"/>
    <w:rsid w:val="0024680F"/>
    <w:rsid w:val="0026352C"/>
    <w:rsid w:val="0026658D"/>
    <w:rsid w:val="00281394"/>
    <w:rsid w:val="00282718"/>
    <w:rsid w:val="0028725E"/>
    <w:rsid w:val="002902B2"/>
    <w:rsid w:val="002927F8"/>
    <w:rsid w:val="002A221A"/>
    <w:rsid w:val="002A23F5"/>
    <w:rsid w:val="002B3809"/>
    <w:rsid w:val="002B4282"/>
    <w:rsid w:val="002E58C2"/>
    <w:rsid w:val="002E73FD"/>
    <w:rsid w:val="002F2643"/>
    <w:rsid w:val="00300ED7"/>
    <w:rsid w:val="003073E5"/>
    <w:rsid w:val="00320354"/>
    <w:rsid w:val="00321466"/>
    <w:rsid w:val="00324FB3"/>
    <w:rsid w:val="00325C48"/>
    <w:rsid w:val="0033071B"/>
    <w:rsid w:val="0033218C"/>
    <w:rsid w:val="00344752"/>
    <w:rsid w:val="00363166"/>
    <w:rsid w:val="00382E09"/>
    <w:rsid w:val="003867D4"/>
    <w:rsid w:val="00390806"/>
    <w:rsid w:val="003A1C78"/>
    <w:rsid w:val="003A3057"/>
    <w:rsid w:val="003A7421"/>
    <w:rsid w:val="003B1AE2"/>
    <w:rsid w:val="003B2E90"/>
    <w:rsid w:val="003B330F"/>
    <w:rsid w:val="003C2495"/>
    <w:rsid w:val="003E08AD"/>
    <w:rsid w:val="003E0CB0"/>
    <w:rsid w:val="003F5688"/>
    <w:rsid w:val="003F7F13"/>
    <w:rsid w:val="0040127C"/>
    <w:rsid w:val="00401309"/>
    <w:rsid w:val="00401988"/>
    <w:rsid w:val="004044EC"/>
    <w:rsid w:val="00412423"/>
    <w:rsid w:val="00413657"/>
    <w:rsid w:val="00413BF4"/>
    <w:rsid w:val="00413E11"/>
    <w:rsid w:val="004177E7"/>
    <w:rsid w:val="004263D4"/>
    <w:rsid w:val="00426CF6"/>
    <w:rsid w:val="00426FE4"/>
    <w:rsid w:val="00427315"/>
    <w:rsid w:val="00432ADF"/>
    <w:rsid w:val="00433643"/>
    <w:rsid w:val="00434456"/>
    <w:rsid w:val="00437D09"/>
    <w:rsid w:val="00440FFA"/>
    <w:rsid w:val="0044475E"/>
    <w:rsid w:val="004458C0"/>
    <w:rsid w:val="00447272"/>
    <w:rsid w:val="004556F1"/>
    <w:rsid w:val="0045635A"/>
    <w:rsid w:val="00461FB4"/>
    <w:rsid w:val="00467494"/>
    <w:rsid w:val="0047155F"/>
    <w:rsid w:val="00475624"/>
    <w:rsid w:val="004826C9"/>
    <w:rsid w:val="00484BF0"/>
    <w:rsid w:val="00487F3E"/>
    <w:rsid w:val="004A1B50"/>
    <w:rsid w:val="004A1E2D"/>
    <w:rsid w:val="004A29C0"/>
    <w:rsid w:val="004A40C5"/>
    <w:rsid w:val="004B746A"/>
    <w:rsid w:val="004C0A99"/>
    <w:rsid w:val="004C455B"/>
    <w:rsid w:val="004C46AD"/>
    <w:rsid w:val="004C54C0"/>
    <w:rsid w:val="004C5507"/>
    <w:rsid w:val="004E012E"/>
    <w:rsid w:val="004E125F"/>
    <w:rsid w:val="004E5242"/>
    <w:rsid w:val="004F05EE"/>
    <w:rsid w:val="004F25B8"/>
    <w:rsid w:val="004F2DFC"/>
    <w:rsid w:val="004F60F9"/>
    <w:rsid w:val="00504451"/>
    <w:rsid w:val="00505CAA"/>
    <w:rsid w:val="005113A6"/>
    <w:rsid w:val="0051557C"/>
    <w:rsid w:val="00522E1B"/>
    <w:rsid w:val="00541A5C"/>
    <w:rsid w:val="00543F19"/>
    <w:rsid w:val="00552615"/>
    <w:rsid w:val="0055478F"/>
    <w:rsid w:val="00564110"/>
    <w:rsid w:val="00570957"/>
    <w:rsid w:val="00571BE2"/>
    <w:rsid w:val="00576466"/>
    <w:rsid w:val="005826BB"/>
    <w:rsid w:val="00590E65"/>
    <w:rsid w:val="00593260"/>
    <w:rsid w:val="005951CC"/>
    <w:rsid w:val="005A0856"/>
    <w:rsid w:val="005A3751"/>
    <w:rsid w:val="005A3A6D"/>
    <w:rsid w:val="005B1424"/>
    <w:rsid w:val="005B2880"/>
    <w:rsid w:val="005B33CC"/>
    <w:rsid w:val="005B5E25"/>
    <w:rsid w:val="005B75A0"/>
    <w:rsid w:val="005C2579"/>
    <w:rsid w:val="005D143F"/>
    <w:rsid w:val="005D35AD"/>
    <w:rsid w:val="005D58A8"/>
    <w:rsid w:val="005E36B7"/>
    <w:rsid w:val="005E5DA5"/>
    <w:rsid w:val="005F3F9E"/>
    <w:rsid w:val="0060088E"/>
    <w:rsid w:val="00611963"/>
    <w:rsid w:val="006126BE"/>
    <w:rsid w:val="006154E7"/>
    <w:rsid w:val="00625F8F"/>
    <w:rsid w:val="006377A6"/>
    <w:rsid w:val="00646831"/>
    <w:rsid w:val="006517DA"/>
    <w:rsid w:val="00651ECD"/>
    <w:rsid w:val="00662D04"/>
    <w:rsid w:val="0067156D"/>
    <w:rsid w:val="00671BEA"/>
    <w:rsid w:val="00690593"/>
    <w:rsid w:val="0069659D"/>
    <w:rsid w:val="006A2910"/>
    <w:rsid w:val="006B0A67"/>
    <w:rsid w:val="006C794D"/>
    <w:rsid w:val="006D0992"/>
    <w:rsid w:val="006D2B16"/>
    <w:rsid w:val="006D43CD"/>
    <w:rsid w:val="006D5A88"/>
    <w:rsid w:val="006D63FA"/>
    <w:rsid w:val="006E01B2"/>
    <w:rsid w:val="006F1E2F"/>
    <w:rsid w:val="007005B5"/>
    <w:rsid w:val="00701581"/>
    <w:rsid w:val="00703305"/>
    <w:rsid w:val="00703A17"/>
    <w:rsid w:val="00705BA3"/>
    <w:rsid w:val="0071304C"/>
    <w:rsid w:val="00730D5E"/>
    <w:rsid w:val="007340BA"/>
    <w:rsid w:val="0074073E"/>
    <w:rsid w:val="00741A5F"/>
    <w:rsid w:val="0074432E"/>
    <w:rsid w:val="00744E93"/>
    <w:rsid w:val="007604BA"/>
    <w:rsid w:val="00771FCB"/>
    <w:rsid w:val="007727CB"/>
    <w:rsid w:val="007765AF"/>
    <w:rsid w:val="007767EB"/>
    <w:rsid w:val="0078043F"/>
    <w:rsid w:val="00781DEB"/>
    <w:rsid w:val="00782F81"/>
    <w:rsid w:val="00783108"/>
    <w:rsid w:val="00797F59"/>
    <w:rsid w:val="007A53BC"/>
    <w:rsid w:val="007B1D90"/>
    <w:rsid w:val="007B57E6"/>
    <w:rsid w:val="007C3572"/>
    <w:rsid w:val="007C4A20"/>
    <w:rsid w:val="007C7D31"/>
    <w:rsid w:val="007D33FB"/>
    <w:rsid w:val="007D674D"/>
    <w:rsid w:val="007E0D9B"/>
    <w:rsid w:val="007E51F9"/>
    <w:rsid w:val="007E5DCD"/>
    <w:rsid w:val="007E7952"/>
    <w:rsid w:val="007E7FBD"/>
    <w:rsid w:val="008022EB"/>
    <w:rsid w:val="00803F56"/>
    <w:rsid w:val="008107CE"/>
    <w:rsid w:val="00812134"/>
    <w:rsid w:val="00813F15"/>
    <w:rsid w:val="00816307"/>
    <w:rsid w:val="00817C85"/>
    <w:rsid w:val="008222C1"/>
    <w:rsid w:val="0082518D"/>
    <w:rsid w:val="00830239"/>
    <w:rsid w:val="00836DBB"/>
    <w:rsid w:val="00841AF6"/>
    <w:rsid w:val="00843534"/>
    <w:rsid w:val="00845454"/>
    <w:rsid w:val="008608B6"/>
    <w:rsid w:val="00872A86"/>
    <w:rsid w:val="00875EFC"/>
    <w:rsid w:val="00876C42"/>
    <w:rsid w:val="00882E12"/>
    <w:rsid w:val="0088397F"/>
    <w:rsid w:val="00884E70"/>
    <w:rsid w:val="00885213"/>
    <w:rsid w:val="00893F55"/>
    <w:rsid w:val="008946FD"/>
    <w:rsid w:val="008A3C5B"/>
    <w:rsid w:val="008C4156"/>
    <w:rsid w:val="008D54C9"/>
    <w:rsid w:val="008E08E4"/>
    <w:rsid w:val="008E0F5F"/>
    <w:rsid w:val="008E38C1"/>
    <w:rsid w:val="008F0443"/>
    <w:rsid w:val="008F2D68"/>
    <w:rsid w:val="008F38D6"/>
    <w:rsid w:val="008F5D97"/>
    <w:rsid w:val="008F7297"/>
    <w:rsid w:val="00930C7C"/>
    <w:rsid w:val="00934C83"/>
    <w:rsid w:val="009519F3"/>
    <w:rsid w:val="00954071"/>
    <w:rsid w:val="009667D5"/>
    <w:rsid w:val="00975DA1"/>
    <w:rsid w:val="009828FB"/>
    <w:rsid w:val="0098542F"/>
    <w:rsid w:val="00993DA7"/>
    <w:rsid w:val="009B2418"/>
    <w:rsid w:val="009B71FF"/>
    <w:rsid w:val="009B7E64"/>
    <w:rsid w:val="009D6BFB"/>
    <w:rsid w:val="009E6D5B"/>
    <w:rsid w:val="00A0478D"/>
    <w:rsid w:val="00A052F4"/>
    <w:rsid w:val="00A10E2A"/>
    <w:rsid w:val="00A14466"/>
    <w:rsid w:val="00A2139F"/>
    <w:rsid w:val="00A24630"/>
    <w:rsid w:val="00A32885"/>
    <w:rsid w:val="00A4558C"/>
    <w:rsid w:val="00A46AEA"/>
    <w:rsid w:val="00A506AE"/>
    <w:rsid w:val="00A5186D"/>
    <w:rsid w:val="00A51AE5"/>
    <w:rsid w:val="00A6030F"/>
    <w:rsid w:val="00A733DC"/>
    <w:rsid w:val="00A80B53"/>
    <w:rsid w:val="00A80C4A"/>
    <w:rsid w:val="00A82C89"/>
    <w:rsid w:val="00A95A34"/>
    <w:rsid w:val="00AA2CB0"/>
    <w:rsid w:val="00AA78BE"/>
    <w:rsid w:val="00AC4F2D"/>
    <w:rsid w:val="00AF7451"/>
    <w:rsid w:val="00AF7ADE"/>
    <w:rsid w:val="00AF7CFE"/>
    <w:rsid w:val="00B00829"/>
    <w:rsid w:val="00B03D45"/>
    <w:rsid w:val="00B12E37"/>
    <w:rsid w:val="00B13355"/>
    <w:rsid w:val="00B1712B"/>
    <w:rsid w:val="00B2019C"/>
    <w:rsid w:val="00B20C5C"/>
    <w:rsid w:val="00B21973"/>
    <w:rsid w:val="00B25FA3"/>
    <w:rsid w:val="00B27AFB"/>
    <w:rsid w:val="00B34833"/>
    <w:rsid w:val="00B34D24"/>
    <w:rsid w:val="00B3677B"/>
    <w:rsid w:val="00B375D3"/>
    <w:rsid w:val="00B41ECB"/>
    <w:rsid w:val="00B42264"/>
    <w:rsid w:val="00B42F60"/>
    <w:rsid w:val="00B448B4"/>
    <w:rsid w:val="00B52213"/>
    <w:rsid w:val="00B537F8"/>
    <w:rsid w:val="00B54C70"/>
    <w:rsid w:val="00B629D9"/>
    <w:rsid w:val="00B67C6E"/>
    <w:rsid w:val="00B70072"/>
    <w:rsid w:val="00B72E48"/>
    <w:rsid w:val="00B75078"/>
    <w:rsid w:val="00B758F3"/>
    <w:rsid w:val="00B75D2E"/>
    <w:rsid w:val="00B82AAD"/>
    <w:rsid w:val="00B849FC"/>
    <w:rsid w:val="00B84C9A"/>
    <w:rsid w:val="00B85079"/>
    <w:rsid w:val="00BA1E0B"/>
    <w:rsid w:val="00BA3FFA"/>
    <w:rsid w:val="00BA6CAA"/>
    <w:rsid w:val="00BB5562"/>
    <w:rsid w:val="00BC0F0D"/>
    <w:rsid w:val="00BC3205"/>
    <w:rsid w:val="00BC3916"/>
    <w:rsid w:val="00BC3E97"/>
    <w:rsid w:val="00BC7B73"/>
    <w:rsid w:val="00BD0435"/>
    <w:rsid w:val="00BF238B"/>
    <w:rsid w:val="00BF568C"/>
    <w:rsid w:val="00BF6F63"/>
    <w:rsid w:val="00BF7EF1"/>
    <w:rsid w:val="00C17936"/>
    <w:rsid w:val="00C475A6"/>
    <w:rsid w:val="00C51C34"/>
    <w:rsid w:val="00C57AA0"/>
    <w:rsid w:val="00C57C23"/>
    <w:rsid w:val="00C6304B"/>
    <w:rsid w:val="00C65096"/>
    <w:rsid w:val="00C700CF"/>
    <w:rsid w:val="00C7209B"/>
    <w:rsid w:val="00C730AB"/>
    <w:rsid w:val="00C80157"/>
    <w:rsid w:val="00C91479"/>
    <w:rsid w:val="00C933F3"/>
    <w:rsid w:val="00C9492C"/>
    <w:rsid w:val="00CB5B2C"/>
    <w:rsid w:val="00CC4D30"/>
    <w:rsid w:val="00CD1B4C"/>
    <w:rsid w:val="00CD6433"/>
    <w:rsid w:val="00CE08FE"/>
    <w:rsid w:val="00CE1636"/>
    <w:rsid w:val="00CE1D5F"/>
    <w:rsid w:val="00CE3375"/>
    <w:rsid w:val="00CE3940"/>
    <w:rsid w:val="00CE4956"/>
    <w:rsid w:val="00CE6186"/>
    <w:rsid w:val="00CE698A"/>
    <w:rsid w:val="00CF21DD"/>
    <w:rsid w:val="00CF2BB2"/>
    <w:rsid w:val="00CF3DF9"/>
    <w:rsid w:val="00CF5ECE"/>
    <w:rsid w:val="00D0196A"/>
    <w:rsid w:val="00D05FCC"/>
    <w:rsid w:val="00D1796A"/>
    <w:rsid w:val="00D200D3"/>
    <w:rsid w:val="00D224FB"/>
    <w:rsid w:val="00D25DF1"/>
    <w:rsid w:val="00D45EFE"/>
    <w:rsid w:val="00D54607"/>
    <w:rsid w:val="00D63336"/>
    <w:rsid w:val="00D76508"/>
    <w:rsid w:val="00D77F75"/>
    <w:rsid w:val="00D80CE7"/>
    <w:rsid w:val="00D851F4"/>
    <w:rsid w:val="00DA7B12"/>
    <w:rsid w:val="00DA7D6C"/>
    <w:rsid w:val="00DB2C16"/>
    <w:rsid w:val="00DB6D2C"/>
    <w:rsid w:val="00DC6EE6"/>
    <w:rsid w:val="00DD0CA1"/>
    <w:rsid w:val="00DD51CF"/>
    <w:rsid w:val="00DD744F"/>
    <w:rsid w:val="00DE4AB8"/>
    <w:rsid w:val="00DF205D"/>
    <w:rsid w:val="00DF68AE"/>
    <w:rsid w:val="00E0155C"/>
    <w:rsid w:val="00E06AD2"/>
    <w:rsid w:val="00E17BE4"/>
    <w:rsid w:val="00E336E0"/>
    <w:rsid w:val="00E33BA3"/>
    <w:rsid w:val="00E50003"/>
    <w:rsid w:val="00E54DD3"/>
    <w:rsid w:val="00E57FAC"/>
    <w:rsid w:val="00E61193"/>
    <w:rsid w:val="00E70E92"/>
    <w:rsid w:val="00E71947"/>
    <w:rsid w:val="00E7413C"/>
    <w:rsid w:val="00E7746F"/>
    <w:rsid w:val="00E80940"/>
    <w:rsid w:val="00E9645F"/>
    <w:rsid w:val="00EA426C"/>
    <w:rsid w:val="00EB4C94"/>
    <w:rsid w:val="00EC3728"/>
    <w:rsid w:val="00ED23D7"/>
    <w:rsid w:val="00ED2879"/>
    <w:rsid w:val="00ED3A78"/>
    <w:rsid w:val="00ED40C7"/>
    <w:rsid w:val="00EF0EB0"/>
    <w:rsid w:val="00EF2F87"/>
    <w:rsid w:val="00EF78BD"/>
    <w:rsid w:val="00F11708"/>
    <w:rsid w:val="00F1263E"/>
    <w:rsid w:val="00F34234"/>
    <w:rsid w:val="00F34ED2"/>
    <w:rsid w:val="00F405A4"/>
    <w:rsid w:val="00F47E28"/>
    <w:rsid w:val="00F5376F"/>
    <w:rsid w:val="00F56158"/>
    <w:rsid w:val="00F62147"/>
    <w:rsid w:val="00F7370D"/>
    <w:rsid w:val="00F80892"/>
    <w:rsid w:val="00F84AEE"/>
    <w:rsid w:val="00F97C45"/>
    <w:rsid w:val="00FA1979"/>
    <w:rsid w:val="00FA402A"/>
    <w:rsid w:val="00FA6412"/>
    <w:rsid w:val="00FB2D6B"/>
    <w:rsid w:val="00FC18D9"/>
    <w:rsid w:val="00FC25A1"/>
    <w:rsid w:val="00FC420D"/>
    <w:rsid w:val="00FD228A"/>
    <w:rsid w:val="00FD428D"/>
    <w:rsid w:val="00FE3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9E122"/>
  <w15:chartTrackingRefBased/>
  <w15:docId w15:val="{C3A41055-2DB2-42F9-A37E-13722C650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40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1D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07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733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3DC"/>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713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E1D5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F25B8"/>
    <w:pPr>
      <w:ind w:left="720"/>
      <w:contextualSpacing/>
    </w:pPr>
  </w:style>
  <w:style w:type="paragraph" w:styleId="TOCHeading">
    <w:name w:val="TOC Heading"/>
    <w:basedOn w:val="Heading1"/>
    <w:next w:val="Normal"/>
    <w:uiPriority w:val="39"/>
    <w:unhideWhenUsed/>
    <w:qFormat/>
    <w:rsid w:val="00CF3DF9"/>
    <w:pPr>
      <w:outlineLvl w:val="9"/>
    </w:pPr>
    <w:rPr>
      <w:kern w:val="0"/>
      <w:lang w:val="en-US"/>
      <w14:ligatures w14:val="none"/>
    </w:rPr>
  </w:style>
  <w:style w:type="paragraph" w:styleId="TOC1">
    <w:name w:val="toc 1"/>
    <w:basedOn w:val="Normal"/>
    <w:next w:val="Normal"/>
    <w:autoRedefine/>
    <w:uiPriority w:val="39"/>
    <w:unhideWhenUsed/>
    <w:rsid w:val="00CF3DF9"/>
    <w:pPr>
      <w:spacing w:after="100"/>
    </w:pPr>
  </w:style>
  <w:style w:type="paragraph" w:styleId="TOC2">
    <w:name w:val="toc 2"/>
    <w:basedOn w:val="Normal"/>
    <w:next w:val="Normal"/>
    <w:autoRedefine/>
    <w:uiPriority w:val="39"/>
    <w:unhideWhenUsed/>
    <w:rsid w:val="00CF3DF9"/>
    <w:pPr>
      <w:spacing w:after="100"/>
      <w:ind w:left="220"/>
    </w:pPr>
  </w:style>
  <w:style w:type="character" w:styleId="Hyperlink">
    <w:name w:val="Hyperlink"/>
    <w:basedOn w:val="DefaultParagraphFont"/>
    <w:uiPriority w:val="99"/>
    <w:unhideWhenUsed/>
    <w:rsid w:val="00CF3DF9"/>
    <w:rPr>
      <w:color w:val="0563C1" w:themeColor="hyperlink"/>
      <w:u w:val="single"/>
    </w:rPr>
  </w:style>
  <w:style w:type="paragraph" w:styleId="Header">
    <w:name w:val="header"/>
    <w:basedOn w:val="Normal"/>
    <w:link w:val="HeaderChar"/>
    <w:uiPriority w:val="99"/>
    <w:unhideWhenUsed/>
    <w:rsid w:val="00E57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FAC"/>
  </w:style>
  <w:style w:type="paragraph" w:styleId="Footer">
    <w:name w:val="footer"/>
    <w:basedOn w:val="Normal"/>
    <w:link w:val="FooterChar"/>
    <w:uiPriority w:val="99"/>
    <w:unhideWhenUsed/>
    <w:rsid w:val="00E57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236913">
      <w:bodyDiv w:val="1"/>
      <w:marLeft w:val="0"/>
      <w:marRight w:val="0"/>
      <w:marTop w:val="0"/>
      <w:marBottom w:val="0"/>
      <w:divBdr>
        <w:top w:val="none" w:sz="0" w:space="0" w:color="auto"/>
        <w:left w:val="none" w:sz="0" w:space="0" w:color="auto"/>
        <w:bottom w:val="none" w:sz="0" w:space="0" w:color="auto"/>
        <w:right w:val="none" w:sz="0" w:space="0" w:color="auto"/>
      </w:divBdr>
    </w:div>
    <w:div w:id="627664014">
      <w:bodyDiv w:val="1"/>
      <w:marLeft w:val="0"/>
      <w:marRight w:val="0"/>
      <w:marTop w:val="0"/>
      <w:marBottom w:val="0"/>
      <w:divBdr>
        <w:top w:val="none" w:sz="0" w:space="0" w:color="auto"/>
        <w:left w:val="none" w:sz="0" w:space="0" w:color="auto"/>
        <w:bottom w:val="none" w:sz="0" w:space="0" w:color="auto"/>
        <w:right w:val="none" w:sz="0" w:space="0" w:color="auto"/>
      </w:divBdr>
    </w:div>
    <w:div w:id="143401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F5C54-A06E-4FCA-A8B2-5CE031900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14</Pages>
  <Words>2450</Words>
  <Characters>15859</Characters>
  <Application>Microsoft Office Word</Application>
  <DocSecurity>0</DocSecurity>
  <Lines>417</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golovatii</dc:creator>
  <cp:keywords/>
  <dc:description/>
  <cp:lastModifiedBy>ionel golovatii</cp:lastModifiedBy>
  <cp:revision>808</cp:revision>
  <dcterms:created xsi:type="dcterms:W3CDTF">2023-12-05T19:19:00Z</dcterms:created>
  <dcterms:modified xsi:type="dcterms:W3CDTF">2023-12-14T23:06:00Z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f42f9b30-1c7e-40b2-855f-32da6a5749f8</vt:lpwstr>
  </property>
</Properties>
</file>