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EE277" w14:textId="77777777" w:rsidR="00837FA4" w:rsidRDefault="00837FA4" w:rsidP="00837FA4">
      <w:pPr>
        <w:spacing w:line="360" w:lineRule="auto"/>
        <w:rPr>
          <w:rFonts w:ascii="Arial" w:hAnsi="Arial" w:cs="Arial"/>
          <w:b/>
          <w:bCs/>
          <w:sz w:val="22"/>
          <w:szCs w:val="22"/>
        </w:rPr>
      </w:pPr>
    </w:p>
    <w:p w14:paraId="6E9194CC" w14:textId="77777777" w:rsidR="00837FA4" w:rsidRDefault="00837FA4" w:rsidP="00837FA4">
      <w:pPr>
        <w:spacing w:line="360" w:lineRule="auto"/>
        <w:rPr>
          <w:rFonts w:ascii="Arial" w:hAnsi="Arial" w:cs="Arial"/>
          <w:b/>
          <w:bCs/>
          <w:sz w:val="22"/>
          <w:szCs w:val="22"/>
        </w:rPr>
      </w:pPr>
    </w:p>
    <w:p w14:paraId="23F9DD20" w14:textId="77777777" w:rsidR="00837FA4" w:rsidRDefault="00837FA4" w:rsidP="00837FA4">
      <w:pPr>
        <w:spacing w:line="360" w:lineRule="auto"/>
        <w:rPr>
          <w:rFonts w:ascii="Arial" w:hAnsi="Arial" w:cs="Arial"/>
          <w:b/>
          <w:bCs/>
          <w:sz w:val="22"/>
          <w:szCs w:val="22"/>
        </w:rPr>
      </w:pPr>
    </w:p>
    <w:p w14:paraId="671C8C9C" w14:textId="62063A5D" w:rsidR="00837FA4" w:rsidRPr="00514C42" w:rsidRDefault="00837FA4" w:rsidP="00837FA4">
      <w:pPr>
        <w:spacing w:line="360" w:lineRule="auto"/>
        <w:rPr>
          <w:rFonts w:ascii="Arial" w:hAnsi="Arial" w:cs="Arial"/>
          <w:b/>
          <w:bCs/>
          <w:sz w:val="36"/>
          <w:szCs w:val="36"/>
        </w:rPr>
      </w:pPr>
      <w:r w:rsidRPr="00514C42">
        <w:rPr>
          <w:rFonts w:ascii="Arial" w:hAnsi="Arial" w:cs="Arial"/>
          <w:b/>
          <w:bCs/>
          <w:sz w:val="36"/>
          <w:szCs w:val="36"/>
        </w:rPr>
        <w:t xml:space="preserve">Student Name: </w:t>
      </w:r>
      <w:r w:rsidRPr="00514C42">
        <w:rPr>
          <w:rFonts w:ascii="Arial" w:hAnsi="Arial" w:cs="Arial"/>
          <w:sz w:val="36"/>
          <w:szCs w:val="36"/>
        </w:rPr>
        <w:t>Foqia Farooq</w:t>
      </w:r>
    </w:p>
    <w:p w14:paraId="4D4B39CE" w14:textId="77777777" w:rsidR="00837FA4" w:rsidRPr="00514C42" w:rsidRDefault="00837FA4" w:rsidP="00837FA4">
      <w:pPr>
        <w:spacing w:after="0" w:line="360" w:lineRule="auto"/>
        <w:rPr>
          <w:rFonts w:ascii="Arial" w:hAnsi="Arial" w:cs="Arial"/>
          <w:b/>
          <w:bCs/>
          <w:sz w:val="36"/>
          <w:szCs w:val="36"/>
        </w:rPr>
      </w:pPr>
      <w:r w:rsidRPr="00514C42">
        <w:rPr>
          <w:rFonts w:ascii="Arial" w:hAnsi="Arial" w:cs="Arial"/>
          <w:b/>
          <w:bCs/>
          <w:sz w:val="36"/>
          <w:szCs w:val="36"/>
        </w:rPr>
        <w:t xml:space="preserve">Student number: </w:t>
      </w:r>
      <w:r w:rsidRPr="00514C42">
        <w:rPr>
          <w:rFonts w:ascii="Arial" w:hAnsi="Arial" w:cs="Arial"/>
          <w:sz w:val="36"/>
          <w:szCs w:val="36"/>
        </w:rPr>
        <w:t>2424146</w:t>
      </w:r>
    </w:p>
    <w:p w14:paraId="59F55FD0" w14:textId="77777777" w:rsidR="00837FA4" w:rsidRPr="00514C42" w:rsidRDefault="00837FA4" w:rsidP="00837FA4">
      <w:pPr>
        <w:spacing w:after="0" w:line="360" w:lineRule="auto"/>
        <w:rPr>
          <w:rFonts w:ascii="Arial" w:hAnsi="Arial" w:cs="Arial"/>
          <w:sz w:val="36"/>
          <w:szCs w:val="36"/>
        </w:rPr>
      </w:pPr>
      <w:r w:rsidRPr="00514C42">
        <w:rPr>
          <w:rFonts w:ascii="Arial" w:hAnsi="Arial" w:cs="Arial"/>
          <w:b/>
          <w:bCs/>
          <w:sz w:val="36"/>
          <w:szCs w:val="36"/>
        </w:rPr>
        <w:t xml:space="preserve">Lecturer Name: </w:t>
      </w:r>
      <w:r w:rsidRPr="00514C42">
        <w:rPr>
          <w:rFonts w:ascii="Arial" w:hAnsi="Arial" w:cs="Arial"/>
          <w:sz w:val="36"/>
          <w:szCs w:val="36"/>
        </w:rPr>
        <w:t xml:space="preserve">Precious </w:t>
      </w:r>
      <w:proofErr w:type="spellStart"/>
      <w:r w:rsidRPr="00514C42">
        <w:rPr>
          <w:rFonts w:ascii="Arial" w:hAnsi="Arial" w:cs="Arial"/>
          <w:sz w:val="36"/>
          <w:szCs w:val="36"/>
        </w:rPr>
        <w:t>Igbinigie</w:t>
      </w:r>
      <w:proofErr w:type="spellEnd"/>
    </w:p>
    <w:p w14:paraId="35698F72" w14:textId="77777777" w:rsidR="00837FA4" w:rsidRPr="00514C42" w:rsidRDefault="00837FA4" w:rsidP="00837FA4">
      <w:pPr>
        <w:spacing w:after="0" w:line="360" w:lineRule="auto"/>
        <w:rPr>
          <w:rFonts w:ascii="Arial" w:hAnsi="Arial" w:cs="Arial"/>
          <w:sz w:val="36"/>
          <w:szCs w:val="36"/>
        </w:rPr>
      </w:pPr>
      <w:r w:rsidRPr="00514C42">
        <w:rPr>
          <w:rFonts w:ascii="Arial" w:hAnsi="Arial" w:cs="Arial"/>
          <w:b/>
          <w:bCs/>
          <w:sz w:val="36"/>
          <w:szCs w:val="36"/>
        </w:rPr>
        <w:t xml:space="preserve">Programme Title: </w:t>
      </w:r>
      <w:r w:rsidRPr="00514C42">
        <w:rPr>
          <w:rFonts w:ascii="Arial" w:hAnsi="Arial" w:cs="Arial"/>
          <w:sz w:val="36"/>
          <w:szCs w:val="36"/>
        </w:rPr>
        <w:t xml:space="preserve">BSc Health &amp; Social Care </w:t>
      </w:r>
    </w:p>
    <w:p w14:paraId="2DB0DCEF" w14:textId="77777777" w:rsidR="00837FA4" w:rsidRPr="00514C42" w:rsidRDefault="00837FA4" w:rsidP="00837FA4">
      <w:pPr>
        <w:spacing w:before="120" w:after="120" w:line="360" w:lineRule="auto"/>
        <w:rPr>
          <w:rFonts w:ascii="Arial" w:hAnsi="Arial" w:cs="Arial"/>
          <w:sz w:val="36"/>
          <w:szCs w:val="36"/>
        </w:rPr>
      </w:pPr>
      <w:r w:rsidRPr="00514C42">
        <w:rPr>
          <w:rFonts w:ascii="Arial" w:hAnsi="Arial" w:cs="Arial"/>
          <w:b/>
          <w:bCs/>
          <w:sz w:val="36"/>
          <w:szCs w:val="36"/>
        </w:rPr>
        <w:t>Module:</w:t>
      </w:r>
      <w:r w:rsidRPr="00514C42">
        <w:rPr>
          <w:rFonts w:ascii="Arial" w:hAnsi="Arial" w:cs="Arial"/>
          <w:sz w:val="36"/>
          <w:szCs w:val="36"/>
        </w:rPr>
        <w:t xml:space="preserve"> Principles of Health and Social Care Practice</w:t>
      </w:r>
    </w:p>
    <w:p w14:paraId="75189277" w14:textId="77777777" w:rsidR="00837FA4" w:rsidRPr="00514C42" w:rsidRDefault="00837FA4" w:rsidP="00837FA4">
      <w:pPr>
        <w:spacing w:after="0" w:line="360" w:lineRule="auto"/>
        <w:rPr>
          <w:rFonts w:ascii="Arial" w:hAnsi="Arial" w:cs="Arial"/>
          <w:b/>
          <w:bCs/>
          <w:sz w:val="36"/>
          <w:szCs w:val="36"/>
        </w:rPr>
      </w:pPr>
      <w:r w:rsidRPr="00514C42">
        <w:rPr>
          <w:rFonts w:ascii="Arial" w:hAnsi="Arial" w:cs="Arial"/>
          <w:b/>
          <w:bCs/>
          <w:sz w:val="36"/>
          <w:szCs w:val="36"/>
        </w:rPr>
        <w:t xml:space="preserve">Module Code: </w:t>
      </w:r>
      <w:r w:rsidRPr="00514C42">
        <w:rPr>
          <w:rFonts w:ascii="Arial" w:hAnsi="Arial" w:cs="Arial"/>
          <w:sz w:val="36"/>
          <w:szCs w:val="36"/>
        </w:rPr>
        <w:t>BMHP5016</w:t>
      </w:r>
    </w:p>
    <w:p w14:paraId="08CD30A0" w14:textId="108D940A" w:rsidR="00837FA4" w:rsidRPr="001F58DB" w:rsidRDefault="00837FA4" w:rsidP="007A534A">
      <w:pPr>
        <w:spacing w:after="0" w:line="360" w:lineRule="auto"/>
        <w:rPr>
          <w:rFonts w:ascii="Arial" w:hAnsi="Arial" w:cs="Arial"/>
          <w:sz w:val="22"/>
          <w:szCs w:val="22"/>
        </w:rPr>
      </w:pPr>
      <w:r w:rsidRPr="00514C42">
        <w:rPr>
          <w:rFonts w:ascii="Arial" w:hAnsi="Arial" w:cs="Arial"/>
          <w:b/>
          <w:bCs/>
          <w:sz w:val="36"/>
          <w:szCs w:val="36"/>
        </w:rPr>
        <w:t>Assignment Title:</w:t>
      </w:r>
      <w:r w:rsidR="007A534A" w:rsidRPr="00514C42">
        <w:rPr>
          <w:rFonts w:ascii="Arial" w:hAnsi="Arial" w:cs="Arial"/>
          <w:b/>
          <w:bCs/>
          <w:sz w:val="36"/>
          <w:szCs w:val="36"/>
        </w:rPr>
        <w:t xml:space="preserve"> </w:t>
      </w:r>
      <w:r w:rsidR="007A534A" w:rsidRPr="00514C42">
        <w:rPr>
          <w:rFonts w:ascii="Arial" w:hAnsi="Arial" w:cs="Arial"/>
          <w:bCs/>
          <w:sz w:val="36"/>
          <w:szCs w:val="36"/>
        </w:rPr>
        <w:t>Written Assignment (Report)</w:t>
      </w:r>
      <w:r w:rsidRPr="001F58DB">
        <w:rPr>
          <w:rFonts w:ascii="Arial" w:hAnsi="Arial" w:cs="Arial"/>
          <w:sz w:val="22"/>
          <w:szCs w:val="22"/>
        </w:rPr>
        <w:br w:type="page"/>
      </w:r>
    </w:p>
    <w:p w14:paraId="42CF314F" w14:textId="441A97CA" w:rsidR="00837FA4" w:rsidRPr="001F58DB" w:rsidRDefault="00837FA4" w:rsidP="007440CA">
      <w:pPr>
        <w:spacing w:line="360" w:lineRule="auto"/>
        <w:rPr>
          <w:rFonts w:ascii="Arial" w:hAnsi="Arial" w:cs="Arial"/>
          <w:b/>
          <w:bCs/>
          <w:sz w:val="22"/>
          <w:szCs w:val="22"/>
        </w:rPr>
      </w:pPr>
      <w:r w:rsidRPr="001F58DB">
        <w:rPr>
          <w:rFonts w:ascii="Arial" w:hAnsi="Arial" w:cs="Arial"/>
          <w:b/>
          <w:bCs/>
          <w:sz w:val="22"/>
          <w:szCs w:val="22"/>
        </w:rPr>
        <w:lastRenderedPageBreak/>
        <w:t>Contents Page</w:t>
      </w:r>
    </w:p>
    <w:p w14:paraId="183AC40E" w14:textId="15ADF9AA" w:rsidR="00050422" w:rsidRPr="00050422" w:rsidRDefault="00050422" w:rsidP="00BC66BF">
      <w:pPr>
        <w:spacing w:line="360" w:lineRule="auto"/>
        <w:rPr>
          <w:rFonts w:ascii="Arial" w:hAnsi="Arial" w:cs="Arial"/>
          <w:b/>
          <w:bCs/>
          <w:sz w:val="22"/>
          <w:szCs w:val="22"/>
        </w:rPr>
      </w:pPr>
      <w:r w:rsidRPr="00021496">
        <w:rPr>
          <w:rFonts w:ascii="Arial" w:hAnsi="Arial" w:cs="Arial"/>
          <w:b/>
          <w:bCs/>
          <w:sz w:val="22"/>
          <w:szCs w:val="22"/>
        </w:rPr>
        <w:t>Abstract</w:t>
      </w:r>
      <w:r w:rsidR="00E80386" w:rsidRPr="00E80386">
        <w:rPr>
          <w:rFonts w:ascii="Arial" w:hAnsi="Arial" w:cs="Arial"/>
          <w:sz w:val="22"/>
          <w:szCs w:val="22"/>
        </w:rPr>
        <w:t>……</w:t>
      </w:r>
      <w:r w:rsidRPr="00E80386">
        <w:rPr>
          <w:rFonts w:ascii="Arial" w:hAnsi="Arial" w:cs="Arial"/>
          <w:sz w:val="22"/>
          <w:szCs w:val="22"/>
        </w:rPr>
        <w:t>…</w:t>
      </w:r>
      <w:r w:rsidRPr="001F58DB">
        <w:rPr>
          <w:rFonts w:ascii="Arial" w:hAnsi="Arial" w:cs="Arial"/>
          <w:sz w:val="22"/>
          <w:szCs w:val="22"/>
        </w:rPr>
        <w:t>……………………………………………………………………………………</w:t>
      </w:r>
      <w:r w:rsidRPr="001F58DB">
        <w:rPr>
          <w:rFonts w:ascii="Arial" w:hAnsi="Arial" w:cs="Arial"/>
          <w:b/>
          <w:bCs/>
          <w:sz w:val="22"/>
          <w:szCs w:val="22"/>
        </w:rPr>
        <w:t>3</w:t>
      </w:r>
    </w:p>
    <w:p w14:paraId="158A4609" w14:textId="77777777" w:rsidR="00837FA4" w:rsidRPr="001F58DB" w:rsidRDefault="00837FA4" w:rsidP="00BC66BF">
      <w:pPr>
        <w:spacing w:before="240" w:line="360" w:lineRule="auto"/>
        <w:rPr>
          <w:rFonts w:ascii="Arial" w:hAnsi="Arial" w:cs="Arial"/>
          <w:sz w:val="22"/>
          <w:szCs w:val="22"/>
        </w:rPr>
      </w:pPr>
      <w:r w:rsidRPr="001F58DB">
        <w:rPr>
          <w:rFonts w:ascii="Arial" w:hAnsi="Arial" w:cs="Arial"/>
          <w:b/>
          <w:bCs/>
          <w:sz w:val="22"/>
          <w:szCs w:val="22"/>
        </w:rPr>
        <w:t>Introduction</w:t>
      </w:r>
      <w:r w:rsidRPr="001F58DB">
        <w:rPr>
          <w:rFonts w:ascii="Arial" w:hAnsi="Arial" w:cs="Arial"/>
          <w:sz w:val="22"/>
          <w:szCs w:val="22"/>
        </w:rPr>
        <w:t>……………………………………………………………………………………….</w:t>
      </w:r>
      <w:r w:rsidRPr="001F58DB">
        <w:rPr>
          <w:rFonts w:ascii="Arial" w:hAnsi="Arial" w:cs="Arial"/>
          <w:b/>
          <w:bCs/>
          <w:sz w:val="22"/>
          <w:szCs w:val="22"/>
        </w:rPr>
        <w:t>3</w:t>
      </w:r>
    </w:p>
    <w:p w14:paraId="74AD84EF" w14:textId="67FF5F40" w:rsidR="00837FA4" w:rsidRPr="00712088" w:rsidRDefault="00BD7249" w:rsidP="00BC66BF">
      <w:pPr>
        <w:spacing w:line="360" w:lineRule="auto"/>
        <w:rPr>
          <w:rFonts w:ascii="Arial" w:hAnsi="Arial" w:cs="Arial"/>
          <w:b/>
          <w:bCs/>
          <w:sz w:val="22"/>
          <w:szCs w:val="22"/>
        </w:rPr>
      </w:pPr>
      <w:r w:rsidRPr="00021496">
        <w:rPr>
          <w:rFonts w:ascii="Arial" w:hAnsi="Arial" w:cs="Arial"/>
          <w:b/>
          <w:bCs/>
          <w:sz w:val="22"/>
          <w:szCs w:val="22"/>
        </w:rPr>
        <w:t>Definition of Person-Centred Care</w:t>
      </w:r>
      <w:r w:rsidR="00DC4D90" w:rsidRPr="001A4E2D">
        <w:rPr>
          <w:rFonts w:ascii="Arial" w:hAnsi="Arial" w:cs="Arial"/>
          <w:sz w:val="22"/>
          <w:szCs w:val="22"/>
        </w:rPr>
        <w:t>…………………………………………..</w:t>
      </w:r>
      <w:r w:rsidR="00837FA4" w:rsidRPr="001A4E2D">
        <w:rPr>
          <w:rFonts w:ascii="Arial" w:hAnsi="Arial" w:cs="Arial"/>
          <w:sz w:val="22"/>
          <w:szCs w:val="22"/>
        </w:rPr>
        <w:t>.…………….</w:t>
      </w:r>
      <w:r w:rsidR="00DC4D90">
        <w:rPr>
          <w:rFonts w:ascii="Arial" w:hAnsi="Arial" w:cs="Arial"/>
          <w:b/>
          <w:bCs/>
          <w:sz w:val="22"/>
          <w:szCs w:val="22"/>
        </w:rPr>
        <w:t>4</w:t>
      </w:r>
      <w:r w:rsidR="00837FA4" w:rsidRPr="00712088">
        <w:rPr>
          <w:rFonts w:ascii="Arial" w:hAnsi="Arial" w:cs="Arial"/>
          <w:b/>
          <w:bCs/>
          <w:sz w:val="22"/>
          <w:szCs w:val="22"/>
        </w:rPr>
        <w:t>-</w:t>
      </w:r>
      <w:r w:rsidR="00DC4D90">
        <w:rPr>
          <w:rFonts w:ascii="Arial" w:hAnsi="Arial" w:cs="Arial"/>
          <w:b/>
          <w:bCs/>
          <w:sz w:val="22"/>
          <w:szCs w:val="22"/>
        </w:rPr>
        <w:t>5</w:t>
      </w:r>
    </w:p>
    <w:p w14:paraId="3FD1B178" w14:textId="32061A6F" w:rsidR="00837FA4" w:rsidRPr="00712088" w:rsidRDefault="00DC4D90" w:rsidP="00BC66BF">
      <w:pPr>
        <w:spacing w:line="360" w:lineRule="auto"/>
        <w:rPr>
          <w:rFonts w:ascii="Arial" w:hAnsi="Arial" w:cs="Arial"/>
          <w:b/>
          <w:bCs/>
          <w:sz w:val="22"/>
          <w:szCs w:val="22"/>
        </w:rPr>
      </w:pPr>
      <w:r w:rsidRPr="00021496">
        <w:rPr>
          <w:rFonts w:ascii="Arial" w:hAnsi="Arial" w:cs="Arial"/>
          <w:b/>
          <w:bCs/>
          <w:sz w:val="22"/>
          <w:szCs w:val="22"/>
        </w:rPr>
        <w:t>Relevant Theories Supporting Person-Centred Car</w:t>
      </w:r>
      <w:r>
        <w:rPr>
          <w:rFonts w:ascii="Arial" w:hAnsi="Arial" w:cs="Arial"/>
          <w:b/>
          <w:bCs/>
          <w:sz w:val="22"/>
          <w:szCs w:val="22"/>
        </w:rPr>
        <w:t>e</w:t>
      </w:r>
      <w:r w:rsidR="00837FA4" w:rsidRPr="001A4E2D">
        <w:rPr>
          <w:rFonts w:ascii="Arial" w:hAnsi="Arial" w:cs="Arial"/>
          <w:sz w:val="22"/>
          <w:szCs w:val="22"/>
        </w:rPr>
        <w:t>…</w:t>
      </w:r>
      <w:r w:rsidR="00376542" w:rsidRPr="001A4E2D">
        <w:rPr>
          <w:rFonts w:ascii="Arial" w:hAnsi="Arial" w:cs="Arial"/>
          <w:sz w:val="22"/>
          <w:szCs w:val="22"/>
        </w:rPr>
        <w:t>.</w:t>
      </w:r>
      <w:r w:rsidR="00837FA4" w:rsidRPr="001A4E2D">
        <w:rPr>
          <w:rFonts w:ascii="Arial" w:hAnsi="Arial" w:cs="Arial"/>
          <w:sz w:val="22"/>
          <w:szCs w:val="22"/>
        </w:rPr>
        <w:t>……………….……………</w:t>
      </w:r>
      <w:r w:rsidR="000610EC">
        <w:rPr>
          <w:rFonts w:ascii="Arial" w:hAnsi="Arial" w:cs="Arial"/>
          <w:sz w:val="22"/>
          <w:szCs w:val="22"/>
        </w:rPr>
        <w:t>…</w:t>
      </w:r>
      <w:r w:rsidR="00376542" w:rsidRPr="001A4E2D">
        <w:rPr>
          <w:rFonts w:ascii="Arial" w:hAnsi="Arial" w:cs="Arial"/>
          <w:sz w:val="22"/>
          <w:szCs w:val="22"/>
        </w:rPr>
        <w:t>….</w:t>
      </w:r>
      <w:r w:rsidR="00837FA4" w:rsidRPr="00712088">
        <w:rPr>
          <w:rFonts w:ascii="Arial" w:hAnsi="Arial" w:cs="Arial"/>
          <w:b/>
          <w:bCs/>
          <w:sz w:val="22"/>
          <w:szCs w:val="22"/>
        </w:rPr>
        <w:t>5</w:t>
      </w:r>
    </w:p>
    <w:p w14:paraId="6A92311E" w14:textId="4FEE7F65" w:rsidR="00837FA4" w:rsidRPr="00712088" w:rsidRDefault="00376542" w:rsidP="00BC66BF">
      <w:pPr>
        <w:spacing w:line="360" w:lineRule="auto"/>
        <w:rPr>
          <w:rFonts w:ascii="Arial" w:hAnsi="Arial" w:cs="Arial"/>
          <w:b/>
          <w:bCs/>
          <w:sz w:val="22"/>
          <w:szCs w:val="22"/>
        </w:rPr>
      </w:pPr>
      <w:r w:rsidRPr="00021496">
        <w:rPr>
          <w:rFonts w:ascii="Arial" w:hAnsi="Arial" w:cs="Arial"/>
          <w:b/>
          <w:bCs/>
          <w:sz w:val="22"/>
          <w:szCs w:val="22"/>
        </w:rPr>
        <w:t>Ethical Fundamentals in Health and Social Care</w:t>
      </w:r>
      <w:r w:rsidR="00837FA4" w:rsidRPr="001A4E2D">
        <w:rPr>
          <w:rFonts w:ascii="Arial" w:hAnsi="Arial" w:cs="Arial"/>
          <w:sz w:val="22"/>
          <w:szCs w:val="22"/>
        </w:rPr>
        <w:t>…</w:t>
      </w:r>
      <w:r w:rsidRPr="001A4E2D">
        <w:rPr>
          <w:rFonts w:ascii="Arial" w:hAnsi="Arial" w:cs="Arial"/>
          <w:sz w:val="22"/>
          <w:szCs w:val="22"/>
        </w:rPr>
        <w:t>……………</w:t>
      </w:r>
      <w:r w:rsidR="00837FA4" w:rsidRPr="001A4E2D">
        <w:rPr>
          <w:rFonts w:ascii="Arial" w:hAnsi="Arial" w:cs="Arial"/>
          <w:sz w:val="22"/>
          <w:szCs w:val="22"/>
        </w:rPr>
        <w:t>…………..…….……....</w:t>
      </w:r>
      <w:r w:rsidRPr="001A4E2D">
        <w:rPr>
          <w:rFonts w:ascii="Arial" w:hAnsi="Arial" w:cs="Arial"/>
          <w:sz w:val="22"/>
          <w:szCs w:val="22"/>
        </w:rPr>
        <w:t>...</w:t>
      </w:r>
      <w:r w:rsidR="00837FA4" w:rsidRPr="00712088">
        <w:rPr>
          <w:rFonts w:ascii="Arial" w:hAnsi="Arial" w:cs="Arial"/>
          <w:b/>
          <w:bCs/>
          <w:sz w:val="22"/>
          <w:szCs w:val="22"/>
        </w:rPr>
        <w:t>6</w:t>
      </w:r>
    </w:p>
    <w:p w14:paraId="5AEBD885" w14:textId="7DE5D54B" w:rsidR="00376542" w:rsidRPr="00021496" w:rsidRDefault="00376542" w:rsidP="00BC66BF">
      <w:pPr>
        <w:spacing w:line="360" w:lineRule="auto"/>
        <w:rPr>
          <w:rFonts w:ascii="Arial" w:hAnsi="Arial" w:cs="Arial"/>
          <w:sz w:val="22"/>
          <w:szCs w:val="22"/>
        </w:rPr>
      </w:pPr>
      <w:r w:rsidRPr="00021496">
        <w:rPr>
          <w:rFonts w:ascii="Arial" w:hAnsi="Arial" w:cs="Arial"/>
          <w:b/>
          <w:bCs/>
          <w:sz w:val="22"/>
          <w:szCs w:val="22"/>
        </w:rPr>
        <w:t>Evaluation of Partnership Working</w:t>
      </w:r>
      <w:r w:rsidR="001A4E2D">
        <w:rPr>
          <w:rFonts w:ascii="Arial" w:hAnsi="Arial" w:cs="Arial"/>
          <w:sz w:val="22"/>
          <w:szCs w:val="22"/>
        </w:rPr>
        <w:t>………………………………………………………</w:t>
      </w:r>
      <w:r w:rsidR="000610EC">
        <w:rPr>
          <w:rFonts w:ascii="Arial" w:hAnsi="Arial" w:cs="Arial"/>
          <w:sz w:val="22"/>
          <w:szCs w:val="22"/>
        </w:rPr>
        <w:t>…</w:t>
      </w:r>
      <w:r w:rsidR="007A77D9">
        <w:rPr>
          <w:rFonts w:ascii="Arial" w:hAnsi="Arial" w:cs="Arial"/>
          <w:sz w:val="22"/>
          <w:szCs w:val="22"/>
        </w:rPr>
        <w:t>.</w:t>
      </w:r>
      <w:r w:rsidR="001A4E2D" w:rsidRPr="007A77D9">
        <w:rPr>
          <w:rFonts w:ascii="Arial" w:hAnsi="Arial" w:cs="Arial"/>
          <w:b/>
          <w:bCs/>
          <w:sz w:val="22"/>
          <w:szCs w:val="22"/>
        </w:rPr>
        <w:t>6</w:t>
      </w:r>
      <w:r w:rsidR="007A77D9" w:rsidRPr="007A77D9">
        <w:rPr>
          <w:rFonts w:ascii="Arial" w:hAnsi="Arial" w:cs="Arial"/>
          <w:b/>
          <w:bCs/>
          <w:sz w:val="22"/>
          <w:szCs w:val="22"/>
        </w:rPr>
        <w:t>-</w:t>
      </w:r>
      <w:r w:rsidR="001A4E2D" w:rsidRPr="001A4E2D">
        <w:rPr>
          <w:rFonts w:ascii="Arial" w:hAnsi="Arial" w:cs="Arial"/>
          <w:b/>
          <w:bCs/>
          <w:sz w:val="22"/>
          <w:szCs w:val="22"/>
        </w:rPr>
        <w:t>7</w:t>
      </w:r>
    </w:p>
    <w:p w14:paraId="50509EE5" w14:textId="63670621" w:rsidR="001A4E2D" w:rsidRPr="00021496" w:rsidRDefault="001A4E2D" w:rsidP="00BC66BF">
      <w:pPr>
        <w:spacing w:line="360" w:lineRule="auto"/>
        <w:rPr>
          <w:rFonts w:ascii="Arial" w:hAnsi="Arial" w:cs="Arial"/>
          <w:b/>
          <w:bCs/>
          <w:sz w:val="22"/>
          <w:szCs w:val="22"/>
        </w:rPr>
      </w:pPr>
      <w:r w:rsidRPr="00021496">
        <w:rPr>
          <w:rFonts w:ascii="Arial" w:hAnsi="Arial" w:cs="Arial"/>
          <w:b/>
          <w:bCs/>
          <w:sz w:val="22"/>
          <w:szCs w:val="22"/>
        </w:rPr>
        <w:t>Policy and Legislation</w:t>
      </w:r>
      <w:r w:rsidR="007A77D9">
        <w:rPr>
          <w:rFonts w:ascii="Arial" w:hAnsi="Arial" w:cs="Arial"/>
          <w:sz w:val="22"/>
          <w:szCs w:val="22"/>
        </w:rPr>
        <w:t>……………………………………………………………………………</w:t>
      </w:r>
      <w:r w:rsidR="007A77D9">
        <w:rPr>
          <w:rFonts w:ascii="Arial" w:hAnsi="Arial" w:cs="Arial"/>
          <w:b/>
          <w:bCs/>
          <w:sz w:val="22"/>
          <w:szCs w:val="22"/>
        </w:rPr>
        <w:t>7</w:t>
      </w:r>
    </w:p>
    <w:p w14:paraId="5B1A697B" w14:textId="4D4F7EAB" w:rsidR="007A77D9" w:rsidRPr="00021496" w:rsidRDefault="007A77D9" w:rsidP="00BC66BF">
      <w:pPr>
        <w:spacing w:line="360" w:lineRule="auto"/>
        <w:rPr>
          <w:rFonts w:ascii="Arial" w:hAnsi="Arial" w:cs="Arial"/>
          <w:sz w:val="22"/>
          <w:szCs w:val="22"/>
        </w:rPr>
      </w:pPr>
      <w:r w:rsidRPr="00021496">
        <w:rPr>
          <w:rFonts w:ascii="Arial" w:hAnsi="Arial" w:cs="Arial"/>
          <w:b/>
          <w:bCs/>
          <w:sz w:val="22"/>
          <w:szCs w:val="22"/>
        </w:rPr>
        <w:t>Recommendations for Future Development</w:t>
      </w:r>
      <w:r>
        <w:rPr>
          <w:rFonts w:ascii="Arial" w:hAnsi="Arial" w:cs="Arial"/>
          <w:sz w:val="22"/>
          <w:szCs w:val="22"/>
        </w:rPr>
        <w:t>…………………………………………………</w:t>
      </w:r>
      <w:r w:rsidRPr="007A77D9">
        <w:rPr>
          <w:rFonts w:ascii="Arial" w:hAnsi="Arial" w:cs="Arial"/>
          <w:b/>
          <w:bCs/>
          <w:sz w:val="22"/>
          <w:szCs w:val="22"/>
        </w:rPr>
        <w:t>7</w:t>
      </w:r>
    </w:p>
    <w:p w14:paraId="057334A7" w14:textId="079FF576" w:rsidR="00837FA4" w:rsidRPr="00712088" w:rsidRDefault="00837FA4" w:rsidP="00BC66BF">
      <w:pPr>
        <w:spacing w:before="240" w:line="360" w:lineRule="auto"/>
        <w:rPr>
          <w:rFonts w:ascii="Arial" w:hAnsi="Arial" w:cs="Arial"/>
          <w:b/>
          <w:bCs/>
          <w:sz w:val="22"/>
          <w:szCs w:val="22"/>
        </w:rPr>
      </w:pPr>
      <w:r w:rsidRPr="00712088">
        <w:rPr>
          <w:rFonts w:ascii="Arial" w:hAnsi="Arial" w:cs="Arial"/>
          <w:b/>
          <w:bCs/>
          <w:sz w:val="22"/>
          <w:szCs w:val="22"/>
        </w:rPr>
        <w:t>Conclusion</w:t>
      </w:r>
      <w:r w:rsidRPr="00E833B2">
        <w:rPr>
          <w:rFonts w:ascii="Arial" w:hAnsi="Arial" w:cs="Arial"/>
          <w:sz w:val="22"/>
          <w:szCs w:val="22"/>
        </w:rPr>
        <w:t>……………………………………………………………………………………</w:t>
      </w:r>
      <w:r w:rsidR="00E833B2" w:rsidRPr="00E833B2">
        <w:rPr>
          <w:rFonts w:ascii="Arial" w:hAnsi="Arial" w:cs="Arial"/>
          <w:sz w:val="22"/>
          <w:szCs w:val="22"/>
        </w:rPr>
        <w:t>….</w:t>
      </w:r>
      <w:r w:rsidRPr="00712088">
        <w:rPr>
          <w:rFonts w:ascii="Arial" w:hAnsi="Arial" w:cs="Arial"/>
          <w:b/>
          <w:bCs/>
          <w:sz w:val="22"/>
          <w:szCs w:val="22"/>
        </w:rPr>
        <w:t>7</w:t>
      </w:r>
      <w:r w:rsidR="00E833B2">
        <w:rPr>
          <w:rFonts w:ascii="Arial" w:hAnsi="Arial" w:cs="Arial"/>
          <w:b/>
          <w:bCs/>
          <w:sz w:val="22"/>
          <w:szCs w:val="22"/>
        </w:rPr>
        <w:t>-8</w:t>
      </w:r>
    </w:p>
    <w:p w14:paraId="2FB79B99" w14:textId="25AF6DAC" w:rsidR="00837FA4" w:rsidRPr="00712088" w:rsidRDefault="00837FA4" w:rsidP="00BC66BF">
      <w:pPr>
        <w:spacing w:line="360" w:lineRule="auto"/>
        <w:rPr>
          <w:rFonts w:ascii="Arial" w:hAnsi="Arial" w:cs="Arial"/>
          <w:b/>
          <w:bCs/>
          <w:sz w:val="22"/>
          <w:szCs w:val="22"/>
        </w:rPr>
      </w:pPr>
      <w:r w:rsidRPr="00712088">
        <w:rPr>
          <w:rFonts w:ascii="Arial" w:hAnsi="Arial" w:cs="Arial"/>
          <w:b/>
          <w:bCs/>
          <w:sz w:val="22"/>
          <w:szCs w:val="22"/>
        </w:rPr>
        <w:t>Reference List</w:t>
      </w:r>
      <w:r w:rsidRPr="00E833B2">
        <w:rPr>
          <w:rFonts w:ascii="Arial" w:hAnsi="Arial" w:cs="Arial"/>
          <w:sz w:val="22"/>
          <w:szCs w:val="22"/>
        </w:rPr>
        <w:t>……………………………………………………………………………</w:t>
      </w:r>
      <w:r w:rsidR="007440CA">
        <w:rPr>
          <w:rFonts w:ascii="Arial" w:hAnsi="Arial" w:cs="Arial"/>
          <w:sz w:val="22"/>
          <w:szCs w:val="22"/>
        </w:rPr>
        <w:t>……</w:t>
      </w:r>
      <w:r w:rsidR="00155820">
        <w:rPr>
          <w:rFonts w:ascii="Arial" w:hAnsi="Arial" w:cs="Arial"/>
          <w:sz w:val="22"/>
          <w:szCs w:val="22"/>
        </w:rPr>
        <w:t>..</w:t>
      </w:r>
      <w:r w:rsidR="00ED1111" w:rsidRPr="00ED1111">
        <w:rPr>
          <w:rFonts w:ascii="Arial" w:hAnsi="Arial" w:cs="Arial"/>
          <w:b/>
          <w:bCs/>
          <w:sz w:val="22"/>
          <w:szCs w:val="22"/>
        </w:rPr>
        <w:t>9</w:t>
      </w:r>
      <w:r w:rsidR="00ED1111">
        <w:rPr>
          <w:rFonts w:ascii="Arial" w:hAnsi="Arial" w:cs="Arial"/>
          <w:b/>
          <w:bCs/>
          <w:sz w:val="22"/>
          <w:szCs w:val="22"/>
        </w:rPr>
        <w:t>-</w:t>
      </w:r>
      <w:r w:rsidR="00ED1111" w:rsidRPr="00ED1111">
        <w:rPr>
          <w:rFonts w:ascii="Arial" w:hAnsi="Arial" w:cs="Arial"/>
          <w:b/>
          <w:bCs/>
          <w:sz w:val="22"/>
          <w:szCs w:val="22"/>
        </w:rPr>
        <w:t>10</w:t>
      </w:r>
    </w:p>
    <w:p w14:paraId="63405EB4" w14:textId="31D90783" w:rsidR="00F3283F" w:rsidRDefault="00F3283F">
      <w:pPr>
        <w:rPr>
          <w:rFonts w:ascii="Arial" w:hAnsi="Arial" w:cs="Arial"/>
          <w:b/>
          <w:bCs/>
          <w:sz w:val="22"/>
          <w:szCs w:val="22"/>
        </w:rPr>
      </w:pPr>
    </w:p>
    <w:p w14:paraId="7ABA50F8" w14:textId="77777777" w:rsidR="00F3283F" w:rsidRDefault="00F3283F">
      <w:pPr>
        <w:rPr>
          <w:rFonts w:ascii="Arial" w:hAnsi="Arial" w:cs="Arial"/>
          <w:b/>
          <w:bCs/>
          <w:sz w:val="22"/>
          <w:szCs w:val="22"/>
        </w:rPr>
      </w:pPr>
      <w:r>
        <w:rPr>
          <w:rFonts w:ascii="Arial" w:hAnsi="Arial" w:cs="Arial"/>
          <w:b/>
          <w:bCs/>
          <w:sz w:val="22"/>
          <w:szCs w:val="22"/>
        </w:rPr>
        <w:br w:type="page"/>
      </w:r>
    </w:p>
    <w:p w14:paraId="169E0562" w14:textId="377E1361" w:rsidR="00F3283F" w:rsidRDefault="00021496" w:rsidP="00F3283F">
      <w:pPr>
        <w:spacing w:line="240" w:lineRule="auto"/>
        <w:jc w:val="center"/>
        <w:rPr>
          <w:rFonts w:ascii="Arial" w:hAnsi="Arial" w:cs="Arial"/>
          <w:b/>
          <w:bCs/>
          <w:sz w:val="22"/>
          <w:szCs w:val="22"/>
        </w:rPr>
      </w:pPr>
      <w:r w:rsidRPr="00021496">
        <w:rPr>
          <w:rFonts w:ascii="Arial" w:hAnsi="Arial" w:cs="Arial"/>
          <w:b/>
          <w:bCs/>
          <w:sz w:val="22"/>
          <w:szCs w:val="22"/>
        </w:rPr>
        <w:lastRenderedPageBreak/>
        <w:t xml:space="preserve">Evaluation of Person-Centred Care and Partnership </w:t>
      </w:r>
    </w:p>
    <w:p w14:paraId="39141D18" w14:textId="38866358" w:rsidR="00021496" w:rsidRPr="00021496" w:rsidRDefault="00021496" w:rsidP="00F3283F">
      <w:pPr>
        <w:spacing w:line="240" w:lineRule="auto"/>
        <w:jc w:val="center"/>
        <w:rPr>
          <w:rFonts w:ascii="Arial" w:hAnsi="Arial" w:cs="Arial"/>
          <w:b/>
          <w:bCs/>
          <w:sz w:val="22"/>
          <w:szCs w:val="22"/>
        </w:rPr>
      </w:pPr>
      <w:r w:rsidRPr="00021496">
        <w:rPr>
          <w:rFonts w:ascii="Arial" w:hAnsi="Arial" w:cs="Arial"/>
          <w:b/>
          <w:bCs/>
          <w:sz w:val="22"/>
          <w:szCs w:val="22"/>
        </w:rPr>
        <w:t>Working in Health and Social Care</w:t>
      </w:r>
    </w:p>
    <w:p w14:paraId="2D5578F8" w14:textId="77777777" w:rsidR="00021496" w:rsidRPr="00021496" w:rsidRDefault="00021496" w:rsidP="00021496">
      <w:pPr>
        <w:spacing w:line="360" w:lineRule="auto"/>
        <w:rPr>
          <w:rFonts w:ascii="Arial" w:hAnsi="Arial" w:cs="Arial"/>
          <w:b/>
          <w:bCs/>
          <w:sz w:val="22"/>
          <w:szCs w:val="22"/>
        </w:rPr>
      </w:pPr>
      <w:r w:rsidRPr="00021496">
        <w:rPr>
          <w:rFonts w:ascii="Arial" w:hAnsi="Arial" w:cs="Arial"/>
          <w:b/>
          <w:bCs/>
          <w:sz w:val="22"/>
          <w:szCs w:val="22"/>
        </w:rPr>
        <w:t>Abstract</w:t>
      </w:r>
    </w:p>
    <w:p w14:paraId="430E8BE6"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 xml:space="preserve">Person-Centred Care (PCC) and Partnership Working (PW) have become fundamental principles guiding the development of contemporary health and social care services in the United Kingdom. PCC focuses on recognising individuals as active participants in their care and emphasises respect for personal values, preferences and needs. Partnership working, meanwhile, promotes collaboration between professionals, organisations, service users and communities </w:t>
      </w:r>
      <w:proofErr w:type="gramStart"/>
      <w:r w:rsidRPr="00021496">
        <w:rPr>
          <w:rFonts w:ascii="Arial" w:hAnsi="Arial" w:cs="Arial"/>
          <w:sz w:val="22"/>
          <w:szCs w:val="22"/>
        </w:rPr>
        <w:t>in order to</w:t>
      </w:r>
      <w:proofErr w:type="gramEnd"/>
      <w:r w:rsidRPr="00021496">
        <w:rPr>
          <w:rFonts w:ascii="Arial" w:hAnsi="Arial" w:cs="Arial"/>
          <w:sz w:val="22"/>
          <w:szCs w:val="22"/>
        </w:rPr>
        <w:t xml:space="preserve"> deliver integrated and effective care services. This report critically evaluates PCC and partnership working and explores how these approaches interact within professional health and social care practice. The report defines PCC and analyses both its benefits and limitations. It also examines key theoretical perspectives that underpin person-centred approaches, including Rogers’ person-centred theory and the biopsychosocial model. Ethical principles guiding health and social care practice are explored to demonstrate how they support PCC and partnership working. The report further evaluates partnership working within healthcare organisations and analyses the impact of UK policies and legislation such as the Health and Care Act 2022 and the Care Act 2014. The discussion focuses on hospital-based healthcare services within the National Health Service (NHS) as a practical example. The report concludes by offering recommendations for strengthening PCC and partnership working in the UK, emphasising the importance of organisational culture, leadership, and integrated care systems.</w:t>
      </w:r>
    </w:p>
    <w:p w14:paraId="18E0E9ED" w14:textId="77777777" w:rsidR="00021496" w:rsidRPr="00021496" w:rsidRDefault="00021496" w:rsidP="00021496">
      <w:pPr>
        <w:spacing w:line="360" w:lineRule="auto"/>
        <w:rPr>
          <w:rFonts w:ascii="Arial" w:hAnsi="Arial" w:cs="Arial"/>
          <w:b/>
          <w:bCs/>
          <w:sz w:val="22"/>
          <w:szCs w:val="22"/>
        </w:rPr>
      </w:pPr>
      <w:r w:rsidRPr="00021496">
        <w:rPr>
          <w:rFonts w:ascii="Arial" w:hAnsi="Arial" w:cs="Arial"/>
          <w:b/>
          <w:bCs/>
          <w:sz w:val="22"/>
          <w:szCs w:val="22"/>
        </w:rPr>
        <w:t>Introduction</w:t>
      </w:r>
    </w:p>
    <w:p w14:paraId="077AF3E1"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 xml:space="preserve">Over the past two decades, health and social care systems in the United Kingdom have undergone significant reform </w:t>
      </w:r>
      <w:proofErr w:type="gramStart"/>
      <w:r w:rsidRPr="00021496">
        <w:rPr>
          <w:rFonts w:ascii="Arial" w:hAnsi="Arial" w:cs="Arial"/>
          <w:sz w:val="22"/>
          <w:szCs w:val="22"/>
        </w:rPr>
        <w:t>in order to</w:t>
      </w:r>
      <w:proofErr w:type="gramEnd"/>
      <w:r w:rsidRPr="00021496">
        <w:rPr>
          <w:rFonts w:ascii="Arial" w:hAnsi="Arial" w:cs="Arial"/>
          <w:sz w:val="22"/>
          <w:szCs w:val="22"/>
        </w:rPr>
        <w:t xml:space="preserve"> improve service quality, efficiency and patient experience. Two central concepts driving these changes are Person-Centred Care (PCC) and Partnership Working (PW). PCC represents a shift away from traditional paternalistic healthcare models towards approaches that prioritise patient involvement, autonomy and individualised care planning. Partnership working, in contrast, emphasises collaboration between healthcare professionals, organisations and communities </w:t>
      </w:r>
      <w:proofErr w:type="gramStart"/>
      <w:r w:rsidRPr="00021496">
        <w:rPr>
          <w:rFonts w:ascii="Arial" w:hAnsi="Arial" w:cs="Arial"/>
          <w:sz w:val="22"/>
          <w:szCs w:val="22"/>
        </w:rPr>
        <w:t>in order to</w:t>
      </w:r>
      <w:proofErr w:type="gramEnd"/>
      <w:r w:rsidRPr="00021496">
        <w:rPr>
          <w:rFonts w:ascii="Arial" w:hAnsi="Arial" w:cs="Arial"/>
          <w:sz w:val="22"/>
          <w:szCs w:val="22"/>
        </w:rPr>
        <w:t xml:space="preserve"> deliver coordinated services that address complex health needs.</w:t>
      </w:r>
    </w:p>
    <w:p w14:paraId="12EABCDB" w14:textId="6C4EB38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 xml:space="preserve">The increasing prevalence of chronic illnesses, ageing populations and rising healthcare demands have highlighted the importance of integrated care systems that promote collaboration between services. According to Epstein and Street (2011), healthcare systems that actively involve patients in decision-making processes often achieve improved health outcomes and greater patient satisfaction. Similarly, Glasby and Dickinson (2014) argue that </w:t>
      </w:r>
      <w:r w:rsidRPr="00021496">
        <w:rPr>
          <w:rFonts w:ascii="Arial" w:hAnsi="Arial" w:cs="Arial"/>
          <w:sz w:val="22"/>
          <w:szCs w:val="22"/>
        </w:rPr>
        <w:lastRenderedPageBreak/>
        <w:t>effective partnership working enables organisations to share expertise and resources, thereby improving service delivery</w:t>
      </w:r>
      <w:r w:rsidR="005E77FB">
        <w:rPr>
          <w:rFonts w:ascii="Arial" w:hAnsi="Arial" w:cs="Arial"/>
          <w:sz w:val="22"/>
          <w:szCs w:val="22"/>
        </w:rPr>
        <w:t xml:space="preserve"> (</w:t>
      </w:r>
      <w:r w:rsidR="005E77FB" w:rsidRPr="00021496">
        <w:rPr>
          <w:rFonts w:ascii="Arial" w:hAnsi="Arial" w:cs="Arial"/>
          <w:sz w:val="22"/>
          <w:szCs w:val="22"/>
        </w:rPr>
        <w:t>Glasby and Dickinson</w:t>
      </w:r>
      <w:r w:rsidR="005E77FB">
        <w:rPr>
          <w:rFonts w:ascii="Arial" w:hAnsi="Arial" w:cs="Arial"/>
          <w:sz w:val="22"/>
          <w:szCs w:val="22"/>
        </w:rPr>
        <w:t xml:space="preserve">, </w:t>
      </w:r>
      <w:r w:rsidR="005E77FB" w:rsidRPr="00021496">
        <w:rPr>
          <w:rFonts w:ascii="Arial" w:hAnsi="Arial" w:cs="Arial"/>
          <w:sz w:val="22"/>
          <w:szCs w:val="22"/>
        </w:rPr>
        <w:t>2014)</w:t>
      </w:r>
      <w:r w:rsidRPr="00021496">
        <w:rPr>
          <w:rFonts w:ascii="Arial" w:hAnsi="Arial" w:cs="Arial"/>
          <w:sz w:val="22"/>
          <w:szCs w:val="22"/>
        </w:rPr>
        <w:t>.</w:t>
      </w:r>
    </w:p>
    <w:p w14:paraId="525BE74A"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Despite widespread support for these approaches, their implementation remains complex. Healthcare organisations often face structural, cultural and financial barriers that can limit the effectiveness of person-centred and collaborative models of care. This report therefore critically evaluates PCC and partnership working within the context of health and social care practice. The report begins by defining PCC and exploring its benefits and limitations. It then examines theoretical models underpinning PCC and analyses the ethical principles guiding healthcare practice. The report further evaluates partnership working and its practical application within hospital-based healthcare services in the NHS. Finally, relevant policy and legislative frameworks are examined, followed by recommendations for future development.</w:t>
      </w:r>
    </w:p>
    <w:p w14:paraId="5BA72B77" w14:textId="77777777" w:rsidR="00021496" w:rsidRPr="00021496" w:rsidRDefault="00021496" w:rsidP="00021496">
      <w:pPr>
        <w:spacing w:line="360" w:lineRule="auto"/>
        <w:rPr>
          <w:rFonts w:ascii="Arial" w:hAnsi="Arial" w:cs="Arial"/>
          <w:b/>
          <w:bCs/>
          <w:sz w:val="22"/>
          <w:szCs w:val="22"/>
        </w:rPr>
      </w:pPr>
      <w:r w:rsidRPr="00021496">
        <w:rPr>
          <w:rFonts w:ascii="Arial" w:hAnsi="Arial" w:cs="Arial"/>
          <w:b/>
          <w:bCs/>
          <w:sz w:val="22"/>
          <w:szCs w:val="22"/>
        </w:rPr>
        <w:t>Definition of Person-Centred Care</w:t>
      </w:r>
    </w:p>
    <w:p w14:paraId="373B6500"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Person-Centred Care (PCC) is widely regarded as a key principle in modern healthcare delivery. The Health Foundation defines PCC as care that respects and responds to the individual preferences, needs and values of patients, ensuring that these values guide clinical decision-making (Health Foundation, 2016). Similarly, NHS England describes PCC as an approach that places individuals at the centre of healthcare services and encourages active patient participation.</w:t>
      </w:r>
    </w:p>
    <w:p w14:paraId="7C9E72A2" w14:textId="0ADD8FF1"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A significant advantage of PCC is its ability to improve patient engagement and satisfaction. Morgan and Yoder (2012) argue that when patients are actively involved in decision-making processes, they are more likely to adhere to treatment plans and take greater responsibility for managing their health</w:t>
      </w:r>
      <w:r w:rsidR="00C95A7D">
        <w:rPr>
          <w:rFonts w:ascii="Arial" w:hAnsi="Arial" w:cs="Arial"/>
          <w:sz w:val="22"/>
          <w:szCs w:val="22"/>
        </w:rPr>
        <w:t xml:space="preserve"> (</w:t>
      </w:r>
      <w:r w:rsidR="00C95A7D" w:rsidRPr="00021496">
        <w:rPr>
          <w:rFonts w:ascii="Arial" w:hAnsi="Arial" w:cs="Arial"/>
          <w:sz w:val="22"/>
          <w:szCs w:val="22"/>
        </w:rPr>
        <w:t>Morgan and Yoder</w:t>
      </w:r>
      <w:r w:rsidR="00C95A7D">
        <w:rPr>
          <w:rFonts w:ascii="Arial" w:hAnsi="Arial" w:cs="Arial"/>
          <w:sz w:val="22"/>
          <w:szCs w:val="22"/>
        </w:rPr>
        <w:t xml:space="preserve">, </w:t>
      </w:r>
      <w:r w:rsidR="00C95A7D" w:rsidRPr="00021496">
        <w:rPr>
          <w:rFonts w:ascii="Arial" w:hAnsi="Arial" w:cs="Arial"/>
          <w:sz w:val="22"/>
          <w:szCs w:val="22"/>
        </w:rPr>
        <w:t>2012)</w:t>
      </w:r>
      <w:r w:rsidRPr="00021496">
        <w:rPr>
          <w:rFonts w:ascii="Arial" w:hAnsi="Arial" w:cs="Arial"/>
          <w:sz w:val="22"/>
          <w:szCs w:val="22"/>
        </w:rPr>
        <w:t>. Similarly, Barry and Edgman-Levitan (2012) highlight that shared decision-making enhances trust between healthcare professionals and patients, which can contribute to better clinical outcomes</w:t>
      </w:r>
      <w:r w:rsidR="007F492D">
        <w:rPr>
          <w:rFonts w:ascii="Arial" w:hAnsi="Arial" w:cs="Arial"/>
          <w:sz w:val="22"/>
          <w:szCs w:val="22"/>
        </w:rPr>
        <w:t xml:space="preserve"> </w:t>
      </w:r>
      <w:r w:rsidR="005E77FB">
        <w:rPr>
          <w:rFonts w:ascii="Arial" w:hAnsi="Arial" w:cs="Arial"/>
          <w:sz w:val="22"/>
          <w:szCs w:val="22"/>
        </w:rPr>
        <w:t>(</w:t>
      </w:r>
      <w:r w:rsidR="005E77FB" w:rsidRPr="00021496">
        <w:rPr>
          <w:rFonts w:ascii="Arial" w:hAnsi="Arial" w:cs="Arial"/>
          <w:sz w:val="22"/>
          <w:szCs w:val="22"/>
        </w:rPr>
        <w:t>Barry and Edgman-Levitan</w:t>
      </w:r>
      <w:r w:rsidR="005E77FB">
        <w:rPr>
          <w:rFonts w:ascii="Arial" w:hAnsi="Arial" w:cs="Arial"/>
          <w:sz w:val="22"/>
          <w:szCs w:val="22"/>
        </w:rPr>
        <w:t xml:space="preserve">, </w:t>
      </w:r>
      <w:r w:rsidR="005E77FB" w:rsidRPr="00021496">
        <w:rPr>
          <w:rFonts w:ascii="Arial" w:hAnsi="Arial" w:cs="Arial"/>
          <w:sz w:val="22"/>
          <w:szCs w:val="22"/>
        </w:rPr>
        <w:t>2012)</w:t>
      </w:r>
      <w:r w:rsidRPr="00021496">
        <w:rPr>
          <w:rFonts w:ascii="Arial" w:hAnsi="Arial" w:cs="Arial"/>
          <w:sz w:val="22"/>
          <w:szCs w:val="22"/>
        </w:rPr>
        <w:t>.</w:t>
      </w:r>
    </w:p>
    <w:p w14:paraId="65A0B58C" w14:textId="259037DD"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However, while many authors support PCC, there are differences in how it is conceptualised. For example, Coulter and Oldham (2016) emphasise the role of organisational systems in enabling PCC, suggesting that person-centred approaches require structural changes within healthcare organisations</w:t>
      </w:r>
      <w:r w:rsidR="00431924">
        <w:rPr>
          <w:rFonts w:ascii="Arial" w:hAnsi="Arial" w:cs="Arial"/>
          <w:sz w:val="22"/>
          <w:szCs w:val="22"/>
        </w:rPr>
        <w:t xml:space="preserve"> (</w:t>
      </w:r>
      <w:r w:rsidR="00431924" w:rsidRPr="00021496">
        <w:rPr>
          <w:rFonts w:ascii="Arial" w:hAnsi="Arial" w:cs="Arial"/>
          <w:sz w:val="22"/>
          <w:szCs w:val="22"/>
        </w:rPr>
        <w:t>Coulter and Oldham</w:t>
      </w:r>
      <w:r w:rsidR="00431924">
        <w:rPr>
          <w:rFonts w:ascii="Arial" w:hAnsi="Arial" w:cs="Arial"/>
          <w:sz w:val="22"/>
          <w:szCs w:val="22"/>
        </w:rPr>
        <w:t xml:space="preserve">, </w:t>
      </w:r>
      <w:r w:rsidR="00431924" w:rsidRPr="00021496">
        <w:rPr>
          <w:rFonts w:ascii="Arial" w:hAnsi="Arial" w:cs="Arial"/>
          <w:sz w:val="22"/>
          <w:szCs w:val="22"/>
        </w:rPr>
        <w:t>2016)</w:t>
      </w:r>
      <w:r w:rsidRPr="00021496">
        <w:rPr>
          <w:rFonts w:ascii="Arial" w:hAnsi="Arial" w:cs="Arial"/>
          <w:sz w:val="22"/>
          <w:szCs w:val="22"/>
        </w:rPr>
        <w:t>. In contrast, Epstein and Street (2011) focus more on the interpersonal relationship between patients and healthcare professionals, arguing that effective communication is the primary driver of PCC</w:t>
      </w:r>
      <w:r w:rsidR="00C95A7D">
        <w:rPr>
          <w:rFonts w:ascii="Arial" w:hAnsi="Arial" w:cs="Arial"/>
          <w:sz w:val="22"/>
          <w:szCs w:val="22"/>
        </w:rPr>
        <w:t xml:space="preserve"> (</w:t>
      </w:r>
      <w:r w:rsidR="00C95A7D" w:rsidRPr="00021496">
        <w:rPr>
          <w:rFonts w:ascii="Arial" w:hAnsi="Arial" w:cs="Arial"/>
          <w:sz w:val="22"/>
          <w:szCs w:val="22"/>
        </w:rPr>
        <w:t>Epstein and Street</w:t>
      </w:r>
      <w:r w:rsidR="00C95A7D">
        <w:rPr>
          <w:rFonts w:ascii="Arial" w:hAnsi="Arial" w:cs="Arial"/>
          <w:sz w:val="22"/>
          <w:szCs w:val="22"/>
        </w:rPr>
        <w:t xml:space="preserve">, </w:t>
      </w:r>
      <w:r w:rsidR="00C95A7D" w:rsidRPr="00021496">
        <w:rPr>
          <w:rFonts w:ascii="Arial" w:hAnsi="Arial" w:cs="Arial"/>
          <w:sz w:val="22"/>
          <w:szCs w:val="22"/>
        </w:rPr>
        <w:t>2011)</w:t>
      </w:r>
      <w:r w:rsidRPr="00021496">
        <w:rPr>
          <w:rFonts w:ascii="Arial" w:hAnsi="Arial" w:cs="Arial"/>
          <w:sz w:val="22"/>
          <w:szCs w:val="22"/>
        </w:rPr>
        <w:t>. This comparison demonstrates that PCC operates both at the interpersonal and organisational levels.</w:t>
      </w:r>
    </w:p>
    <w:p w14:paraId="6161B012" w14:textId="3F6F9A5C"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lastRenderedPageBreak/>
        <w:t xml:space="preserve">Despite its benefits, PCC also presents several limitations. One challenge relates to resource constraints within healthcare systems. High patient demand, staffing shortages and time pressures can limit healthcare professionals’ ability to engage fully with patients. Additionally, </w:t>
      </w:r>
      <w:proofErr w:type="spellStart"/>
      <w:r w:rsidRPr="00021496">
        <w:rPr>
          <w:rFonts w:ascii="Arial" w:hAnsi="Arial" w:cs="Arial"/>
          <w:sz w:val="22"/>
          <w:szCs w:val="22"/>
        </w:rPr>
        <w:t>Ocloo</w:t>
      </w:r>
      <w:proofErr w:type="spellEnd"/>
      <w:r w:rsidRPr="00021496">
        <w:rPr>
          <w:rFonts w:ascii="Arial" w:hAnsi="Arial" w:cs="Arial"/>
          <w:sz w:val="22"/>
          <w:szCs w:val="22"/>
        </w:rPr>
        <w:t xml:space="preserve"> and Matthews (2016) argue that patient involvement initiatives can sometimes become tokenistic, where organisations promote the concept of PCC without genuinely empowering service users</w:t>
      </w:r>
      <w:r w:rsidR="00431924">
        <w:rPr>
          <w:rFonts w:ascii="Arial" w:hAnsi="Arial" w:cs="Arial"/>
          <w:sz w:val="22"/>
          <w:szCs w:val="22"/>
        </w:rPr>
        <w:t xml:space="preserve"> (</w:t>
      </w:r>
      <w:proofErr w:type="spellStart"/>
      <w:r w:rsidR="00431924" w:rsidRPr="00021496">
        <w:rPr>
          <w:rFonts w:ascii="Arial" w:hAnsi="Arial" w:cs="Arial"/>
          <w:sz w:val="22"/>
          <w:szCs w:val="22"/>
        </w:rPr>
        <w:t>Ocloo</w:t>
      </w:r>
      <w:proofErr w:type="spellEnd"/>
      <w:r w:rsidR="00431924" w:rsidRPr="00021496">
        <w:rPr>
          <w:rFonts w:ascii="Arial" w:hAnsi="Arial" w:cs="Arial"/>
          <w:sz w:val="22"/>
          <w:szCs w:val="22"/>
        </w:rPr>
        <w:t xml:space="preserve"> and Matthews</w:t>
      </w:r>
      <w:r w:rsidR="00431924">
        <w:rPr>
          <w:rFonts w:ascii="Arial" w:hAnsi="Arial" w:cs="Arial"/>
          <w:sz w:val="22"/>
          <w:szCs w:val="22"/>
        </w:rPr>
        <w:t xml:space="preserve">, </w:t>
      </w:r>
      <w:r w:rsidR="00431924" w:rsidRPr="00021496">
        <w:rPr>
          <w:rFonts w:ascii="Arial" w:hAnsi="Arial" w:cs="Arial"/>
          <w:sz w:val="22"/>
          <w:szCs w:val="22"/>
        </w:rPr>
        <w:t>2016)</w:t>
      </w:r>
      <w:r w:rsidRPr="00021496">
        <w:rPr>
          <w:rFonts w:ascii="Arial" w:hAnsi="Arial" w:cs="Arial"/>
          <w:sz w:val="22"/>
          <w:szCs w:val="22"/>
        </w:rPr>
        <w:t>.</w:t>
      </w:r>
    </w:p>
    <w:p w14:paraId="7BAC982C"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Furthermore, conflicts may arise when patient preferences contradict clinical advice. Healthcare professionals must therefore balance patient autonomy with their duty to ensure safe and effective treatment. This highlights the complexity of implementing PCC in real-world healthcare settings.</w:t>
      </w:r>
    </w:p>
    <w:p w14:paraId="4980478B" w14:textId="77777777" w:rsidR="00021496" w:rsidRPr="00021496" w:rsidRDefault="00021496" w:rsidP="00021496">
      <w:pPr>
        <w:spacing w:line="360" w:lineRule="auto"/>
        <w:rPr>
          <w:rFonts w:ascii="Arial" w:hAnsi="Arial" w:cs="Arial"/>
          <w:b/>
          <w:bCs/>
          <w:sz w:val="22"/>
          <w:szCs w:val="22"/>
        </w:rPr>
      </w:pPr>
      <w:r w:rsidRPr="00021496">
        <w:rPr>
          <w:rFonts w:ascii="Arial" w:hAnsi="Arial" w:cs="Arial"/>
          <w:b/>
          <w:bCs/>
          <w:sz w:val="22"/>
          <w:szCs w:val="22"/>
        </w:rPr>
        <w:t>Relevant Theories Supporting Person-Centred Care</w:t>
      </w:r>
    </w:p>
    <w:p w14:paraId="59458C97"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The concept of PCC is supported by several theoretical frameworks that emphasise holistic and patient-focused approaches to healthcare. One of the most influential theories is the person-centred approach developed by Carl Rogers. Rogers’ theory emphasises empathy, authenticity and unconditional positive regard as essential elements in building effective relationships between professionals and individuals receiving support (Rogers, 1951).</w:t>
      </w:r>
    </w:p>
    <w:p w14:paraId="5C2F68AD"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Rogers’ theory has been widely applied in healthcare settings because it highlights the importance of communication and emotional understanding between healthcare professionals and patients. In hospital environments, for example, nurses who demonstrate empathy and active listening may help patients feel more comfortable discussing their concerns and preferences regarding treatment.</w:t>
      </w:r>
    </w:p>
    <w:p w14:paraId="21CF9D4D" w14:textId="6811D1C8"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Another important theoretical framework underpinning PCC is the biopsychosocial model developed by George L. Engel. Engel (1977) criticised the traditional biomedical model for focusing solely on physical symptoms while ignoring psychological and social influences on health</w:t>
      </w:r>
      <w:r w:rsidR="00CC4E95">
        <w:rPr>
          <w:rFonts w:ascii="Arial" w:hAnsi="Arial" w:cs="Arial"/>
          <w:sz w:val="22"/>
          <w:szCs w:val="22"/>
        </w:rPr>
        <w:t xml:space="preserve"> </w:t>
      </w:r>
      <w:r w:rsidR="00A62818">
        <w:rPr>
          <w:rFonts w:ascii="Arial" w:hAnsi="Arial" w:cs="Arial"/>
          <w:sz w:val="22"/>
          <w:szCs w:val="22"/>
        </w:rPr>
        <w:t>(</w:t>
      </w:r>
      <w:r w:rsidR="00CC4E95" w:rsidRPr="00021496">
        <w:rPr>
          <w:rFonts w:ascii="Arial" w:hAnsi="Arial" w:cs="Arial"/>
          <w:sz w:val="22"/>
          <w:szCs w:val="22"/>
        </w:rPr>
        <w:t>George L. Engel. Engel</w:t>
      </w:r>
      <w:r w:rsidR="00CC4E95">
        <w:rPr>
          <w:rFonts w:ascii="Arial" w:hAnsi="Arial" w:cs="Arial"/>
          <w:sz w:val="22"/>
          <w:szCs w:val="22"/>
        </w:rPr>
        <w:t xml:space="preserve">, </w:t>
      </w:r>
      <w:r w:rsidR="00CC4E95" w:rsidRPr="00021496">
        <w:rPr>
          <w:rFonts w:ascii="Arial" w:hAnsi="Arial" w:cs="Arial"/>
          <w:sz w:val="22"/>
          <w:szCs w:val="22"/>
        </w:rPr>
        <w:t>1977)</w:t>
      </w:r>
      <w:r w:rsidRPr="00021496">
        <w:rPr>
          <w:rFonts w:ascii="Arial" w:hAnsi="Arial" w:cs="Arial"/>
          <w:sz w:val="22"/>
          <w:szCs w:val="22"/>
        </w:rPr>
        <w:t>. Instead, the biopsychosocial model emphasises that health outcomes are shaped by interactions between biological, psychological and social factors.</w:t>
      </w:r>
    </w:p>
    <w:p w14:paraId="34D24E64"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While both theories support PCC, they differ in their emphasis. Rogers’ theory focuses primarily on interpersonal relationships between professionals and patients, whereas the biopsychosocial model emphasises the broader social and environmental factors that influence health. By integrating both perspectives, healthcare professionals can develop more holistic approaches to patient care.</w:t>
      </w:r>
    </w:p>
    <w:p w14:paraId="03162DBF"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 xml:space="preserve">Nevertheless, critics argue that these theoretical frameworks can be difficult to implement within complex healthcare systems. Engel’s biopsychosocial model, for example, has been </w:t>
      </w:r>
      <w:r w:rsidRPr="00021496">
        <w:rPr>
          <w:rFonts w:ascii="Arial" w:hAnsi="Arial" w:cs="Arial"/>
          <w:sz w:val="22"/>
          <w:szCs w:val="22"/>
        </w:rPr>
        <w:lastRenderedPageBreak/>
        <w:t>criticised for being conceptually broad and difficult to operationalise in clinical practice. Similarly, Rogers’ theory assumes that healthcare professionals have sufficient time and resources to build strong therapeutic relationships with patients, which may not always be feasible in busy healthcare environments.</w:t>
      </w:r>
    </w:p>
    <w:p w14:paraId="77B4A957" w14:textId="77777777" w:rsidR="00021496" w:rsidRPr="00021496" w:rsidRDefault="00021496" w:rsidP="00021496">
      <w:pPr>
        <w:spacing w:line="360" w:lineRule="auto"/>
        <w:rPr>
          <w:rFonts w:ascii="Arial" w:hAnsi="Arial" w:cs="Arial"/>
          <w:b/>
          <w:bCs/>
          <w:sz w:val="22"/>
          <w:szCs w:val="22"/>
        </w:rPr>
      </w:pPr>
      <w:r w:rsidRPr="00021496">
        <w:rPr>
          <w:rFonts w:ascii="Arial" w:hAnsi="Arial" w:cs="Arial"/>
          <w:b/>
          <w:bCs/>
          <w:sz w:val="22"/>
          <w:szCs w:val="22"/>
        </w:rPr>
        <w:t>Ethical Fundamentals in Health and Social Care</w:t>
      </w:r>
    </w:p>
    <w:p w14:paraId="68D15BB1"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Ethical principles play a crucial role in guiding healthcare decision-making and supporting the delivery of person-centred care. Four widely recognised ethical principles include autonomy, beneficence, non-maleficence and justice (Beauchamp and Childress, 2019).</w:t>
      </w:r>
    </w:p>
    <w:p w14:paraId="42B771FD"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Autonomy refers to respecting individuals’ rights to make informed decisions about their healthcare. Within PCC, autonomy is particularly important because it emphasises patient involvement in treatment decisions. However, respecting autonomy may sometimes create ethical dilemmas, particularly when patients refuse treatments that healthcare professionals believe are necessary.</w:t>
      </w:r>
    </w:p>
    <w:p w14:paraId="129CC4D7"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Beneficence involves acting in the best interests of patients and promoting their wellbeing. Healthcare professionals must ensure that their actions contribute positively to patient health outcomes.</w:t>
      </w:r>
    </w:p>
    <w:p w14:paraId="23381BFD"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Non-maleficence refers to avoiding harm. In clinical practice, this principle requires healthcare professionals to carefully consider the potential risks associated with treatments.</w:t>
      </w:r>
    </w:p>
    <w:p w14:paraId="3A966F02"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Justice relates to fairness and equality in healthcare provision. The principle of justice is particularly relevant in publicly funded healthcare systems such as the NHS, where limited resources must be allocated fairly across populations.</w:t>
      </w:r>
    </w:p>
    <w:p w14:paraId="382D7F1C"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While these ethical principles provide a useful framework for healthcare decision-making, tensions may arise between them. For example, prioritising patient autonomy may sometimes conflict with beneficence if a patient refuses a beneficial treatment. Such ethical dilemmas highlight the complexity of delivering PCC in healthcare environments.</w:t>
      </w:r>
    </w:p>
    <w:p w14:paraId="6CD2A8A1" w14:textId="4065803E" w:rsidR="00021496" w:rsidRPr="00021496" w:rsidRDefault="00021496" w:rsidP="00376542">
      <w:pPr>
        <w:rPr>
          <w:rFonts w:ascii="Arial" w:hAnsi="Arial" w:cs="Arial"/>
          <w:b/>
          <w:bCs/>
          <w:sz w:val="22"/>
          <w:szCs w:val="22"/>
        </w:rPr>
      </w:pPr>
      <w:r w:rsidRPr="00021496">
        <w:rPr>
          <w:rFonts w:ascii="Arial" w:hAnsi="Arial" w:cs="Arial"/>
          <w:b/>
          <w:bCs/>
          <w:sz w:val="22"/>
          <w:szCs w:val="22"/>
        </w:rPr>
        <w:t>Evaluation of Partnership Working</w:t>
      </w:r>
    </w:p>
    <w:p w14:paraId="689C126F"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Partnership working is widely recognised as an essential strategy for improving coordination and efficiency within health and social care systems. According to the Department of Health and Social Care, partnership working involves collaborative relationships between professionals, organisations and service users that aim to improve service delivery.</w:t>
      </w:r>
    </w:p>
    <w:p w14:paraId="467C2688"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 xml:space="preserve">One significant policy initiative promoting partnership working in the UK is the development of Integrated Care Systems. These systems aim to bring together NHS organisations, local </w:t>
      </w:r>
      <w:r w:rsidRPr="00021496">
        <w:rPr>
          <w:rFonts w:ascii="Arial" w:hAnsi="Arial" w:cs="Arial"/>
          <w:sz w:val="22"/>
          <w:szCs w:val="22"/>
        </w:rPr>
        <w:lastRenderedPageBreak/>
        <w:t xml:space="preserve">authorities and voluntary sector organisations </w:t>
      </w:r>
      <w:proofErr w:type="gramStart"/>
      <w:r w:rsidRPr="00021496">
        <w:rPr>
          <w:rFonts w:ascii="Arial" w:hAnsi="Arial" w:cs="Arial"/>
          <w:sz w:val="22"/>
          <w:szCs w:val="22"/>
        </w:rPr>
        <w:t>in order to</w:t>
      </w:r>
      <w:proofErr w:type="gramEnd"/>
      <w:r w:rsidRPr="00021496">
        <w:rPr>
          <w:rFonts w:ascii="Arial" w:hAnsi="Arial" w:cs="Arial"/>
          <w:sz w:val="22"/>
          <w:szCs w:val="22"/>
        </w:rPr>
        <w:t xml:space="preserve"> improve population health outcomes.</w:t>
      </w:r>
    </w:p>
    <w:p w14:paraId="23DF1310"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The benefits of partnership working include improved communication between services, more efficient use of resources and enhanced continuity of care. Goodwin (2016) argues that integrated care models can help reduce fragmentation within healthcare systems by encouraging organisations to work together.</w:t>
      </w:r>
    </w:p>
    <w:p w14:paraId="3FEB169E" w14:textId="3A50D623"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 xml:space="preserve">However, some researchers highlight challenges associated with partnership working. West and </w:t>
      </w:r>
      <w:proofErr w:type="spellStart"/>
      <w:r w:rsidRPr="00021496">
        <w:rPr>
          <w:rFonts w:ascii="Arial" w:hAnsi="Arial" w:cs="Arial"/>
          <w:sz w:val="22"/>
          <w:szCs w:val="22"/>
        </w:rPr>
        <w:t>Lyubovnikova</w:t>
      </w:r>
      <w:proofErr w:type="spellEnd"/>
      <w:r w:rsidRPr="00021496">
        <w:rPr>
          <w:rFonts w:ascii="Arial" w:hAnsi="Arial" w:cs="Arial"/>
          <w:sz w:val="22"/>
          <w:szCs w:val="22"/>
        </w:rPr>
        <w:t xml:space="preserve"> (2013) suggest that healthcare teams often assume collaboration is occurring when</w:t>
      </w:r>
      <w:r w:rsidR="00CC4E95">
        <w:rPr>
          <w:rFonts w:ascii="Arial" w:hAnsi="Arial" w:cs="Arial"/>
          <w:sz w:val="22"/>
          <w:szCs w:val="22"/>
        </w:rPr>
        <w:t xml:space="preserve"> (</w:t>
      </w:r>
      <w:r w:rsidR="00CC4E95" w:rsidRPr="00021496">
        <w:rPr>
          <w:rFonts w:ascii="Arial" w:hAnsi="Arial" w:cs="Arial"/>
          <w:sz w:val="22"/>
          <w:szCs w:val="22"/>
        </w:rPr>
        <w:t xml:space="preserve">West and </w:t>
      </w:r>
      <w:proofErr w:type="spellStart"/>
      <w:r w:rsidR="00CC4E95" w:rsidRPr="00021496">
        <w:rPr>
          <w:rFonts w:ascii="Arial" w:hAnsi="Arial" w:cs="Arial"/>
          <w:sz w:val="22"/>
          <w:szCs w:val="22"/>
        </w:rPr>
        <w:t>Lyubovnikova</w:t>
      </w:r>
      <w:proofErr w:type="spellEnd"/>
      <w:r w:rsidR="00CC4E95">
        <w:rPr>
          <w:rFonts w:ascii="Arial" w:hAnsi="Arial" w:cs="Arial"/>
          <w:sz w:val="22"/>
          <w:szCs w:val="22"/>
        </w:rPr>
        <w:t xml:space="preserve">, </w:t>
      </w:r>
      <w:r w:rsidR="00CC4E95" w:rsidRPr="00021496">
        <w:rPr>
          <w:rFonts w:ascii="Arial" w:hAnsi="Arial" w:cs="Arial"/>
          <w:sz w:val="22"/>
          <w:szCs w:val="22"/>
        </w:rPr>
        <w:t>2013</w:t>
      </w:r>
      <w:r w:rsidR="00CC4E95">
        <w:rPr>
          <w:rFonts w:ascii="Arial" w:hAnsi="Arial" w:cs="Arial"/>
          <w:sz w:val="22"/>
          <w:szCs w:val="22"/>
        </w:rPr>
        <w:t>)</w:t>
      </w:r>
      <w:proofErr w:type="gramStart"/>
      <w:r w:rsidRPr="00021496">
        <w:rPr>
          <w:rFonts w:ascii="Arial" w:hAnsi="Arial" w:cs="Arial"/>
          <w:sz w:val="22"/>
          <w:szCs w:val="22"/>
        </w:rPr>
        <w:t>, in reality, communication</w:t>
      </w:r>
      <w:proofErr w:type="gramEnd"/>
      <w:r w:rsidRPr="00021496">
        <w:rPr>
          <w:rFonts w:ascii="Arial" w:hAnsi="Arial" w:cs="Arial"/>
          <w:sz w:val="22"/>
          <w:szCs w:val="22"/>
        </w:rPr>
        <w:t xml:space="preserve"> between professionals may remain limited. Differences in organisational priorities, professional cultures and funding arrangements may also create barriers to effective collaboration.</w:t>
      </w:r>
    </w:p>
    <w:p w14:paraId="38CF8204"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Furthermore, partnership working requires significant organisational change. While integrated care systems aim to improve collaboration, they may also introduce new complexities regarding governance structures and accountability.</w:t>
      </w:r>
    </w:p>
    <w:p w14:paraId="39D16978" w14:textId="77777777" w:rsidR="00021496" w:rsidRPr="00021496" w:rsidRDefault="00021496" w:rsidP="00021496">
      <w:pPr>
        <w:spacing w:line="360" w:lineRule="auto"/>
        <w:rPr>
          <w:rFonts w:ascii="Arial" w:hAnsi="Arial" w:cs="Arial"/>
          <w:b/>
          <w:bCs/>
          <w:sz w:val="22"/>
          <w:szCs w:val="22"/>
        </w:rPr>
      </w:pPr>
      <w:r w:rsidRPr="00021496">
        <w:rPr>
          <w:rFonts w:ascii="Arial" w:hAnsi="Arial" w:cs="Arial"/>
          <w:b/>
          <w:bCs/>
          <w:sz w:val="22"/>
          <w:szCs w:val="22"/>
        </w:rPr>
        <w:t>Policy and Legislation</w:t>
      </w:r>
    </w:p>
    <w:p w14:paraId="31C80513"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UK health and social care policy plays a crucial role in supporting PCC and partnership working. The Health and Care Act 2022 introduced major reforms designed to strengthen collaboration between healthcare organisations and establish Integrated Care Systems.</w:t>
      </w:r>
    </w:p>
    <w:p w14:paraId="617773A1" w14:textId="0AADF4DA"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Similarly, the Health and Social Care Act 2012 emphasised patient choice and competition within healthcare services. While the Act aimed to improve efficiency and patient involvement, some critics argue that increased marketisation may have fragmented healthcare services rather than promoting collaboration</w:t>
      </w:r>
      <w:r w:rsidR="00CC4E95">
        <w:rPr>
          <w:rFonts w:ascii="Arial" w:hAnsi="Arial" w:cs="Arial"/>
          <w:sz w:val="22"/>
          <w:szCs w:val="22"/>
        </w:rPr>
        <w:t xml:space="preserve"> (</w:t>
      </w:r>
      <w:r w:rsidR="00CC4E95" w:rsidRPr="00021496">
        <w:rPr>
          <w:rFonts w:ascii="Arial" w:hAnsi="Arial" w:cs="Arial"/>
          <w:sz w:val="22"/>
          <w:szCs w:val="22"/>
        </w:rPr>
        <w:t>Health and Social Care Act</w:t>
      </w:r>
      <w:r w:rsidR="00CC4E95">
        <w:rPr>
          <w:rFonts w:ascii="Arial" w:hAnsi="Arial" w:cs="Arial"/>
          <w:sz w:val="22"/>
          <w:szCs w:val="22"/>
        </w:rPr>
        <w:t>,</w:t>
      </w:r>
      <w:r w:rsidR="00CC4E95" w:rsidRPr="00021496">
        <w:rPr>
          <w:rFonts w:ascii="Arial" w:hAnsi="Arial" w:cs="Arial"/>
          <w:sz w:val="22"/>
          <w:szCs w:val="22"/>
        </w:rPr>
        <w:t xml:space="preserve"> 2012</w:t>
      </w:r>
      <w:r w:rsidR="00CC4E95">
        <w:rPr>
          <w:rFonts w:ascii="Arial" w:hAnsi="Arial" w:cs="Arial"/>
          <w:sz w:val="22"/>
          <w:szCs w:val="22"/>
        </w:rPr>
        <w:t>)</w:t>
      </w:r>
      <w:r w:rsidRPr="00021496">
        <w:rPr>
          <w:rFonts w:ascii="Arial" w:hAnsi="Arial" w:cs="Arial"/>
          <w:sz w:val="22"/>
          <w:szCs w:val="22"/>
        </w:rPr>
        <w:t>.</w:t>
      </w:r>
    </w:p>
    <w:p w14:paraId="3E9BDD80" w14:textId="598F1B11"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The Care Act 2014 also plays an important role in supporting PCC by emphasising the importance of promoting individual wellbeing and involving service users in care planning</w:t>
      </w:r>
      <w:r w:rsidR="00044D8F">
        <w:rPr>
          <w:rFonts w:ascii="Arial" w:hAnsi="Arial" w:cs="Arial"/>
          <w:sz w:val="22"/>
          <w:szCs w:val="22"/>
        </w:rPr>
        <w:t xml:space="preserve"> </w:t>
      </w:r>
      <w:r w:rsidR="005C739C">
        <w:rPr>
          <w:rFonts w:ascii="Arial" w:hAnsi="Arial" w:cs="Arial"/>
          <w:sz w:val="22"/>
          <w:szCs w:val="22"/>
        </w:rPr>
        <w:t>(</w:t>
      </w:r>
      <w:r w:rsidR="00044D8F" w:rsidRPr="00021496">
        <w:rPr>
          <w:rFonts w:ascii="Arial" w:hAnsi="Arial" w:cs="Arial"/>
          <w:sz w:val="22"/>
          <w:szCs w:val="22"/>
        </w:rPr>
        <w:t>Care Act</w:t>
      </w:r>
      <w:r w:rsidR="005C739C">
        <w:rPr>
          <w:rFonts w:ascii="Arial" w:hAnsi="Arial" w:cs="Arial"/>
          <w:sz w:val="22"/>
          <w:szCs w:val="22"/>
        </w:rPr>
        <w:t>,</w:t>
      </w:r>
      <w:r w:rsidR="00044D8F" w:rsidRPr="00021496">
        <w:rPr>
          <w:rFonts w:ascii="Arial" w:hAnsi="Arial" w:cs="Arial"/>
          <w:sz w:val="22"/>
          <w:szCs w:val="22"/>
        </w:rPr>
        <w:t xml:space="preserve"> 2014</w:t>
      </w:r>
      <w:r w:rsidR="005C739C">
        <w:rPr>
          <w:rFonts w:ascii="Arial" w:hAnsi="Arial" w:cs="Arial"/>
          <w:sz w:val="22"/>
          <w:szCs w:val="22"/>
        </w:rPr>
        <w:t>)</w:t>
      </w:r>
      <w:r w:rsidRPr="00021496">
        <w:rPr>
          <w:rFonts w:ascii="Arial" w:hAnsi="Arial" w:cs="Arial"/>
          <w:sz w:val="22"/>
          <w:szCs w:val="22"/>
        </w:rPr>
        <w:t>.</w:t>
      </w:r>
    </w:p>
    <w:p w14:paraId="7C8D548F" w14:textId="66B17A96"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Additionally, the Human Rights Act 1998 and the Equality Act 2010 ensure that healthcare services respect human dignity and promote equality</w:t>
      </w:r>
      <w:r w:rsidR="005C739C">
        <w:rPr>
          <w:rFonts w:ascii="Arial" w:hAnsi="Arial" w:cs="Arial"/>
          <w:sz w:val="22"/>
          <w:szCs w:val="22"/>
        </w:rPr>
        <w:t xml:space="preserve"> (</w:t>
      </w:r>
      <w:r w:rsidR="005C739C" w:rsidRPr="00021496">
        <w:rPr>
          <w:rFonts w:ascii="Arial" w:hAnsi="Arial" w:cs="Arial"/>
          <w:sz w:val="22"/>
          <w:szCs w:val="22"/>
        </w:rPr>
        <w:t>Human Rights Act</w:t>
      </w:r>
      <w:r w:rsidR="005C739C">
        <w:rPr>
          <w:rFonts w:ascii="Arial" w:hAnsi="Arial" w:cs="Arial"/>
          <w:sz w:val="22"/>
          <w:szCs w:val="22"/>
        </w:rPr>
        <w:t>,</w:t>
      </w:r>
      <w:r w:rsidR="005C739C" w:rsidRPr="00021496">
        <w:rPr>
          <w:rFonts w:ascii="Arial" w:hAnsi="Arial" w:cs="Arial"/>
          <w:sz w:val="22"/>
          <w:szCs w:val="22"/>
        </w:rPr>
        <w:t xml:space="preserve"> 1998</w:t>
      </w:r>
      <w:r w:rsidR="005C739C">
        <w:rPr>
          <w:rFonts w:ascii="Arial" w:hAnsi="Arial" w:cs="Arial"/>
          <w:sz w:val="22"/>
          <w:szCs w:val="22"/>
        </w:rPr>
        <w:t xml:space="preserve"> &amp; </w:t>
      </w:r>
      <w:r w:rsidR="005C739C" w:rsidRPr="00021496">
        <w:rPr>
          <w:rFonts w:ascii="Arial" w:hAnsi="Arial" w:cs="Arial"/>
          <w:sz w:val="22"/>
          <w:szCs w:val="22"/>
        </w:rPr>
        <w:t>Equality Act</w:t>
      </w:r>
      <w:r w:rsidR="005C739C">
        <w:rPr>
          <w:rFonts w:ascii="Arial" w:hAnsi="Arial" w:cs="Arial"/>
          <w:sz w:val="22"/>
          <w:szCs w:val="22"/>
        </w:rPr>
        <w:t>,</w:t>
      </w:r>
      <w:r w:rsidR="005C739C" w:rsidRPr="00021496">
        <w:rPr>
          <w:rFonts w:ascii="Arial" w:hAnsi="Arial" w:cs="Arial"/>
          <w:sz w:val="22"/>
          <w:szCs w:val="22"/>
        </w:rPr>
        <w:t xml:space="preserve"> 2010</w:t>
      </w:r>
      <w:r w:rsidR="005C739C">
        <w:rPr>
          <w:rFonts w:ascii="Arial" w:hAnsi="Arial" w:cs="Arial"/>
          <w:sz w:val="22"/>
          <w:szCs w:val="22"/>
        </w:rPr>
        <w:t>)</w:t>
      </w:r>
      <w:r w:rsidRPr="00021496">
        <w:rPr>
          <w:rFonts w:ascii="Arial" w:hAnsi="Arial" w:cs="Arial"/>
          <w:sz w:val="22"/>
          <w:szCs w:val="22"/>
        </w:rPr>
        <w:t>.</w:t>
      </w:r>
    </w:p>
    <w:p w14:paraId="54F1E2B7"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Although these policies provide a strong framework for PCC and partnership working, their effectiveness depends on successful implementation at organisational and professional levels.</w:t>
      </w:r>
    </w:p>
    <w:p w14:paraId="590522E3" w14:textId="77777777" w:rsidR="00021496" w:rsidRPr="00021496" w:rsidRDefault="00021496" w:rsidP="00021496">
      <w:pPr>
        <w:spacing w:line="360" w:lineRule="auto"/>
        <w:rPr>
          <w:rFonts w:ascii="Arial" w:hAnsi="Arial" w:cs="Arial"/>
          <w:b/>
          <w:bCs/>
          <w:sz w:val="22"/>
          <w:szCs w:val="22"/>
        </w:rPr>
      </w:pPr>
      <w:r w:rsidRPr="00021496">
        <w:rPr>
          <w:rFonts w:ascii="Arial" w:hAnsi="Arial" w:cs="Arial"/>
          <w:b/>
          <w:bCs/>
          <w:sz w:val="22"/>
          <w:szCs w:val="22"/>
        </w:rPr>
        <w:t>Recommendations for Future Development</w:t>
      </w:r>
    </w:p>
    <w:p w14:paraId="35184E7C"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lastRenderedPageBreak/>
        <w:t>To strengthen PCC and partnership working within the UK healthcare system, several improvements can be considered.</w:t>
      </w:r>
    </w:p>
    <w:p w14:paraId="0087B3BB"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Firstly, healthcare professionals should receive enhanced training in communication, shared decision-making and collaborative practice.</w:t>
      </w:r>
    </w:p>
    <w:p w14:paraId="7106C7C0"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Secondly, healthcare organisations should invest in digital technologies that facilitate information sharing between services.</w:t>
      </w:r>
    </w:p>
    <w:p w14:paraId="2C2A0125"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Thirdly, patients and communities should be actively involved in the design and evaluation of healthcare services.</w:t>
      </w:r>
    </w:p>
    <w:p w14:paraId="627AB923"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Finally, policymakers should continue supporting integrated care systems that promote collaboration between healthcare organisations.</w:t>
      </w:r>
    </w:p>
    <w:p w14:paraId="17CFC8BF" w14:textId="77777777" w:rsidR="00021496" w:rsidRPr="00021496" w:rsidRDefault="00021496" w:rsidP="00021496">
      <w:pPr>
        <w:spacing w:line="360" w:lineRule="auto"/>
        <w:rPr>
          <w:rFonts w:ascii="Arial" w:hAnsi="Arial" w:cs="Arial"/>
          <w:b/>
          <w:bCs/>
          <w:sz w:val="22"/>
          <w:szCs w:val="22"/>
        </w:rPr>
      </w:pPr>
      <w:r w:rsidRPr="00021496">
        <w:rPr>
          <w:rFonts w:ascii="Arial" w:hAnsi="Arial" w:cs="Arial"/>
          <w:b/>
          <w:bCs/>
          <w:sz w:val="22"/>
          <w:szCs w:val="22"/>
        </w:rPr>
        <w:t>Conclusion</w:t>
      </w:r>
    </w:p>
    <w:p w14:paraId="19550E46"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Person-Centred Care and Partnership Working are central to the delivery of effective health and social care services within the UK. PCC emphasises respect for individual preferences and encourages patients to participate actively in decisions about their care, while partnership working promotes collaboration between professionals and organisations.</w:t>
      </w:r>
    </w:p>
    <w:p w14:paraId="6F114076" w14:textId="1C87C0B3"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Although these approaches offer significant benefits, challenges remain in relation to resource limitations, organisational structures and communication barriers. Policies such as the Health and Care Act 2022 and the Care Act 2014 provide important frameworks for supporting PCC and partnership working, but successful implementation requires organisational commitment and professional collaboration</w:t>
      </w:r>
      <w:r w:rsidR="00C95A7D">
        <w:rPr>
          <w:rFonts w:ascii="Arial" w:hAnsi="Arial" w:cs="Arial"/>
          <w:sz w:val="22"/>
          <w:szCs w:val="22"/>
        </w:rPr>
        <w:t xml:space="preserve"> (</w:t>
      </w:r>
      <w:r w:rsidR="00C95A7D" w:rsidRPr="00021496">
        <w:rPr>
          <w:rFonts w:ascii="Arial" w:hAnsi="Arial" w:cs="Arial"/>
          <w:sz w:val="22"/>
          <w:szCs w:val="22"/>
        </w:rPr>
        <w:t>Health and Care Act</w:t>
      </w:r>
      <w:r w:rsidR="00C95A7D">
        <w:rPr>
          <w:rFonts w:ascii="Arial" w:hAnsi="Arial" w:cs="Arial"/>
          <w:sz w:val="22"/>
          <w:szCs w:val="22"/>
        </w:rPr>
        <w:t>,</w:t>
      </w:r>
      <w:r w:rsidR="00C95A7D" w:rsidRPr="00021496">
        <w:rPr>
          <w:rFonts w:ascii="Arial" w:hAnsi="Arial" w:cs="Arial"/>
          <w:sz w:val="22"/>
          <w:szCs w:val="22"/>
        </w:rPr>
        <w:t xml:space="preserve"> 2022</w:t>
      </w:r>
      <w:r w:rsidR="00C95A7D">
        <w:rPr>
          <w:rFonts w:ascii="Arial" w:hAnsi="Arial" w:cs="Arial"/>
          <w:sz w:val="22"/>
          <w:szCs w:val="22"/>
        </w:rPr>
        <w:t xml:space="preserve"> &amp; </w:t>
      </w:r>
      <w:r w:rsidR="00C95A7D" w:rsidRPr="00021496">
        <w:rPr>
          <w:rFonts w:ascii="Arial" w:hAnsi="Arial" w:cs="Arial"/>
          <w:sz w:val="22"/>
          <w:szCs w:val="22"/>
        </w:rPr>
        <w:t>Care Act</w:t>
      </w:r>
      <w:r w:rsidR="00C95A7D">
        <w:rPr>
          <w:rFonts w:ascii="Arial" w:hAnsi="Arial" w:cs="Arial"/>
          <w:sz w:val="22"/>
          <w:szCs w:val="22"/>
        </w:rPr>
        <w:t>,</w:t>
      </w:r>
      <w:r w:rsidR="00C95A7D" w:rsidRPr="00021496">
        <w:rPr>
          <w:rFonts w:ascii="Arial" w:hAnsi="Arial" w:cs="Arial"/>
          <w:sz w:val="22"/>
          <w:szCs w:val="22"/>
        </w:rPr>
        <w:t xml:space="preserve"> 2014</w:t>
      </w:r>
      <w:r w:rsidR="00C95A7D">
        <w:rPr>
          <w:rFonts w:ascii="Arial" w:hAnsi="Arial" w:cs="Arial"/>
          <w:sz w:val="22"/>
          <w:szCs w:val="22"/>
        </w:rPr>
        <w:t>)</w:t>
      </w:r>
      <w:r w:rsidRPr="00021496">
        <w:rPr>
          <w:rFonts w:ascii="Arial" w:hAnsi="Arial" w:cs="Arial"/>
          <w:sz w:val="22"/>
          <w:szCs w:val="22"/>
        </w:rPr>
        <w:t>.</w:t>
      </w:r>
    </w:p>
    <w:p w14:paraId="03E2CF14" w14:textId="77777777" w:rsidR="00021496" w:rsidRPr="00021496" w:rsidRDefault="00021496" w:rsidP="00021496">
      <w:pPr>
        <w:spacing w:line="360" w:lineRule="auto"/>
        <w:rPr>
          <w:rFonts w:ascii="Arial" w:hAnsi="Arial" w:cs="Arial"/>
          <w:sz w:val="22"/>
          <w:szCs w:val="22"/>
        </w:rPr>
      </w:pPr>
      <w:r w:rsidRPr="00021496">
        <w:rPr>
          <w:rFonts w:ascii="Arial" w:hAnsi="Arial" w:cs="Arial"/>
          <w:sz w:val="22"/>
          <w:szCs w:val="22"/>
        </w:rPr>
        <w:t xml:space="preserve">Strengthening these approaches will require continued investment in training, technology and integrated care systems </w:t>
      </w:r>
      <w:proofErr w:type="gramStart"/>
      <w:r w:rsidRPr="00021496">
        <w:rPr>
          <w:rFonts w:ascii="Arial" w:hAnsi="Arial" w:cs="Arial"/>
          <w:sz w:val="22"/>
          <w:szCs w:val="22"/>
        </w:rPr>
        <w:t>in order to</w:t>
      </w:r>
      <w:proofErr w:type="gramEnd"/>
      <w:r w:rsidRPr="00021496">
        <w:rPr>
          <w:rFonts w:ascii="Arial" w:hAnsi="Arial" w:cs="Arial"/>
          <w:sz w:val="22"/>
          <w:szCs w:val="22"/>
        </w:rPr>
        <w:t xml:space="preserve"> ensure that healthcare services remain responsive to the needs of individuals and communities.</w:t>
      </w:r>
    </w:p>
    <w:p w14:paraId="5D89A5A8" w14:textId="304BE859" w:rsidR="00021496" w:rsidRDefault="00021496"/>
    <w:p w14:paraId="63F708E6" w14:textId="34256C66" w:rsidR="00BC66BF" w:rsidRDefault="00BC66BF">
      <w:r>
        <w:br w:type="page"/>
      </w:r>
    </w:p>
    <w:p w14:paraId="6E1794E8" w14:textId="77777777" w:rsidR="0025211D" w:rsidRPr="0025211D" w:rsidRDefault="0025211D" w:rsidP="0025211D">
      <w:pPr>
        <w:spacing w:line="360" w:lineRule="auto"/>
        <w:rPr>
          <w:rFonts w:ascii="Arial" w:hAnsi="Arial" w:cs="Arial"/>
          <w:b/>
          <w:bCs/>
          <w:sz w:val="22"/>
          <w:szCs w:val="22"/>
        </w:rPr>
      </w:pPr>
      <w:r w:rsidRPr="0025211D">
        <w:rPr>
          <w:rFonts w:ascii="Arial" w:hAnsi="Arial" w:cs="Arial"/>
          <w:b/>
          <w:bCs/>
          <w:sz w:val="22"/>
          <w:szCs w:val="22"/>
        </w:rPr>
        <w:lastRenderedPageBreak/>
        <w:t>Reference List</w:t>
      </w:r>
    </w:p>
    <w:p w14:paraId="38BF530E" w14:textId="3FB4307C"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Barry, M.J. and Edgman-Levitan, S. (2012) ‘Shared decision making — The pinnacle of patient-</w:t>
      </w:r>
      <w:proofErr w:type="spellStart"/>
      <w:r w:rsidRPr="008F5AB6">
        <w:rPr>
          <w:rFonts w:ascii="Arial" w:hAnsi="Arial" w:cs="Arial"/>
          <w:sz w:val="22"/>
          <w:szCs w:val="22"/>
        </w:rPr>
        <w:t>centered</w:t>
      </w:r>
      <w:proofErr w:type="spellEnd"/>
      <w:r w:rsidRPr="008F5AB6">
        <w:rPr>
          <w:rFonts w:ascii="Arial" w:hAnsi="Arial" w:cs="Arial"/>
          <w:sz w:val="22"/>
          <w:szCs w:val="22"/>
        </w:rPr>
        <w:t xml:space="preserve"> care’, </w:t>
      </w:r>
      <w:r w:rsidRPr="008F5AB6">
        <w:rPr>
          <w:rFonts w:ascii="Arial" w:hAnsi="Arial" w:cs="Arial"/>
          <w:i/>
          <w:iCs/>
          <w:sz w:val="22"/>
          <w:szCs w:val="22"/>
        </w:rPr>
        <w:t>New England Journal of Medicine</w:t>
      </w:r>
      <w:r w:rsidRPr="008F5AB6">
        <w:rPr>
          <w:rFonts w:ascii="Arial" w:hAnsi="Arial" w:cs="Arial"/>
          <w:sz w:val="22"/>
          <w:szCs w:val="22"/>
        </w:rPr>
        <w:t>, 366(9), pp.780–781. Available at: https://www.nejm.org/doi/full/10.1056/NEJMp1109283 (Accessed: 12 March 2026).</w:t>
      </w:r>
    </w:p>
    <w:p w14:paraId="1EE20134" w14:textId="77777777"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 xml:space="preserve">Beauchamp, T. and Childress, J. (2019) </w:t>
      </w:r>
      <w:r w:rsidRPr="008F5AB6">
        <w:rPr>
          <w:rFonts w:ascii="Arial" w:hAnsi="Arial" w:cs="Arial"/>
          <w:i/>
          <w:iCs/>
          <w:sz w:val="22"/>
          <w:szCs w:val="22"/>
        </w:rPr>
        <w:t>Principles of Biomedical Ethics</w:t>
      </w:r>
      <w:r w:rsidRPr="008F5AB6">
        <w:rPr>
          <w:rFonts w:ascii="Arial" w:hAnsi="Arial" w:cs="Arial"/>
          <w:sz w:val="22"/>
          <w:szCs w:val="22"/>
        </w:rPr>
        <w:t xml:space="preserve">. 8th </w:t>
      </w:r>
      <w:proofErr w:type="spellStart"/>
      <w:r w:rsidRPr="008F5AB6">
        <w:rPr>
          <w:rFonts w:ascii="Arial" w:hAnsi="Arial" w:cs="Arial"/>
          <w:sz w:val="22"/>
          <w:szCs w:val="22"/>
        </w:rPr>
        <w:t>edn</w:t>
      </w:r>
      <w:proofErr w:type="spellEnd"/>
      <w:r w:rsidRPr="008F5AB6">
        <w:rPr>
          <w:rFonts w:ascii="Arial" w:hAnsi="Arial" w:cs="Arial"/>
          <w:sz w:val="22"/>
          <w:szCs w:val="22"/>
        </w:rPr>
        <w:t>. Oxford: Oxford University Press.</w:t>
      </w:r>
    </w:p>
    <w:p w14:paraId="5F54E0E9" w14:textId="77777777"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 xml:space="preserve">Coulter, A. and Oldham, J. (2016) ‘Person-centred care: what is it and how do we get there?’, </w:t>
      </w:r>
      <w:r w:rsidRPr="008F5AB6">
        <w:rPr>
          <w:rFonts w:ascii="Arial" w:hAnsi="Arial" w:cs="Arial"/>
          <w:i/>
          <w:iCs/>
          <w:sz w:val="22"/>
          <w:szCs w:val="22"/>
        </w:rPr>
        <w:t>Future Hospital Journal</w:t>
      </w:r>
      <w:r w:rsidRPr="008F5AB6">
        <w:rPr>
          <w:rFonts w:ascii="Arial" w:hAnsi="Arial" w:cs="Arial"/>
          <w:sz w:val="22"/>
          <w:szCs w:val="22"/>
        </w:rPr>
        <w:t>, 3(2), pp.114–116. Available at: https://www.rcpjournals.org/content/futurehosp/3/2/114 (Accessed: 12 March 2026).</w:t>
      </w:r>
    </w:p>
    <w:p w14:paraId="56452D40" w14:textId="77777777"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 xml:space="preserve">Engel, G. (1977) ‘The need for a new medical model: A challenge for biomedicine’, </w:t>
      </w:r>
      <w:r w:rsidRPr="008F5AB6">
        <w:rPr>
          <w:rFonts w:ascii="Arial" w:hAnsi="Arial" w:cs="Arial"/>
          <w:i/>
          <w:iCs/>
          <w:sz w:val="22"/>
          <w:szCs w:val="22"/>
        </w:rPr>
        <w:t>Science</w:t>
      </w:r>
      <w:r w:rsidRPr="008F5AB6">
        <w:rPr>
          <w:rFonts w:ascii="Arial" w:hAnsi="Arial" w:cs="Arial"/>
          <w:sz w:val="22"/>
          <w:szCs w:val="22"/>
        </w:rPr>
        <w:t>, 196(4286), pp.129–136. Available at: https://science.sciencemag.org/content/196/4286/129 (Accessed: 12 March 2026).</w:t>
      </w:r>
    </w:p>
    <w:p w14:paraId="36E5CB97" w14:textId="16DF31C9"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 xml:space="preserve">Epstein, R. and Street, R. (2011) ‘The values and value of patient-centred care’, </w:t>
      </w:r>
      <w:r w:rsidRPr="008F5AB6">
        <w:rPr>
          <w:rFonts w:ascii="Arial" w:hAnsi="Arial" w:cs="Arial"/>
          <w:i/>
          <w:iCs/>
          <w:sz w:val="22"/>
          <w:szCs w:val="22"/>
        </w:rPr>
        <w:t>Annals of Family Medicine</w:t>
      </w:r>
      <w:r w:rsidRPr="008F5AB6">
        <w:rPr>
          <w:rFonts w:ascii="Arial" w:hAnsi="Arial" w:cs="Arial"/>
          <w:sz w:val="22"/>
          <w:szCs w:val="22"/>
        </w:rPr>
        <w:t>, 9(2), pp.100–103. Available at: ttps://www.annfammed.org/content/9/2/100 (Accessed: 12 March 2026).</w:t>
      </w:r>
    </w:p>
    <w:p w14:paraId="28C02371" w14:textId="77777777"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 xml:space="preserve">Glasby, J. and Dickinson, H. (2014) </w:t>
      </w:r>
      <w:r w:rsidRPr="008F5AB6">
        <w:rPr>
          <w:rFonts w:ascii="Arial" w:hAnsi="Arial" w:cs="Arial"/>
          <w:i/>
          <w:iCs/>
          <w:sz w:val="22"/>
          <w:szCs w:val="22"/>
        </w:rPr>
        <w:t>Partnership Working in Health and Social Care</w:t>
      </w:r>
      <w:r w:rsidRPr="008F5AB6">
        <w:rPr>
          <w:rFonts w:ascii="Arial" w:hAnsi="Arial" w:cs="Arial"/>
          <w:sz w:val="22"/>
          <w:szCs w:val="22"/>
        </w:rPr>
        <w:t>. Bristol: Policy Press.</w:t>
      </w:r>
    </w:p>
    <w:p w14:paraId="6E1C79BE" w14:textId="77777777"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 xml:space="preserve">Goodwin, N. (2016) ‘Understanding integrated care’, </w:t>
      </w:r>
      <w:r w:rsidRPr="008F5AB6">
        <w:rPr>
          <w:rFonts w:ascii="Arial" w:hAnsi="Arial" w:cs="Arial"/>
          <w:i/>
          <w:iCs/>
          <w:sz w:val="22"/>
          <w:szCs w:val="22"/>
        </w:rPr>
        <w:t>International Journal of Integrated Care</w:t>
      </w:r>
      <w:r w:rsidRPr="008F5AB6">
        <w:rPr>
          <w:rFonts w:ascii="Arial" w:hAnsi="Arial" w:cs="Arial"/>
          <w:sz w:val="22"/>
          <w:szCs w:val="22"/>
        </w:rPr>
        <w:t>, 16(4), pp.1–4. Available at: https://www.ijic.org/articles/10.5334/ijic.2530 (Accessed: 12 March 2026).</w:t>
      </w:r>
    </w:p>
    <w:p w14:paraId="55776A1B" w14:textId="77777777"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 xml:space="preserve">Health Foundation (2016) </w:t>
      </w:r>
      <w:r w:rsidRPr="008F5AB6">
        <w:rPr>
          <w:rFonts w:ascii="Arial" w:hAnsi="Arial" w:cs="Arial"/>
          <w:i/>
          <w:iCs/>
          <w:sz w:val="22"/>
          <w:szCs w:val="22"/>
        </w:rPr>
        <w:t>Person-Centred Care Made Simple</w:t>
      </w:r>
      <w:r w:rsidRPr="008F5AB6">
        <w:rPr>
          <w:rFonts w:ascii="Arial" w:hAnsi="Arial" w:cs="Arial"/>
          <w:sz w:val="22"/>
          <w:szCs w:val="22"/>
        </w:rPr>
        <w:t>. London: The Health Foundation. Available at: https://www.health.org.uk/publications/person-centred-care-made-simple (Accessed: 12 March 2026).</w:t>
      </w:r>
    </w:p>
    <w:p w14:paraId="612E5FDA" w14:textId="00E4B5E2"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 xml:space="preserve">Morgan, S. and Yoder, L. (2012) ‘A concept analysis of person-centred care’, </w:t>
      </w:r>
      <w:r w:rsidRPr="008F5AB6">
        <w:rPr>
          <w:rFonts w:ascii="Arial" w:hAnsi="Arial" w:cs="Arial"/>
          <w:i/>
          <w:iCs/>
          <w:sz w:val="22"/>
          <w:szCs w:val="22"/>
        </w:rPr>
        <w:t>Journal of Holistic Nursing</w:t>
      </w:r>
      <w:r w:rsidRPr="008F5AB6">
        <w:rPr>
          <w:rFonts w:ascii="Arial" w:hAnsi="Arial" w:cs="Arial"/>
          <w:sz w:val="22"/>
          <w:szCs w:val="22"/>
        </w:rPr>
        <w:t>, 30(1), pp.6–15. Available at: https://journals.sagepub.com/doi/10.1177/0898010111412189 (Accessed: 12 March 2026).</w:t>
      </w:r>
    </w:p>
    <w:p w14:paraId="4B202A6D" w14:textId="68350A63" w:rsidR="008F5AB6" w:rsidRPr="008F5AB6" w:rsidRDefault="008F5AB6" w:rsidP="008F5AB6">
      <w:pPr>
        <w:spacing w:line="360" w:lineRule="auto"/>
        <w:rPr>
          <w:rFonts w:ascii="Arial" w:hAnsi="Arial" w:cs="Arial"/>
          <w:sz w:val="22"/>
          <w:szCs w:val="22"/>
        </w:rPr>
      </w:pPr>
      <w:proofErr w:type="spellStart"/>
      <w:r w:rsidRPr="008F5AB6">
        <w:rPr>
          <w:rFonts w:ascii="Arial" w:hAnsi="Arial" w:cs="Arial"/>
          <w:sz w:val="22"/>
          <w:szCs w:val="22"/>
        </w:rPr>
        <w:t>Ocloo</w:t>
      </w:r>
      <w:proofErr w:type="spellEnd"/>
      <w:r w:rsidRPr="008F5AB6">
        <w:rPr>
          <w:rFonts w:ascii="Arial" w:hAnsi="Arial" w:cs="Arial"/>
          <w:sz w:val="22"/>
          <w:szCs w:val="22"/>
        </w:rPr>
        <w:t xml:space="preserve">, J. and Matthews, R. (2016) ‘From tokenism to empowerment: Patient and public involvement in healthcare improvement’, </w:t>
      </w:r>
      <w:r w:rsidRPr="008F5AB6">
        <w:rPr>
          <w:rFonts w:ascii="Arial" w:hAnsi="Arial" w:cs="Arial"/>
          <w:i/>
          <w:iCs/>
          <w:sz w:val="22"/>
          <w:szCs w:val="22"/>
        </w:rPr>
        <w:t>BMJ Quality &amp; Safety</w:t>
      </w:r>
      <w:r w:rsidRPr="008F5AB6">
        <w:rPr>
          <w:rFonts w:ascii="Arial" w:hAnsi="Arial" w:cs="Arial"/>
          <w:sz w:val="22"/>
          <w:szCs w:val="22"/>
        </w:rPr>
        <w:t>, 25(8), pp.626–632. Available at: https://qualitysafety.bmj.com/content/25/8/626 (Accessed: 12 March 2026).</w:t>
      </w:r>
    </w:p>
    <w:p w14:paraId="2C087795" w14:textId="77777777"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 xml:space="preserve">Rogers, C. (1951) </w:t>
      </w:r>
      <w:r w:rsidRPr="008F5AB6">
        <w:rPr>
          <w:rFonts w:ascii="Arial" w:hAnsi="Arial" w:cs="Arial"/>
          <w:i/>
          <w:iCs/>
          <w:sz w:val="22"/>
          <w:szCs w:val="22"/>
        </w:rPr>
        <w:t>Client-</w:t>
      </w:r>
      <w:proofErr w:type="spellStart"/>
      <w:r w:rsidRPr="008F5AB6">
        <w:rPr>
          <w:rFonts w:ascii="Arial" w:hAnsi="Arial" w:cs="Arial"/>
          <w:i/>
          <w:iCs/>
          <w:sz w:val="22"/>
          <w:szCs w:val="22"/>
        </w:rPr>
        <w:t>Centered</w:t>
      </w:r>
      <w:proofErr w:type="spellEnd"/>
      <w:r w:rsidRPr="008F5AB6">
        <w:rPr>
          <w:rFonts w:ascii="Arial" w:hAnsi="Arial" w:cs="Arial"/>
          <w:i/>
          <w:iCs/>
          <w:sz w:val="22"/>
          <w:szCs w:val="22"/>
        </w:rPr>
        <w:t xml:space="preserve"> Therapy</w:t>
      </w:r>
      <w:r w:rsidRPr="008F5AB6">
        <w:rPr>
          <w:rFonts w:ascii="Arial" w:hAnsi="Arial" w:cs="Arial"/>
          <w:sz w:val="22"/>
          <w:szCs w:val="22"/>
        </w:rPr>
        <w:t>. Boston: Houghton Mifflin.</w:t>
      </w:r>
    </w:p>
    <w:p w14:paraId="5BE05CC1" w14:textId="77777777" w:rsidR="008F5AB6" w:rsidRPr="008F5AB6" w:rsidRDefault="008F5AB6" w:rsidP="008F5AB6">
      <w:pPr>
        <w:spacing w:line="360" w:lineRule="auto"/>
        <w:rPr>
          <w:rFonts w:ascii="Arial" w:hAnsi="Arial" w:cs="Arial"/>
          <w:sz w:val="22"/>
          <w:szCs w:val="22"/>
        </w:rPr>
      </w:pPr>
      <w:r w:rsidRPr="008F5AB6">
        <w:rPr>
          <w:rFonts w:ascii="Arial" w:hAnsi="Arial" w:cs="Arial"/>
          <w:sz w:val="22"/>
          <w:szCs w:val="22"/>
        </w:rPr>
        <w:t xml:space="preserve">West, M. and Lyubovnikova, J. (2013) ‘Illusions of team working in healthcare’, </w:t>
      </w:r>
      <w:r w:rsidRPr="008F5AB6">
        <w:rPr>
          <w:rFonts w:ascii="Arial" w:hAnsi="Arial" w:cs="Arial"/>
          <w:i/>
          <w:iCs/>
          <w:sz w:val="22"/>
          <w:szCs w:val="22"/>
        </w:rPr>
        <w:t>Journal of Health Organization and Management</w:t>
      </w:r>
      <w:r w:rsidRPr="008F5AB6">
        <w:rPr>
          <w:rFonts w:ascii="Arial" w:hAnsi="Arial" w:cs="Arial"/>
          <w:sz w:val="22"/>
          <w:szCs w:val="22"/>
        </w:rPr>
        <w:t xml:space="preserve">, 27(1), pp.134–142. Available at: </w:t>
      </w:r>
      <w:r w:rsidRPr="008F5AB6">
        <w:rPr>
          <w:rFonts w:ascii="Arial" w:hAnsi="Arial" w:cs="Arial"/>
          <w:sz w:val="22"/>
          <w:szCs w:val="22"/>
        </w:rPr>
        <w:lastRenderedPageBreak/>
        <w:t>https://www.emerald.com/insight/content/doi/10.1108/14777261311311843 (Accessed: 12 March 2026).</w:t>
      </w:r>
    </w:p>
    <w:p w14:paraId="51F9806D" w14:textId="77777777" w:rsidR="009948EB" w:rsidRDefault="009948EB"/>
    <w:sectPr w:rsidR="009948E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262E1" w14:textId="77777777" w:rsidR="009C100A" w:rsidRDefault="009C100A" w:rsidP="00E80386">
      <w:pPr>
        <w:spacing w:after="0" w:line="240" w:lineRule="auto"/>
      </w:pPr>
      <w:r>
        <w:separator/>
      </w:r>
    </w:p>
  </w:endnote>
  <w:endnote w:type="continuationSeparator" w:id="0">
    <w:p w14:paraId="7572F9EA" w14:textId="77777777" w:rsidR="009C100A" w:rsidRDefault="009C100A" w:rsidP="00E80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1625675"/>
      <w:docPartObj>
        <w:docPartGallery w:val="Page Numbers (Bottom of Page)"/>
        <w:docPartUnique/>
      </w:docPartObj>
    </w:sdtPr>
    <w:sdtEndPr>
      <w:rPr>
        <w:noProof/>
      </w:rPr>
    </w:sdtEndPr>
    <w:sdtContent>
      <w:p w14:paraId="1DDE4B56" w14:textId="4501ACA1" w:rsidR="00E80386" w:rsidRDefault="00E803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107C62" w14:textId="77777777" w:rsidR="00E80386" w:rsidRDefault="00E80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90E59" w14:textId="77777777" w:rsidR="009C100A" w:rsidRDefault="009C100A" w:rsidP="00E80386">
      <w:pPr>
        <w:spacing w:after="0" w:line="240" w:lineRule="auto"/>
      </w:pPr>
      <w:r>
        <w:separator/>
      </w:r>
    </w:p>
  </w:footnote>
  <w:footnote w:type="continuationSeparator" w:id="0">
    <w:p w14:paraId="08822550" w14:textId="77777777" w:rsidR="009C100A" w:rsidRDefault="009C100A" w:rsidP="00E803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16191" w14:textId="1A194C14" w:rsidR="00BD7249" w:rsidRDefault="00BD7249">
    <w:pPr>
      <w:pStyle w:val="Header"/>
    </w:pPr>
    <w:r>
      <w:t>Foqia Farooq</w:t>
    </w:r>
  </w:p>
  <w:p w14:paraId="198EBCB2" w14:textId="77777777" w:rsidR="00BD7249" w:rsidRDefault="00BD72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133707"/>
    <w:multiLevelType w:val="hybridMultilevel"/>
    <w:tmpl w:val="B1C44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5691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8EB"/>
    <w:rsid w:val="000072F3"/>
    <w:rsid w:val="00021496"/>
    <w:rsid w:val="00044D8F"/>
    <w:rsid w:val="00050422"/>
    <w:rsid w:val="000610EC"/>
    <w:rsid w:val="00155820"/>
    <w:rsid w:val="001A4E2D"/>
    <w:rsid w:val="001D7BE6"/>
    <w:rsid w:val="0025211D"/>
    <w:rsid w:val="00376542"/>
    <w:rsid w:val="00431924"/>
    <w:rsid w:val="00514C42"/>
    <w:rsid w:val="005C739C"/>
    <w:rsid w:val="005E77FB"/>
    <w:rsid w:val="007416A4"/>
    <w:rsid w:val="007440CA"/>
    <w:rsid w:val="007A534A"/>
    <w:rsid w:val="007A77D9"/>
    <w:rsid w:val="007F492D"/>
    <w:rsid w:val="00837FA4"/>
    <w:rsid w:val="008758E5"/>
    <w:rsid w:val="008F5AB6"/>
    <w:rsid w:val="009948EB"/>
    <w:rsid w:val="009C100A"/>
    <w:rsid w:val="009E3EB4"/>
    <w:rsid w:val="00A62818"/>
    <w:rsid w:val="00BC66BF"/>
    <w:rsid w:val="00BD7249"/>
    <w:rsid w:val="00C95A7D"/>
    <w:rsid w:val="00CC4E95"/>
    <w:rsid w:val="00D16F6E"/>
    <w:rsid w:val="00DC4D90"/>
    <w:rsid w:val="00E80386"/>
    <w:rsid w:val="00E833B2"/>
    <w:rsid w:val="00ED1111"/>
    <w:rsid w:val="00F32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0FC01"/>
  <w15:chartTrackingRefBased/>
  <w15:docId w15:val="{AE66D8C9-DCE9-4362-8E15-5FD5374BC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8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8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8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8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8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8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8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8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8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8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8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8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8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8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8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8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8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8EB"/>
    <w:rPr>
      <w:rFonts w:eastAsiaTheme="majorEastAsia" w:cstheme="majorBidi"/>
      <w:color w:val="272727" w:themeColor="text1" w:themeTint="D8"/>
    </w:rPr>
  </w:style>
  <w:style w:type="paragraph" w:styleId="Title">
    <w:name w:val="Title"/>
    <w:basedOn w:val="Normal"/>
    <w:next w:val="Normal"/>
    <w:link w:val="TitleChar"/>
    <w:uiPriority w:val="10"/>
    <w:qFormat/>
    <w:rsid w:val="009948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8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8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8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8EB"/>
    <w:pPr>
      <w:spacing w:before="160"/>
      <w:jc w:val="center"/>
    </w:pPr>
    <w:rPr>
      <w:i/>
      <w:iCs/>
      <w:color w:val="404040" w:themeColor="text1" w:themeTint="BF"/>
    </w:rPr>
  </w:style>
  <w:style w:type="character" w:customStyle="1" w:styleId="QuoteChar">
    <w:name w:val="Quote Char"/>
    <w:basedOn w:val="DefaultParagraphFont"/>
    <w:link w:val="Quote"/>
    <w:uiPriority w:val="29"/>
    <w:rsid w:val="009948EB"/>
    <w:rPr>
      <w:i/>
      <w:iCs/>
      <w:color w:val="404040" w:themeColor="text1" w:themeTint="BF"/>
    </w:rPr>
  </w:style>
  <w:style w:type="paragraph" w:styleId="ListParagraph">
    <w:name w:val="List Paragraph"/>
    <w:basedOn w:val="Normal"/>
    <w:uiPriority w:val="34"/>
    <w:qFormat/>
    <w:rsid w:val="009948EB"/>
    <w:pPr>
      <w:ind w:left="720"/>
      <w:contextualSpacing/>
    </w:pPr>
  </w:style>
  <w:style w:type="character" w:styleId="IntenseEmphasis">
    <w:name w:val="Intense Emphasis"/>
    <w:basedOn w:val="DefaultParagraphFont"/>
    <w:uiPriority w:val="21"/>
    <w:qFormat/>
    <w:rsid w:val="009948EB"/>
    <w:rPr>
      <w:i/>
      <w:iCs/>
      <w:color w:val="0F4761" w:themeColor="accent1" w:themeShade="BF"/>
    </w:rPr>
  </w:style>
  <w:style w:type="paragraph" w:styleId="IntenseQuote">
    <w:name w:val="Intense Quote"/>
    <w:basedOn w:val="Normal"/>
    <w:next w:val="Normal"/>
    <w:link w:val="IntenseQuoteChar"/>
    <w:uiPriority w:val="30"/>
    <w:qFormat/>
    <w:rsid w:val="009948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8EB"/>
    <w:rPr>
      <w:i/>
      <w:iCs/>
      <w:color w:val="0F4761" w:themeColor="accent1" w:themeShade="BF"/>
    </w:rPr>
  </w:style>
  <w:style w:type="character" w:styleId="IntenseReference">
    <w:name w:val="Intense Reference"/>
    <w:basedOn w:val="DefaultParagraphFont"/>
    <w:uiPriority w:val="32"/>
    <w:qFormat/>
    <w:rsid w:val="009948EB"/>
    <w:rPr>
      <w:b/>
      <w:bCs/>
      <w:smallCaps/>
      <w:color w:val="0F4761" w:themeColor="accent1" w:themeShade="BF"/>
      <w:spacing w:val="5"/>
    </w:rPr>
  </w:style>
  <w:style w:type="paragraph" w:styleId="Header">
    <w:name w:val="header"/>
    <w:basedOn w:val="Normal"/>
    <w:link w:val="HeaderChar"/>
    <w:uiPriority w:val="99"/>
    <w:unhideWhenUsed/>
    <w:rsid w:val="00E80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386"/>
  </w:style>
  <w:style w:type="paragraph" w:styleId="Footer">
    <w:name w:val="footer"/>
    <w:basedOn w:val="Normal"/>
    <w:link w:val="FooterChar"/>
    <w:uiPriority w:val="99"/>
    <w:unhideWhenUsed/>
    <w:rsid w:val="00E80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386"/>
  </w:style>
  <w:style w:type="character" w:styleId="Hyperlink">
    <w:name w:val="Hyperlink"/>
    <w:basedOn w:val="DefaultParagraphFont"/>
    <w:uiPriority w:val="99"/>
    <w:unhideWhenUsed/>
    <w:rsid w:val="008F5AB6"/>
    <w:rPr>
      <w:color w:val="467886" w:themeColor="hyperlink"/>
      <w:u w:val="single"/>
    </w:rPr>
  </w:style>
  <w:style w:type="character" w:styleId="UnresolvedMention">
    <w:name w:val="Unresolved Mention"/>
    <w:basedOn w:val="DefaultParagraphFont"/>
    <w:uiPriority w:val="99"/>
    <w:semiHidden/>
    <w:unhideWhenUsed/>
    <w:rsid w:val="008F5A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325</TotalTime>
  <Pages>10</Pages>
  <Words>2657</Words>
  <Characters>15148</Characters>
  <Application>Microsoft Office Word</Application>
  <DocSecurity>0</DocSecurity>
  <Lines>126</Lines>
  <Paragraphs>35</Paragraphs>
  <ScaleCrop>false</ScaleCrop>
  <Company/>
  <LinksUpToDate>false</LinksUpToDate>
  <CharactersWithSpaces>17770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shamis hamid</dc:creator>
  <cp:keywords/>
  <dc:description/>
  <cp:lastModifiedBy>shamis hamid</cp:lastModifiedBy>
  <cp:revision>34</cp:revision>
  <dcterms:created xsi:type="dcterms:W3CDTF">2026-03-12T14:42:00Z</dcterms:created>
  <dcterms:modified xsi:type="dcterms:W3CDTF">2026-03-12T20:15:00Z</dcterms:modified>
</cp:coreProperties>
</file>