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1BCA52" w14:textId="77777777" w:rsidR="000F35DB" w:rsidRDefault="000F35DB" w:rsidP="000F35DB">
      <w:pPr>
        <w:jc w:val="center"/>
        <w:rPr>
          <w:rFonts w:ascii="Arial" w:hAnsi="Arial" w:cs="Arial"/>
          <w:sz w:val="40"/>
          <w:szCs w:val="40"/>
        </w:rPr>
      </w:pPr>
      <w:r>
        <w:rPr>
          <w:rFonts w:ascii="Arial" w:hAnsi="Arial" w:cs="Arial"/>
          <w:sz w:val="40"/>
          <w:szCs w:val="40"/>
        </w:rPr>
        <w:t>Title: Report</w:t>
      </w:r>
    </w:p>
    <w:p w14:paraId="37EB1443" w14:textId="77777777" w:rsidR="000F35DB" w:rsidRPr="00AE12A5" w:rsidRDefault="000F35DB" w:rsidP="000F35DB">
      <w:pPr>
        <w:jc w:val="center"/>
        <w:rPr>
          <w:rFonts w:ascii="Arial" w:hAnsi="Arial" w:cs="Arial"/>
          <w:sz w:val="40"/>
          <w:szCs w:val="40"/>
        </w:rPr>
      </w:pPr>
      <w:r w:rsidRPr="00AE12A5">
        <w:rPr>
          <w:rFonts w:ascii="Arial" w:hAnsi="Arial" w:cs="Arial"/>
          <w:sz w:val="40"/>
          <w:szCs w:val="40"/>
        </w:rPr>
        <w:t>Module title: Sustainable Hospitality &amp; Tourism Management</w:t>
      </w:r>
    </w:p>
    <w:p w14:paraId="50752AF3" w14:textId="77777777" w:rsidR="000F35DB" w:rsidRDefault="000F35DB" w:rsidP="000F35DB">
      <w:pPr>
        <w:jc w:val="center"/>
        <w:rPr>
          <w:rFonts w:ascii="Arial" w:hAnsi="Arial" w:cs="Arial"/>
          <w:sz w:val="40"/>
          <w:szCs w:val="40"/>
        </w:rPr>
      </w:pPr>
      <w:r w:rsidRPr="00AE12A5">
        <w:rPr>
          <w:rFonts w:ascii="Arial" w:hAnsi="Arial" w:cs="Arial"/>
          <w:sz w:val="40"/>
          <w:szCs w:val="40"/>
        </w:rPr>
        <w:t>BMIH5006</w:t>
      </w:r>
    </w:p>
    <w:p w14:paraId="7B387C1F" w14:textId="1BE2EB0F" w:rsidR="000F35DB" w:rsidRPr="00AE12A5" w:rsidRDefault="000F35DB" w:rsidP="000F35DB">
      <w:pPr>
        <w:jc w:val="center"/>
        <w:rPr>
          <w:rFonts w:ascii="Arial" w:hAnsi="Arial" w:cs="Arial"/>
          <w:sz w:val="40"/>
          <w:szCs w:val="40"/>
        </w:rPr>
      </w:pPr>
      <w:r w:rsidRPr="00AE12A5">
        <w:rPr>
          <w:rFonts w:ascii="Arial" w:hAnsi="Arial" w:cs="Arial"/>
          <w:sz w:val="40"/>
          <w:szCs w:val="40"/>
        </w:rPr>
        <w:t xml:space="preserve">Student: </w:t>
      </w:r>
      <w:r>
        <w:rPr>
          <w:rFonts w:ascii="Arial" w:hAnsi="Arial" w:cs="Arial"/>
          <w:sz w:val="40"/>
          <w:szCs w:val="40"/>
        </w:rPr>
        <w:t>Anamaria Cristina Salanchi</w:t>
      </w:r>
    </w:p>
    <w:p w14:paraId="40FEB1EA" w14:textId="6A7E53E5" w:rsidR="000F35DB" w:rsidRPr="00AE12A5" w:rsidRDefault="000F35DB" w:rsidP="000F35DB">
      <w:pPr>
        <w:jc w:val="center"/>
        <w:rPr>
          <w:rFonts w:ascii="Arial" w:hAnsi="Arial" w:cs="Arial"/>
          <w:sz w:val="40"/>
          <w:szCs w:val="40"/>
        </w:rPr>
      </w:pPr>
      <w:r w:rsidRPr="00AE12A5">
        <w:rPr>
          <w:rFonts w:ascii="Arial" w:hAnsi="Arial" w:cs="Arial"/>
          <w:sz w:val="40"/>
          <w:szCs w:val="40"/>
        </w:rPr>
        <w:t>Student ID: 220642</w:t>
      </w:r>
      <w:r>
        <w:rPr>
          <w:rFonts w:ascii="Arial" w:hAnsi="Arial" w:cs="Arial"/>
          <w:sz w:val="40"/>
          <w:szCs w:val="40"/>
        </w:rPr>
        <w:t>1</w:t>
      </w:r>
    </w:p>
    <w:p w14:paraId="39FD9999" w14:textId="77777777" w:rsidR="000F35DB" w:rsidRDefault="000F35DB" w:rsidP="000F35DB">
      <w:pPr>
        <w:jc w:val="center"/>
        <w:rPr>
          <w:rFonts w:ascii="Arial" w:hAnsi="Arial" w:cs="Arial"/>
          <w:sz w:val="40"/>
          <w:szCs w:val="40"/>
        </w:rPr>
      </w:pPr>
      <w:r w:rsidRPr="00AE12A5">
        <w:rPr>
          <w:rFonts w:ascii="Arial" w:hAnsi="Arial" w:cs="Arial"/>
          <w:sz w:val="40"/>
          <w:szCs w:val="40"/>
        </w:rPr>
        <w:t>Lecturer name: Julia Ault</w:t>
      </w:r>
    </w:p>
    <w:p w14:paraId="5D36314C" w14:textId="33ABF937" w:rsidR="00686DEB" w:rsidRDefault="000F35DB" w:rsidP="000F35DB">
      <w:pPr>
        <w:jc w:val="center"/>
        <w:rPr>
          <w:rFonts w:ascii="Arial" w:hAnsi="Arial" w:cs="Arial"/>
          <w:sz w:val="40"/>
          <w:szCs w:val="40"/>
        </w:rPr>
      </w:pPr>
      <w:r>
        <w:rPr>
          <w:rFonts w:ascii="Arial" w:hAnsi="Arial" w:cs="Arial"/>
          <w:sz w:val="40"/>
          <w:szCs w:val="40"/>
        </w:rPr>
        <w:t>Word count:</w:t>
      </w:r>
      <w:r w:rsidR="00571879">
        <w:rPr>
          <w:rFonts w:ascii="Arial" w:hAnsi="Arial" w:cs="Arial"/>
          <w:sz w:val="40"/>
          <w:szCs w:val="40"/>
        </w:rPr>
        <w:t xml:space="preserve"> 2116</w:t>
      </w:r>
    </w:p>
    <w:p w14:paraId="3F133DD4" w14:textId="77777777" w:rsidR="000F35DB" w:rsidRDefault="000F35DB" w:rsidP="000F35DB">
      <w:pPr>
        <w:jc w:val="center"/>
        <w:rPr>
          <w:rFonts w:ascii="Arial" w:hAnsi="Arial" w:cs="Arial"/>
          <w:sz w:val="40"/>
          <w:szCs w:val="40"/>
        </w:rPr>
      </w:pPr>
    </w:p>
    <w:p w14:paraId="55711FF2" w14:textId="77777777" w:rsidR="000F35DB" w:rsidRDefault="000F35DB" w:rsidP="000F35DB">
      <w:pPr>
        <w:jc w:val="center"/>
        <w:rPr>
          <w:rFonts w:ascii="Arial" w:hAnsi="Arial" w:cs="Arial"/>
          <w:sz w:val="40"/>
          <w:szCs w:val="40"/>
        </w:rPr>
      </w:pPr>
    </w:p>
    <w:p w14:paraId="05114F1A" w14:textId="77777777" w:rsidR="000F35DB" w:rsidRDefault="000F35DB" w:rsidP="000F35DB">
      <w:pPr>
        <w:jc w:val="center"/>
        <w:rPr>
          <w:rFonts w:ascii="Arial" w:hAnsi="Arial" w:cs="Arial"/>
          <w:sz w:val="40"/>
          <w:szCs w:val="40"/>
        </w:rPr>
      </w:pPr>
    </w:p>
    <w:p w14:paraId="1AE7E071" w14:textId="77777777" w:rsidR="000F35DB" w:rsidRDefault="000F35DB" w:rsidP="000F35DB">
      <w:pPr>
        <w:jc w:val="center"/>
      </w:pPr>
    </w:p>
    <w:p w14:paraId="4D98ED1C" w14:textId="77777777" w:rsidR="000F35DB" w:rsidRDefault="000F35DB" w:rsidP="000F35DB">
      <w:pPr>
        <w:jc w:val="center"/>
      </w:pPr>
    </w:p>
    <w:p w14:paraId="1D73C863" w14:textId="77777777" w:rsidR="000F35DB" w:rsidRDefault="000F35DB" w:rsidP="000F35DB">
      <w:pPr>
        <w:jc w:val="center"/>
      </w:pPr>
    </w:p>
    <w:p w14:paraId="5FAAEF33" w14:textId="77777777" w:rsidR="000F35DB" w:rsidRDefault="000F35DB" w:rsidP="000F35DB">
      <w:pPr>
        <w:jc w:val="center"/>
      </w:pPr>
    </w:p>
    <w:p w14:paraId="20982A67" w14:textId="77777777" w:rsidR="000F35DB" w:rsidRDefault="000F35DB" w:rsidP="000F35DB">
      <w:pPr>
        <w:jc w:val="center"/>
      </w:pPr>
    </w:p>
    <w:p w14:paraId="6A4404F1" w14:textId="77777777" w:rsidR="000F35DB" w:rsidRDefault="000F35DB" w:rsidP="000F35DB">
      <w:pPr>
        <w:jc w:val="center"/>
      </w:pPr>
    </w:p>
    <w:p w14:paraId="65ED0A57" w14:textId="77777777" w:rsidR="000F35DB" w:rsidRDefault="000F35DB" w:rsidP="000F35DB">
      <w:pPr>
        <w:jc w:val="center"/>
      </w:pPr>
    </w:p>
    <w:p w14:paraId="49DB6AE5" w14:textId="77777777" w:rsidR="000F35DB" w:rsidRDefault="000F35DB" w:rsidP="000F35DB">
      <w:pPr>
        <w:jc w:val="center"/>
      </w:pPr>
    </w:p>
    <w:p w14:paraId="0C48DB83" w14:textId="77777777" w:rsidR="000F35DB" w:rsidRDefault="000F35DB" w:rsidP="000F35DB">
      <w:pPr>
        <w:jc w:val="center"/>
      </w:pPr>
    </w:p>
    <w:p w14:paraId="17DBEB81" w14:textId="77777777" w:rsidR="000F35DB" w:rsidRDefault="000F35DB" w:rsidP="000F35DB">
      <w:pPr>
        <w:jc w:val="center"/>
      </w:pPr>
    </w:p>
    <w:p w14:paraId="27394232" w14:textId="77777777" w:rsidR="000F35DB" w:rsidRDefault="000F35DB" w:rsidP="000F35DB">
      <w:pPr>
        <w:jc w:val="center"/>
      </w:pPr>
    </w:p>
    <w:p w14:paraId="464C80BE" w14:textId="77777777" w:rsidR="000F35DB" w:rsidRDefault="000F35DB" w:rsidP="000F35DB">
      <w:pPr>
        <w:jc w:val="center"/>
      </w:pPr>
    </w:p>
    <w:p w14:paraId="653157DD" w14:textId="77777777" w:rsidR="000F35DB" w:rsidRDefault="000F35DB" w:rsidP="000F35DB">
      <w:pPr>
        <w:jc w:val="center"/>
      </w:pPr>
    </w:p>
    <w:p w14:paraId="6B3A4B50" w14:textId="77777777" w:rsidR="000F35DB" w:rsidRPr="00A52ECD" w:rsidRDefault="000F35DB" w:rsidP="00A52ECD">
      <w:pPr>
        <w:pStyle w:val="Heading1"/>
        <w:jc w:val="center"/>
        <w:rPr>
          <w:rFonts w:ascii="Arial" w:eastAsia="Calibri" w:hAnsi="Arial" w:cs="Arial"/>
          <w:b/>
          <w:bCs/>
          <w:color w:val="auto"/>
          <w:sz w:val="28"/>
          <w:szCs w:val="28"/>
          <w:shd w:val="clear" w:color="auto" w:fill="FFFFFF"/>
        </w:rPr>
      </w:pPr>
      <w:bookmarkStart w:id="0" w:name="_Toc168344488"/>
      <w:r w:rsidRPr="00A52ECD">
        <w:rPr>
          <w:rFonts w:ascii="Arial" w:eastAsia="Calibri" w:hAnsi="Arial" w:cs="Arial"/>
          <w:b/>
          <w:bCs/>
          <w:color w:val="auto"/>
          <w:sz w:val="28"/>
          <w:szCs w:val="28"/>
          <w:shd w:val="clear" w:color="auto" w:fill="FFFFFF"/>
        </w:rPr>
        <w:lastRenderedPageBreak/>
        <w:t>Executive Summary</w:t>
      </w:r>
      <w:bookmarkEnd w:id="0"/>
    </w:p>
    <w:p w14:paraId="36681A9F"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The hotel and hospitality sector are becoming more aware of the need for sustainability in response to environmental issues and the growing demand for eco-friendly practices. This report examines the effects of the Green Key Certificate, an internationally recognised eco-certification that establishes strict standards for environmental management, efficient use of resources, and social accountability. The report explores the theoretical underpinnings of sustainability in tourism, emphasising frameworks such as the Triple Bottom Line and Corporate Social Responsibility, and explores sustainable practices in many hospitality establishments, including rural retreats, coastal luxury resorts, and urban boutique hotels. It highlights the need to conserve energy and water, manage waste effectively, and engage with the local community. The report also addresses sustainable mobility alternatives, the Green Key accreditation procedure, and its unique criteria. The advantages of Green Key Certification include an improved brand image, distinguishing oneself in the market, and reduced expenses. In contrast, the drawbacks include the upfront costs and the need for ongoing staff training. The analysis focuses on upcoming trends and advancements, such as environmentally friendly construction technologies and circular economy principles. Additionally, it explores the possibilities of advanced data analytics and artificial intelligence to improve sustainability efforts. The report highlights the significant impact of Green Key Certification in fostering environmental stewardship, social responsibility, and economic resilience in the hotel and hospitality industry.</w:t>
      </w:r>
    </w:p>
    <w:p w14:paraId="52D22897"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636C1919"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450BB1AB"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6CABC1F0"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143C05B5"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5DB3AB6C"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50C430B0"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118CC3B4"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603C9C37"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1041E34B"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4AB96AA5"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sdt>
      <w:sdtPr>
        <w:id w:val="1385766080"/>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3E19D630" w14:textId="78A7185F" w:rsidR="00507DA1" w:rsidRDefault="00507DA1">
          <w:pPr>
            <w:pStyle w:val="TOCHeading"/>
          </w:pPr>
          <w:r>
            <w:t>Contents</w:t>
          </w:r>
        </w:p>
        <w:p w14:paraId="1910A1CD" w14:textId="00A7380D" w:rsidR="00507DA1" w:rsidRDefault="00507DA1">
          <w:pPr>
            <w:pStyle w:val="TOC1"/>
            <w:tabs>
              <w:tab w:val="right" w:leader="dot" w:pos="9016"/>
            </w:tabs>
            <w:rPr>
              <w:noProof/>
            </w:rPr>
          </w:pPr>
          <w:r>
            <w:fldChar w:fldCharType="begin"/>
          </w:r>
          <w:r>
            <w:instrText xml:space="preserve"> TOC \o "1-3" \h \z \u </w:instrText>
          </w:r>
          <w:r>
            <w:fldChar w:fldCharType="separate"/>
          </w:r>
          <w:hyperlink w:anchor="_Toc168344488" w:history="1">
            <w:r w:rsidRPr="00D7633E">
              <w:rPr>
                <w:rStyle w:val="Hyperlink"/>
                <w:rFonts w:ascii="Arial" w:eastAsia="Calibri" w:hAnsi="Arial" w:cs="Arial"/>
                <w:b/>
                <w:bCs/>
                <w:noProof/>
                <w:shd w:val="clear" w:color="auto" w:fill="FFFFFF"/>
              </w:rPr>
              <w:t>Executive Summary</w:t>
            </w:r>
            <w:r>
              <w:rPr>
                <w:noProof/>
                <w:webHidden/>
              </w:rPr>
              <w:tab/>
            </w:r>
            <w:r>
              <w:rPr>
                <w:noProof/>
                <w:webHidden/>
              </w:rPr>
              <w:fldChar w:fldCharType="begin"/>
            </w:r>
            <w:r>
              <w:rPr>
                <w:noProof/>
                <w:webHidden/>
              </w:rPr>
              <w:instrText xml:space="preserve"> PAGEREF _Toc168344488 \h </w:instrText>
            </w:r>
            <w:r>
              <w:rPr>
                <w:noProof/>
                <w:webHidden/>
              </w:rPr>
            </w:r>
            <w:r>
              <w:rPr>
                <w:noProof/>
                <w:webHidden/>
              </w:rPr>
              <w:fldChar w:fldCharType="separate"/>
            </w:r>
            <w:r>
              <w:rPr>
                <w:noProof/>
                <w:webHidden/>
              </w:rPr>
              <w:t>2</w:t>
            </w:r>
            <w:r>
              <w:rPr>
                <w:noProof/>
                <w:webHidden/>
              </w:rPr>
              <w:fldChar w:fldCharType="end"/>
            </w:r>
          </w:hyperlink>
        </w:p>
        <w:p w14:paraId="2E1BF157" w14:textId="116E7029" w:rsidR="00507DA1" w:rsidRDefault="00507DA1">
          <w:pPr>
            <w:pStyle w:val="TOC1"/>
            <w:tabs>
              <w:tab w:val="right" w:leader="dot" w:pos="9016"/>
            </w:tabs>
            <w:rPr>
              <w:noProof/>
            </w:rPr>
          </w:pPr>
          <w:hyperlink w:anchor="_Toc168344489" w:history="1">
            <w:r w:rsidRPr="00D7633E">
              <w:rPr>
                <w:rStyle w:val="Hyperlink"/>
                <w:rFonts w:ascii="Arial" w:eastAsia="Calibri" w:hAnsi="Arial" w:cs="Arial"/>
                <w:b/>
                <w:bCs/>
                <w:noProof/>
              </w:rPr>
              <w:t>Introduction</w:t>
            </w:r>
            <w:r>
              <w:rPr>
                <w:noProof/>
                <w:webHidden/>
              </w:rPr>
              <w:tab/>
            </w:r>
            <w:r>
              <w:rPr>
                <w:noProof/>
                <w:webHidden/>
              </w:rPr>
              <w:fldChar w:fldCharType="begin"/>
            </w:r>
            <w:r>
              <w:rPr>
                <w:noProof/>
                <w:webHidden/>
              </w:rPr>
              <w:instrText xml:space="preserve"> PAGEREF _Toc168344489 \h </w:instrText>
            </w:r>
            <w:r>
              <w:rPr>
                <w:noProof/>
                <w:webHidden/>
              </w:rPr>
            </w:r>
            <w:r>
              <w:rPr>
                <w:noProof/>
                <w:webHidden/>
              </w:rPr>
              <w:fldChar w:fldCharType="separate"/>
            </w:r>
            <w:r>
              <w:rPr>
                <w:noProof/>
                <w:webHidden/>
              </w:rPr>
              <w:t>3</w:t>
            </w:r>
            <w:r>
              <w:rPr>
                <w:noProof/>
                <w:webHidden/>
              </w:rPr>
              <w:fldChar w:fldCharType="end"/>
            </w:r>
          </w:hyperlink>
        </w:p>
        <w:p w14:paraId="01067578" w14:textId="3FBB8BC3" w:rsidR="00507DA1" w:rsidRDefault="00507DA1">
          <w:pPr>
            <w:pStyle w:val="TOC2"/>
            <w:tabs>
              <w:tab w:val="right" w:leader="dot" w:pos="9016"/>
            </w:tabs>
            <w:rPr>
              <w:noProof/>
            </w:rPr>
          </w:pPr>
          <w:hyperlink w:anchor="_Toc168344490" w:history="1">
            <w:r w:rsidRPr="00D7633E">
              <w:rPr>
                <w:rStyle w:val="Hyperlink"/>
                <w:rFonts w:ascii="Arial" w:eastAsia="Calibri" w:hAnsi="Arial" w:cs="Arial"/>
                <w:b/>
                <w:bCs/>
                <w:noProof/>
              </w:rPr>
              <w:t>Theoretical Foundations of Sustainability in Tourism and Hospitality</w:t>
            </w:r>
            <w:r>
              <w:rPr>
                <w:noProof/>
                <w:webHidden/>
              </w:rPr>
              <w:tab/>
            </w:r>
            <w:r>
              <w:rPr>
                <w:noProof/>
                <w:webHidden/>
              </w:rPr>
              <w:fldChar w:fldCharType="begin"/>
            </w:r>
            <w:r>
              <w:rPr>
                <w:noProof/>
                <w:webHidden/>
              </w:rPr>
              <w:instrText xml:space="preserve"> PAGEREF _Toc168344490 \h </w:instrText>
            </w:r>
            <w:r>
              <w:rPr>
                <w:noProof/>
                <w:webHidden/>
              </w:rPr>
            </w:r>
            <w:r>
              <w:rPr>
                <w:noProof/>
                <w:webHidden/>
              </w:rPr>
              <w:fldChar w:fldCharType="separate"/>
            </w:r>
            <w:r>
              <w:rPr>
                <w:noProof/>
                <w:webHidden/>
              </w:rPr>
              <w:t>4</w:t>
            </w:r>
            <w:r>
              <w:rPr>
                <w:noProof/>
                <w:webHidden/>
              </w:rPr>
              <w:fldChar w:fldCharType="end"/>
            </w:r>
          </w:hyperlink>
        </w:p>
        <w:p w14:paraId="6FD52E6B" w14:textId="3C3C35EE" w:rsidR="00507DA1" w:rsidRDefault="00507DA1">
          <w:pPr>
            <w:pStyle w:val="TOC2"/>
            <w:tabs>
              <w:tab w:val="right" w:leader="dot" w:pos="9016"/>
            </w:tabs>
            <w:rPr>
              <w:noProof/>
            </w:rPr>
          </w:pPr>
          <w:hyperlink w:anchor="_Toc168344491" w:history="1">
            <w:r w:rsidRPr="00D7633E">
              <w:rPr>
                <w:rStyle w:val="Hyperlink"/>
                <w:rFonts w:ascii="Arial" w:eastAsia="Calibri" w:hAnsi="Arial" w:cs="Arial"/>
                <w:b/>
                <w:bCs/>
                <w:noProof/>
              </w:rPr>
              <w:t>Sustainable Practices Across Diverse Hospitality Settings</w:t>
            </w:r>
            <w:r>
              <w:rPr>
                <w:noProof/>
                <w:webHidden/>
              </w:rPr>
              <w:tab/>
            </w:r>
            <w:r>
              <w:rPr>
                <w:noProof/>
                <w:webHidden/>
              </w:rPr>
              <w:fldChar w:fldCharType="begin"/>
            </w:r>
            <w:r>
              <w:rPr>
                <w:noProof/>
                <w:webHidden/>
              </w:rPr>
              <w:instrText xml:space="preserve"> PAGEREF _Toc168344491 \h </w:instrText>
            </w:r>
            <w:r>
              <w:rPr>
                <w:noProof/>
                <w:webHidden/>
              </w:rPr>
            </w:r>
            <w:r>
              <w:rPr>
                <w:noProof/>
                <w:webHidden/>
              </w:rPr>
              <w:fldChar w:fldCharType="separate"/>
            </w:r>
            <w:r>
              <w:rPr>
                <w:noProof/>
                <w:webHidden/>
              </w:rPr>
              <w:t>5</w:t>
            </w:r>
            <w:r>
              <w:rPr>
                <w:noProof/>
                <w:webHidden/>
              </w:rPr>
              <w:fldChar w:fldCharType="end"/>
            </w:r>
          </w:hyperlink>
        </w:p>
        <w:p w14:paraId="6062B70E" w14:textId="00C9B35F" w:rsidR="00507DA1" w:rsidRDefault="00507DA1">
          <w:pPr>
            <w:pStyle w:val="TOC3"/>
            <w:tabs>
              <w:tab w:val="right" w:leader="dot" w:pos="9016"/>
            </w:tabs>
            <w:rPr>
              <w:noProof/>
            </w:rPr>
          </w:pPr>
          <w:hyperlink w:anchor="_Toc168344492" w:history="1">
            <w:r w:rsidRPr="00D7633E">
              <w:rPr>
                <w:rStyle w:val="Hyperlink"/>
                <w:rFonts w:ascii="Arial" w:eastAsia="Calibri" w:hAnsi="Arial" w:cs="Arial"/>
                <w:noProof/>
              </w:rPr>
              <w:t>Rural Retreats and Eco-Resorts</w:t>
            </w:r>
            <w:r>
              <w:rPr>
                <w:noProof/>
                <w:webHidden/>
              </w:rPr>
              <w:tab/>
            </w:r>
            <w:r>
              <w:rPr>
                <w:noProof/>
                <w:webHidden/>
              </w:rPr>
              <w:fldChar w:fldCharType="begin"/>
            </w:r>
            <w:r>
              <w:rPr>
                <w:noProof/>
                <w:webHidden/>
              </w:rPr>
              <w:instrText xml:space="preserve"> PAGEREF _Toc168344492 \h </w:instrText>
            </w:r>
            <w:r>
              <w:rPr>
                <w:noProof/>
                <w:webHidden/>
              </w:rPr>
            </w:r>
            <w:r>
              <w:rPr>
                <w:noProof/>
                <w:webHidden/>
              </w:rPr>
              <w:fldChar w:fldCharType="separate"/>
            </w:r>
            <w:r>
              <w:rPr>
                <w:noProof/>
                <w:webHidden/>
              </w:rPr>
              <w:t>5</w:t>
            </w:r>
            <w:r>
              <w:rPr>
                <w:noProof/>
                <w:webHidden/>
              </w:rPr>
              <w:fldChar w:fldCharType="end"/>
            </w:r>
          </w:hyperlink>
        </w:p>
        <w:p w14:paraId="461586F3" w14:textId="324EC6FC" w:rsidR="00507DA1" w:rsidRDefault="00507DA1">
          <w:pPr>
            <w:pStyle w:val="TOC3"/>
            <w:tabs>
              <w:tab w:val="right" w:leader="dot" w:pos="9016"/>
            </w:tabs>
            <w:rPr>
              <w:noProof/>
            </w:rPr>
          </w:pPr>
          <w:hyperlink w:anchor="_Toc168344493" w:history="1">
            <w:r w:rsidRPr="00D7633E">
              <w:rPr>
                <w:rStyle w:val="Hyperlink"/>
                <w:rFonts w:ascii="Arial" w:eastAsia="Calibri" w:hAnsi="Arial" w:cs="Arial"/>
                <w:noProof/>
              </w:rPr>
              <w:t>Coastal Luxury Resorts and Marine Conservation</w:t>
            </w:r>
            <w:r>
              <w:rPr>
                <w:noProof/>
                <w:webHidden/>
              </w:rPr>
              <w:tab/>
            </w:r>
            <w:r>
              <w:rPr>
                <w:noProof/>
                <w:webHidden/>
              </w:rPr>
              <w:fldChar w:fldCharType="begin"/>
            </w:r>
            <w:r>
              <w:rPr>
                <w:noProof/>
                <w:webHidden/>
              </w:rPr>
              <w:instrText xml:space="preserve"> PAGEREF _Toc168344493 \h </w:instrText>
            </w:r>
            <w:r>
              <w:rPr>
                <w:noProof/>
                <w:webHidden/>
              </w:rPr>
            </w:r>
            <w:r>
              <w:rPr>
                <w:noProof/>
                <w:webHidden/>
              </w:rPr>
              <w:fldChar w:fldCharType="separate"/>
            </w:r>
            <w:r>
              <w:rPr>
                <w:noProof/>
                <w:webHidden/>
              </w:rPr>
              <w:t>6</w:t>
            </w:r>
            <w:r>
              <w:rPr>
                <w:noProof/>
                <w:webHidden/>
              </w:rPr>
              <w:fldChar w:fldCharType="end"/>
            </w:r>
          </w:hyperlink>
        </w:p>
        <w:p w14:paraId="42E70393" w14:textId="1ECF1244" w:rsidR="00507DA1" w:rsidRDefault="00507DA1">
          <w:pPr>
            <w:pStyle w:val="TOC3"/>
            <w:tabs>
              <w:tab w:val="right" w:leader="dot" w:pos="9016"/>
            </w:tabs>
            <w:rPr>
              <w:noProof/>
            </w:rPr>
          </w:pPr>
          <w:hyperlink w:anchor="_Toc168344494" w:history="1">
            <w:r w:rsidRPr="00D7633E">
              <w:rPr>
                <w:rStyle w:val="Hyperlink"/>
                <w:rFonts w:ascii="Arial" w:eastAsia="Calibri" w:hAnsi="Arial" w:cs="Arial"/>
                <w:noProof/>
              </w:rPr>
              <w:t>Urban Boutique Hotels and Community Engagement</w:t>
            </w:r>
            <w:r>
              <w:rPr>
                <w:noProof/>
                <w:webHidden/>
              </w:rPr>
              <w:tab/>
            </w:r>
            <w:r>
              <w:rPr>
                <w:noProof/>
                <w:webHidden/>
              </w:rPr>
              <w:fldChar w:fldCharType="begin"/>
            </w:r>
            <w:r>
              <w:rPr>
                <w:noProof/>
                <w:webHidden/>
              </w:rPr>
              <w:instrText xml:space="preserve"> PAGEREF _Toc168344494 \h </w:instrText>
            </w:r>
            <w:r>
              <w:rPr>
                <w:noProof/>
                <w:webHidden/>
              </w:rPr>
            </w:r>
            <w:r>
              <w:rPr>
                <w:noProof/>
                <w:webHidden/>
              </w:rPr>
              <w:fldChar w:fldCharType="separate"/>
            </w:r>
            <w:r>
              <w:rPr>
                <w:noProof/>
                <w:webHidden/>
              </w:rPr>
              <w:t>6</w:t>
            </w:r>
            <w:r>
              <w:rPr>
                <w:noProof/>
                <w:webHidden/>
              </w:rPr>
              <w:fldChar w:fldCharType="end"/>
            </w:r>
          </w:hyperlink>
        </w:p>
        <w:p w14:paraId="3380FC70" w14:textId="02D2DC3C" w:rsidR="00507DA1" w:rsidRDefault="00507DA1">
          <w:pPr>
            <w:pStyle w:val="TOC2"/>
            <w:tabs>
              <w:tab w:val="right" w:leader="dot" w:pos="9016"/>
            </w:tabs>
            <w:rPr>
              <w:noProof/>
            </w:rPr>
          </w:pPr>
          <w:hyperlink w:anchor="_Toc168344495" w:history="1">
            <w:r w:rsidRPr="00D7633E">
              <w:rPr>
                <w:rStyle w:val="Hyperlink"/>
                <w:rFonts w:ascii="Arial" w:eastAsia="Calibri" w:hAnsi="Arial" w:cs="Arial"/>
                <w:b/>
                <w:bCs/>
                <w:noProof/>
              </w:rPr>
              <w:t>Sustainable Transportation Solutions for Tourism Mobility</w:t>
            </w:r>
            <w:r>
              <w:rPr>
                <w:noProof/>
                <w:webHidden/>
              </w:rPr>
              <w:tab/>
            </w:r>
            <w:r>
              <w:rPr>
                <w:noProof/>
                <w:webHidden/>
              </w:rPr>
              <w:fldChar w:fldCharType="begin"/>
            </w:r>
            <w:r>
              <w:rPr>
                <w:noProof/>
                <w:webHidden/>
              </w:rPr>
              <w:instrText xml:space="preserve"> PAGEREF _Toc168344495 \h </w:instrText>
            </w:r>
            <w:r>
              <w:rPr>
                <w:noProof/>
                <w:webHidden/>
              </w:rPr>
            </w:r>
            <w:r>
              <w:rPr>
                <w:noProof/>
                <w:webHidden/>
              </w:rPr>
              <w:fldChar w:fldCharType="separate"/>
            </w:r>
            <w:r>
              <w:rPr>
                <w:noProof/>
                <w:webHidden/>
              </w:rPr>
              <w:t>7</w:t>
            </w:r>
            <w:r>
              <w:rPr>
                <w:noProof/>
                <w:webHidden/>
              </w:rPr>
              <w:fldChar w:fldCharType="end"/>
            </w:r>
          </w:hyperlink>
        </w:p>
        <w:p w14:paraId="76612CF3" w14:textId="4F291D0A" w:rsidR="00507DA1" w:rsidRDefault="00507DA1">
          <w:pPr>
            <w:pStyle w:val="TOC2"/>
            <w:tabs>
              <w:tab w:val="right" w:leader="dot" w:pos="9016"/>
            </w:tabs>
            <w:rPr>
              <w:noProof/>
            </w:rPr>
          </w:pPr>
          <w:hyperlink w:anchor="_Toc168344496" w:history="1">
            <w:r w:rsidRPr="00D7633E">
              <w:rPr>
                <w:rStyle w:val="Hyperlink"/>
                <w:rFonts w:ascii="Arial" w:eastAsia="Calibri" w:hAnsi="Arial" w:cs="Arial"/>
                <w:b/>
                <w:bCs/>
                <w:noProof/>
              </w:rPr>
              <w:t>Navigating Sustainable Accreditation and Certification</w:t>
            </w:r>
            <w:r>
              <w:rPr>
                <w:noProof/>
                <w:webHidden/>
              </w:rPr>
              <w:tab/>
            </w:r>
            <w:r>
              <w:rPr>
                <w:noProof/>
                <w:webHidden/>
              </w:rPr>
              <w:fldChar w:fldCharType="begin"/>
            </w:r>
            <w:r>
              <w:rPr>
                <w:noProof/>
                <w:webHidden/>
              </w:rPr>
              <w:instrText xml:space="preserve"> PAGEREF _Toc168344496 \h </w:instrText>
            </w:r>
            <w:r>
              <w:rPr>
                <w:noProof/>
                <w:webHidden/>
              </w:rPr>
            </w:r>
            <w:r>
              <w:rPr>
                <w:noProof/>
                <w:webHidden/>
              </w:rPr>
              <w:fldChar w:fldCharType="separate"/>
            </w:r>
            <w:r>
              <w:rPr>
                <w:noProof/>
                <w:webHidden/>
              </w:rPr>
              <w:t>8</w:t>
            </w:r>
            <w:r>
              <w:rPr>
                <w:noProof/>
                <w:webHidden/>
              </w:rPr>
              <w:fldChar w:fldCharType="end"/>
            </w:r>
          </w:hyperlink>
        </w:p>
        <w:p w14:paraId="0906656F" w14:textId="428E8C97" w:rsidR="00507DA1" w:rsidRDefault="00507DA1">
          <w:pPr>
            <w:pStyle w:val="TOC2"/>
            <w:tabs>
              <w:tab w:val="right" w:leader="dot" w:pos="9016"/>
            </w:tabs>
            <w:rPr>
              <w:noProof/>
            </w:rPr>
          </w:pPr>
          <w:hyperlink w:anchor="_Toc168344497" w:history="1">
            <w:r w:rsidRPr="00D7633E">
              <w:rPr>
                <w:rStyle w:val="Hyperlink"/>
                <w:rFonts w:ascii="Arial" w:eastAsia="Calibri" w:hAnsi="Arial" w:cs="Arial"/>
                <w:b/>
                <w:bCs/>
                <w:noProof/>
              </w:rPr>
              <w:t>Dynamics of Change: Benefits, Challenges, and Adaptation Strategies</w:t>
            </w:r>
            <w:r>
              <w:rPr>
                <w:noProof/>
                <w:webHidden/>
              </w:rPr>
              <w:tab/>
            </w:r>
            <w:r>
              <w:rPr>
                <w:noProof/>
                <w:webHidden/>
              </w:rPr>
              <w:fldChar w:fldCharType="begin"/>
            </w:r>
            <w:r>
              <w:rPr>
                <w:noProof/>
                <w:webHidden/>
              </w:rPr>
              <w:instrText xml:space="preserve"> PAGEREF _Toc168344497 \h </w:instrText>
            </w:r>
            <w:r>
              <w:rPr>
                <w:noProof/>
                <w:webHidden/>
              </w:rPr>
            </w:r>
            <w:r>
              <w:rPr>
                <w:noProof/>
                <w:webHidden/>
              </w:rPr>
              <w:fldChar w:fldCharType="separate"/>
            </w:r>
            <w:r>
              <w:rPr>
                <w:noProof/>
                <w:webHidden/>
              </w:rPr>
              <w:t>8</w:t>
            </w:r>
            <w:r>
              <w:rPr>
                <w:noProof/>
                <w:webHidden/>
              </w:rPr>
              <w:fldChar w:fldCharType="end"/>
            </w:r>
          </w:hyperlink>
        </w:p>
        <w:p w14:paraId="556E103D" w14:textId="42586BAE" w:rsidR="00507DA1" w:rsidRDefault="00507DA1">
          <w:pPr>
            <w:pStyle w:val="TOC3"/>
            <w:tabs>
              <w:tab w:val="right" w:leader="dot" w:pos="9016"/>
            </w:tabs>
            <w:rPr>
              <w:noProof/>
            </w:rPr>
          </w:pPr>
          <w:hyperlink w:anchor="_Toc168344498" w:history="1">
            <w:r w:rsidRPr="00D7633E">
              <w:rPr>
                <w:rStyle w:val="Hyperlink"/>
                <w:rFonts w:ascii="Arial" w:eastAsia="Calibri" w:hAnsi="Arial" w:cs="Arial"/>
                <w:noProof/>
              </w:rPr>
              <w:t>Benefits of Green Key Certification</w:t>
            </w:r>
            <w:r>
              <w:rPr>
                <w:noProof/>
                <w:webHidden/>
              </w:rPr>
              <w:tab/>
            </w:r>
            <w:r>
              <w:rPr>
                <w:noProof/>
                <w:webHidden/>
              </w:rPr>
              <w:fldChar w:fldCharType="begin"/>
            </w:r>
            <w:r>
              <w:rPr>
                <w:noProof/>
                <w:webHidden/>
              </w:rPr>
              <w:instrText xml:space="preserve"> PAGEREF _Toc168344498 \h </w:instrText>
            </w:r>
            <w:r>
              <w:rPr>
                <w:noProof/>
                <w:webHidden/>
              </w:rPr>
            </w:r>
            <w:r>
              <w:rPr>
                <w:noProof/>
                <w:webHidden/>
              </w:rPr>
              <w:fldChar w:fldCharType="separate"/>
            </w:r>
            <w:r>
              <w:rPr>
                <w:noProof/>
                <w:webHidden/>
              </w:rPr>
              <w:t>8</w:t>
            </w:r>
            <w:r>
              <w:rPr>
                <w:noProof/>
                <w:webHidden/>
              </w:rPr>
              <w:fldChar w:fldCharType="end"/>
            </w:r>
          </w:hyperlink>
        </w:p>
        <w:p w14:paraId="7A71E7D9" w14:textId="4167FDCA" w:rsidR="00507DA1" w:rsidRDefault="00507DA1">
          <w:pPr>
            <w:pStyle w:val="TOC3"/>
            <w:tabs>
              <w:tab w:val="right" w:leader="dot" w:pos="9016"/>
            </w:tabs>
            <w:rPr>
              <w:noProof/>
            </w:rPr>
          </w:pPr>
          <w:hyperlink w:anchor="_Toc168344499" w:history="1">
            <w:r w:rsidRPr="00D7633E">
              <w:rPr>
                <w:rStyle w:val="Hyperlink"/>
                <w:rFonts w:ascii="Arial" w:eastAsia="Calibri" w:hAnsi="Arial" w:cs="Arial"/>
                <w:noProof/>
              </w:rPr>
              <w:t>Challenges and Adaptive Responses</w:t>
            </w:r>
            <w:r>
              <w:rPr>
                <w:noProof/>
                <w:webHidden/>
              </w:rPr>
              <w:tab/>
            </w:r>
            <w:r>
              <w:rPr>
                <w:noProof/>
                <w:webHidden/>
              </w:rPr>
              <w:fldChar w:fldCharType="begin"/>
            </w:r>
            <w:r>
              <w:rPr>
                <w:noProof/>
                <w:webHidden/>
              </w:rPr>
              <w:instrText xml:space="preserve"> PAGEREF _Toc168344499 \h </w:instrText>
            </w:r>
            <w:r>
              <w:rPr>
                <w:noProof/>
                <w:webHidden/>
              </w:rPr>
            </w:r>
            <w:r>
              <w:rPr>
                <w:noProof/>
                <w:webHidden/>
              </w:rPr>
              <w:fldChar w:fldCharType="separate"/>
            </w:r>
            <w:r>
              <w:rPr>
                <w:noProof/>
                <w:webHidden/>
              </w:rPr>
              <w:t>9</w:t>
            </w:r>
            <w:r>
              <w:rPr>
                <w:noProof/>
                <w:webHidden/>
              </w:rPr>
              <w:fldChar w:fldCharType="end"/>
            </w:r>
          </w:hyperlink>
        </w:p>
        <w:p w14:paraId="7ED85B0D" w14:textId="6AF52DE1" w:rsidR="00507DA1" w:rsidRDefault="00507DA1">
          <w:pPr>
            <w:pStyle w:val="TOC2"/>
            <w:tabs>
              <w:tab w:val="right" w:leader="dot" w:pos="9016"/>
            </w:tabs>
            <w:rPr>
              <w:noProof/>
            </w:rPr>
          </w:pPr>
          <w:hyperlink w:anchor="_Toc168344500" w:history="1">
            <w:r w:rsidRPr="00D7633E">
              <w:rPr>
                <w:rStyle w:val="Hyperlink"/>
                <w:rFonts w:ascii="Arial" w:eastAsia="Calibri" w:hAnsi="Arial" w:cs="Arial"/>
                <w:b/>
                <w:bCs/>
                <w:noProof/>
              </w:rPr>
              <w:t>Future Horizons: Trends, Innovations, and Disruptive Forces</w:t>
            </w:r>
            <w:r>
              <w:rPr>
                <w:noProof/>
                <w:webHidden/>
              </w:rPr>
              <w:tab/>
            </w:r>
            <w:r>
              <w:rPr>
                <w:noProof/>
                <w:webHidden/>
              </w:rPr>
              <w:fldChar w:fldCharType="begin"/>
            </w:r>
            <w:r>
              <w:rPr>
                <w:noProof/>
                <w:webHidden/>
              </w:rPr>
              <w:instrText xml:space="preserve"> PAGEREF _Toc168344500 \h </w:instrText>
            </w:r>
            <w:r>
              <w:rPr>
                <w:noProof/>
                <w:webHidden/>
              </w:rPr>
            </w:r>
            <w:r>
              <w:rPr>
                <w:noProof/>
                <w:webHidden/>
              </w:rPr>
              <w:fldChar w:fldCharType="separate"/>
            </w:r>
            <w:r>
              <w:rPr>
                <w:noProof/>
                <w:webHidden/>
              </w:rPr>
              <w:t>9</w:t>
            </w:r>
            <w:r>
              <w:rPr>
                <w:noProof/>
                <w:webHidden/>
              </w:rPr>
              <w:fldChar w:fldCharType="end"/>
            </w:r>
          </w:hyperlink>
        </w:p>
        <w:p w14:paraId="4D29FF3A" w14:textId="52A0564A" w:rsidR="00507DA1" w:rsidRDefault="00507DA1">
          <w:pPr>
            <w:pStyle w:val="TOC1"/>
            <w:tabs>
              <w:tab w:val="right" w:leader="dot" w:pos="9016"/>
            </w:tabs>
            <w:rPr>
              <w:noProof/>
            </w:rPr>
          </w:pPr>
          <w:hyperlink w:anchor="_Toc168344501" w:history="1">
            <w:r w:rsidRPr="00D7633E">
              <w:rPr>
                <w:rStyle w:val="Hyperlink"/>
                <w:rFonts w:ascii="Arial" w:eastAsia="Calibri" w:hAnsi="Arial" w:cs="Arial"/>
                <w:b/>
                <w:bCs/>
                <w:noProof/>
              </w:rPr>
              <w:t>Conclusion</w:t>
            </w:r>
            <w:r>
              <w:rPr>
                <w:noProof/>
                <w:webHidden/>
              </w:rPr>
              <w:tab/>
            </w:r>
            <w:r>
              <w:rPr>
                <w:noProof/>
                <w:webHidden/>
              </w:rPr>
              <w:fldChar w:fldCharType="begin"/>
            </w:r>
            <w:r>
              <w:rPr>
                <w:noProof/>
                <w:webHidden/>
              </w:rPr>
              <w:instrText xml:space="preserve"> PAGEREF _Toc168344501 \h </w:instrText>
            </w:r>
            <w:r>
              <w:rPr>
                <w:noProof/>
                <w:webHidden/>
              </w:rPr>
            </w:r>
            <w:r>
              <w:rPr>
                <w:noProof/>
                <w:webHidden/>
              </w:rPr>
              <w:fldChar w:fldCharType="separate"/>
            </w:r>
            <w:r>
              <w:rPr>
                <w:noProof/>
                <w:webHidden/>
              </w:rPr>
              <w:t>10</w:t>
            </w:r>
            <w:r>
              <w:rPr>
                <w:noProof/>
                <w:webHidden/>
              </w:rPr>
              <w:fldChar w:fldCharType="end"/>
            </w:r>
          </w:hyperlink>
        </w:p>
        <w:p w14:paraId="5F313780" w14:textId="6EE5AC07" w:rsidR="00507DA1" w:rsidRDefault="00507DA1">
          <w:pPr>
            <w:pStyle w:val="TOC1"/>
            <w:tabs>
              <w:tab w:val="right" w:leader="dot" w:pos="9016"/>
            </w:tabs>
            <w:rPr>
              <w:noProof/>
            </w:rPr>
          </w:pPr>
          <w:hyperlink w:anchor="_Toc168344502" w:history="1">
            <w:r w:rsidRPr="00D7633E">
              <w:rPr>
                <w:rStyle w:val="Hyperlink"/>
                <w:rFonts w:ascii="Arial" w:eastAsia="Calibri" w:hAnsi="Arial" w:cs="Arial"/>
                <w:b/>
                <w:bCs/>
                <w:noProof/>
              </w:rPr>
              <w:t>Reference List</w:t>
            </w:r>
            <w:r>
              <w:rPr>
                <w:noProof/>
                <w:webHidden/>
              </w:rPr>
              <w:tab/>
            </w:r>
            <w:r>
              <w:rPr>
                <w:noProof/>
                <w:webHidden/>
              </w:rPr>
              <w:fldChar w:fldCharType="begin"/>
            </w:r>
            <w:r>
              <w:rPr>
                <w:noProof/>
                <w:webHidden/>
              </w:rPr>
              <w:instrText xml:space="preserve"> PAGEREF _Toc168344502 \h </w:instrText>
            </w:r>
            <w:r>
              <w:rPr>
                <w:noProof/>
                <w:webHidden/>
              </w:rPr>
            </w:r>
            <w:r>
              <w:rPr>
                <w:noProof/>
                <w:webHidden/>
              </w:rPr>
              <w:fldChar w:fldCharType="separate"/>
            </w:r>
            <w:r>
              <w:rPr>
                <w:noProof/>
                <w:webHidden/>
              </w:rPr>
              <w:t>11</w:t>
            </w:r>
            <w:r>
              <w:rPr>
                <w:noProof/>
                <w:webHidden/>
              </w:rPr>
              <w:fldChar w:fldCharType="end"/>
            </w:r>
          </w:hyperlink>
        </w:p>
        <w:p w14:paraId="003AC8E8" w14:textId="7C0576AF" w:rsidR="00507DA1" w:rsidRDefault="00507DA1">
          <w:r>
            <w:rPr>
              <w:b/>
              <w:bCs/>
              <w:noProof/>
            </w:rPr>
            <w:fldChar w:fldCharType="end"/>
          </w:r>
        </w:p>
      </w:sdtContent>
    </w:sdt>
    <w:p w14:paraId="4180DA51"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0744375C"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5F0C8768"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7EB38974"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48AD1DD4"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345E1D11"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198DE0DB"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72F7F691"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2DBAFDAE"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79A2D05A"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76200C38"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4681C68A"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04661C7B" w14:textId="77777777" w:rsid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709B806C" w14:textId="77777777" w:rsidR="00507DA1" w:rsidRDefault="00507DA1"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0246220F" w14:textId="77777777" w:rsidR="00507DA1" w:rsidRDefault="00507DA1"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7CA2771D" w14:textId="77777777" w:rsidR="00507DA1" w:rsidRPr="000F35DB" w:rsidRDefault="00507DA1"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5C5F3C7A" w14:textId="77777777" w:rsidR="000F35DB" w:rsidRPr="00A52ECD" w:rsidRDefault="000F35DB" w:rsidP="00A52ECD">
      <w:pPr>
        <w:pStyle w:val="Heading1"/>
        <w:rPr>
          <w:rFonts w:ascii="Arial" w:eastAsia="Calibri" w:hAnsi="Arial" w:cs="Arial"/>
          <w:b/>
          <w:bCs/>
          <w:color w:val="auto"/>
          <w:sz w:val="28"/>
          <w:szCs w:val="28"/>
        </w:rPr>
      </w:pPr>
      <w:bookmarkStart w:id="1" w:name="_Toc168344489"/>
      <w:r w:rsidRPr="00A52ECD">
        <w:rPr>
          <w:rFonts w:ascii="Arial" w:eastAsia="Calibri" w:hAnsi="Arial" w:cs="Arial"/>
          <w:b/>
          <w:bCs/>
          <w:color w:val="auto"/>
          <w:sz w:val="28"/>
          <w:szCs w:val="28"/>
        </w:rPr>
        <w:t>Introduction</w:t>
      </w:r>
      <w:bookmarkEnd w:id="1"/>
    </w:p>
    <w:p w14:paraId="4C9FEB16"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The hotel and hospitality business now recognises the urgent need for sustainability due to the growing consciousness of environmental concerns and the rising demand for environmentally friendly operations. The industry's substantial influence on natural resources and capacity to drive good environmental change highlights the imperative for sustainable operations. The Green Key Certificate is a well-known eco-certification programme encouraging sustainable hotel practices. This globally recognised accreditation establishes stringent criteria for environmental management, resource efficiency, and social responsibility. As a result, it assists hotels in minimising their impact on the environment and improving their attractiveness to the market.</w:t>
      </w:r>
    </w:p>
    <w:p w14:paraId="2E0A91DF"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This report examines sustainability in the hotel and hospitality industry, focusing on the Green Key Certificate. It will cover sustainability theory, hospitality practices, and transportation solutions. It will also examine sustainable accreditation and certification, Green Key certification's pros and cons, and industry trends and innovations. The paper will conclude that Green Key certification may alter hospitality by promoting environmental stewardship, social responsibility, and economic resilience.</w:t>
      </w:r>
    </w:p>
    <w:p w14:paraId="668ADA8C"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77EF1216" w14:textId="77777777" w:rsidR="000F35DB" w:rsidRPr="00A52ECD" w:rsidRDefault="000F35DB" w:rsidP="00A52ECD">
      <w:pPr>
        <w:pStyle w:val="Heading2"/>
        <w:rPr>
          <w:rFonts w:ascii="Arial" w:eastAsia="Calibri" w:hAnsi="Arial" w:cs="Arial"/>
          <w:b/>
          <w:bCs/>
          <w:color w:val="auto"/>
          <w:sz w:val="26"/>
          <w:szCs w:val="26"/>
        </w:rPr>
      </w:pPr>
      <w:bookmarkStart w:id="2" w:name="_Toc168344490"/>
      <w:r w:rsidRPr="00A52ECD">
        <w:rPr>
          <w:rFonts w:ascii="Arial" w:eastAsia="Calibri" w:hAnsi="Arial" w:cs="Arial"/>
          <w:b/>
          <w:bCs/>
          <w:color w:val="auto"/>
          <w:sz w:val="26"/>
          <w:szCs w:val="26"/>
        </w:rPr>
        <w:t>Theoretical Foundations of Sustainability in Tourism and Hospitality</w:t>
      </w:r>
      <w:bookmarkEnd w:id="2"/>
    </w:p>
    <w:p w14:paraId="2995BF0B"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lang w:val="en-US"/>
        </w:rPr>
      </w:pPr>
      <w:r w:rsidRPr="000F35DB">
        <w:rPr>
          <w:rFonts w:ascii="Arial" w:eastAsia="Calibri" w:hAnsi="Arial" w:cs="Arial"/>
        </w:rPr>
        <w:t xml:space="preserve">Sustainability in tourism and hospitality involves implementing strategies and ideas to reduce harmful environmental effects while promoting socio-economic advantages for local communities and stakeholders. Moore et al. (2017) define sustainability as the ability to last over time, be flexible, and consistently give advantages to persons and systems. </w:t>
      </w:r>
    </w:p>
    <w:p w14:paraId="70CED5F2"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The concept of sustainability in the hotel and hospitality industry is underpinned by theoretical frameworks such as the Triple Bottom Line (TBL) and Corporate Social Responsibility (CSR). The TBL framework, for instance, places a premium on incorporating environmental, social, and economic performance as the fundamental components of sustainability (Santos et al., 2020). This concept ensures that tourism operations do not compromise the environment while benefiting local communities and economies, fostering a sense of responsibility towards our environment and the communities we operate in.</w:t>
      </w:r>
    </w:p>
    <w:p w14:paraId="49F293A8"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lastRenderedPageBreak/>
        <w:t>Tourism CSR entails businesses accepting responsibility for their social and environmental impacts. Han (2021) found that ecologically sustainable customer behaviour promotes CSR in tourism, forcing enterprises to go green to fulfil consumer expectations. This behaviour benefits corporate reputation and sustainability goals.</w:t>
      </w:r>
    </w:p>
    <w:p w14:paraId="7A177FDA"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 xml:space="preserve">Eco-certification schemes, such as the Green Key Certificate, have a substantial impact on promoting sustainable practices within the travel and hospitality industry. Ernawati and </w:t>
      </w:r>
      <w:proofErr w:type="spellStart"/>
      <w:r w:rsidRPr="000F35DB">
        <w:rPr>
          <w:rFonts w:ascii="Arial" w:eastAsia="Calibri" w:hAnsi="Arial" w:cs="Arial"/>
          <w:color w:val="0E0E0E"/>
          <w:kern w:val="0"/>
        </w:rPr>
        <w:t>Rudiyanto</w:t>
      </w:r>
      <w:proofErr w:type="spellEnd"/>
      <w:r w:rsidRPr="000F35DB">
        <w:rPr>
          <w:rFonts w:ascii="Arial" w:eastAsia="Calibri" w:hAnsi="Arial" w:cs="Arial"/>
          <w:color w:val="0E0E0E"/>
          <w:kern w:val="0"/>
        </w:rPr>
        <w:t xml:space="preserve"> (2023) propose that these plans offer a structured approach for hotels to adopt eco-friendly measures, decreasing their environmental impact and promoting sustainable tourism. The Green Key Certificate establishes rigorous water and energy saving standards, waste management, and community engagement that hotels must fulfil to achieve accreditation.</w:t>
      </w:r>
    </w:p>
    <w:p w14:paraId="7290B6A5"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Sustainable tourism practices preserve natural and cultural resources, ensuring destinations' long-term survival and competitiveness, according to a systematic review by Molina-Collado et al. (2022). The circular economy promotes resource efficiency and waste reduction through creative business practices, as Jones &amp; Wynn, 2019 stated.</w:t>
      </w:r>
    </w:p>
    <w:p w14:paraId="34BBB9E0"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Implementing sustainable methods presents inherent difficulties. Significant obstacles include the initial investment expenses, ongoing staff training, and the requirement for continual monitoring and improvement (Vlasceanu et al., 2020). Nevertheless, the enduring advantages, such as financial savings resulting from effective resource utilisation and improved brand image, frequently surpass these difficulties.</w:t>
      </w:r>
    </w:p>
    <w:p w14:paraId="20D68970"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616356F7" w14:textId="77777777" w:rsidR="000F35DB" w:rsidRPr="00A52ECD" w:rsidRDefault="000F35DB" w:rsidP="00A52ECD">
      <w:pPr>
        <w:pStyle w:val="Heading2"/>
        <w:rPr>
          <w:rFonts w:ascii="Arial" w:eastAsia="Calibri" w:hAnsi="Arial" w:cs="Arial"/>
          <w:b/>
          <w:bCs/>
          <w:color w:val="auto"/>
          <w:sz w:val="26"/>
          <w:szCs w:val="26"/>
        </w:rPr>
      </w:pPr>
      <w:bookmarkStart w:id="3" w:name="_Toc168344491"/>
      <w:r w:rsidRPr="00A52ECD">
        <w:rPr>
          <w:rFonts w:ascii="Arial" w:eastAsia="Calibri" w:hAnsi="Arial" w:cs="Arial"/>
          <w:b/>
          <w:bCs/>
          <w:color w:val="auto"/>
          <w:sz w:val="26"/>
          <w:szCs w:val="26"/>
        </w:rPr>
        <w:t>Sustainable Practices Across Diverse Hospitality Settings</w:t>
      </w:r>
      <w:bookmarkEnd w:id="3"/>
    </w:p>
    <w:p w14:paraId="3B0C344C" w14:textId="77777777" w:rsidR="000F35DB" w:rsidRPr="00A52ECD" w:rsidRDefault="000F35DB" w:rsidP="00A52ECD">
      <w:pPr>
        <w:pStyle w:val="Heading3"/>
        <w:rPr>
          <w:rFonts w:ascii="Arial" w:eastAsia="Calibri" w:hAnsi="Arial" w:cs="Arial"/>
          <w:color w:val="auto"/>
          <w:sz w:val="24"/>
          <w:szCs w:val="24"/>
        </w:rPr>
      </w:pPr>
      <w:bookmarkStart w:id="4" w:name="_Toc168344492"/>
      <w:r w:rsidRPr="00A52ECD">
        <w:rPr>
          <w:rFonts w:ascii="Arial" w:eastAsia="Calibri" w:hAnsi="Arial" w:cs="Arial"/>
          <w:color w:val="auto"/>
          <w:sz w:val="24"/>
          <w:szCs w:val="24"/>
        </w:rPr>
        <w:t>Rural Retreats and Eco-Resorts</w:t>
      </w:r>
      <w:bookmarkEnd w:id="4"/>
    </w:p>
    <w:p w14:paraId="5E3F1708"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 xml:space="preserve">Rural retreats and eco-resorts frequently implement sustainable practices to comply with eco-certification schemes such as the Green Key Certificate. This accreditation emphasises multiple facets of environmental stewardship, such as energy and water preservation, waste administration, and community involvement. </w:t>
      </w:r>
      <w:proofErr w:type="spellStart"/>
      <w:r w:rsidRPr="000F35DB">
        <w:rPr>
          <w:rFonts w:ascii="Arial" w:eastAsia="Calibri" w:hAnsi="Arial" w:cs="Arial"/>
          <w:color w:val="0E0E0E"/>
          <w:kern w:val="0"/>
        </w:rPr>
        <w:t>Madanaguli</w:t>
      </w:r>
      <w:proofErr w:type="spellEnd"/>
      <w:r w:rsidRPr="000F35DB">
        <w:rPr>
          <w:rFonts w:ascii="Arial" w:eastAsia="Calibri" w:hAnsi="Arial" w:cs="Arial"/>
          <w:color w:val="0E0E0E"/>
          <w:kern w:val="0"/>
        </w:rPr>
        <w:t xml:space="preserve"> et al. (2023) found that rural tourism organisations increasingly embrace sustainable practices because of heightened awareness and the imperative to protect natural environments.</w:t>
      </w:r>
    </w:p>
    <w:p w14:paraId="35637C6D"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 xml:space="preserve">A notable example is the implementation of renewable energy sources, such as solar panels and wind turbines, significantly reducing carbon footprints. These technologies </w:t>
      </w:r>
      <w:r w:rsidRPr="000F35DB">
        <w:rPr>
          <w:rFonts w:ascii="Arial" w:eastAsia="Calibri" w:hAnsi="Arial" w:cs="Arial"/>
          <w:color w:val="0E0E0E"/>
          <w:kern w:val="0"/>
        </w:rPr>
        <w:lastRenderedPageBreak/>
        <w:t>power eco-resorts, meeting Green Key's energy efficiency standards. Common water conservation solutions include rainwater collection and low-flow fixtures. These efforts meet certification standards and reduce resource dependency for long-term sustainability.</w:t>
      </w:r>
    </w:p>
    <w:p w14:paraId="44A9385D"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2AE42EAA"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Case studies show Green Key-certified rural resorts' environmental successes. Scandinavian resorts have reduced energy and water use and enhanced garbage recycling. These resorts frequently collaborate with local communities to preserve biodiversity and advocate for sustainable tourist practices. DeFries et al. (2017) argue that community engagements are vital in promoting a sustainable tourism culture.</w:t>
      </w:r>
    </w:p>
    <w:p w14:paraId="0EDEF24C"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1A020C7A" w14:textId="77777777" w:rsidR="000F35DB" w:rsidRPr="00815458" w:rsidRDefault="000F35DB" w:rsidP="00A52ECD">
      <w:pPr>
        <w:pStyle w:val="Heading3"/>
        <w:rPr>
          <w:rFonts w:ascii="Arial" w:eastAsia="Calibri" w:hAnsi="Arial" w:cs="Arial"/>
          <w:color w:val="auto"/>
          <w:sz w:val="24"/>
          <w:szCs w:val="24"/>
        </w:rPr>
      </w:pPr>
      <w:bookmarkStart w:id="5" w:name="_Toc168344493"/>
      <w:r w:rsidRPr="00815458">
        <w:rPr>
          <w:rFonts w:ascii="Arial" w:eastAsia="Calibri" w:hAnsi="Arial" w:cs="Arial"/>
          <w:color w:val="auto"/>
          <w:sz w:val="24"/>
          <w:szCs w:val="24"/>
        </w:rPr>
        <w:t>Coastal Luxury Resorts and Marine Conservation</w:t>
      </w:r>
      <w:bookmarkEnd w:id="5"/>
    </w:p>
    <w:p w14:paraId="5BA56701"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Due to their proximity to vulnerable marine habitats, coastal luxury resorts have particular sustainability concerns. These resorts must meet strict Green Key criteria to safeguard coastal and aquatic habitats. Leskinen et al. (2020) state that to promote sustainability in these environments, effective waste management systems must be established to minimise marine pollution, and laws must be enacted to ensure sustainable seafood sources.</w:t>
      </w:r>
    </w:p>
    <w:p w14:paraId="736D8486"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MPAs (marine protected areas) and reef restoration are standard maritime conservation measures. Resorts may work with local environmental groups to safeguard naval biodiversity. These projects promote coastal areas' ecological value and resorts' appeal to ecotourism.</w:t>
      </w:r>
    </w:p>
    <w:p w14:paraId="4B820FDA"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 xml:space="preserve">Coastal Green Key accreditation is arduous because modern waste treatment and energy-efficient systems are expensive. Staff must be trained regularly to meet environmental standards. Although there are difficulties, the chances of improving brand reputation and guest happiness by actively practising environmental stewardship are substantial. Bux and </w:t>
      </w:r>
      <w:proofErr w:type="spellStart"/>
      <w:r w:rsidRPr="000F35DB">
        <w:rPr>
          <w:rFonts w:ascii="Arial" w:eastAsia="Calibri" w:hAnsi="Arial" w:cs="Arial"/>
          <w:color w:val="0E0E0E"/>
          <w:kern w:val="0"/>
        </w:rPr>
        <w:t>Amicarelli</w:t>
      </w:r>
      <w:proofErr w:type="spellEnd"/>
      <w:r w:rsidRPr="000F35DB">
        <w:rPr>
          <w:rFonts w:ascii="Arial" w:eastAsia="Calibri" w:hAnsi="Arial" w:cs="Arial"/>
          <w:color w:val="0E0E0E"/>
          <w:kern w:val="0"/>
        </w:rPr>
        <w:t xml:space="preserve"> (2022) suggest that resorts might obtain a competitive edge in the market by effectively conveying their environmental initiatives.</w:t>
      </w:r>
    </w:p>
    <w:p w14:paraId="57A6EBBF"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39AED827" w14:textId="77777777" w:rsidR="000F35DB" w:rsidRPr="00A52ECD" w:rsidRDefault="000F35DB" w:rsidP="00A52ECD">
      <w:pPr>
        <w:pStyle w:val="Heading3"/>
        <w:rPr>
          <w:rFonts w:ascii="Arial" w:eastAsia="Calibri" w:hAnsi="Arial" w:cs="Arial"/>
          <w:color w:val="auto"/>
          <w:sz w:val="24"/>
          <w:szCs w:val="24"/>
        </w:rPr>
      </w:pPr>
      <w:bookmarkStart w:id="6" w:name="_Toc168344494"/>
      <w:r w:rsidRPr="00A52ECD">
        <w:rPr>
          <w:rFonts w:ascii="Arial" w:eastAsia="Calibri" w:hAnsi="Arial" w:cs="Arial"/>
          <w:color w:val="auto"/>
          <w:sz w:val="24"/>
          <w:szCs w:val="24"/>
        </w:rPr>
        <w:t>Urban Boutique Hotels and Community Engagement</w:t>
      </w:r>
      <w:bookmarkEnd w:id="6"/>
    </w:p>
    <w:p w14:paraId="03A71AE0"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 xml:space="preserve">Sustainable urban boutique hotels use Green Key criteria and emphasise community interaction and social responsibility. Sharma et al. (2020) state that these hotels </w:t>
      </w:r>
      <w:r w:rsidRPr="000F35DB">
        <w:rPr>
          <w:rFonts w:ascii="Arial" w:eastAsia="Calibri" w:hAnsi="Arial" w:cs="Arial"/>
          <w:color w:val="0E0E0E"/>
          <w:kern w:val="0"/>
        </w:rPr>
        <w:lastRenderedPageBreak/>
        <w:t>frequently adopt eco-friendly construction methods, such as energy-efficient lighting and HVAC systems, to reduce their ecological footprint.</w:t>
      </w:r>
    </w:p>
    <w:p w14:paraId="3CBEBA86"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Community engagement is critical to these hotels' sustainability. Urban hotels often work with local organisations to promote affordable housing, urban gardening, and cultural heritage. These efforts assist the local community and improve the hotel's reputation and visitor experience.</w:t>
      </w:r>
    </w:p>
    <w:p w14:paraId="7C067487" w14:textId="77777777" w:rsidR="000F35DB" w:rsidRPr="000F35DB" w:rsidRDefault="000F35DB" w:rsidP="000F35DB">
      <w:pPr>
        <w:spacing w:after="0" w:line="360" w:lineRule="auto"/>
        <w:jc w:val="both"/>
        <w:rPr>
          <w:rFonts w:ascii="Arial" w:eastAsia="Calibri" w:hAnsi="Arial" w:cs="Arial"/>
          <w:color w:val="0E0E0E"/>
          <w:kern w:val="0"/>
        </w:rPr>
      </w:pPr>
      <w:r w:rsidRPr="000F35DB">
        <w:rPr>
          <w:rFonts w:ascii="Arial" w:eastAsia="Calibri" w:hAnsi="Arial" w:cs="Arial"/>
          <w:color w:val="0E0E0E"/>
          <w:kern w:val="0"/>
        </w:rPr>
        <w:t>Successful urban hotels that have obtained Green Key certification in key European cities have implemented comprehensive recycling initiatives, providing guests with opportunities to minimise their environmental impact. These initiatives include linen reuse programmes and electric vehicle charging stations. Khalil et al. (2022) found that these approaches substantially impact the hotels' overall sustainability performance.</w:t>
      </w:r>
    </w:p>
    <w:p w14:paraId="1EB154AF" w14:textId="77777777" w:rsidR="000F35DB" w:rsidRPr="000F35DB" w:rsidRDefault="000F35DB" w:rsidP="000F35DB">
      <w:pPr>
        <w:spacing w:after="0" w:line="360" w:lineRule="auto"/>
        <w:jc w:val="both"/>
        <w:rPr>
          <w:rFonts w:ascii="Arial" w:eastAsia="Calibri" w:hAnsi="Arial" w:cs="Arial"/>
          <w:color w:val="0E0E0E"/>
          <w:kern w:val="0"/>
        </w:rPr>
      </w:pPr>
    </w:p>
    <w:p w14:paraId="140A77F2" w14:textId="77777777" w:rsidR="000F35DB" w:rsidRPr="00A52ECD" w:rsidRDefault="000F35DB" w:rsidP="00A52ECD">
      <w:pPr>
        <w:pStyle w:val="Heading2"/>
        <w:rPr>
          <w:rFonts w:ascii="Arial" w:eastAsia="Calibri" w:hAnsi="Arial" w:cs="Arial"/>
          <w:b/>
          <w:bCs/>
          <w:color w:val="auto"/>
          <w:sz w:val="26"/>
          <w:szCs w:val="26"/>
        </w:rPr>
      </w:pPr>
      <w:bookmarkStart w:id="7" w:name="_Toc168344495"/>
      <w:r w:rsidRPr="00A52ECD">
        <w:rPr>
          <w:rFonts w:ascii="Arial" w:eastAsia="Calibri" w:hAnsi="Arial" w:cs="Arial"/>
          <w:b/>
          <w:bCs/>
          <w:color w:val="auto"/>
          <w:sz w:val="26"/>
          <w:szCs w:val="26"/>
        </w:rPr>
        <w:t>Sustainable Transportation Solutions for Tourism Mobility</w:t>
      </w:r>
      <w:bookmarkEnd w:id="7"/>
    </w:p>
    <w:p w14:paraId="70A8457E"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Tourism must use sustainable transportation to lessen its environmental impact. Green Key supports EV charging stations and bicycle rental businesses.</w:t>
      </w:r>
      <w:r w:rsidRPr="000F35DB">
        <w:rPr>
          <w:rFonts w:ascii="Arial" w:eastAsia="Calibri" w:hAnsi="Arial" w:cs="Arial"/>
        </w:rPr>
        <w:t xml:space="preserve"> </w:t>
      </w:r>
      <w:r w:rsidRPr="000F35DB">
        <w:rPr>
          <w:rFonts w:ascii="Arial" w:eastAsia="Calibri" w:hAnsi="Arial" w:cs="Arial"/>
          <w:color w:val="0E0E0E"/>
          <w:kern w:val="0"/>
        </w:rPr>
        <w:t>Lopez-Arboleda et al. (2019) found that incorporating electric vehicles into tourism can significantly decrease greenhouse gas emissions and enhance urban air quality. Moreover, endorsing bicycle rentals enhances environmentally conscious transportation and motivates tourists to embrace sustainable travel.</w:t>
      </w:r>
    </w:p>
    <w:p w14:paraId="027EF707"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However, implementing sustainable transportation solutions is difficult. Startup costs for EV charging infrastructure and bicycle fleets are vital issues. Moreover, the level of visitor acquaintance and their willingness to use these sustainable alternatives can pose obstacles. Zhao et al. (2020) argue that public awareness and supportive policies are crucial in overcoming obstacles and advancing sustainable transportation solutions.</w:t>
      </w:r>
    </w:p>
    <w:p w14:paraId="5BD76B95"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 xml:space="preserve">Green Key promotes eco-friendly mobility and carbon reduction. These guidelines advocate powering EV charging stations with renewable energy and managing bicycle rental garbage efficiently. Hanif and </w:t>
      </w:r>
      <w:proofErr w:type="spellStart"/>
      <w:r w:rsidRPr="000F35DB">
        <w:rPr>
          <w:rFonts w:ascii="Arial" w:eastAsia="Calibri" w:hAnsi="Arial" w:cs="Arial"/>
          <w:color w:val="0E0E0E"/>
          <w:kern w:val="0"/>
        </w:rPr>
        <w:t>Nurmandi</w:t>
      </w:r>
      <w:proofErr w:type="spellEnd"/>
      <w:r w:rsidRPr="000F35DB">
        <w:rPr>
          <w:rFonts w:ascii="Arial" w:eastAsia="Calibri" w:hAnsi="Arial" w:cs="Arial"/>
          <w:color w:val="0E0E0E"/>
          <w:kern w:val="0"/>
        </w:rPr>
        <w:t xml:space="preserve"> (2022) state that by integrating transport regulations with these criteria, sustainability in tourism mobility can be significantly improved.</w:t>
      </w:r>
    </w:p>
    <w:p w14:paraId="72471B21"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 xml:space="preserve">Several hotels accredited with the Green Key have effectively adopted inventive transportation options. Hotels in Norway have implemented extensive environmentally </w:t>
      </w:r>
      <w:r w:rsidRPr="000F35DB">
        <w:rPr>
          <w:rFonts w:ascii="Arial" w:eastAsia="Calibri" w:hAnsi="Arial" w:cs="Arial"/>
          <w:color w:val="0E0E0E"/>
          <w:kern w:val="0"/>
        </w:rPr>
        <w:lastRenderedPageBreak/>
        <w:t>friendly urban mobility strategies, incorporating data-driven methods to efficiently handle transit demand and supply (Anthony Jnr., 2023).). These hotels have installed EV charging stations powered by renewable energy and provided extensive bicycle rental services to their guests.</w:t>
      </w:r>
    </w:p>
    <w:p w14:paraId="2CE8B654"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Italy has presented another case study that showcases the use of environmentally friendly cars to transport goods over short distances in metropolitan areas focused on tourism. According to Patella et al., 2020, the implementation of this programme has resulted in a decrease in traffic congestion and a reduction in greenhouse gas emissions, demonstrating the capacity of sustainable transport in urban tourism.</w:t>
      </w:r>
    </w:p>
    <w:p w14:paraId="76A7795F" w14:textId="77777777" w:rsidR="000F35DB" w:rsidRPr="000F35DB" w:rsidRDefault="000F35DB" w:rsidP="000F35DB">
      <w:pPr>
        <w:spacing w:after="0" w:line="360" w:lineRule="auto"/>
        <w:jc w:val="both"/>
        <w:rPr>
          <w:rFonts w:ascii="Arial" w:eastAsia="Calibri" w:hAnsi="Arial" w:cs="Arial"/>
          <w:color w:val="0E0E0E"/>
          <w:kern w:val="0"/>
        </w:rPr>
      </w:pPr>
    </w:p>
    <w:p w14:paraId="11E82EF2" w14:textId="77777777" w:rsidR="000F35DB" w:rsidRPr="00A52ECD" w:rsidRDefault="000F35DB" w:rsidP="00A52ECD">
      <w:pPr>
        <w:pStyle w:val="Heading2"/>
        <w:rPr>
          <w:rFonts w:ascii="Arial" w:eastAsia="Calibri" w:hAnsi="Arial" w:cs="Arial"/>
          <w:b/>
          <w:bCs/>
          <w:color w:val="auto"/>
          <w:sz w:val="26"/>
          <w:szCs w:val="26"/>
        </w:rPr>
      </w:pPr>
      <w:bookmarkStart w:id="8" w:name="_Toc168344496"/>
      <w:r w:rsidRPr="00A52ECD">
        <w:rPr>
          <w:rFonts w:ascii="Arial" w:eastAsia="Calibri" w:hAnsi="Arial" w:cs="Arial"/>
          <w:b/>
          <w:bCs/>
          <w:color w:val="auto"/>
          <w:sz w:val="26"/>
          <w:szCs w:val="26"/>
        </w:rPr>
        <w:t>Navigating Sustainable Accreditation and Certification</w:t>
      </w:r>
      <w:bookmarkEnd w:id="8"/>
    </w:p>
    <w:p w14:paraId="135DB017"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 xml:space="preserve">The Green Key accreditation procedure is a thorough method of guaranteeing sustainability in the hotel industry. The eligibility requirements for Green Key certification encompass adherence to rigorous environmental management protocols, including the efficient utilisation of water and energy, effective waste management, and promoting local biodiversity, as Anthony Jnr., 2023 suggested.  Hanif &amp; </w:t>
      </w:r>
      <w:proofErr w:type="spellStart"/>
      <w:r w:rsidRPr="000F35DB">
        <w:rPr>
          <w:rFonts w:ascii="Arial" w:eastAsia="Calibri" w:hAnsi="Arial" w:cs="Arial"/>
          <w:color w:val="0E0E0E"/>
          <w:kern w:val="0"/>
        </w:rPr>
        <w:t>Nurmandi</w:t>
      </w:r>
      <w:proofErr w:type="spellEnd"/>
      <w:r w:rsidRPr="000F35DB">
        <w:rPr>
          <w:rFonts w:ascii="Arial" w:eastAsia="Calibri" w:hAnsi="Arial" w:cs="Arial"/>
          <w:color w:val="0E0E0E"/>
          <w:kern w:val="0"/>
        </w:rPr>
        <w:t>, 2022 advised that assessment procedures encompass thorough on-site inspections and ongoing performance monitoring to validate compliance with these requirements. Performance standards cover cleaning, energy management, and other hotel operations, ensuring a holistic sustainability approach.</w:t>
      </w:r>
    </w:p>
    <w:p w14:paraId="0C392259"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Green Key, unlike LEED and BREEAM, focuses on the hospitality industry. LEED and BREEAM evaluate the overall environmental effects of buildings. In contrast, Green Key concentrates specifically on the operational aspects of hotels, including guest behaviour and service delivery, as Doan et al., 2017 advised. According to Blackman and Rivera (2011), the specificity of Green Key’s criteria makes it more effective in promoting sustainable practices within hotels than other certification schemes' more generalised standards.</w:t>
      </w:r>
    </w:p>
    <w:p w14:paraId="06E76875"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 xml:space="preserve">Industry experts and Green Key assessors emphasise the advantages of certification. Leskinen et al., 2020 advised that hotels that have obtained certification frequently experience improved brand recognition heightened guest loyalty, and cost savings resulting from enhanced resource efficiency. Nevertheless, obstacles must be overcome, such as the upfront capital needed for implementing sustainable improvements and continuous staff education to uphold certification criteria, as </w:t>
      </w:r>
      <w:proofErr w:type="spellStart"/>
      <w:r w:rsidRPr="000F35DB">
        <w:rPr>
          <w:rFonts w:ascii="Arial" w:eastAsia="Calibri" w:hAnsi="Arial" w:cs="Arial"/>
          <w:color w:val="0E0E0E"/>
          <w:kern w:val="0"/>
        </w:rPr>
        <w:lastRenderedPageBreak/>
        <w:t>Cherrafi</w:t>
      </w:r>
      <w:proofErr w:type="spellEnd"/>
      <w:r w:rsidRPr="000F35DB">
        <w:rPr>
          <w:rFonts w:ascii="Arial" w:eastAsia="Calibri" w:hAnsi="Arial" w:cs="Arial"/>
          <w:color w:val="0E0E0E"/>
          <w:kern w:val="0"/>
        </w:rPr>
        <w:t xml:space="preserve"> et al., 2021 suggested. Hotels can boost market competitiveness and sustainability by incorporating Green Key ideas into their business plans.</w:t>
      </w:r>
    </w:p>
    <w:p w14:paraId="769F05DA"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4DB0629F" w14:textId="77777777" w:rsidR="000F35DB" w:rsidRPr="00815458" w:rsidRDefault="000F35DB" w:rsidP="00A52ECD">
      <w:pPr>
        <w:pStyle w:val="Heading2"/>
        <w:rPr>
          <w:rFonts w:ascii="Arial" w:eastAsia="Calibri" w:hAnsi="Arial" w:cs="Arial"/>
          <w:b/>
          <w:bCs/>
          <w:color w:val="auto"/>
          <w:sz w:val="26"/>
          <w:szCs w:val="26"/>
        </w:rPr>
      </w:pPr>
      <w:bookmarkStart w:id="9" w:name="_Toc168344497"/>
      <w:r w:rsidRPr="00815458">
        <w:rPr>
          <w:rFonts w:ascii="Arial" w:eastAsia="Calibri" w:hAnsi="Arial" w:cs="Arial"/>
          <w:b/>
          <w:bCs/>
          <w:color w:val="auto"/>
          <w:sz w:val="26"/>
          <w:szCs w:val="26"/>
        </w:rPr>
        <w:t>Dynamics of Change: Benefits, Challenges, and Adaptation Strategies</w:t>
      </w:r>
      <w:bookmarkEnd w:id="9"/>
    </w:p>
    <w:p w14:paraId="02C4534B" w14:textId="77777777" w:rsidR="000F35DB" w:rsidRPr="00A52ECD" w:rsidRDefault="000F35DB" w:rsidP="00A52ECD">
      <w:pPr>
        <w:pStyle w:val="Heading3"/>
        <w:rPr>
          <w:rFonts w:ascii="Arial" w:eastAsia="Calibri" w:hAnsi="Arial" w:cs="Arial"/>
          <w:color w:val="auto"/>
          <w:sz w:val="24"/>
          <w:szCs w:val="24"/>
        </w:rPr>
      </w:pPr>
      <w:bookmarkStart w:id="10" w:name="_Toc168344498"/>
      <w:r w:rsidRPr="00A52ECD">
        <w:rPr>
          <w:rFonts w:ascii="Arial" w:eastAsia="Calibri" w:hAnsi="Arial" w:cs="Arial"/>
          <w:color w:val="auto"/>
          <w:sz w:val="24"/>
          <w:szCs w:val="24"/>
        </w:rPr>
        <w:t>Benefits of Green Key Certification</w:t>
      </w:r>
      <w:bookmarkEnd w:id="10"/>
    </w:p>
    <w:p w14:paraId="40BC1C71"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Green Key Certification offers numerous benefits, including enhanced brand reputation, market differentiation, and increased guest loyalty. Leskinen et al. (2020) found that certified facilities have excellent occupancy rates and customer satisfaction. This is because environmentally conscious travellers prefer environmentally responsible hotels. Additionally, Green Key Certification can save significant costs through improved energy efficiency and resource management. Zhang and He (2021) conducted a study emphasising sustainable practices' cost-saving and profit-enhancing benefits, including energy-efficient lighting and water-saving fixtures. Moreover, Green Key Certification promotes beneficial environmental effects and provides chances for community involvement. Amiri et al. (2019) observed that certified hotels frequently engage in local conservation initiatives and advocate for sustainable tourism practices. This improves their community ties and strengthens their commitment to environmental stewardship.</w:t>
      </w:r>
    </w:p>
    <w:p w14:paraId="0B9BFDBD"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7A61E83D" w14:textId="77777777" w:rsidR="000F35DB" w:rsidRPr="00A52ECD" w:rsidRDefault="000F35DB" w:rsidP="00A52ECD">
      <w:pPr>
        <w:pStyle w:val="Heading3"/>
        <w:rPr>
          <w:rFonts w:ascii="Arial" w:eastAsia="Calibri" w:hAnsi="Arial" w:cs="Arial"/>
          <w:color w:val="auto"/>
          <w:sz w:val="24"/>
          <w:szCs w:val="24"/>
        </w:rPr>
      </w:pPr>
      <w:bookmarkStart w:id="11" w:name="_Toc168344499"/>
      <w:r w:rsidRPr="00A52ECD">
        <w:rPr>
          <w:rFonts w:ascii="Arial" w:eastAsia="Calibri" w:hAnsi="Arial" w:cs="Arial"/>
          <w:color w:val="auto"/>
          <w:sz w:val="24"/>
          <w:szCs w:val="24"/>
        </w:rPr>
        <w:t>Challenges and Adaptive Responses</w:t>
      </w:r>
      <w:bookmarkEnd w:id="11"/>
    </w:p>
    <w:p w14:paraId="19176F4A"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 xml:space="preserve">Despite these benefits, achieving and maintaining Green Key Certification presents several challenges. Initial investment costs for sustainable infrastructure and technology can be significant. </w:t>
      </w:r>
      <w:proofErr w:type="spellStart"/>
      <w:r w:rsidRPr="000F35DB">
        <w:rPr>
          <w:rFonts w:ascii="Arial" w:eastAsia="Calibri" w:hAnsi="Arial" w:cs="Arial"/>
          <w:color w:val="0E0E0E"/>
          <w:kern w:val="0"/>
        </w:rPr>
        <w:t>Cherrafi</w:t>
      </w:r>
      <w:proofErr w:type="spellEnd"/>
      <w:r w:rsidRPr="000F35DB">
        <w:rPr>
          <w:rFonts w:ascii="Arial" w:eastAsia="Calibri" w:hAnsi="Arial" w:cs="Arial"/>
          <w:color w:val="0E0E0E"/>
          <w:kern w:val="0"/>
        </w:rPr>
        <w:t xml:space="preserve"> et al. (2021) highlight that retrofitting old buildings or incorporating new environmentally friendly technologies necessitates substantial financial resources, which could discourage certain firms. Continuous staff training is essential to ensure compliance with evolving sustainability standards and stakeholder expectations.</w:t>
      </w:r>
      <w:r w:rsidRPr="000F35DB">
        <w:rPr>
          <w:rFonts w:ascii="Arial" w:eastAsia="Calibri" w:hAnsi="Arial" w:cs="Arial"/>
        </w:rPr>
        <w:t xml:space="preserve"> </w:t>
      </w:r>
      <w:r w:rsidRPr="000F35DB">
        <w:rPr>
          <w:rFonts w:ascii="Arial" w:eastAsia="Calibri" w:hAnsi="Arial" w:cs="Arial"/>
          <w:color w:val="0E0E0E"/>
          <w:kern w:val="0"/>
        </w:rPr>
        <w:t xml:space="preserve">Khan and Pasha (2022) argue that it is imperative to implement frequent training programmes and workshops to ensure that staff members are well-informed about the most effective methods and any regulatory modifications. Incorporating Green Key ideas into corporate strategy and business models is essential for long-term success. According to </w:t>
      </w:r>
      <w:proofErr w:type="spellStart"/>
      <w:r w:rsidRPr="000F35DB">
        <w:rPr>
          <w:rFonts w:ascii="Arial" w:eastAsia="Calibri" w:hAnsi="Arial" w:cs="Arial"/>
          <w:color w:val="0E0E0E"/>
          <w:kern w:val="0"/>
        </w:rPr>
        <w:t>Gliedt</w:t>
      </w:r>
      <w:proofErr w:type="spellEnd"/>
      <w:r w:rsidRPr="000F35DB">
        <w:rPr>
          <w:rFonts w:ascii="Arial" w:eastAsia="Calibri" w:hAnsi="Arial" w:cs="Arial"/>
          <w:color w:val="0E0E0E"/>
          <w:kern w:val="0"/>
        </w:rPr>
        <w:t xml:space="preserve"> et al. (2018), integrating sustainability activities with corporate objectives can improve organisational performance and resilience.</w:t>
      </w:r>
    </w:p>
    <w:p w14:paraId="33151890" w14:textId="77777777" w:rsidR="000F35DB" w:rsidRPr="000F35DB" w:rsidRDefault="000F35DB" w:rsidP="000F35DB">
      <w:pPr>
        <w:spacing w:after="0" w:line="360" w:lineRule="auto"/>
        <w:jc w:val="both"/>
        <w:rPr>
          <w:rFonts w:ascii="Arial" w:eastAsia="Calibri" w:hAnsi="Arial" w:cs="Arial"/>
          <w:color w:val="0E0E0E"/>
          <w:kern w:val="0"/>
        </w:rPr>
      </w:pPr>
    </w:p>
    <w:p w14:paraId="40641CCC" w14:textId="77777777" w:rsidR="00A52ECD" w:rsidRDefault="00A52ECD"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b/>
          <w:bCs/>
          <w:color w:val="0E0E0E"/>
          <w:kern w:val="0"/>
        </w:rPr>
      </w:pPr>
    </w:p>
    <w:p w14:paraId="4B5C2C5F" w14:textId="37A7EE0C" w:rsidR="000F35DB" w:rsidRPr="00A52ECD" w:rsidRDefault="000F35DB" w:rsidP="00A52ECD">
      <w:pPr>
        <w:pStyle w:val="Heading2"/>
        <w:rPr>
          <w:rFonts w:ascii="Arial" w:eastAsia="Calibri" w:hAnsi="Arial" w:cs="Arial"/>
          <w:b/>
          <w:bCs/>
          <w:color w:val="auto"/>
          <w:sz w:val="26"/>
          <w:szCs w:val="26"/>
        </w:rPr>
      </w:pPr>
      <w:bookmarkStart w:id="12" w:name="_Toc168344500"/>
      <w:r w:rsidRPr="00A52ECD">
        <w:rPr>
          <w:rFonts w:ascii="Arial" w:eastAsia="Calibri" w:hAnsi="Arial" w:cs="Arial"/>
          <w:b/>
          <w:bCs/>
          <w:color w:val="auto"/>
          <w:sz w:val="26"/>
          <w:szCs w:val="26"/>
        </w:rPr>
        <w:t>Future Horizons: Trends, Innovations, and Disruptive Forces</w:t>
      </w:r>
      <w:bookmarkEnd w:id="12"/>
    </w:p>
    <w:p w14:paraId="2A1F0D1C"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The Green Key program increasingly endorses emerging trends and innovations in sustainable hospitality.</w:t>
      </w:r>
      <w:r w:rsidRPr="000F35DB">
        <w:rPr>
          <w:rFonts w:ascii="Arial" w:eastAsia="Calibri" w:hAnsi="Arial" w:cs="Arial"/>
        </w:rPr>
        <w:t xml:space="preserve"> </w:t>
      </w:r>
      <w:r w:rsidRPr="000F35DB">
        <w:rPr>
          <w:rFonts w:ascii="Arial" w:eastAsia="Calibri" w:hAnsi="Arial" w:cs="Arial"/>
          <w:color w:val="0E0E0E"/>
          <w:kern w:val="0"/>
        </w:rPr>
        <w:t xml:space="preserve">These include adopting green building technologies, such as energy-efficient designs and renewable energy systems, and circular economy principles to reduce waste and enhance resource efficiency (Bux &amp; </w:t>
      </w:r>
      <w:proofErr w:type="spellStart"/>
      <w:r w:rsidRPr="000F35DB">
        <w:rPr>
          <w:rFonts w:ascii="Arial" w:eastAsia="Calibri" w:hAnsi="Arial" w:cs="Arial"/>
          <w:color w:val="0E0E0E"/>
          <w:kern w:val="0"/>
        </w:rPr>
        <w:t>Amicarelli</w:t>
      </w:r>
      <w:proofErr w:type="spellEnd"/>
      <w:r w:rsidRPr="000F35DB">
        <w:rPr>
          <w:rFonts w:ascii="Arial" w:eastAsia="Calibri" w:hAnsi="Arial" w:cs="Arial"/>
          <w:color w:val="0E0E0E"/>
          <w:kern w:val="0"/>
        </w:rPr>
        <w:t>, 2022). Integrating these technologies aligns with sustainability goals, improves operational efficiency, and reduces costs.</w:t>
      </w:r>
    </w:p>
    <w:p w14:paraId="0446A16D"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Climate change, legal reforms, and technological advances are transforming eco-certification programmes. Environmental advancements are changing the hospitality industry, forcing businesses to adapt swiftly to stay competitive, according to Sharma et al. (2020). Environmental advancements are changing the hospitality industry, forcing businesses to adapt promptly to remain competitive, according to Sharma et al. (2020).</w:t>
      </w:r>
    </w:p>
    <w:p w14:paraId="24AB7332" w14:textId="77777777" w:rsid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The potential for Green Key to evolve in response to these disruptive forces is substantial.</w:t>
      </w:r>
      <w:r w:rsidRPr="000F35DB">
        <w:rPr>
          <w:rFonts w:ascii="Arial" w:eastAsia="Calibri" w:hAnsi="Arial" w:cs="Arial"/>
        </w:rPr>
        <w:t xml:space="preserve"> </w:t>
      </w:r>
      <w:r w:rsidRPr="000F35DB">
        <w:rPr>
          <w:rFonts w:ascii="Arial" w:eastAsia="Calibri" w:hAnsi="Arial" w:cs="Arial"/>
          <w:color w:val="0E0E0E"/>
          <w:kern w:val="0"/>
        </w:rPr>
        <w:t>According to Oduro et al. (2021), the ongoing advancement of environmentally friendly technologies and business models is essential for adjusting to evolving market dynamics and regulatory frameworks. Advanced data analytics and AI can improve sustainability projects by revealing energy and waste use patterns.</w:t>
      </w:r>
    </w:p>
    <w:p w14:paraId="575DE223" w14:textId="77777777" w:rsidR="009E0E0B" w:rsidRDefault="009E0E0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2AEB942F" w14:textId="49B22B84" w:rsidR="009E0E0B" w:rsidRPr="009E0E0B" w:rsidRDefault="009E0E0B" w:rsidP="009E0E0B">
      <w:pPr>
        <w:pStyle w:val="Heading1"/>
        <w:rPr>
          <w:rFonts w:ascii="Arial" w:eastAsia="Calibri" w:hAnsi="Arial" w:cs="Arial"/>
          <w:b/>
          <w:bCs/>
          <w:color w:val="auto"/>
          <w:sz w:val="28"/>
          <w:szCs w:val="28"/>
        </w:rPr>
      </w:pPr>
      <w:bookmarkStart w:id="13" w:name="_Toc168344501"/>
      <w:r w:rsidRPr="009E0E0B">
        <w:rPr>
          <w:rFonts w:ascii="Arial" w:eastAsia="Calibri" w:hAnsi="Arial" w:cs="Arial"/>
          <w:b/>
          <w:bCs/>
          <w:color w:val="auto"/>
          <w:sz w:val="28"/>
          <w:szCs w:val="28"/>
        </w:rPr>
        <w:t>Conclusion</w:t>
      </w:r>
      <w:bookmarkEnd w:id="13"/>
    </w:p>
    <w:p w14:paraId="606EF92A"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The report has emphasised the crucial significance of Green Key accreditation in promoting sustainability within the hotel and hospitality sector. Green Key-certified hotels gain advantages such as improved brand reputation, distinction in the market, reduced costs, and more guest loyalty. The certification's rigorous standards for environmental management, resource efficiency, and community engagement highlight its all-encompassing approach to sustainability.</w:t>
      </w:r>
    </w:p>
    <w:p w14:paraId="1C599C59"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t>Green Key can transform environmentalism, social responsibility, and economic resilience. Sustainable hotel methods lessen their environmental impact and benefit local communities and the planet. Sustainable and competitive business strategies that use Green Key concepts can make certified hotels eco-conscious market leaders.</w:t>
      </w:r>
    </w:p>
    <w:p w14:paraId="40F4692E" w14:textId="1BCE3EF2" w:rsid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r w:rsidRPr="000F35DB">
        <w:rPr>
          <w:rFonts w:ascii="Arial" w:eastAsia="Calibri" w:hAnsi="Arial" w:cs="Arial"/>
          <w:color w:val="0E0E0E"/>
          <w:kern w:val="0"/>
        </w:rPr>
        <w:lastRenderedPageBreak/>
        <w:t>Hotels must adopt Green Key values and work together to create a more sustainable and inclusive future as environmental and social issues grow. To promote sustainability, hoteliers must invest in sustainable technologies, train staff, and engage with stakeholders. By doing so, the hotel and hospitality industry can significantly contribute to global sustainability goals and set a responsible tourism baseline.</w:t>
      </w:r>
    </w:p>
    <w:p w14:paraId="79BCB332"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705C2433"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1CD2D0EC"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14FAF136"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1674A2B5"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00E9559F"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03700554" w14:textId="384E8136"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776BAFA8"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74D7ECC5"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00F458CA"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24547D29"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6B657459"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1E8C9082"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6EBB782C"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39F31A1D"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5E19E592"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7CC7A623"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5B93A4E0"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25ADA64C"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29F1A53A"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102243D6"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128FC68C"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66C79198"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7D810F1F"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0F6821D8"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44A23B29"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72AF6013" w14:textId="77777777" w:rsidR="00815458"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03A718AC" w14:textId="77777777" w:rsidR="00815458" w:rsidRPr="000F35DB" w:rsidRDefault="00815458"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7B73D16A" w14:textId="77777777" w:rsidR="000F35DB" w:rsidRPr="000F35DB" w:rsidRDefault="000F35DB" w:rsidP="000F35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Calibri" w:hAnsi="Arial" w:cs="Arial"/>
          <w:color w:val="0E0E0E"/>
          <w:kern w:val="0"/>
        </w:rPr>
      </w:pPr>
    </w:p>
    <w:p w14:paraId="2535C931" w14:textId="77777777" w:rsidR="000F35DB" w:rsidRPr="00571879" w:rsidRDefault="000F35DB" w:rsidP="00571879">
      <w:pPr>
        <w:pStyle w:val="Heading1"/>
        <w:rPr>
          <w:rFonts w:ascii="Arial" w:eastAsia="Calibri" w:hAnsi="Arial" w:cs="Arial"/>
          <w:b/>
          <w:bCs/>
          <w:color w:val="auto"/>
          <w:sz w:val="28"/>
          <w:szCs w:val="28"/>
        </w:rPr>
      </w:pPr>
      <w:bookmarkStart w:id="14" w:name="_Toc168344502"/>
      <w:r w:rsidRPr="00571879">
        <w:rPr>
          <w:rFonts w:ascii="Arial" w:eastAsia="Calibri" w:hAnsi="Arial" w:cs="Arial"/>
          <w:b/>
          <w:bCs/>
          <w:color w:val="auto"/>
          <w:sz w:val="28"/>
          <w:szCs w:val="28"/>
        </w:rPr>
        <w:lastRenderedPageBreak/>
        <w:t>Reference List</w:t>
      </w:r>
      <w:bookmarkEnd w:id="14"/>
    </w:p>
    <w:p w14:paraId="1B74360B"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proofErr w:type="spellStart"/>
      <w:r w:rsidRPr="000F35DB">
        <w:rPr>
          <w:rFonts w:ascii="Arial" w:eastAsia="Calibri" w:hAnsi="Arial" w:cs="Arial"/>
          <w:color w:val="0E0E0E"/>
          <w:kern w:val="0"/>
        </w:rPr>
        <w:t>Amui</w:t>
      </w:r>
      <w:proofErr w:type="spellEnd"/>
      <w:r w:rsidRPr="000F35DB">
        <w:rPr>
          <w:rFonts w:ascii="Arial" w:eastAsia="Calibri" w:hAnsi="Arial" w:cs="Arial"/>
          <w:color w:val="0E0E0E"/>
          <w:kern w:val="0"/>
        </w:rPr>
        <w:t xml:space="preserve">, L., Jabbour, C., de Sousa Jabbour, A. B., &amp; Kannan, D. (2017). Sustainability as a dynamic organisational capability: a systematic review and a future agenda toward a sustainable transition. </w:t>
      </w:r>
      <w:r w:rsidRPr="000F35DB">
        <w:rPr>
          <w:rFonts w:ascii="Arial" w:eastAsia="Calibri" w:hAnsi="Arial" w:cs="Arial"/>
          <w:i/>
          <w:iCs/>
          <w:color w:val="0E0E0E"/>
          <w:kern w:val="0"/>
        </w:rPr>
        <w:t>Journal of Cleaner Production</w:t>
      </w:r>
      <w:r w:rsidRPr="000F35DB">
        <w:rPr>
          <w:rFonts w:ascii="Arial" w:eastAsia="Calibri" w:hAnsi="Arial" w:cs="Arial"/>
          <w:color w:val="0E0E0E"/>
          <w:kern w:val="0"/>
        </w:rPr>
        <w:t xml:space="preserve">, 142, 308-322. </w:t>
      </w:r>
      <w:hyperlink r:id="rId6" w:history="1">
        <w:r w:rsidRPr="000F35DB">
          <w:rPr>
            <w:rFonts w:ascii="Arial" w:eastAsia="Calibri" w:hAnsi="Arial" w:cs="Arial"/>
            <w:color w:val="467886" w:themeColor="hyperlink"/>
            <w:kern w:val="0"/>
            <w:u w:val="single"/>
          </w:rPr>
          <w:t>https://doi.org/10.1016/J.JCLEPRO.2016.07.103</w:t>
        </w:r>
      </w:hyperlink>
      <w:r w:rsidRPr="000F35DB">
        <w:rPr>
          <w:rFonts w:ascii="Arial" w:eastAsia="Calibri" w:hAnsi="Arial" w:cs="Arial"/>
          <w:color w:val="0E0E0E"/>
          <w:kern w:val="0"/>
        </w:rPr>
        <w:t xml:space="preserve"> </w:t>
      </w:r>
    </w:p>
    <w:p w14:paraId="544A0449"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Blackman, A., &amp; Rivera, J. (2011). Producer</w:t>
      </w:r>
      <w:r w:rsidRPr="000F35DB">
        <w:rPr>
          <w:rFonts w:ascii="Cambria Math" w:eastAsia="Calibri" w:hAnsi="Cambria Math" w:cs="Cambria Math"/>
          <w:color w:val="0E0E0E"/>
          <w:kern w:val="0"/>
        </w:rPr>
        <w:t>‐</w:t>
      </w:r>
      <w:r w:rsidRPr="000F35DB">
        <w:rPr>
          <w:rFonts w:ascii="Arial" w:eastAsia="Calibri" w:hAnsi="Arial" w:cs="Arial"/>
          <w:color w:val="0E0E0E"/>
          <w:kern w:val="0"/>
        </w:rPr>
        <w:t xml:space="preserve">Level Benefits of Sustainability Certification. </w:t>
      </w:r>
      <w:r w:rsidRPr="000F35DB">
        <w:rPr>
          <w:rFonts w:ascii="Arial" w:eastAsia="Calibri" w:hAnsi="Arial" w:cs="Arial"/>
          <w:i/>
          <w:iCs/>
          <w:color w:val="0E0E0E"/>
          <w:kern w:val="0"/>
        </w:rPr>
        <w:t>Conservation Biology</w:t>
      </w:r>
      <w:r w:rsidRPr="000F35DB">
        <w:rPr>
          <w:rFonts w:ascii="Arial" w:eastAsia="Calibri" w:hAnsi="Arial" w:cs="Arial"/>
          <w:color w:val="0E0E0E"/>
          <w:kern w:val="0"/>
        </w:rPr>
        <w:t xml:space="preserve">, 25. </w:t>
      </w:r>
      <w:hyperlink r:id="rId7" w:history="1">
        <w:r w:rsidRPr="000F35DB">
          <w:rPr>
            <w:rFonts w:ascii="Arial" w:eastAsia="Calibri" w:hAnsi="Arial" w:cs="Arial"/>
            <w:color w:val="467886" w:themeColor="hyperlink"/>
            <w:kern w:val="0"/>
            <w:u w:val="single"/>
          </w:rPr>
          <w:t>https://doi.org/10.1111/j.1523-1739.2011.01774.x</w:t>
        </w:r>
      </w:hyperlink>
      <w:r w:rsidRPr="000F35DB">
        <w:rPr>
          <w:rFonts w:ascii="Arial" w:eastAsia="Calibri" w:hAnsi="Arial" w:cs="Arial"/>
          <w:color w:val="0E0E0E"/>
          <w:kern w:val="0"/>
        </w:rPr>
        <w:t xml:space="preserve"> </w:t>
      </w:r>
    </w:p>
    <w:p w14:paraId="36933884"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proofErr w:type="spellStart"/>
      <w:r w:rsidRPr="000F35DB">
        <w:rPr>
          <w:rFonts w:ascii="Arial" w:eastAsia="Calibri" w:hAnsi="Arial" w:cs="Arial"/>
          <w:color w:val="0E0E0E"/>
          <w:kern w:val="0"/>
        </w:rPr>
        <w:t>Cherrafi</w:t>
      </w:r>
      <w:proofErr w:type="spellEnd"/>
      <w:r w:rsidRPr="000F35DB">
        <w:rPr>
          <w:rFonts w:ascii="Arial" w:eastAsia="Calibri" w:hAnsi="Arial" w:cs="Arial"/>
          <w:color w:val="0E0E0E"/>
          <w:kern w:val="0"/>
        </w:rPr>
        <w:t>, A., Garza</w:t>
      </w:r>
      <w:r w:rsidRPr="000F35DB">
        <w:rPr>
          <w:rFonts w:ascii="Cambria Math" w:eastAsia="Calibri" w:hAnsi="Cambria Math" w:cs="Cambria Math"/>
          <w:color w:val="0E0E0E"/>
          <w:kern w:val="0"/>
        </w:rPr>
        <w:t>‐</w:t>
      </w:r>
      <w:r w:rsidRPr="000F35DB">
        <w:rPr>
          <w:rFonts w:ascii="Arial" w:eastAsia="Calibri" w:hAnsi="Arial" w:cs="Arial"/>
          <w:color w:val="0E0E0E"/>
          <w:kern w:val="0"/>
        </w:rPr>
        <w:t xml:space="preserve">Reyes, J., Belhadi, A., Kamble, S. S., &amp; Elbaz, J. (2021). A readiness self-assessment model for implementing green lean initiatives. </w:t>
      </w:r>
      <w:r w:rsidRPr="000F35DB">
        <w:rPr>
          <w:rFonts w:ascii="Arial" w:eastAsia="Calibri" w:hAnsi="Arial" w:cs="Arial"/>
          <w:i/>
          <w:iCs/>
          <w:color w:val="0E0E0E"/>
          <w:kern w:val="0"/>
        </w:rPr>
        <w:t>Journal of Cleaner Production</w:t>
      </w:r>
      <w:r w:rsidRPr="000F35DB">
        <w:rPr>
          <w:rFonts w:ascii="Arial" w:eastAsia="Calibri" w:hAnsi="Arial" w:cs="Arial"/>
          <w:color w:val="0E0E0E"/>
          <w:kern w:val="0"/>
        </w:rPr>
        <w:t xml:space="preserve">, 309, 127401. </w:t>
      </w:r>
      <w:hyperlink r:id="rId8" w:history="1">
        <w:r w:rsidRPr="000F35DB">
          <w:rPr>
            <w:rFonts w:ascii="Arial" w:eastAsia="Calibri" w:hAnsi="Arial" w:cs="Arial"/>
            <w:color w:val="467886" w:themeColor="hyperlink"/>
            <w:kern w:val="0"/>
            <w:u w:val="single"/>
          </w:rPr>
          <w:t>https://doi.org/10.1016/J.JCLEPRO.2021.127401</w:t>
        </w:r>
      </w:hyperlink>
      <w:r w:rsidRPr="000F35DB">
        <w:rPr>
          <w:rFonts w:ascii="Arial" w:eastAsia="Calibri" w:hAnsi="Arial" w:cs="Arial"/>
          <w:color w:val="0E0E0E"/>
          <w:kern w:val="0"/>
        </w:rPr>
        <w:t xml:space="preserve"> </w:t>
      </w:r>
    </w:p>
    <w:p w14:paraId="48EBEB2E"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DeFries, R., Fanzo, J., Mondal, P., Remans, R., &amp; Wood, S. (2017). Is voluntary certification of tropical agricultural commodities achieving sustainability goals for small-scale producers? A review of the evidence. </w:t>
      </w:r>
      <w:r w:rsidRPr="000F35DB">
        <w:rPr>
          <w:rFonts w:ascii="Arial" w:eastAsia="Calibri" w:hAnsi="Arial" w:cs="Arial"/>
          <w:i/>
          <w:iCs/>
          <w:color w:val="0E0E0E"/>
          <w:kern w:val="0"/>
        </w:rPr>
        <w:t>Environmental Research Letters</w:t>
      </w:r>
      <w:r w:rsidRPr="000F35DB">
        <w:rPr>
          <w:rFonts w:ascii="Arial" w:eastAsia="Calibri" w:hAnsi="Arial" w:cs="Arial"/>
          <w:color w:val="0E0E0E"/>
          <w:kern w:val="0"/>
        </w:rPr>
        <w:t xml:space="preserve">, 12. </w:t>
      </w:r>
      <w:hyperlink r:id="rId9" w:history="1">
        <w:r w:rsidRPr="000F35DB">
          <w:rPr>
            <w:rFonts w:ascii="Arial" w:eastAsia="Calibri" w:hAnsi="Arial" w:cs="Arial"/>
            <w:color w:val="467886" w:themeColor="hyperlink"/>
            <w:kern w:val="0"/>
            <w:u w:val="single"/>
          </w:rPr>
          <w:t>https://doi.org/10.1088/1748-9326/aa625e</w:t>
        </w:r>
      </w:hyperlink>
      <w:r w:rsidRPr="000F35DB">
        <w:rPr>
          <w:rFonts w:ascii="Arial" w:eastAsia="Calibri" w:hAnsi="Arial" w:cs="Arial"/>
          <w:color w:val="0E0E0E"/>
          <w:kern w:val="0"/>
        </w:rPr>
        <w:t xml:space="preserve"> </w:t>
      </w:r>
    </w:p>
    <w:p w14:paraId="1DAA2BA4"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Doan, D. T., </w:t>
      </w:r>
      <w:proofErr w:type="spellStart"/>
      <w:r w:rsidRPr="000F35DB">
        <w:rPr>
          <w:rFonts w:ascii="Arial" w:eastAsia="Calibri" w:hAnsi="Arial" w:cs="Arial"/>
          <w:color w:val="0E0E0E"/>
          <w:kern w:val="0"/>
        </w:rPr>
        <w:t>Ghaffarianhoseini</w:t>
      </w:r>
      <w:proofErr w:type="spellEnd"/>
      <w:r w:rsidRPr="000F35DB">
        <w:rPr>
          <w:rFonts w:ascii="Arial" w:eastAsia="Calibri" w:hAnsi="Arial" w:cs="Arial"/>
          <w:color w:val="0E0E0E"/>
          <w:kern w:val="0"/>
        </w:rPr>
        <w:t xml:space="preserve">, A., Naismith, N., Zhang, T., </w:t>
      </w:r>
      <w:proofErr w:type="spellStart"/>
      <w:r w:rsidRPr="000F35DB">
        <w:rPr>
          <w:rFonts w:ascii="Arial" w:eastAsia="Calibri" w:hAnsi="Arial" w:cs="Arial"/>
          <w:color w:val="0E0E0E"/>
          <w:kern w:val="0"/>
        </w:rPr>
        <w:t>Ghaffarianhoseini</w:t>
      </w:r>
      <w:proofErr w:type="spellEnd"/>
      <w:r w:rsidRPr="000F35DB">
        <w:rPr>
          <w:rFonts w:ascii="Arial" w:eastAsia="Calibri" w:hAnsi="Arial" w:cs="Arial"/>
          <w:color w:val="0E0E0E"/>
          <w:kern w:val="0"/>
        </w:rPr>
        <w:t xml:space="preserve">, A., &amp; Tookey, J. (2017). A critical comparison of green building rating systems. </w:t>
      </w:r>
      <w:r w:rsidRPr="000F35DB">
        <w:rPr>
          <w:rFonts w:ascii="Arial" w:eastAsia="Calibri" w:hAnsi="Arial" w:cs="Arial"/>
          <w:i/>
          <w:iCs/>
          <w:color w:val="0E0E0E"/>
          <w:kern w:val="0"/>
        </w:rPr>
        <w:t>Building and Environment</w:t>
      </w:r>
      <w:r w:rsidRPr="000F35DB">
        <w:rPr>
          <w:rFonts w:ascii="Arial" w:eastAsia="Calibri" w:hAnsi="Arial" w:cs="Arial"/>
          <w:color w:val="0E0E0E"/>
          <w:kern w:val="0"/>
        </w:rPr>
        <w:t xml:space="preserve">, 123, 243-260. </w:t>
      </w:r>
      <w:hyperlink r:id="rId10" w:history="1">
        <w:r w:rsidRPr="000F35DB">
          <w:rPr>
            <w:rFonts w:ascii="Arial" w:eastAsia="Calibri" w:hAnsi="Arial" w:cs="Arial"/>
            <w:color w:val="467886" w:themeColor="hyperlink"/>
            <w:kern w:val="0"/>
            <w:u w:val="single"/>
          </w:rPr>
          <w:t>https://doi.org/10.1016/J.BUILDENV.2017.07.007</w:t>
        </w:r>
      </w:hyperlink>
      <w:r w:rsidRPr="000F35DB">
        <w:rPr>
          <w:rFonts w:ascii="Arial" w:eastAsia="Calibri" w:hAnsi="Arial" w:cs="Arial"/>
          <w:color w:val="0E0E0E"/>
          <w:kern w:val="0"/>
        </w:rPr>
        <w:t xml:space="preserve"> </w:t>
      </w:r>
    </w:p>
    <w:p w14:paraId="2458E395"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proofErr w:type="spellStart"/>
      <w:r w:rsidRPr="000F35DB">
        <w:rPr>
          <w:rFonts w:ascii="Arial" w:eastAsia="Calibri" w:hAnsi="Arial" w:cs="Arial"/>
          <w:color w:val="0E0E0E"/>
          <w:kern w:val="0"/>
        </w:rPr>
        <w:t>Gliedt</w:t>
      </w:r>
      <w:proofErr w:type="spellEnd"/>
      <w:r w:rsidRPr="000F35DB">
        <w:rPr>
          <w:rFonts w:ascii="Arial" w:eastAsia="Calibri" w:hAnsi="Arial" w:cs="Arial"/>
          <w:color w:val="0E0E0E"/>
          <w:kern w:val="0"/>
        </w:rPr>
        <w:t xml:space="preserve">, T., </w:t>
      </w:r>
      <w:proofErr w:type="spellStart"/>
      <w:r w:rsidRPr="000F35DB">
        <w:rPr>
          <w:rFonts w:ascii="Arial" w:eastAsia="Calibri" w:hAnsi="Arial" w:cs="Arial"/>
          <w:color w:val="0E0E0E"/>
          <w:kern w:val="0"/>
        </w:rPr>
        <w:t>Hoicka</w:t>
      </w:r>
      <w:proofErr w:type="spellEnd"/>
      <w:r w:rsidRPr="000F35DB">
        <w:rPr>
          <w:rFonts w:ascii="Arial" w:eastAsia="Calibri" w:hAnsi="Arial" w:cs="Arial"/>
          <w:color w:val="0E0E0E"/>
          <w:kern w:val="0"/>
        </w:rPr>
        <w:t xml:space="preserve">, C., &amp; Jackson, N. (2018). Innovation intermediaries accelerating environmental sustainability transitions. </w:t>
      </w:r>
      <w:r w:rsidRPr="000F35DB">
        <w:rPr>
          <w:rFonts w:ascii="Arial" w:eastAsia="Calibri" w:hAnsi="Arial" w:cs="Arial"/>
          <w:i/>
          <w:iCs/>
          <w:color w:val="0E0E0E"/>
          <w:kern w:val="0"/>
        </w:rPr>
        <w:t>Journal of Cleaner Production</w:t>
      </w:r>
      <w:r w:rsidRPr="000F35DB">
        <w:rPr>
          <w:rFonts w:ascii="Arial" w:eastAsia="Calibri" w:hAnsi="Arial" w:cs="Arial"/>
          <w:color w:val="0E0E0E"/>
          <w:kern w:val="0"/>
        </w:rPr>
        <w:t xml:space="preserve">, 174, 1247-1261. </w:t>
      </w:r>
      <w:hyperlink r:id="rId11" w:history="1">
        <w:r w:rsidRPr="000F35DB">
          <w:rPr>
            <w:rFonts w:ascii="Arial" w:eastAsia="Calibri" w:hAnsi="Arial" w:cs="Arial"/>
            <w:color w:val="467886" w:themeColor="hyperlink"/>
            <w:kern w:val="0"/>
            <w:u w:val="single"/>
          </w:rPr>
          <w:t>https://doi.org/10.1016/J.JCLEPRO.2017.11.054</w:t>
        </w:r>
      </w:hyperlink>
      <w:r w:rsidRPr="000F35DB">
        <w:rPr>
          <w:rFonts w:ascii="Arial" w:eastAsia="Calibri" w:hAnsi="Arial" w:cs="Arial"/>
          <w:color w:val="0E0E0E"/>
          <w:kern w:val="0"/>
        </w:rPr>
        <w:t xml:space="preserve"> </w:t>
      </w:r>
    </w:p>
    <w:p w14:paraId="011F9D08"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Hanif, N. A., &amp; </w:t>
      </w:r>
      <w:proofErr w:type="spellStart"/>
      <w:r w:rsidRPr="000F35DB">
        <w:rPr>
          <w:rFonts w:ascii="Arial" w:eastAsia="Calibri" w:hAnsi="Arial" w:cs="Arial"/>
          <w:color w:val="0E0E0E"/>
          <w:kern w:val="0"/>
        </w:rPr>
        <w:t>Nurmandi</w:t>
      </w:r>
      <w:proofErr w:type="spellEnd"/>
      <w:r w:rsidRPr="000F35DB">
        <w:rPr>
          <w:rFonts w:ascii="Arial" w:eastAsia="Calibri" w:hAnsi="Arial" w:cs="Arial"/>
          <w:color w:val="0E0E0E"/>
          <w:kern w:val="0"/>
        </w:rPr>
        <w:t xml:space="preserve">, A. (2022). Sustainable Transport Development Strategy in Developed and Developing Countries. </w:t>
      </w:r>
      <w:r w:rsidRPr="000F35DB">
        <w:rPr>
          <w:rFonts w:ascii="Arial" w:eastAsia="Calibri" w:hAnsi="Arial" w:cs="Arial"/>
          <w:i/>
          <w:iCs/>
          <w:color w:val="0E0E0E"/>
          <w:kern w:val="0"/>
        </w:rPr>
        <w:t>Human Interaction and Emerging Technologies (IHIET 2022)</w:t>
      </w:r>
      <w:r w:rsidRPr="000F35DB">
        <w:rPr>
          <w:rFonts w:ascii="Arial" w:eastAsia="Calibri" w:hAnsi="Arial" w:cs="Arial"/>
          <w:color w:val="0E0E0E"/>
          <w:kern w:val="0"/>
        </w:rPr>
        <w:t xml:space="preserve">. </w:t>
      </w:r>
      <w:hyperlink r:id="rId12" w:history="1">
        <w:r w:rsidRPr="000F35DB">
          <w:rPr>
            <w:rFonts w:ascii="Arial" w:eastAsia="Calibri" w:hAnsi="Arial" w:cs="Arial"/>
            <w:color w:val="467886" w:themeColor="hyperlink"/>
            <w:kern w:val="0"/>
            <w:u w:val="single"/>
          </w:rPr>
          <w:t>https://doi.org/10.54941/ahfe1002729</w:t>
        </w:r>
      </w:hyperlink>
      <w:r w:rsidRPr="000F35DB">
        <w:rPr>
          <w:rFonts w:ascii="Arial" w:eastAsia="Calibri" w:hAnsi="Arial" w:cs="Arial"/>
          <w:color w:val="0E0E0E"/>
          <w:kern w:val="0"/>
        </w:rPr>
        <w:t xml:space="preserve"> </w:t>
      </w:r>
    </w:p>
    <w:p w14:paraId="34D7DD7A"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Jones, P., &amp; Wynn, M. (2019). The circular economy, natural capital and resilience in tourism and hospitality. </w:t>
      </w:r>
      <w:r w:rsidRPr="000F35DB">
        <w:rPr>
          <w:rFonts w:ascii="Arial" w:eastAsia="Calibri" w:hAnsi="Arial" w:cs="Arial"/>
          <w:i/>
          <w:iCs/>
          <w:color w:val="0E0E0E"/>
          <w:kern w:val="0"/>
        </w:rPr>
        <w:t>International Journal of Contemporary Hospitality Management</w:t>
      </w:r>
      <w:r w:rsidRPr="000F35DB">
        <w:rPr>
          <w:rFonts w:ascii="Arial" w:eastAsia="Calibri" w:hAnsi="Arial" w:cs="Arial"/>
          <w:color w:val="0E0E0E"/>
          <w:kern w:val="0"/>
        </w:rPr>
        <w:t xml:space="preserve">.  </w:t>
      </w:r>
      <w:hyperlink r:id="rId13" w:history="1">
        <w:r w:rsidRPr="000F35DB">
          <w:rPr>
            <w:rFonts w:ascii="Arial" w:eastAsia="Calibri" w:hAnsi="Arial" w:cs="Arial"/>
            <w:color w:val="467886" w:themeColor="hyperlink"/>
            <w:kern w:val="0"/>
            <w:u w:val="single"/>
          </w:rPr>
          <w:t>https://doi.org/10.1108/IJCHM-05-2018-0370</w:t>
        </w:r>
      </w:hyperlink>
      <w:r w:rsidRPr="000F35DB">
        <w:rPr>
          <w:rFonts w:ascii="Arial" w:eastAsia="Calibri" w:hAnsi="Arial" w:cs="Arial"/>
          <w:color w:val="0E0E0E"/>
          <w:kern w:val="0"/>
        </w:rPr>
        <w:t xml:space="preserve"> </w:t>
      </w:r>
    </w:p>
    <w:p w14:paraId="5858532F"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Khalil, N., Abdullah, S. N. C., Haron, S. N., &amp; Hamid, M. Y. (2022). A review of green practices and initiatives from stakeholder’s perspectives towards sustainable hotel operations and performance impact. </w:t>
      </w:r>
      <w:r w:rsidRPr="000F35DB">
        <w:rPr>
          <w:rFonts w:ascii="Arial" w:eastAsia="Calibri" w:hAnsi="Arial" w:cs="Arial"/>
          <w:i/>
          <w:iCs/>
          <w:color w:val="0E0E0E"/>
          <w:kern w:val="0"/>
        </w:rPr>
        <w:t>Journal of Facilities Management</w:t>
      </w:r>
      <w:r w:rsidRPr="000F35DB">
        <w:rPr>
          <w:rFonts w:ascii="Arial" w:eastAsia="Calibri" w:hAnsi="Arial" w:cs="Arial"/>
          <w:color w:val="0E0E0E"/>
          <w:kern w:val="0"/>
        </w:rPr>
        <w:t xml:space="preserve">. </w:t>
      </w:r>
      <w:hyperlink r:id="rId14" w:history="1">
        <w:r w:rsidRPr="000F35DB">
          <w:rPr>
            <w:rFonts w:ascii="Arial" w:eastAsia="Calibri" w:hAnsi="Arial" w:cs="Arial"/>
            <w:color w:val="467886" w:themeColor="hyperlink"/>
            <w:kern w:val="0"/>
            <w:u w:val="single"/>
          </w:rPr>
          <w:t>https://doi.org/10.1108/jfm-03-2022-0025</w:t>
        </w:r>
      </w:hyperlink>
      <w:r w:rsidRPr="000F35DB">
        <w:rPr>
          <w:rFonts w:ascii="Arial" w:eastAsia="Calibri" w:hAnsi="Arial" w:cs="Arial"/>
          <w:color w:val="0E0E0E"/>
          <w:kern w:val="0"/>
        </w:rPr>
        <w:t xml:space="preserve"> </w:t>
      </w:r>
    </w:p>
    <w:p w14:paraId="4F7C0A74"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lastRenderedPageBreak/>
        <w:t xml:space="preserve">Khan, S., &amp; Pasha, U. (2022). Green Supply Chain Management: Opportunities, Challenges and Changing Strategies: A Literature Review. </w:t>
      </w:r>
      <w:proofErr w:type="spellStart"/>
      <w:r w:rsidRPr="000F35DB">
        <w:rPr>
          <w:rFonts w:ascii="Arial" w:eastAsia="Calibri" w:hAnsi="Arial" w:cs="Arial"/>
          <w:i/>
          <w:iCs/>
          <w:color w:val="0E0E0E"/>
          <w:kern w:val="0"/>
        </w:rPr>
        <w:t>iRASD</w:t>
      </w:r>
      <w:proofErr w:type="spellEnd"/>
      <w:r w:rsidRPr="000F35DB">
        <w:rPr>
          <w:rFonts w:ascii="Arial" w:eastAsia="Calibri" w:hAnsi="Arial" w:cs="Arial"/>
          <w:i/>
          <w:iCs/>
          <w:color w:val="0E0E0E"/>
          <w:kern w:val="0"/>
        </w:rPr>
        <w:t xml:space="preserve"> Journal of Management</w:t>
      </w:r>
      <w:r w:rsidRPr="000F35DB">
        <w:rPr>
          <w:rFonts w:ascii="Arial" w:eastAsia="Calibri" w:hAnsi="Arial" w:cs="Arial"/>
          <w:color w:val="0E0E0E"/>
          <w:kern w:val="0"/>
        </w:rPr>
        <w:t xml:space="preserve">. </w:t>
      </w:r>
      <w:hyperlink r:id="rId15" w:history="1">
        <w:r w:rsidRPr="000F35DB">
          <w:rPr>
            <w:rFonts w:ascii="Arial" w:eastAsia="Calibri" w:hAnsi="Arial" w:cs="Arial"/>
            <w:color w:val="467886" w:themeColor="hyperlink"/>
            <w:kern w:val="0"/>
            <w:u w:val="single"/>
          </w:rPr>
          <w:t>https://doi.org/10.52131/jom.2022.0402.0074</w:t>
        </w:r>
      </w:hyperlink>
      <w:r w:rsidRPr="000F35DB">
        <w:rPr>
          <w:rFonts w:ascii="Arial" w:eastAsia="Calibri" w:hAnsi="Arial" w:cs="Arial"/>
          <w:color w:val="0E0E0E"/>
          <w:kern w:val="0"/>
        </w:rPr>
        <w:t xml:space="preserve"> </w:t>
      </w:r>
    </w:p>
    <w:p w14:paraId="64A9D42A"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proofErr w:type="spellStart"/>
      <w:r w:rsidRPr="000F35DB">
        <w:rPr>
          <w:rFonts w:ascii="Arial" w:eastAsia="Calibri" w:hAnsi="Arial" w:cs="Arial"/>
          <w:color w:val="0E0E0E"/>
          <w:kern w:val="0"/>
        </w:rPr>
        <w:t>Klewitz</w:t>
      </w:r>
      <w:proofErr w:type="spellEnd"/>
      <w:r w:rsidRPr="000F35DB">
        <w:rPr>
          <w:rFonts w:ascii="Arial" w:eastAsia="Calibri" w:hAnsi="Arial" w:cs="Arial"/>
          <w:color w:val="0E0E0E"/>
          <w:kern w:val="0"/>
        </w:rPr>
        <w:t xml:space="preserve">, J., &amp; Hansen, E. (2014). Sustainability-Oriented Innovation of SMEs: A Systematic Review. </w:t>
      </w:r>
      <w:r w:rsidRPr="000F35DB">
        <w:rPr>
          <w:rFonts w:ascii="Arial" w:eastAsia="Calibri" w:hAnsi="Arial" w:cs="Arial"/>
          <w:i/>
          <w:iCs/>
          <w:color w:val="0E0E0E"/>
          <w:kern w:val="0"/>
        </w:rPr>
        <w:t>Journal of Cleaner Production</w:t>
      </w:r>
      <w:r w:rsidRPr="000F35DB">
        <w:rPr>
          <w:rFonts w:ascii="Arial" w:eastAsia="Calibri" w:hAnsi="Arial" w:cs="Arial"/>
          <w:color w:val="0E0E0E"/>
          <w:kern w:val="0"/>
        </w:rPr>
        <w:t xml:space="preserve">, 65, 57-75. </w:t>
      </w:r>
      <w:hyperlink r:id="rId16" w:history="1">
        <w:r w:rsidRPr="000F35DB">
          <w:rPr>
            <w:rFonts w:ascii="Arial" w:eastAsia="Calibri" w:hAnsi="Arial" w:cs="Arial"/>
            <w:color w:val="467886" w:themeColor="hyperlink"/>
            <w:kern w:val="0"/>
            <w:u w:val="single"/>
          </w:rPr>
          <w:t>https://doi.org/10.1016/J.JCLEPRO.2013.07.017</w:t>
        </w:r>
      </w:hyperlink>
      <w:r w:rsidRPr="000F35DB">
        <w:rPr>
          <w:rFonts w:ascii="Arial" w:eastAsia="Calibri" w:hAnsi="Arial" w:cs="Arial"/>
          <w:color w:val="0E0E0E"/>
          <w:kern w:val="0"/>
        </w:rPr>
        <w:t xml:space="preserve"> </w:t>
      </w:r>
    </w:p>
    <w:p w14:paraId="623D28CC"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Leskinen, N., </w:t>
      </w:r>
      <w:proofErr w:type="spellStart"/>
      <w:r w:rsidRPr="000F35DB">
        <w:rPr>
          <w:rFonts w:ascii="Arial" w:eastAsia="Calibri" w:hAnsi="Arial" w:cs="Arial"/>
          <w:color w:val="0E0E0E"/>
          <w:kern w:val="0"/>
        </w:rPr>
        <w:t>Vimpari</w:t>
      </w:r>
      <w:proofErr w:type="spellEnd"/>
      <w:r w:rsidRPr="000F35DB">
        <w:rPr>
          <w:rFonts w:ascii="Arial" w:eastAsia="Calibri" w:hAnsi="Arial" w:cs="Arial"/>
          <w:color w:val="0E0E0E"/>
          <w:kern w:val="0"/>
        </w:rPr>
        <w:t xml:space="preserve">, J., &amp; Junnila, S. (2020). A Review of the Impact of Green Building Certification on the Cash Flows and Values of Commercial Properties. </w:t>
      </w:r>
      <w:r w:rsidRPr="000F35DB">
        <w:rPr>
          <w:rFonts w:ascii="Arial" w:eastAsia="Calibri" w:hAnsi="Arial" w:cs="Arial"/>
          <w:i/>
          <w:iCs/>
          <w:color w:val="0E0E0E"/>
          <w:kern w:val="0"/>
        </w:rPr>
        <w:t>Sustainability</w:t>
      </w:r>
      <w:r w:rsidRPr="000F35DB">
        <w:rPr>
          <w:rFonts w:ascii="Arial" w:eastAsia="Calibri" w:hAnsi="Arial" w:cs="Arial"/>
          <w:color w:val="0E0E0E"/>
          <w:kern w:val="0"/>
        </w:rPr>
        <w:t xml:space="preserve">. </w:t>
      </w:r>
      <w:hyperlink r:id="rId17" w:history="1">
        <w:r w:rsidRPr="000F35DB">
          <w:rPr>
            <w:rFonts w:ascii="Arial" w:eastAsia="Calibri" w:hAnsi="Arial" w:cs="Arial"/>
            <w:color w:val="467886" w:themeColor="hyperlink"/>
            <w:kern w:val="0"/>
            <w:u w:val="single"/>
          </w:rPr>
          <w:t>https://doi.org/10.3390/su12072729</w:t>
        </w:r>
      </w:hyperlink>
      <w:r w:rsidRPr="000F35DB">
        <w:rPr>
          <w:rFonts w:ascii="Arial" w:eastAsia="Calibri" w:hAnsi="Arial" w:cs="Arial"/>
          <w:color w:val="0E0E0E"/>
          <w:kern w:val="0"/>
        </w:rPr>
        <w:t xml:space="preserve"> </w:t>
      </w:r>
    </w:p>
    <w:p w14:paraId="5F52F645"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Lopez-Arboleda, E., Sarmiento, A., &amp; Cárdenas, L. (2019). Systematic Review of Integrated Sustainable Transportation Models for Electric Passenger Vehicle Diffusion. </w:t>
      </w:r>
      <w:r w:rsidRPr="000F35DB">
        <w:rPr>
          <w:rFonts w:ascii="Arial" w:eastAsia="Calibri" w:hAnsi="Arial" w:cs="Arial"/>
          <w:i/>
          <w:iCs/>
          <w:color w:val="0E0E0E"/>
          <w:kern w:val="0"/>
        </w:rPr>
        <w:t>Sustainability</w:t>
      </w:r>
      <w:r w:rsidRPr="000F35DB">
        <w:rPr>
          <w:rFonts w:ascii="Arial" w:eastAsia="Calibri" w:hAnsi="Arial" w:cs="Arial"/>
          <w:color w:val="0E0E0E"/>
          <w:kern w:val="0"/>
        </w:rPr>
        <w:t xml:space="preserve">. </w:t>
      </w:r>
      <w:hyperlink r:id="rId18" w:history="1">
        <w:r w:rsidRPr="000F35DB">
          <w:rPr>
            <w:rFonts w:ascii="Arial" w:eastAsia="Calibri" w:hAnsi="Arial" w:cs="Arial"/>
            <w:color w:val="467886" w:themeColor="hyperlink"/>
            <w:kern w:val="0"/>
            <w:u w:val="single"/>
          </w:rPr>
          <w:t>https://doi.org/10.3390/SU11092513</w:t>
        </w:r>
      </w:hyperlink>
      <w:r w:rsidRPr="000F35DB">
        <w:rPr>
          <w:rFonts w:ascii="Arial" w:eastAsia="Calibri" w:hAnsi="Arial" w:cs="Arial"/>
          <w:color w:val="0E0E0E"/>
          <w:kern w:val="0"/>
        </w:rPr>
        <w:t xml:space="preserve"> </w:t>
      </w:r>
    </w:p>
    <w:p w14:paraId="0CBE9EF2" w14:textId="77777777" w:rsidR="000F35DB" w:rsidRPr="000F35DB" w:rsidRDefault="000F35DB" w:rsidP="000F35DB">
      <w:pPr>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Loureiro, S., &amp; Nascimento, J. (2021). Shaping a View on the Influence of Technologies on Sustainable Tourism. </w:t>
      </w:r>
      <w:r w:rsidRPr="000F35DB">
        <w:rPr>
          <w:rFonts w:ascii="Arial" w:eastAsia="Calibri" w:hAnsi="Arial" w:cs="Arial"/>
          <w:i/>
          <w:iCs/>
          <w:color w:val="0E0E0E"/>
          <w:kern w:val="0"/>
        </w:rPr>
        <w:t>Sustainability</w:t>
      </w:r>
      <w:r w:rsidRPr="000F35DB">
        <w:rPr>
          <w:rFonts w:ascii="Arial" w:eastAsia="Calibri" w:hAnsi="Arial" w:cs="Arial"/>
          <w:color w:val="0E0E0E"/>
          <w:kern w:val="0"/>
        </w:rPr>
        <w:t xml:space="preserve">. </w:t>
      </w:r>
      <w:hyperlink r:id="rId19" w:history="1">
        <w:r w:rsidRPr="000F35DB">
          <w:rPr>
            <w:rFonts w:ascii="Arial" w:eastAsia="Calibri" w:hAnsi="Arial" w:cs="Arial"/>
            <w:color w:val="467886" w:themeColor="hyperlink"/>
            <w:kern w:val="0"/>
            <w:u w:val="single"/>
          </w:rPr>
          <w:t>https://doi.org/10.3390/su132212691</w:t>
        </w:r>
      </w:hyperlink>
      <w:r w:rsidRPr="000F35DB">
        <w:rPr>
          <w:rFonts w:ascii="Arial" w:eastAsia="Calibri" w:hAnsi="Arial" w:cs="Arial"/>
          <w:color w:val="0E0E0E"/>
          <w:kern w:val="0"/>
        </w:rPr>
        <w:t xml:space="preserve"> </w:t>
      </w:r>
    </w:p>
    <w:p w14:paraId="07E45048"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proofErr w:type="spellStart"/>
      <w:r w:rsidRPr="000F35DB">
        <w:rPr>
          <w:rFonts w:ascii="Arial" w:eastAsia="Calibri" w:hAnsi="Arial" w:cs="Arial"/>
          <w:color w:val="0E0E0E"/>
          <w:kern w:val="0"/>
        </w:rPr>
        <w:t>Madanaguli</w:t>
      </w:r>
      <w:proofErr w:type="spellEnd"/>
      <w:r w:rsidRPr="000F35DB">
        <w:rPr>
          <w:rFonts w:ascii="Arial" w:eastAsia="Calibri" w:hAnsi="Arial" w:cs="Arial"/>
          <w:color w:val="0E0E0E"/>
          <w:kern w:val="0"/>
        </w:rPr>
        <w:t xml:space="preserve">, A., Dhir, A., Joseph, R. P., </w:t>
      </w:r>
      <w:proofErr w:type="spellStart"/>
      <w:r w:rsidRPr="000F35DB">
        <w:rPr>
          <w:rFonts w:ascii="Arial" w:eastAsia="Calibri" w:hAnsi="Arial" w:cs="Arial"/>
          <w:color w:val="0E0E0E"/>
          <w:kern w:val="0"/>
        </w:rPr>
        <w:t>Albishri</w:t>
      </w:r>
      <w:proofErr w:type="spellEnd"/>
      <w:r w:rsidRPr="000F35DB">
        <w:rPr>
          <w:rFonts w:ascii="Arial" w:eastAsia="Calibri" w:hAnsi="Arial" w:cs="Arial"/>
          <w:color w:val="0E0E0E"/>
          <w:kern w:val="0"/>
        </w:rPr>
        <w:t xml:space="preserve">, N., &amp; Srivastava, S. (2023). Environmental sustainability practices and strategies in the rural tourism and hospitality sector: a systematic literature review and suggestions for future research. </w:t>
      </w:r>
      <w:r w:rsidRPr="000F35DB">
        <w:rPr>
          <w:rFonts w:ascii="Arial" w:eastAsia="Calibri" w:hAnsi="Arial" w:cs="Arial"/>
          <w:i/>
          <w:iCs/>
          <w:color w:val="0E0E0E"/>
          <w:kern w:val="0"/>
        </w:rPr>
        <w:t>Scandinavian Journal of Hospitality and Tourism</w:t>
      </w:r>
      <w:r w:rsidRPr="000F35DB">
        <w:rPr>
          <w:rFonts w:ascii="Arial" w:eastAsia="Calibri" w:hAnsi="Arial" w:cs="Arial"/>
          <w:color w:val="0E0E0E"/>
          <w:kern w:val="0"/>
        </w:rPr>
        <w:t xml:space="preserve">, 23, 1-28. </w:t>
      </w:r>
      <w:hyperlink r:id="rId20" w:history="1">
        <w:r w:rsidRPr="000F35DB">
          <w:rPr>
            <w:rFonts w:ascii="Arial" w:eastAsia="Calibri" w:hAnsi="Arial" w:cs="Arial"/>
            <w:color w:val="467886" w:themeColor="hyperlink"/>
            <w:kern w:val="0"/>
            <w:u w:val="single"/>
          </w:rPr>
          <w:t>https://doi.org/10.1080/15022250.2023.2174179</w:t>
        </w:r>
      </w:hyperlink>
      <w:r w:rsidRPr="000F35DB">
        <w:rPr>
          <w:rFonts w:ascii="Arial" w:eastAsia="Calibri" w:hAnsi="Arial" w:cs="Arial"/>
          <w:color w:val="0E0E0E"/>
          <w:kern w:val="0"/>
        </w:rPr>
        <w:t xml:space="preserve"> </w:t>
      </w:r>
    </w:p>
    <w:p w14:paraId="5CE88DA1"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Molina-Collado, A., Santos-</w:t>
      </w:r>
      <w:proofErr w:type="spellStart"/>
      <w:r w:rsidRPr="000F35DB">
        <w:rPr>
          <w:rFonts w:ascii="Arial" w:eastAsia="Calibri" w:hAnsi="Arial" w:cs="Arial"/>
          <w:color w:val="0E0E0E"/>
          <w:kern w:val="0"/>
        </w:rPr>
        <w:t>Vijande</w:t>
      </w:r>
      <w:proofErr w:type="spellEnd"/>
      <w:r w:rsidRPr="000F35DB">
        <w:rPr>
          <w:rFonts w:ascii="Arial" w:eastAsia="Calibri" w:hAnsi="Arial" w:cs="Arial"/>
          <w:color w:val="0E0E0E"/>
          <w:kern w:val="0"/>
        </w:rPr>
        <w:t xml:space="preserve">, M. L., Gómez-Rico, M., &amp; Madera, J. M. (2022). Sustainability in hospitality and tourism: a review of key research topics from 1994 to 2020. </w:t>
      </w:r>
      <w:r w:rsidRPr="000F35DB">
        <w:rPr>
          <w:rFonts w:ascii="Arial" w:eastAsia="Calibri" w:hAnsi="Arial" w:cs="Arial"/>
          <w:i/>
          <w:iCs/>
          <w:color w:val="0E0E0E"/>
          <w:kern w:val="0"/>
        </w:rPr>
        <w:t xml:space="preserve">International Journal of Contemporary Hospitality Management. </w:t>
      </w:r>
      <w:r w:rsidRPr="000F35DB">
        <w:rPr>
          <w:rFonts w:ascii="Arial" w:eastAsia="Calibri" w:hAnsi="Arial" w:cs="Arial"/>
          <w:color w:val="0E0E0E"/>
          <w:kern w:val="0"/>
        </w:rPr>
        <w:t>.</w:t>
      </w:r>
      <w:hyperlink r:id="rId21" w:history="1">
        <w:r w:rsidRPr="000F35DB">
          <w:rPr>
            <w:rFonts w:ascii="Arial" w:eastAsia="Calibri" w:hAnsi="Arial" w:cs="Arial"/>
            <w:color w:val="467886" w:themeColor="hyperlink"/>
            <w:kern w:val="0"/>
            <w:u w:val="single"/>
          </w:rPr>
          <w:t>https://doi.org/10.1108/ijchm-10-2021-1305</w:t>
        </w:r>
      </w:hyperlink>
      <w:r w:rsidRPr="000F35DB">
        <w:rPr>
          <w:rFonts w:ascii="Arial" w:eastAsia="Calibri" w:hAnsi="Arial" w:cs="Arial"/>
          <w:color w:val="0E0E0E"/>
          <w:kern w:val="0"/>
        </w:rPr>
        <w:t xml:space="preserve"> </w:t>
      </w:r>
    </w:p>
    <w:p w14:paraId="608E5186"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Moore, J. E., Mascarenhas, A., Bain, J., &amp; Straus, S. (2017). Developing a comprehensive definition of sustainability. </w:t>
      </w:r>
      <w:r w:rsidRPr="000F35DB">
        <w:rPr>
          <w:rFonts w:ascii="Arial" w:eastAsia="Calibri" w:hAnsi="Arial" w:cs="Arial"/>
          <w:i/>
          <w:iCs/>
          <w:color w:val="0E0E0E"/>
          <w:kern w:val="0"/>
        </w:rPr>
        <w:t>Implementation Science</w:t>
      </w:r>
      <w:r w:rsidRPr="000F35DB">
        <w:rPr>
          <w:rFonts w:ascii="Arial" w:eastAsia="Calibri" w:hAnsi="Arial" w:cs="Arial"/>
          <w:color w:val="0E0E0E"/>
          <w:kern w:val="0"/>
        </w:rPr>
        <w:t>, 12.</w:t>
      </w:r>
      <w:hyperlink r:id="rId22" w:history="1">
        <w:r w:rsidRPr="000F35DB">
          <w:rPr>
            <w:rFonts w:ascii="Arial" w:eastAsia="Calibri" w:hAnsi="Arial" w:cs="Arial"/>
            <w:color w:val="467886" w:themeColor="hyperlink"/>
            <w:kern w:val="0"/>
            <w:u w:val="single"/>
          </w:rPr>
          <w:t>https://doi.org/10.1186/s13012-017-0637-1</w:t>
        </w:r>
      </w:hyperlink>
      <w:r w:rsidRPr="000F35DB">
        <w:rPr>
          <w:rFonts w:ascii="Arial" w:eastAsia="Calibri" w:hAnsi="Arial" w:cs="Arial"/>
          <w:color w:val="0E0E0E"/>
          <w:kern w:val="0"/>
        </w:rPr>
        <w:t xml:space="preserve"> </w:t>
      </w:r>
    </w:p>
    <w:p w14:paraId="4EDA5B12"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Oduro, S., Maccario, G., &amp; De Nisco, A. (2021). Green innovation: a multidomain systematic review. </w:t>
      </w:r>
      <w:r w:rsidRPr="000F35DB">
        <w:rPr>
          <w:rFonts w:ascii="Arial" w:eastAsia="Calibri" w:hAnsi="Arial" w:cs="Arial"/>
          <w:i/>
          <w:iCs/>
          <w:color w:val="0E0E0E"/>
          <w:kern w:val="0"/>
        </w:rPr>
        <w:t>European Journal of Innovation Management</w:t>
      </w:r>
      <w:r w:rsidRPr="000F35DB">
        <w:rPr>
          <w:rFonts w:ascii="Arial" w:eastAsia="Calibri" w:hAnsi="Arial" w:cs="Arial"/>
          <w:color w:val="0E0E0E"/>
          <w:kern w:val="0"/>
        </w:rPr>
        <w:t xml:space="preserve">. </w:t>
      </w:r>
      <w:hyperlink r:id="rId23" w:history="1">
        <w:r w:rsidRPr="000F35DB">
          <w:rPr>
            <w:rFonts w:ascii="Arial" w:eastAsia="Calibri" w:hAnsi="Arial" w:cs="Arial"/>
            <w:color w:val="467886" w:themeColor="hyperlink"/>
            <w:kern w:val="0"/>
            <w:u w:val="single"/>
          </w:rPr>
          <w:t>https://doi.org/10.1108/EJIM-10-2020-0425</w:t>
        </w:r>
      </w:hyperlink>
      <w:r w:rsidRPr="000F35DB">
        <w:rPr>
          <w:rFonts w:ascii="Arial" w:eastAsia="Calibri" w:hAnsi="Arial" w:cs="Arial"/>
          <w:color w:val="0E0E0E"/>
          <w:kern w:val="0"/>
        </w:rPr>
        <w:t xml:space="preserve"> </w:t>
      </w:r>
    </w:p>
    <w:p w14:paraId="29E48FC4"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Patella, S. M., </w:t>
      </w:r>
      <w:proofErr w:type="spellStart"/>
      <w:r w:rsidRPr="000F35DB">
        <w:rPr>
          <w:rFonts w:ascii="Arial" w:eastAsia="Calibri" w:hAnsi="Arial" w:cs="Arial"/>
          <w:color w:val="0E0E0E"/>
          <w:kern w:val="0"/>
        </w:rPr>
        <w:t>Grazieschi</w:t>
      </w:r>
      <w:proofErr w:type="spellEnd"/>
      <w:r w:rsidRPr="000F35DB">
        <w:rPr>
          <w:rFonts w:ascii="Arial" w:eastAsia="Calibri" w:hAnsi="Arial" w:cs="Arial"/>
          <w:color w:val="0E0E0E"/>
          <w:kern w:val="0"/>
        </w:rPr>
        <w:t xml:space="preserve">, G., Gatta, V., Marcucci, E., &amp; Carrese, S. (2020). The Adoption of Green Vehicles in Last Mile Logistics: A Systematic Review. </w:t>
      </w:r>
      <w:r w:rsidRPr="000F35DB">
        <w:rPr>
          <w:rFonts w:ascii="Arial" w:eastAsia="Calibri" w:hAnsi="Arial" w:cs="Arial"/>
          <w:i/>
          <w:iCs/>
          <w:color w:val="0E0E0E"/>
          <w:kern w:val="0"/>
        </w:rPr>
        <w:t>Sustainability</w:t>
      </w:r>
      <w:r w:rsidRPr="000F35DB">
        <w:rPr>
          <w:rFonts w:ascii="Arial" w:eastAsia="Calibri" w:hAnsi="Arial" w:cs="Arial"/>
          <w:color w:val="0E0E0E"/>
          <w:kern w:val="0"/>
        </w:rPr>
        <w:t xml:space="preserve">. </w:t>
      </w:r>
      <w:hyperlink r:id="rId24" w:history="1">
        <w:r w:rsidRPr="000F35DB">
          <w:rPr>
            <w:rFonts w:ascii="Arial" w:eastAsia="Calibri" w:hAnsi="Arial" w:cs="Arial"/>
            <w:color w:val="467886" w:themeColor="hyperlink"/>
            <w:kern w:val="0"/>
            <w:u w:val="single"/>
          </w:rPr>
          <w:t>https://doi.org/10.3390/su13010006</w:t>
        </w:r>
      </w:hyperlink>
      <w:r w:rsidRPr="000F35DB">
        <w:rPr>
          <w:rFonts w:ascii="Arial" w:eastAsia="Calibri" w:hAnsi="Arial" w:cs="Arial"/>
          <w:color w:val="0E0E0E"/>
          <w:kern w:val="0"/>
        </w:rPr>
        <w:t xml:space="preserve"> </w:t>
      </w:r>
    </w:p>
    <w:p w14:paraId="406C1DF5"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lastRenderedPageBreak/>
        <w:t xml:space="preserve">Santos, L. L., Cardoso, L., Araújo-Vila, N., &amp; </w:t>
      </w:r>
      <w:proofErr w:type="spellStart"/>
      <w:r w:rsidRPr="000F35DB">
        <w:rPr>
          <w:rFonts w:ascii="Arial" w:eastAsia="Calibri" w:hAnsi="Arial" w:cs="Arial"/>
          <w:color w:val="0E0E0E"/>
          <w:kern w:val="0"/>
        </w:rPr>
        <w:t>Fraiz</w:t>
      </w:r>
      <w:proofErr w:type="spellEnd"/>
      <w:r w:rsidRPr="000F35DB">
        <w:rPr>
          <w:rFonts w:ascii="Arial" w:eastAsia="Calibri" w:hAnsi="Arial" w:cs="Arial"/>
          <w:color w:val="0E0E0E"/>
          <w:kern w:val="0"/>
        </w:rPr>
        <w:t xml:space="preserve">-Brea, J. A. (2020). Sustainability Perceptions in Tourism and Hospitality: A Mixed-Method Bibliometric Approach. </w:t>
      </w:r>
      <w:r w:rsidRPr="000F35DB">
        <w:rPr>
          <w:rFonts w:ascii="Arial" w:eastAsia="Calibri" w:hAnsi="Arial" w:cs="Arial"/>
          <w:i/>
          <w:iCs/>
          <w:color w:val="0E0E0E"/>
          <w:kern w:val="0"/>
        </w:rPr>
        <w:t>Sustainability</w:t>
      </w:r>
      <w:r w:rsidRPr="000F35DB">
        <w:rPr>
          <w:rFonts w:ascii="Arial" w:eastAsia="Calibri" w:hAnsi="Arial" w:cs="Arial"/>
          <w:color w:val="0E0E0E"/>
          <w:kern w:val="0"/>
        </w:rPr>
        <w:t xml:space="preserve">. </w:t>
      </w:r>
      <w:hyperlink r:id="rId25" w:history="1">
        <w:r w:rsidRPr="000F35DB">
          <w:rPr>
            <w:rFonts w:ascii="Arial" w:eastAsia="Calibri" w:hAnsi="Arial" w:cs="Arial"/>
            <w:color w:val="467886" w:themeColor="hyperlink"/>
            <w:kern w:val="0"/>
            <w:u w:val="single"/>
          </w:rPr>
          <w:t>https://doi.org/10.3390/su12218852</w:t>
        </w:r>
      </w:hyperlink>
      <w:r w:rsidRPr="000F35DB">
        <w:rPr>
          <w:rFonts w:ascii="Arial" w:eastAsia="Calibri" w:hAnsi="Arial" w:cs="Arial"/>
          <w:color w:val="0E0E0E"/>
          <w:kern w:val="0"/>
        </w:rPr>
        <w:t xml:space="preserve"> </w:t>
      </w:r>
    </w:p>
    <w:p w14:paraId="0EC60BFC"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Sharma, T., Chen, J. S., &amp; Liu, W. Y. (2020). Eco-innovation in hospitality research (1998-2018): a systematic review. </w:t>
      </w:r>
      <w:r w:rsidRPr="000F35DB">
        <w:rPr>
          <w:rFonts w:ascii="Arial" w:eastAsia="Calibri" w:hAnsi="Arial" w:cs="Arial"/>
          <w:i/>
          <w:iCs/>
          <w:color w:val="0E0E0E"/>
          <w:kern w:val="0"/>
        </w:rPr>
        <w:t>International Journal of Contemporary Hospitality Management</w:t>
      </w:r>
      <w:r w:rsidRPr="000F35DB">
        <w:rPr>
          <w:rFonts w:ascii="Arial" w:eastAsia="Calibri" w:hAnsi="Arial" w:cs="Arial"/>
          <w:color w:val="0E0E0E"/>
          <w:kern w:val="0"/>
        </w:rPr>
        <w:t xml:space="preserve">, 32, 913-933. </w:t>
      </w:r>
      <w:hyperlink r:id="rId26" w:history="1">
        <w:r w:rsidRPr="000F35DB">
          <w:rPr>
            <w:rFonts w:ascii="Arial" w:eastAsia="Calibri" w:hAnsi="Arial" w:cs="Arial"/>
            <w:color w:val="467886" w:themeColor="hyperlink"/>
            <w:kern w:val="0"/>
            <w:u w:val="single"/>
          </w:rPr>
          <w:t>https://doi.org/10.1108/ijchm-01-2019-0002</w:t>
        </w:r>
      </w:hyperlink>
      <w:r w:rsidRPr="000F35DB">
        <w:rPr>
          <w:rFonts w:ascii="Arial" w:eastAsia="Calibri" w:hAnsi="Arial" w:cs="Arial"/>
          <w:color w:val="0E0E0E"/>
          <w:kern w:val="0"/>
        </w:rPr>
        <w:t xml:space="preserve"> </w:t>
      </w:r>
    </w:p>
    <w:p w14:paraId="5EC67D10" w14:textId="77777777" w:rsidR="000F35DB" w:rsidRPr="000F35DB" w:rsidRDefault="000F35DB" w:rsidP="000F35DB">
      <w:pPr>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Zhang, G., &amp; He, B. (2021). Towards green roof implementation: Drivers, motivations, barriers and recommendations. </w:t>
      </w:r>
      <w:r w:rsidRPr="000F35DB">
        <w:rPr>
          <w:rFonts w:ascii="Arial" w:eastAsia="Calibri" w:hAnsi="Arial" w:cs="Arial"/>
          <w:i/>
          <w:iCs/>
          <w:color w:val="0E0E0E"/>
          <w:kern w:val="0"/>
        </w:rPr>
        <w:t>Urban Forestry &amp; Urban Greening</w:t>
      </w:r>
      <w:r w:rsidRPr="000F35DB">
        <w:rPr>
          <w:rFonts w:ascii="Arial" w:eastAsia="Calibri" w:hAnsi="Arial" w:cs="Arial"/>
          <w:color w:val="0E0E0E"/>
          <w:kern w:val="0"/>
        </w:rPr>
        <w:t xml:space="preserve">, 58, 126992. </w:t>
      </w:r>
      <w:hyperlink r:id="rId27" w:history="1">
        <w:r w:rsidRPr="000F35DB">
          <w:rPr>
            <w:rFonts w:ascii="Arial" w:eastAsia="Calibri" w:hAnsi="Arial" w:cs="Arial"/>
            <w:color w:val="467886" w:themeColor="hyperlink"/>
            <w:kern w:val="0"/>
            <w:u w:val="single"/>
          </w:rPr>
          <w:t>https://doi.org/10.1016/J.UFUG.2021.126992</w:t>
        </w:r>
      </w:hyperlink>
      <w:r w:rsidRPr="000F35DB">
        <w:rPr>
          <w:rFonts w:ascii="Arial" w:eastAsia="Calibri" w:hAnsi="Arial" w:cs="Arial"/>
          <w:color w:val="0E0E0E"/>
          <w:kern w:val="0"/>
        </w:rPr>
        <w:t xml:space="preserve"> </w:t>
      </w:r>
    </w:p>
    <w:p w14:paraId="7FB8C9B1" w14:textId="77777777" w:rsidR="000F35DB" w:rsidRPr="000F35DB" w:rsidRDefault="000F35DB" w:rsidP="000F35DB">
      <w:pPr>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Zhao, X., Ke, Y., Zuo, J., Xiong, W., &amp; Wu, P. (2020). Evaluation of sustainable transport research in 2000–2019. </w:t>
      </w:r>
      <w:r w:rsidRPr="000F35DB">
        <w:rPr>
          <w:rFonts w:ascii="Arial" w:eastAsia="Calibri" w:hAnsi="Arial" w:cs="Arial"/>
          <w:i/>
          <w:iCs/>
          <w:color w:val="0E0E0E"/>
          <w:kern w:val="0"/>
        </w:rPr>
        <w:t>Journal of Cleaner Production</w:t>
      </w:r>
      <w:r w:rsidRPr="000F35DB">
        <w:rPr>
          <w:rFonts w:ascii="Arial" w:eastAsia="Calibri" w:hAnsi="Arial" w:cs="Arial"/>
          <w:color w:val="0E0E0E"/>
          <w:kern w:val="0"/>
        </w:rPr>
        <w:t xml:space="preserve">, 256, 120404. </w:t>
      </w:r>
      <w:hyperlink r:id="rId28" w:history="1">
        <w:r w:rsidRPr="000F35DB">
          <w:rPr>
            <w:rFonts w:ascii="Arial" w:eastAsia="Calibri" w:hAnsi="Arial" w:cs="Arial"/>
            <w:color w:val="467886" w:themeColor="hyperlink"/>
            <w:kern w:val="0"/>
            <w:u w:val="single"/>
          </w:rPr>
          <w:t>https://doi.org/10.1016/j.jclepro.2020.120404</w:t>
        </w:r>
      </w:hyperlink>
      <w:r w:rsidRPr="000F35DB">
        <w:rPr>
          <w:rFonts w:ascii="Arial" w:eastAsia="Calibri" w:hAnsi="Arial" w:cs="Arial"/>
          <w:color w:val="0E0E0E"/>
          <w:kern w:val="0"/>
        </w:rPr>
        <w:t xml:space="preserve"> </w:t>
      </w:r>
    </w:p>
    <w:p w14:paraId="6F1E874E" w14:textId="77777777" w:rsidR="000F35DB" w:rsidRPr="000F35DB" w:rsidRDefault="000F35DB" w:rsidP="000F35DB">
      <w:pPr>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Amiri, A., </w:t>
      </w:r>
      <w:proofErr w:type="spellStart"/>
      <w:r w:rsidRPr="000F35DB">
        <w:rPr>
          <w:rFonts w:ascii="Arial" w:eastAsia="Calibri" w:hAnsi="Arial" w:cs="Arial"/>
          <w:color w:val="0E0E0E"/>
          <w:kern w:val="0"/>
        </w:rPr>
        <w:t>Ottelin</w:t>
      </w:r>
      <w:proofErr w:type="spellEnd"/>
      <w:r w:rsidRPr="000F35DB">
        <w:rPr>
          <w:rFonts w:ascii="Arial" w:eastAsia="Calibri" w:hAnsi="Arial" w:cs="Arial"/>
          <w:color w:val="0E0E0E"/>
          <w:kern w:val="0"/>
        </w:rPr>
        <w:t xml:space="preserve">, J., &amp; Sorvari, J. (2019). Are LEED-Certified Buildings Energy-Efficient in Practice? </w:t>
      </w:r>
      <w:r w:rsidRPr="000F35DB">
        <w:rPr>
          <w:rFonts w:ascii="Arial" w:eastAsia="Calibri" w:hAnsi="Arial" w:cs="Arial"/>
          <w:i/>
          <w:iCs/>
          <w:color w:val="0E0E0E"/>
          <w:kern w:val="0"/>
        </w:rPr>
        <w:t>Sustainability</w:t>
      </w:r>
      <w:r w:rsidRPr="000F35DB">
        <w:rPr>
          <w:rFonts w:ascii="Arial" w:eastAsia="Calibri" w:hAnsi="Arial" w:cs="Arial"/>
          <w:color w:val="0E0E0E"/>
          <w:kern w:val="0"/>
        </w:rPr>
        <w:t xml:space="preserve">. </w:t>
      </w:r>
      <w:hyperlink r:id="rId29" w:history="1">
        <w:r w:rsidRPr="000F35DB">
          <w:rPr>
            <w:rFonts w:ascii="Arial" w:eastAsia="Calibri" w:hAnsi="Arial" w:cs="Arial"/>
            <w:color w:val="467886" w:themeColor="hyperlink"/>
            <w:kern w:val="0"/>
            <w:u w:val="single"/>
          </w:rPr>
          <w:t>https://doi.org/10.3390/SU11061672</w:t>
        </w:r>
      </w:hyperlink>
      <w:r w:rsidRPr="000F35DB">
        <w:rPr>
          <w:rFonts w:ascii="Arial" w:eastAsia="Calibri" w:hAnsi="Arial" w:cs="Arial"/>
          <w:color w:val="0E0E0E"/>
          <w:kern w:val="0"/>
        </w:rPr>
        <w:t xml:space="preserve"> </w:t>
      </w:r>
    </w:p>
    <w:p w14:paraId="0139ACDB"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Anthony Jnr., B. (2023). Developing green urban mobility policies for sustainable public transportation in local communities: a Norwegian perspective. </w:t>
      </w:r>
      <w:r w:rsidRPr="000F35DB">
        <w:rPr>
          <w:rFonts w:ascii="Arial" w:eastAsia="Calibri" w:hAnsi="Arial" w:cs="Arial"/>
          <w:i/>
          <w:iCs/>
          <w:color w:val="0E0E0E"/>
          <w:kern w:val="0"/>
        </w:rPr>
        <w:t>Journal of Place Management and Development</w:t>
      </w:r>
      <w:r w:rsidRPr="000F35DB">
        <w:rPr>
          <w:rFonts w:ascii="Arial" w:eastAsia="Calibri" w:hAnsi="Arial" w:cs="Arial"/>
          <w:color w:val="0E0E0E"/>
          <w:kern w:val="0"/>
        </w:rPr>
        <w:t xml:space="preserve">. </w:t>
      </w:r>
      <w:hyperlink r:id="rId30" w:history="1">
        <w:r w:rsidRPr="000F35DB">
          <w:rPr>
            <w:rFonts w:ascii="Arial" w:eastAsia="Calibri" w:hAnsi="Arial" w:cs="Arial"/>
            <w:color w:val="467886" w:themeColor="hyperlink"/>
            <w:kern w:val="0"/>
            <w:u w:val="single"/>
          </w:rPr>
          <w:t>https://doi.org/10.1108/jpmd-05-2023-0051</w:t>
        </w:r>
      </w:hyperlink>
      <w:r w:rsidRPr="000F35DB">
        <w:rPr>
          <w:rFonts w:ascii="Arial" w:eastAsia="Calibri" w:hAnsi="Arial" w:cs="Arial"/>
          <w:color w:val="0E0E0E"/>
          <w:kern w:val="0"/>
        </w:rPr>
        <w:t xml:space="preserve"> </w:t>
      </w:r>
    </w:p>
    <w:p w14:paraId="1CA9083B"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Bux, C., &amp; </w:t>
      </w:r>
      <w:proofErr w:type="spellStart"/>
      <w:r w:rsidRPr="000F35DB">
        <w:rPr>
          <w:rFonts w:ascii="Arial" w:eastAsia="Calibri" w:hAnsi="Arial" w:cs="Arial"/>
          <w:color w:val="0E0E0E"/>
          <w:kern w:val="0"/>
        </w:rPr>
        <w:t>Amicarelli</w:t>
      </w:r>
      <w:proofErr w:type="spellEnd"/>
      <w:r w:rsidRPr="000F35DB">
        <w:rPr>
          <w:rFonts w:ascii="Arial" w:eastAsia="Calibri" w:hAnsi="Arial" w:cs="Arial"/>
          <w:color w:val="0E0E0E"/>
          <w:kern w:val="0"/>
        </w:rPr>
        <w:t xml:space="preserve">, V. (2022). Circular economy and sustainable strategies in the hospitality industry: Current trends and empirical implications. </w:t>
      </w:r>
      <w:r w:rsidRPr="000F35DB">
        <w:rPr>
          <w:rFonts w:ascii="Arial" w:eastAsia="Calibri" w:hAnsi="Arial" w:cs="Arial"/>
          <w:i/>
          <w:iCs/>
          <w:color w:val="0E0E0E"/>
          <w:kern w:val="0"/>
        </w:rPr>
        <w:t>Tourism and Hospitality Research</w:t>
      </w:r>
      <w:r w:rsidRPr="000F35DB">
        <w:rPr>
          <w:rFonts w:ascii="Arial" w:eastAsia="Calibri" w:hAnsi="Arial" w:cs="Arial"/>
          <w:color w:val="0E0E0E"/>
          <w:kern w:val="0"/>
        </w:rPr>
        <w:t xml:space="preserve">, 23, 624-636. </w:t>
      </w:r>
      <w:hyperlink r:id="rId31" w:history="1">
        <w:r w:rsidRPr="000F35DB">
          <w:rPr>
            <w:rFonts w:ascii="Arial" w:eastAsia="Calibri" w:hAnsi="Arial" w:cs="Arial"/>
            <w:color w:val="467886" w:themeColor="hyperlink"/>
            <w:kern w:val="0"/>
            <w:u w:val="single"/>
          </w:rPr>
          <w:t>https://doi.org/10.1177/14673584221119581</w:t>
        </w:r>
      </w:hyperlink>
      <w:r w:rsidRPr="000F35DB">
        <w:rPr>
          <w:rFonts w:ascii="Arial" w:eastAsia="Calibri" w:hAnsi="Arial" w:cs="Arial"/>
          <w:color w:val="0E0E0E"/>
          <w:kern w:val="0"/>
        </w:rPr>
        <w:t xml:space="preserve"> </w:t>
      </w:r>
    </w:p>
    <w:p w14:paraId="1BAD7B88"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Ernawati, H., &amp; </w:t>
      </w:r>
      <w:proofErr w:type="spellStart"/>
      <w:r w:rsidRPr="000F35DB">
        <w:rPr>
          <w:rFonts w:ascii="Arial" w:eastAsia="Calibri" w:hAnsi="Arial" w:cs="Arial"/>
          <w:color w:val="0E0E0E"/>
          <w:kern w:val="0"/>
        </w:rPr>
        <w:t>Rudiyanto</w:t>
      </w:r>
      <w:proofErr w:type="spellEnd"/>
      <w:r w:rsidRPr="000F35DB">
        <w:rPr>
          <w:rFonts w:ascii="Arial" w:eastAsia="Calibri" w:hAnsi="Arial" w:cs="Arial"/>
          <w:color w:val="0E0E0E"/>
          <w:kern w:val="0"/>
        </w:rPr>
        <w:t xml:space="preserve">, A. (2023). Unveiling the Path to Sustainable </w:t>
      </w:r>
      <w:proofErr w:type="spellStart"/>
      <w:r w:rsidRPr="000F35DB">
        <w:rPr>
          <w:rFonts w:ascii="Arial" w:eastAsia="Calibri" w:hAnsi="Arial" w:cs="Arial"/>
          <w:color w:val="0E0E0E"/>
          <w:kern w:val="0"/>
        </w:rPr>
        <w:t>Behavior</w:t>
      </w:r>
      <w:proofErr w:type="spellEnd"/>
      <w:r w:rsidRPr="000F35DB">
        <w:rPr>
          <w:rFonts w:ascii="Arial" w:eastAsia="Calibri" w:hAnsi="Arial" w:cs="Arial"/>
          <w:color w:val="0E0E0E"/>
          <w:kern w:val="0"/>
        </w:rPr>
        <w:t xml:space="preserve"> in Tourism through a Systematic Literature Review. </w:t>
      </w:r>
      <w:r w:rsidRPr="000F35DB">
        <w:rPr>
          <w:rFonts w:ascii="Arial" w:eastAsia="Calibri" w:hAnsi="Arial" w:cs="Arial"/>
          <w:i/>
          <w:iCs/>
          <w:color w:val="0E0E0E"/>
          <w:kern w:val="0"/>
        </w:rPr>
        <w:t>Asian Journal of Education and Social Studies</w:t>
      </w:r>
      <w:r w:rsidRPr="000F35DB">
        <w:rPr>
          <w:rFonts w:ascii="Arial" w:eastAsia="Calibri" w:hAnsi="Arial" w:cs="Arial"/>
          <w:color w:val="0E0E0E"/>
          <w:kern w:val="0"/>
        </w:rPr>
        <w:t xml:space="preserve">. </w:t>
      </w:r>
      <w:hyperlink r:id="rId32" w:history="1">
        <w:r w:rsidRPr="000F35DB">
          <w:rPr>
            <w:rFonts w:ascii="Arial" w:eastAsia="Calibri" w:hAnsi="Arial" w:cs="Arial"/>
            <w:color w:val="467886" w:themeColor="hyperlink"/>
            <w:kern w:val="0"/>
            <w:u w:val="single"/>
          </w:rPr>
          <w:t>https://doi.org/10.9734/ajess/2023/v49i31174</w:t>
        </w:r>
      </w:hyperlink>
      <w:r w:rsidRPr="000F35DB">
        <w:rPr>
          <w:rFonts w:ascii="Arial" w:eastAsia="Calibri" w:hAnsi="Arial" w:cs="Arial"/>
          <w:color w:val="0E0E0E"/>
          <w:kern w:val="0"/>
        </w:rPr>
        <w:t xml:space="preserve"> </w:t>
      </w:r>
    </w:p>
    <w:p w14:paraId="6968C2F1" w14:textId="77777777" w:rsidR="000F35DB" w:rsidRPr="000F35DB" w:rsidRDefault="000F35DB" w:rsidP="000F35DB">
      <w:pPr>
        <w:tabs>
          <w:tab w:val="right" w:pos="100"/>
          <w:tab w:val="left" w:pos="260"/>
        </w:tabs>
        <w:autoSpaceDE w:val="0"/>
        <w:autoSpaceDN w:val="0"/>
        <w:adjustRightInd w:val="0"/>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Han, H. (2021). Consumer behaviour and environmental sustainability in tourism and hospitality: a review of theories, concepts, and the latest research. </w:t>
      </w:r>
      <w:r w:rsidRPr="000F35DB">
        <w:rPr>
          <w:rFonts w:ascii="Arial" w:eastAsia="Calibri" w:hAnsi="Arial" w:cs="Arial"/>
          <w:i/>
          <w:iCs/>
          <w:color w:val="0E0E0E"/>
          <w:kern w:val="0"/>
        </w:rPr>
        <w:t>Journal of Sustainable Tourism</w:t>
      </w:r>
      <w:r w:rsidRPr="000F35DB">
        <w:rPr>
          <w:rFonts w:ascii="Arial" w:eastAsia="Calibri" w:hAnsi="Arial" w:cs="Arial"/>
          <w:color w:val="0E0E0E"/>
          <w:kern w:val="0"/>
        </w:rPr>
        <w:t xml:space="preserve">, 29, 1021-1042. </w:t>
      </w:r>
      <w:hyperlink r:id="rId33" w:history="1">
        <w:r w:rsidRPr="000F35DB">
          <w:rPr>
            <w:rFonts w:ascii="Arial" w:eastAsia="Calibri" w:hAnsi="Arial" w:cs="Arial"/>
            <w:color w:val="467886" w:themeColor="hyperlink"/>
            <w:kern w:val="0"/>
            <w:u w:val="single"/>
          </w:rPr>
          <w:t>https://doi.org/10.1080/09669582.2021.1903019</w:t>
        </w:r>
      </w:hyperlink>
      <w:r w:rsidRPr="000F35DB">
        <w:rPr>
          <w:rFonts w:ascii="Arial" w:eastAsia="Calibri" w:hAnsi="Arial" w:cs="Arial"/>
          <w:color w:val="0E0E0E"/>
          <w:kern w:val="0"/>
        </w:rPr>
        <w:t xml:space="preserve"> </w:t>
      </w:r>
    </w:p>
    <w:p w14:paraId="730B9863" w14:textId="77777777" w:rsidR="000F35DB" w:rsidRPr="000F35DB" w:rsidRDefault="000F35DB" w:rsidP="000F35DB">
      <w:pPr>
        <w:spacing w:after="0" w:line="360" w:lineRule="auto"/>
        <w:ind w:left="360"/>
        <w:jc w:val="both"/>
        <w:rPr>
          <w:rFonts w:ascii="Arial" w:eastAsia="Calibri" w:hAnsi="Arial" w:cs="Arial"/>
          <w:color w:val="0E0E0E"/>
          <w:kern w:val="0"/>
        </w:rPr>
      </w:pPr>
      <w:r w:rsidRPr="000F35DB">
        <w:rPr>
          <w:rFonts w:ascii="Arial" w:eastAsia="Calibri" w:hAnsi="Arial" w:cs="Arial"/>
          <w:color w:val="0E0E0E"/>
          <w:kern w:val="0"/>
        </w:rPr>
        <w:t xml:space="preserve">Vlasceanu, C., Tenie, I.-P., &amp; </w:t>
      </w:r>
      <w:proofErr w:type="spellStart"/>
      <w:r w:rsidRPr="000F35DB">
        <w:rPr>
          <w:rFonts w:ascii="Arial" w:eastAsia="Calibri" w:hAnsi="Arial" w:cs="Arial"/>
          <w:color w:val="0E0E0E"/>
          <w:kern w:val="0"/>
        </w:rPr>
        <w:t>Crismariu</w:t>
      </w:r>
      <w:proofErr w:type="spellEnd"/>
      <w:r w:rsidRPr="000F35DB">
        <w:rPr>
          <w:rFonts w:ascii="Arial" w:eastAsia="Calibri" w:hAnsi="Arial" w:cs="Arial"/>
          <w:color w:val="0E0E0E"/>
          <w:kern w:val="0"/>
        </w:rPr>
        <w:t xml:space="preserve">, O. (2020). Global sustainability and responsibility in hotels and cruising industry. </w:t>
      </w:r>
      <w:r w:rsidRPr="000F35DB">
        <w:rPr>
          <w:rFonts w:ascii="Arial" w:eastAsia="Calibri" w:hAnsi="Arial" w:cs="Arial"/>
          <w:i/>
          <w:iCs/>
          <w:color w:val="0E0E0E"/>
          <w:kern w:val="0"/>
        </w:rPr>
        <w:t>Proceedings of the International Conference on Business Excellence</w:t>
      </w:r>
      <w:r w:rsidRPr="000F35DB">
        <w:rPr>
          <w:rFonts w:ascii="Arial" w:eastAsia="Calibri" w:hAnsi="Arial" w:cs="Arial"/>
          <w:color w:val="0E0E0E"/>
          <w:kern w:val="0"/>
        </w:rPr>
        <w:t xml:space="preserve">, 14, 306-315. </w:t>
      </w:r>
      <w:hyperlink r:id="rId34" w:history="1">
        <w:r w:rsidRPr="000F35DB">
          <w:rPr>
            <w:rFonts w:ascii="Arial" w:eastAsia="Calibri" w:hAnsi="Arial" w:cs="Arial"/>
            <w:color w:val="467886" w:themeColor="hyperlink"/>
            <w:kern w:val="0"/>
            <w:u w:val="single"/>
          </w:rPr>
          <w:t>https://doi.org/10.2478/picbe-2020-0029</w:t>
        </w:r>
      </w:hyperlink>
      <w:r w:rsidRPr="000F35DB">
        <w:rPr>
          <w:rFonts w:ascii="Arial" w:eastAsia="Calibri" w:hAnsi="Arial" w:cs="Arial"/>
          <w:color w:val="0E0E0E"/>
          <w:kern w:val="0"/>
        </w:rPr>
        <w:t xml:space="preserve"> </w:t>
      </w:r>
    </w:p>
    <w:p w14:paraId="1B3BD9E1" w14:textId="77777777" w:rsidR="000F35DB" w:rsidRDefault="000F35DB" w:rsidP="000F35DB">
      <w:pPr>
        <w:jc w:val="center"/>
      </w:pPr>
    </w:p>
    <w:sectPr w:rsidR="000F35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5F0CFD"/>
    <w:multiLevelType w:val="multilevel"/>
    <w:tmpl w:val="D856148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277716907">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07B"/>
    <w:rsid w:val="000E507B"/>
    <w:rsid w:val="000F35DB"/>
    <w:rsid w:val="001B0393"/>
    <w:rsid w:val="003220C0"/>
    <w:rsid w:val="00445C12"/>
    <w:rsid w:val="00507DA1"/>
    <w:rsid w:val="00571879"/>
    <w:rsid w:val="00686DEB"/>
    <w:rsid w:val="007F7716"/>
    <w:rsid w:val="00815458"/>
    <w:rsid w:val="009E0E0B"/>
    <w:rsid w:val="00A26F98"/>
    <w:rsid w:val="00A52E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B0FDF"/>
  <w15:chartTrackingRefBased/>
  <w15:docId w15:val="{063E8BC9-A661-4CF1-9466-466391215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5DB"/>
  </w:style>
  <w:style w:type="paragraph" w:styleId="Heading1">
    <w:name w:val="heading 1"/>
    <w:basedOn w:val="Normal"/>
    <w:next w:val="Normal"/>
    <w:link w:val="Heading1Char"/>
    <w:uiPriority w:val="9"/>
    <w:qFormat/>
    <w:rsid w:val="000E50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E50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E50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50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50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50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50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50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50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50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E50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E50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50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50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50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50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50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507B"/>
    <w:rPr>
      <w:rFonts w:eastAsiaTheme="majorEastAsia" w:cstheme="majorBidi"/>
      <w:color w:val="272727" w:themeColor="text1" w:themeTint="D8"/>
    </w:rPr>
  </w:style>
  <w:style w:type="paragraph" w:styleId="Title">
    <w:name w:val="Title"/>
    <w:basedOn w:val="Normal"/>
    <w:next w:val="Normal"/>
    <w:link w:val="TitleChar"/>
    <w:uiPriority w:val="10"/>
    <w:qFormat/>
    <w:rsid w:val="000E50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50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50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50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507B"/>
    <w:pPr>
      <w:spacing w:before="160"/>
      <w:jc w:val="center"/>
    </w:pPr>
    <w:rPr>
      <w:i/>
      <w:iCs/>
      <w:color w:val="404040" w:themeColor="text1" w:themeTint="BF"/>
    </w:rPr>
  </w:style>
  <w:style w:type="character" w:customStyle="1" w:styleId="QuoteChar">
    <w:name w:val="Quote Char"/>
    <w:basedOn w:val="DefaultParagraphFont"/>
    <w:link w:val="Quote"/>
    <w:uiPriority w:val="29"/>
    <w:rsid w:val="000E507B"/>
    <w:rPr>
      <w:i/>
      <w:iCs/>
      <w:color w:val="404040" w:themeColor="text1" w:themeTint="BF"/>
    </w:rPr>
  </w:style>
  <w:style w:type="paragraph" w:styleId="ListParagraph">
    <w:name w:val="List Paragraph"/>
    <w:basedOn w:val="Normal"/>
    <w:uiPriority w:val="34"/>
    <w:qFormat/>
    <w:rsid w:val="000E507B"/>
    <w:pPr>
      <w:ind w:left="720"/>
      <w:contextualSpacing/>
    </w:pPr>
  </w:style>
  <w:style w:type="character" w:styleId="IntenseEmphasis">
    <w:name w:val="Intense Emphasis"/>
    <w:basedOn w:val="DefaultParagraphFont"/>
    <w:uiPriority w:val="21"/>
    <w:qFormat/>
    <w:rsid w:val="000E507B"/>
    <w:rPr>
      <w:i/>
      <w:iCs/>
      <w:color w:val="0F4761" w:themeColor="accent1" w:themeShade="BF"/>
    </w:rPr>
  </w:style>
  <w:style w:type="paragraph" w:styleId="IntenseQuote">
    <w:name w:val="Intense Quote"/>
    <w:basedOn w:val="Normal"/>
    <w:next w:val="Normal"/>
    <w:link w:val="IntenseQuoteChar"/>
    <w:uiPriority w:val="30"/>
    <w:qFormat/>
    <w:rsid w:val="000E50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507B"/>
    <w:rPr>
      <w:i/>
      <w:iCs/>
      <w:color w:val="0F4761" w:themeColor="accent1" w:themeShade="BF"/>
    </w:rPr>
  </w:style>
  <w:style w:type="character" w:styleId="IntenseReference">
    <w:name w:val="Intense Reference"/>
    <w:basedOn w:val="DefaultParagraphFont"/>
    <w:uiPriority w:val="32"/>
    <w:qFormat/>
    <w:rsid w:val="000E507B"/>
    <w:rPr>
      <w:b/>
      <w:bCs/>
      <w:smallCaps/>
      <w:color w:val="0F4761" w:themeColor="accent1" w:themeShade="BF"/>
      <w:spacing w:val="5"/>
    </w:rPr>
  </w:style>
  <w:style w:type="paragraph" w:styleId="TOCHeading">
    <w:name w:val="TOC Heading"/>
    <w:basedOn w:val="Heading1"/>
    <w:next w:val="Normal"/>
    <w:uiPriority w:val="39"/>
    <w:unhideWhenUsed/>
    <w:qFormat/>
    <w:rsid w:val="00507DA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07DA1"/>
    <w:pPr>
      <w:spacing w:after="100"/>
    </w:pPr>
  </w:style>
  <w:style w:type="paragraph" w:styleId="TOC2">
    <w:name w:val="toc 2"/>
    <w:basedOn w:val="Normal"/>
    <w:next w:val="Normal"/>
    <w:autoRedefine/>
    <w:uiPriority w:val="39"/>
    <w:unhideWhenUsed/>
    <w:rsid w:val="00507DA1"/>
    <w:pPr>
      <w:spacing w:after="100"/>
      <w:ind w:left="240"/>
    </w:pPr>
  </w:style>
  <w:style w:type="paragraph" w:styleId="TOC3">
    <w:name w:val="toc 3"/>
    <w:basedOn w:val="Normal"/>
    <w:next w:val="Normal"/>
    <w:autoRedefine/>
    <w:uiPriority w:val="39"/>
    <w:unhideWhenUsed/>
    <w:rsid w:val="00507DA1"/>
    <w:pPr>
      <w:spacing w:after="100"/>
      <w:ind w:left="480"/>
    </w:pPr>
  </w:style>
  <w:style w:type="character" w:styleId="Hyperlink">
    <w:name w:val="Hyperlink"/>
    <w:basedOn w:val="DefaultParagraphFont"/>
    <w:uiPriority w:val="99"/>
    <w:unhideWhenUsed/>
    <w:rsid w:val="00507DA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8050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IJCHM-05-2018-0370" TargetMode="External"/><Relationship Id="rId18" Type="http://schemas.openxmlformats.org/officeDocument/2006/relationships/hyperlink" Target="https://doi.org/10.3390/SU11092513" TargetMode="External"/><Relationship Id="rId26" Type="http://schemas.openxmlformats.org/officeDocument/2006/relationships/hyperlink" Target="https://doi.org/10.1108/ijchm-01-2019-0002" TargetMode="External"/><Relationship Id="rId3" Type="http://schemas.openxmlformats.org/officeDocument/2006/relationships/styles" Target="styles.xml"/><Relationship Id="rId21" Type="http://schemas.openxmlformats.org/officeDocument/2006/relationships/hyperlink" Target="https://doi.org/10.1108/ijchm-10-2021-1305" TargetMode="External"/><Relationship Id="rId34" Type="http://schemas.openxmlformats.org/officeDocument/2006/relationships/hyperlink" Target="https://doi.org/10.2478/picbe-2020-0029" TargetMode="External"/><Relationship Id="rId7" Type="http://schemas.openxmlformats.org/officeDocument/2006/relationships/hyperlink" Target="https://doi.org/10.1111/j.1523-1739.2011.01774.x" TargetMode="External"/><Relationship Id="rId12" Type="http://schemas.openxmlformats.org/officeDocument/2006/relationships/hyperlink" Target="https://doi.org/10.54941/ahfe1002729" TargetMode="External"/><Relationship Id="rId17" Type="http://schemas.openxmlformats.org/officeDocument/2006/relationships/hyperlink" Target="https://doi.org/10.3390/su12072729" TargetMode="External"/><Relationship Id="rId25" Type="http://schemas.openxmlformats.org/officeDocument/2006/relationships/hyperlink" Target="https://doi.org/10.3390/su12218852" TargetMode="External"/><Relationship Id="rId33" Type="http://schemas.openxmlformats.org/officeDocument/2006/relationships/hyperlink" Target="https://doi.org/10.1080/09669582.2021.1903019" TargetMode="External"/><Relationship Id="rId2" Type="http://schemas.openxmlformats.org/officeDocument/2006/relationships/numbering" Target="numbering.xml"/><Relationship Id="rId16" Type="http://schemas.openxmlformats.org/officeDocument/2006/relationships/hyperlink" Target="https://doi.org/10.1016/J.JCLEPRO.2013.07.017" TargetMode="External"/><Relationship Id="rId20" Type="http://schemas.openxmlformats.org/officeDocument/2006/relationships/hyperlink" Target="https://doi.org/10.1080/15022250.2023.2174179" TargetMode="External"/><Relationship Id="rId29" Type="http://schemas.openxmlformats.org/officeDocument/2006/relationships/hyperlink" Target="https://doi.org/10.3390/SU11061672" TargetMode="External"/><Relationship Id="rId1" Type="http://schemas.openxmlformats.org/officeDocument/2006/relationships/customXml" Target="../customXml/item1.xml"/><Relationship Id="rId6" Type="http://schemas.openxmlformats.org/officeDocument/2006/relationships/hyperlink" Target="https://doi.org/10.1016/J.JCLEPRO.2016.07.103" TargetMode="External"/><Relationship Id="rId11" Type="http://schemas.openxmlformats.org/officeDocument/2006/relationships/hyperlink" Target="https://doi.org/10.1016/J.JCLEPRO.2017.11.054" TargetMode="External"/><Relationship Id="rId24" Type="http://schemas.openxmlformats.org/officeDocument/2006/relationships/hyperlink" Target="https://doi.org/10.3390/su13010006" TargetMode="External"/><Relationship Id="rId32" Type="http://schemas.openxmlformats.org/officeDocument/2006/relationships/hyperlink" Target="https://doi.org/10.9734/ajess/2023/v49i31174" TargetMode="External"/><Relationship Id="rId5" Type="http://schemas.openxmlformats.org/officeDocument/2006/relationships/webSettings" Target="webSettings.xml"/><Relationship Id="rId15" Type="http://schemas.openxmlformats.org/officeDocument/2006/relationships/hyperlink" Target="https://doi.org/10.52131/jom.2022.0402.0074" TargetMode="External"/><Relationship Id="rId23" Type="http://schemas.openxmlformats.org/officeDocument/2006/relationships/hyperlink" Target="https://doi.org/10.1108/EJIM-10-2020-0425" TargetMode="External"/><Relationship Id="rId28" Type="http://schemas.openxmlformats.org/officeDocument/2006/relationships/hyperlink" Target="https://doi.org/10.1016/j.jclepro.2020.120404" TargetMode="External"/><Relationship Id="rId36" Type="http://schemas.openxmlformats.org/officeDocument/2006/relationships/theme" Target="theme/theme1.xml"/><Relationship Id="rId10" Type="http://schemas.openxmlformats.org/officeDocument/2006/relationships/hyperlink" Target="https://doi.org/10.1016/J.BUILDENV.2017.07.007" TargetMode="External"/><Relationship Id="rId19" Type="http://schemas.openxmlformats.org/officeDocument/2006/relationships/hyperlink" Target="https://doi.org/10.3390/su132212691" TargetMode="External"/><Relationship Id="rId31" Type="http://schemas.openxmlformats.org/officeDocument/2006/relationships/hyperlink" Target="https://doi.org/10.1177/14673584221119581" TargetMode="External"/><Relationship Id="rId4" Type="http://schemas.openxmlformats.org/officeDocument/2006/relationships/settings" Target="settings.xml"/><Relationship Id="rId9" Type="http://schemas.openxmlformats.org/officeDocument/2006/relationships/hyperlink" Target="https://doi.org/10.1088/1748-9326/aa625e" TargetMode="External"/><Relationship Id="rId14" Type="http://schemas.openxmlformats.org/officeDocument/2006/relationships/hyperlink" Target="https://doi.org/10.1108/jfm-03-2022-0025" TargetMode="External"/><Relationship Id="rId22" Type="http://schemas.openxmlformats.org/officeDocument/2006/relationships/hyperlink" Target="https://doi.org/10.1186/s13012-017-0637-1" TargetMode="External"/><Relationship Id="rId27" Type="http://schemas.openxmlformats.org/officeDocument/2006/relationships/hyperlink" Target="https://doi.org/10.1016/J.UFUG.2021.126992" TargetMode="External"/><Relationship Id="rId30" Type="http://schemas.openxmlformats.org/officeDocument/2006/relationships/hyperlink" Target="https://doi.org/10.1108/jpmd-05-2023-0051" TargetMode="External"/><Relationship Id="rId35" Type="http://schemas.openxmlformats.org/officeDocument/2006/relationships/fontTable" Target="fontTable.xml"/><Relationship Id="rId8" Type="http://schemas.openxmlformats.org/officeDocument/2006/relationships/hyperlink" Target="https://doi.org/10.1016/J.JCLEPRO.2021.1274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679DB-FD8A-4FB4-89F6-2769D58BB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14</Pages>
  <Words>4233</Words>
  <Characters>24132</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Salanchi</dc:creator>
  <cp:keywords/>
  <dc:description/>
  <cp:lastModifiedBy>Anamaria Salanchi</cp:lastModifiedBy>
  <cp:revision>5</cp:revision>
  <dcterms:created xsi:type="dcterms:W3CDTF">2024-06-03T15:12:00Z</dcterms:created>
  <dcterms:modified xsi:type="dcterms:W3CDTF">2024-06-03T21:03:00Z</dcterms:modified>
</cp:coreProperties>
</file>