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5CD9AB" w14:textId="063EB771" w:rsidR="003F1D50" w:rsidRDefault="00CC726A" w:rsidP="00CC726A">
      <w:pPr>
        <w:jc w:val="center"/>
        <w:rPr>
          <w:sz w:val="24"/>
          <w:u w:val="single"/>
        </w:rPr>
      </w:pPr>
      <w:r w:rsidRPr="00CC726A">
        <w:rPr>
          <w:sz w:val="24"/>
          <w:u w:val="single"/>
        </w:rPr>
        <w:t>An individual reflective response to the Professional Teaching Experience</w:t>
      </w:r>
    </w:p>
    <w:p w14:paraId="2F102313" w14:textId="060D14AE" w:rsidR="00CC726A" w:rsidRDefault="00475B88" w:rsidP="00CC726A">
      <w:pPr>
        <w:rPr>
          <w:sz w:val="24"/>
        </w:rPr>
      </w:pPr>
      <w:r>
        <w:rPr>
          <w:sz w:val="24"/>
        </w:rPr>
        <w:t xml:space="preserve">Reflection is an essential part of </w:t>
      </w:r>
      <w:r w:rsidR="00627A2D">
        <w:rPr>
          <w:sz w:val="24"/>
        </w:rPr>
        <w:t xml:space="preserve">teaching. By reflecting on my </w:t>
      </w:r>
      <w:r w:rsidR="00F15356">
        <w:rPr>
          <w:sz w:val="24"/>
        </w:rPr>
        <w:t xml:space="preserve">professional </w:t>
      </w:r>
      <w:r w:rsidR="00627A2D">
        <w:rPr>
          <w:sz w:val="24"/>
        </w:rPr>
        <w:t>teaching experiences during placement (PTE1), I have been able to make improvements. I have used ARC’s as a form of reflecting on each session that I have taught</w:t>
      </w:r>
      <w:r w:rsidR="00F15356">
        <w:rPr>
          <w:sz w:val="24"/>
        </w:rPr>
        <w:t>. B</w:t>
      </w:r>
      <w:r w:rsidR="00627A2D">
        <w:rPr>
          <w:sz w:val="24"/>
        </w:rPr>
        <w:t xml:space="preserve">y doing this, I am keeping </w:t>
      </w:r>
      <w:bookmarkStart w:id="0" w:name="_GoBack"/>
      <w:bookmarkEnd w:id="0"/>
      <w:r w:rsidR="00627A2D">
        <w:rPr>
          <w:sz w:val="24"/>
        </w:rPr>
        <w:t xml:space="preserve">track of </w:t>
      </w:r>
      <w:r w:rsidR="00F15356">
        <w:rPr>
          <w:sz w:val="24"/>
        </w:rPr>
        <w:t xml:space="preserve">my </w:t>
      </w:r>
      <w:r w:rsidR="00627A2D">
        <w:rPr>
          <w:sz w:val="24"/>
        </w:rPr>
        <w:t>progress as well as learning from past teaching experiences</w:t>
      </w:r>
      <w:r w:rsidR="00F15356">
        <w:rPr>
          <w:sz w:val="24"/>
        </w:rPr>
        <w:t xml:space="preserve"> that I have had. </w:t>
      </w:r>
      <w:r w:rsidR="00FE1355">
        <w:rPr>
          <w:sz w:val="24"/>
        </w:rPr>
        <w:t>John Dewey (19</w:t>
      </w:r>
      <w:r w:rsidR="006816EA">
        <w:rPr>
          <w:sz w:val="24"/>
        </w:rPr>
        <w:t xml:space="preserve">33) explains </w:t>
      </w:r>
      <w:r w:rsidR="00774FC1">
        <w:rPr>
          <w:sz w:val="24"/>
        </w:rPr>
        <w:t xml:space="preserve">that </w:t>
      </w:r>
      <w:r w:rsidR="006816EA">
        <w:rPr>
          <w:sz w:val="24"/>
        </w:rPr>
        <w:t xml:space="preserve">reflection </w:t>
      </w:r>
      <w:r w:rsidR="006816EA" w:rsidRPr="006816EA">
        <w:rPr>
          <w:sz w:val="24"/>
        </w:rPr>
        <w:t>“gives an individual an increased power of control</w:t>
      </w:r>
      <w:r w:rsidR="006816EA">
        <w:rPr>
          <w:sz w:val="24"/>
        </w:rPr>
        <w:t xml:space="preserve">.” By reflecting on our teaching experiences, we can control our future experiences as we will know what works well during our personal teaching practice and what doesn’t. </w:t>
      </w:r>
      <w:proofErr w:type="spellStart"/>
      <w:r w:rsidR="00127549" w:rsidRPr="00127549">
        <w:rPr>
          <w:sz w:val="24"/>
        </w:rPr>
        <w:t>Boud</w:t>
      </w:r>
      <w:proofErr w:type="spellEnd"/>
      <w:r w:rsidR="00127549" w:rsidRPr="00127549">
        <w:rPr>
          <w:sz w:val="24"/>
        </w:rPr>
        <w:t>, Keogh and Walker (1985)</w:t>
      </w:r>
      <w:r w:rsidR="00127549">
        <w:rPr>
          <w:sz w:val="24"/>
        </w:rPr>
        <w:t xml:space="preserve"> states that for reflection we must take into consideration the feelings which occurred during the event. I have been implementing this within my ARC reflections</w:t>
      </w:r>
      <w:r w:rsidR="00776275">
        <w:rPr>
          <w:sz w:val="24"/>
        </w:rPr>
        <w:t xml:space="preserve">, noting my feelings towards my teaching practice to allow me to improve. </w:t>
      </w:r>
      <w:r w:rsidR="00274945">
        <w:rPr>
          <w:sz w:val="24"/>
        </w:rPr>
        <w:t xml:space="preserve">In this essay, I will be looking at how I implemented </w:t>
      </w:r>
      <w:r w:rsidR="007A4F6B">
        <w:rPr>
          <w:sz w:val="24"/>
        </w:rPr>
        <w:t>reflective strategies</w:t>
      </w:r>
      <w:r w:rsidR="00274945">
        <w:rPr>
          <w:sz w:val="24"/>
        </w:rPr>
        <w:t xml:space="preserve"> in my own reflection of my teaching practice. </w:t>
      </w:r>
    </w:p>
    <w:p w14:paraId="56642D57" w14:textId="5B94B30E" w:rsidR="00490D65" w:rsidRDefault="003A3199" w:rsidP="00CC726A">
      <w:pPr>
        <w:rPr>
          <w:sz w:val="24"/>
        </w:rPr>
      </w:pPr>
      <w:r>
        <w:rPr>
          <w:sz w:val="24"/>
        </w:rPr>
        <w:t xml:space="preserve">One of the elements of my teaching practice that I reflected on </w:t>
      </w:r>
      <w:r w:rsidR="00720E4D">
        <w:rPr>
          <w:sz w:val="24"/>
        </w:rPr>
        <w:t>was differentiation. This comes under S1.1 of the Qualified Teacher Status Standards 2009</w:t>
      </w:r>
      <w:r w:rsidR="00C9784B">
        <w:rPr>
          <w:sz w:val="24"/>
        </w:rPr>
        <w:t xml:space="preserve"> (QTS)</w:t>
      </w:r>
      <w:r w:rsidR="00720E4D">
        <w:rPr>
          <w:sz w:val="24"/>
        </w:rPr>
        <w:t xml:space="preserve"> which states “</w:t>
      </w:r>
      <w:r w:rsidR="00720E4D" w:rsidRPr="00720E4D">
        <w:rPr>
          <w:sz w:val="24"/>
        </w:rPr>
        <w:t>They understand the diverse learning needs of learners and endeavour to provide the best possible education for them to maximise their potential, whatever their individual aspirations, personal circumstances or cultural, linguistic, religious and ethnic backgrounds</w:t>
      </w:r>
      <w:r w:rsidR="00720E4D">
        <w:rPr>
          <w:sz w:val="24"/>
        </w:rPr>
        <w:t xml:space="preserve">.” After teaching my first Mathematics session within groups, I quickly realised that I had not differentiated effectively between the higher and lower ability groups. </w:t>
      </w:r>
      <w:r w:rsidR="00CB67B9">
        <w:rPr>
          <w:sz w:val="24"/>
        </w:rPr>
        <w:t xml:space="preserve">I completed PTE1 in Foundation Phase and I was teaching the children one more and one less of a number up to ten. The highest ability group found the activity to be </w:t>
      </w:r>
      <w:r w:rsidR="00F548F5">
        <w:rPr>
          <w:sz w:val="24"/>
        </w:rPr>
        <w:t>straight</w:t>
      </w:r>
      <w:r w:rsidR="00CB67B9">
        <w:rPr>
          <w:sz w:val="24"/>
        </w:rPr>
        <w:t xml:space="preserve"> forward and as I was writing up my ARC reflection, I realised that I could have planned an extension task for the children. This would have ensured that I was personally meeting target S1.1 of the</w:t>
      </w:r>
      <w:r w:rsidR="00596078">
        <w:rPr>
          <w:sz w:val="24"/>
        </w:rPr>
        <w:t xml:space="preserve"> QTS</w:t>
      </w:r>
      <w:r w:rsidR="00CB67B9">
        <w:rPr>
          <w:sz w:val="24"/>
        </w:rPr>
        <w:t xml:space="preserve"> </w:t>
      </w:r>
      <w:r w:rsidR="00596078">
        <w:rPr>
          <w:sz w:val="24"/>
        </w:rPr>
        <w:t>s</w:t>
      </w:r>
      <w:r w:rsidR="00CB67B9">
        <w:rPr>
          <w:sz w:val="24"/>
        </w:rPr>
        <w:t xml:space="preserve">tandards 2009 in which </w:t>
      </w:r>
      <w:r w:rsidR="004B37BF">
        <w:rPr>
          <w:sz w:val="24"/>
        </w:rPr>
        <w:t xml:space="preserve">I </w:t>
      </w:r>
      <w:r w:rsidR="00410F88">
        <w:rPr>
          <w:sz w:val="24"/>
        </w:rPr>
        <w:t>must</w:t>
      </w:r>
      <w:r w:rsidR="004B37BF">
        <w:rPr>
          <w:sz w:val="24"/>
        </w:rPr>
        <w:t xml:space="preserve"> meet</w:t>
      </w:r>
      <w:r w:rsidR="00CB67B9">
        <w:rPr>
          <w:sz w:val="24"/>
        </w:rPr>
        <w:t xml:space="preserve"> the learning needs </w:t>
      </w:r>
      <w:r w:rsidR="004B37BF">
        <w:rPr>
          <w:sz w:val="24"/>
        </w:rPr>
        <w:t xml:space="preserve">of each learner to ensure that they get the most out of their education. </w:t>
      </w:r>
      <w:r w:rsidR="0024720E">
        <w:rPr>
          <w:sz w:val="24"/>
        </w:rPr>
        <w:t xml:space="preserve">During my reflection on this activity, I also realised that I should have differentiated for the lower ability groups. When reflecting, I had found that the children in the lower ability groups were unable to meet the L.O. as some of the children could not </w:t>
      </w:r>
      <w:r w:rsidR="00AF4DD8">
        <w:rPr>
          <w:sz w:val="24"/>
        </w:rPr>
        <w:t>count</w:t>
      </w:r>
      <w:r w:rsidR="0024720E">
        <w:rPr>
          <w:sz w:val="24"/>
        </w:rPr>
        <w:t xml:space="preserve"> to ten reliably</w:t>
      </w:r>
      <w:r w:rsidR="00AF4DD8">
        <w:rPr>
          <w:sz w:val="24"/>
        </w:rPr>
        <w:t xml:space="preserve">. Reflecting on this, I realised that I could have used number lines for the lower ability groups to help the children visually see the numbers and adding one more and one less. </w:t>
      </w:r>
      <w:r w:rsidR="0035361C">
        <w:rPr>
          <w:sz w:val="24"/>
        </w:rPr>
        <w:t xml:space="preserve">Dewey (1933) believes that reflection for learning involves recalling the event and exploring why things happened the way they did and what could be changed in future events. This was implemented through my ARC reflection because I was able to acknowledge what had gone well and what hadn’t gone well, and then I was able to look for solutions on how I could adapt my teaching to suit every learner’s needs. This will help maximise their potential and increase </w:t>
      </w:r>
      <w:r w:rsidR="00A15F19">
        <w:rPr>
          <w:sz w:val="24"/>
        </w:rPr>
        <w:t>every</w:t>
      </w:r>
      <w:r w:rsidR="00850437">
        <w:rPr>
          <w:sz w:val="24"/>
        </w:rPr>
        <w:t xml:space="preserve"> learner’s</w:t>
      </w:r>
      <w:r w:rsidR="0035361C">
        <w:rPr>
          <w:sz w:val="24"/>
        </w:rPr>
        <w:t xml:space="preserve"> opportunities. </w:t>
      </w:r>
      <w:r w:rsidR="00A15F19">
        <w:rPr>
          <w:sz w:val="24"/>
        </w:rPr>
        <w:t xml:space="preserve">By reflecting on this mistake and </w:t>
      </w:r>
      <w:r w:rsidR="0096559E">
        <w:rPr>
          <w:sz w:val="24"/>
        </w:rPr>
        <w:t xml:space="preserve">accepting where I went wrong, I was able to make S1.1 of the </w:t>
      </w:r>
      <w:r w:rsidR="00596078">
        <w:rPr>
          <w:sz w:val="24"/>
        </w:rPr>
        <w:t xml:space="preserve">QTS standards 2009 </w:t>
      </w:r>
      <w:r w:rsidR="0096559E">
        <w:rPr>
          <w:sz w:val="24"/>
        </w:rPr>
        <w:t xml:space="preserve">a target for myself in my following sessions. </w:t>
      </w:r>
      <w:r w:rsidR="00765D35">
        <w:rPr>
          <w:sz w:val="24"/>
        </w:rPr>
        <w:t>Reflection in this case, was e</w:t>
      </w:r>
      <w:r w:rsidR="000946AA">
        <w:rPr>
          <w:sz w:val="24"/>
        </w:rPr>
        <w:t>ssential</w:t>
      </w:r>
      <w:r w:rsidR="00765D35">
        <w:rPr>
          <w:sz w:val="24"/>
        </w:rPr>
        <w:t xml:space="preserve"> for my teaching practice. </w:t>
      </w:r>
    </w:p>
    <w:p w14:paraId="3CE23CE1" w14:textId="1A25FC76" w:rsidR="00387062" w:rsidRDefault="00172E7D" w:rsidP="00CC726A">
      <w:pPr>
        <w:rPr>
          <w:sz w:val="24"/>
        </w:rPr>
      </w:pPr>
      <w:r>
        <w:rPr>
          <w:sz w:val="24"/>
        </w:rPr>
        <w:t>Professional values are a key element for reflection whilst on teaching practice. By reflecting on our practice, this helps us to understand where we can improve in our values. S1.7 of the QTS standards 2009 states that a teacher should be able to “</w:t>
      </w:r>
      <w:r w:rsidRPr="00172E7D">
        <w:rPr>
          <w:sz w:val="24"/>
        </w:rPr>
        <w:t xml:space="preserve">contribute to the wider </w:t>
      </w:r>
      <w:r w:rsidRPr="00172E7D">
        <w:rPr>
          <w:sz w:val="24"/>
        </w:rPr>
        <w:lastRenderedPageBreak/>
        <w:t>development of the school and profession and are aware of the importance of maintaining up-to-date professional knowledge, understanding and skills and are able to reflect on their own practice. They recognise their own needs and take responsibility for their continuing professional development.</w:t>
      </w:r>
      <w:r>
        <w:rPr>
          <w:sz w:val="24"/>
        </w:rPr>
        <w:t xml:space="preserve">” </w:t>
      </w:r>
      <w:r w:rsidR="009C3995">
        <w:rPr>
          <w:sz w:val="24"/>
        </w:rPr>
        <w:t xml:space="preserve">This expectation is set out to ensure that trainee teacher’s focus on reflecting on their teaching practice as well as recognising the professional values needed to be a teacher. During my placement, I ensured that I was continually looking over the QTS standards to </w:t>
      </w:r>
      <w:r w:rsidR="00276605">
        <w:rPr>
          <w:sz w:val="24"/>
        </w:rPr>
        <w:t xml:space="preserve">ensure that I was setting myself reasonable targets based on my reflections of my </w:t>
      </w:r>
      <w:r w:rsidR="005D4FCD">
        <w:rPr>
          <w:sz w:val="24"/>
        </w:rPr>
        <w:t xml:space="preserve">taught lessons. </w:t>
      </w:r>
      <w:r w:rsidR="00985632">
        <w:rPr>
          <w:sz w:val="24"/>
        </w:rPr>
        <w:t xml:space="preserve">Gibbs (1998) created ‘the reflective cycle’ </w:t>
      </w:r>
      <w:r w:rsidR="00B374F0">
        <w:rPr>
          <w:sz w:val="24"/>
        </w:rPr>
        <w:t>(fig</w:t>
      </w:r>
      <w:r w:rsidR="004B7CA3">
        <w:rPr>
          <w:sz w:val="24"/>
        </w:rPr>
        <w:t>.</w:t>
      </w:r>
      <w:r w:rsidR="00B374F0">
        <w:rPr>
          <w:sz w:val="24"/>
        </w:rPr>
        <w:t xml:space="preserve"> 1) </w:t>
      </w:r>
      <w:r w:rsidR="00985632">
        <w:rPr>
          <w:sz w:val="24"/>
        </w:rPr>
        <w:t xml:space="preserve">which is used to encourage </w:t>
      </w:r>
      <w:r w:rsidR="00B374F0">
        <w:rPr>
          <w:sz w:val="24"/>
        </w:rPr>
        <w:t xml:space="preserve">you to think about the phases of an experience. </w:t>
      </w:r>
    </w:p>
    <w:p w14:paraId="2FFDE9B8" w14:textId="40F0BC71" w:rsidR="00C9784B" w:rsidRDefault="00B374F0" w:rsidP="00CC726A">
      <w:pPr>
        <w:rPr>
          <w:sz w:val="24"/>
        </w:rPr>
      </w:pPr>
      <w:r w:rsidRPr="00B374F0">
        <w:rPr>
          <w:noProof/>
        </w:rPr>
        <w:drawing>
          <wp:anchor distT="0" distB="0" distL="114300" distR="114300" simplePos="0" relativeHeight="251658240" behindDoc="0" locked="0" layoutInCell="1" allowOverlap="1" wp14:anchorId="6C2AE1DE" wp14:editId="71192A02">
            <wp:simplePos x="0" y="0"/>
            <wp:positionH relativeFrom="margin">
              <wp:align>left</wp:align>
            </wp:positionH>
            <wp:positionV relativeFrom="paragraph">
              <wp:posOffset>5080</wp:posOffset>
            </wp:positionV>
            <wp:extent cx="2568575" cy="2066290"/>
            <wp:effectExtent l="0" t="0" r="317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568575" cy="2066290"/>
                    </a:xfrm>
                    <a:prstGeom prst="rect">
                      <a:avLst/>
                    </a:prstGeom>
                  </pic:spPr>
                </pic:pic>
              </a:graphicData>
            </a:graphic>
            <wp14:sizeRelH relativeFrom="page">
              <wp14:pctWidth>0</wp14:pctWidth>
            </wp14:sizeRelH>
            <wp14:sizeRelV relativeFrom="page">
              <wp14:pctHeight>0</wp14:pctHeight>
            </wp14:sizeRelV>
          </wp:anchor>
        </w:drawing>
      </w:r>
    </w:p>
    <w:p w14:paraId="51733646" w14:textId="3C5D93F9" w:rsidR="00B374F0" w:rsidRDefault="00B374F0">
      <w:pPr>
        <w:rPr>
          <w:sz w:val="24"/>
        </w:rPr>
      </w:pPr>
    </w:p>
    <w:p w14:paraId="10F7C602" w14:textId="36F90B5A" w:rsidR="00B374F0" w:rsidRDefault="00B374F0">
      <w:pPr>
        <w:rPr>
          <w:sz w:val="24"/>
        </w:rPr>
      </w:pPr>
      <w:r>
        <w:rPr>
          <w:sz w:val="24"/>
        </w:rPr>
        <w:t>Fig. 1</w:t>
      </w:r>
    </w:p>
    <w:p w14:paraId="59F5AAFD" w14:textId="48286A8B" w:rsidR="00B374F0" w:rsidRDefault="00B374F0">
      <w:pPr>
        <w:rPr>
          <w:sz w:val="24"/>
        </w:rPr>
      </w:pPr>
    </w:p>
    <w:p w14:paraId="5C9D60A9" w14:textId="0BCEFA55" w:rsidR="00B374F0" w:rsidRDefault="00B374F0">
      <w:pPr>
        <w:rPr>
          <w:sz w:val="24"/>
        </w:rPr>
      </w:pPr>
    </w:p>
    <w:p w14:paraId="7434ED28" w14:textId="77777777" w:rsidR="00B60F0D" w:rsidRDefault="00B60F0D">
      <w:pPr>
        <w:rPr>
          <w:sz w:val="24"/>
        </w:rPr>
      </w:pPr>
    </w:p>
    <w:p w14:paraId="4CB17624" w14:textId="01408BAA" w:rsidR="00B374F0" w:rsidRDefault="00B374F0">
      <w:pPr>
        <w:rPr>
          <w:sz w:val="24"/>
        </w:rPr>
      </w:pPr>
    </w:p>
    <w:p w14:paraId="6C1EED8A" w14:textId="6E7A23CC" w:rsidR="00B374F0" w:rsidRDefault="00B60F0D">
      <w:pPr>
        <w:rPr>
          <w:sz w:val="24"/>
        </w:rPr>
      </w:pPr>
      <w:r w:rsidRPr="00B60F0D">
        <w:rPr>
          <w:noProof/>
        </w:rPr>
        <w:drawing>
          <wp:anchor distT="0" distB="0" distL="114300" distR="114300" simplePos="0" relativeHeight="251659264" behindDoc="0" locked="0" layoutInCell="1" allowOverlap="1" wp14:anchorId="062AEAD9" wp14:editId="0E9AF96B">
            <wp:simplePos x="0" y="0"/>
            <wp:positionH relativeFrom="margin">
              <wp:align>left</wp:align>
            </wp:positionH>
            <wp:positionV relativeFrom="paragraph">
              <wp:posOffset>193675</wp:posOffset>
            </wp:positionV>
            <wp:extent cx="2371725" cy="2075180"/>
            <wp:effectExtent l="0" t="0" r="9525" b="127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371725" cy="2075180"/>
                    </a:xfrm>
                    <a:prstGeom prst="rect">
                      <a:avLst/>
                    </a:prstGeom>
                  </pic:spPr>
                </pic:pic>
              </a:graphicData>
            </a:graphic>
            <wp14:sizeRelH relativeFrom="page">
              <wp14:pctWidth>0</wp14:pctWidth>
            </wp14:sizeRelH>
            <wp14:sizeRelV relativeFrom="page">
              <wp14:pctHeight>0</wp14:pctHeight>
            </wp14:sizeRelV>
          </wp:anchor>
        </w:drawing>
      </w:r>
    </w:p>
    <w:p w14:paraId="64EE88C4" w14:textId="5AD77FDB" w:rsidR="00B60F0D" w:rsidRDefault="00B60F0D">
      <w:pPr>
        <w:rPr>
          <w:sz w:val="24"/>
        </w:rPr>
      </w:pPr>
    </w:p>
    <w:p w14:paraId="1850D718" w14:textId="705861B9" w:rsidR="00B60F0D" w:rsidRDefault="00B60F0D">
      <w:pPr>
        <w:rPr>
          <w:sz w:val="24"/>
        </w:rPr>
      </w:pPr>
    </w:p>
    <w:p w14:paraId="09A9E448" w14:textId="4A75486A" w:rsidR="00B60F0D" w:rsidRDefault="00B60F0D">
      <w:pPr>
        <w:rPr>
          <w:sz w:val="24"/>
        </w:rPr>
      </w:pPr>
      <w:r>
        <w:rPr>
          <w:sz w:val="24"/>
        </w:rPr>
        <w:t>Fig. 2</w:t>
      </w:r>
    </w:p>
    <w:p w14:paraId="118E7D86" w14:textId="77777777" w:rsidR="00B60F0D" w:rsidRDefault="00B60F0D">
      <w:pPr>
        <w:rPr>
          <w:sz w:val="24"/>
        </w:rPr>
      </w:pPr>
    </w:p>
    <w:p w14:paraId="10730D1D" w14:textId="77777777" w:rsidR="00B60F0D" w:rsidRDefault="00B60F0D">
      <w:pPr>
        <w:rPr>
          <w:sz w:val="24"/>
        </w:rPr>
      </w:pPr>
    </w:p>
    <w:p w14:paraId="071CE872" w14:textId="77777777" w:rsidR="00B60F0D" w:rsidRDefault="00B60F0D">
      <w:pPr>
        <w:rPr>
          <w:sz w:val="24"/>
        </w:rPr>
      </w:pPr>
    </w:p>
    <w:p w14:paraId="6433AFA0" w14:textId="77777777" w:rsidR="00B60F0D" w:rsidRDefault="00B60F0D">
      <w:pPr>
        <w:rPr>
          <w:sz w:val="24"/>
        </w:rPr>
      </w:pPr>
    </w:p>
    <w:p w14:paraId="753052F8" w14:textId="072E31EA" w:rsidR="00490D65" w:rsidRDefault="00B374F0">
      <w:pPr>
        <w:rPr>
          <w:sz w:val="24"/>
        </w:rPr>
      </w:pPr>
      <w:r>
        <w:rPr>
          <w:sz w:val="24"/>
        </w:rPr>
        <w:t xml:space="preserve">The process of Gibb’s reflective cycle </w:t>
      </w:r>
      <w:r w:rsidR="00B60F0D">
        <w:rPr>
          <w:sz w:val="24"/>
        </w:rPr>
        <w:t xml:space="preserve">(fig. 1) </w:t>
      </w:r>
      <w:r>
        <w:rPr>
          <w:sz w:val="24"/>
        </w:rPr>
        <w:t>begins with asking yourself ‘what happened?’ You then must talk about your feelings</w:t>
      </w:r>
      <w:r w:rsidR="00D73752">
        <w:rPr>
          <w:sz w:val="24"/>
        </w:rPr>
        <w:t>;</w:t>
      </w:r>
      <w:r>
        <w:rPr>
          <w:sz w:val="24"/>
        </w:rPr>
        <w:t xml:space="preserve"> how you feel towards the experience and then evaluate what went well and what didn’t. You then analyse the situation and </w:t>
      </w:r>
      <w:proofErr w:type="gramStart"/>
      <w:r>
        <w:rPr>
          <w:sz w:val="24"/>
        </w:rPr>
        <w:t>come to a conclusion of</w:t>
      </w:r>
      <w:proofErr w:type="gramEnd"/>
      <w:r>
        <w:rPr>
          <w:sz w:val="24"/>
        </w:rPr>
        <w:t xml:space="preserve"> what could be done to improve the teaching experience. Then you create an action plan for future teaching experiences. </w:t>
      </w:r>
      <w:r w:rsidR="004B7CA3" w:rsidRPr="004B7CA3">
        <w:rPr>
          <w:sz w:val="24"/>
        </w:rPr>
        <w:t xml:space="preserve">Kolb and Fry (1975) also created a learning cycle framework (fig. 2) to use as a form of reflection. However, Kolb (1975) explains that individuals tend to focus on one aspect of the cycle as opposed to focusing on every aspect of the cycle. He suggests that if we do not focus on all aspects of the cycle, we will become deskilled in the other areas. </w:t>
      </w:r>
      <w:r w:rsidR="004B7CA3">
        <w:rPr>
          <w:sz w:val="24"/>
        </w:rPr>
        <w:t xml:space="preserve">Both Gibbs (1998) </w:t>
      </w:r>
      <w:r w:rsidR="006529B3">
        <w:rPr>
          <w:sz w:val="24"/>
        </w:rPr>
        <w:t xml:space="preserve">reflective cycle </w:t>
      </w:r>
      <w:r w:rsidR="004B7CA3">
        <w:rPr>
          <w:sz w:val="24"/>
        </w:rPr>
        <w:t>and Kolb and Fry (1975) learning cycle framework are</w:t>
      </w:r>
      <w:r w:rsidR="006529B3">
        <w:rPr>
          <w:sz w:val="24"/>
        </w:rPr>
        <w:t xml:space="preserve"> implemented within the ARC reflections as all these points get reflected on and then</w:t>
      </w:r>
      <w:r w:rsidR="00D9168D">
        <w:rPr>
          <w:sz w:val="24"/>
        </w:rPr>
        <w:t xml:space="preserve"> this</w:t>
      </w:r>
      <w:r w:rsidR="006529B3">
        <w:rPr>
          <w:sz w:val="24"/>
        </w:rPr>
        <w:t xml:space="preserve"> eventually leads to an action plan being created to ensure that effective teaching practice can be carried out in the future. Both the ARC reflections and the </w:t>
      </w:r>
      <w:r w:rsidR="006529B3">
        <w:rPr>
          <w:sz w:val="24"/>
        </w:rPr>
        <w:lastRenderedPageBreak/>
        <w:t xml:space="preserve">Reflective Cycle will help us to acknowledge our professional values and to realise what we can do to improve them. This will then help </w:t>
      </w:r>
      <w:r w:rsidR="00B0521A">
        <w:rPr>
          <w:sz w:val="24"/>
        </w:rPr>
        <w:t>us</w:t>
      </w:r>
      <w:r w:rsidR="006529B3">
        <w:rPr>
          <w:sz w:val="24"/>
        </w:rPr>
        <w:t xml:space="preserve"> meet S1.7 of the QTS standards. </w:t>
      </w:r>
    </w:p>
    <w:p w14:paraId="123D98FB" w14:textId="219CAAA3" w:rsidR="00E57546" w:rsidRDefault="00A424AB">
      <w:pPr>
        <w:rPr>
          <w:sz w:val="24"/>
        </w:rPr>
      </w:pPr>
      <w:r>
        <w:rPr>
          <w:sz w:val="24"/>
        </w:rPr>
        <w:t>Another QTS standard that I focused on during placement was S3.1.3 which states that a trainee teacher should “</w:t>
      </w:r>
      <w:r w:rsidRPr="00A424AB">
        <w:rPr>
          <w:sz w:val="24"/>
        </w:rPr>
        <w:t>select and prepare resources, and plan for their safe and effective organisation, taking account of learners’ interests and their language and cultural backgrounds, with the help of support staff where appropriate.</w:t>
      </w:r>
      <w:r>
        <w:rPr>
          <w:sz w:val="24"/>
        </w:rPr>
        <w:t xml:space="preserve">” This target of mine was important to me during placement as I wanted to ensure that I was prepared for my lessons and that I had planned effectively too. I ensured that during my taught sessions, I had my lesson plan ready, along with any resources which I needed for that session to be able to run smoothly. During my placement, I planned and prepared for my reception class to complete a science experiment in the outdoor classroom. I had to ensure that I planned effectively for this lesson as I needed different resources along with the use of the outdoor classroom. </w:t>
      </w:r>
      <w:r w:rsidR="000765CE">
        <w:rPr>
          <w:sz w:val="24"/>
        </w:rPr>
        <w:t xml:space="preserve">Reflecting on this activity, </w:t>
      </w:r>
      <w:r w:rsidR="00C1638D">
        <w:rPr>
          <w:sz w:val="24"/>
        </w:rPr>
        <w:t xml:space="preserve">I was able to recognise what I needed to improve on to ensure that my personal training target was met. Again, in my reflection I had pointed out that this lesson was better suited for the higher ability groups than it was for the lower ability groups. I was able to adapt my lesson slightly during the activity for the lower ability groups, however, I had not planned for </w:t>
      </w:r>
      <w:r w:rsidR="002370B8">
        <w:rPr>
          <w:sz w:val="24"/>
        </w:rPr>
        <w:t>this</w:t>
      </w:r>
      <w:r w:rsidR="00C1638D">
        <w:rPr>
          <w:sz w:val="24"/>
        </w:rPr>
        <w:t>.</w:t>
      </w:r>
      <w:r w:rsidR="00815480">
        <w:rPr>
          <w:sz w:val="24"/>
        </w:rPr>
        <w:t xml:space="preserve"> By reflecting on this lesson, I can work on my current targets as well as set new targets for myself. </w:t>
      </w:r>
    </w:p>
    <w:p w14:paraId="171B7EB1" w14:textId="3963338E" w:rsidR="00815480" w:rsidRDefault="00815480">
      <w:pPr>
        <w:rPr>
          <w:sz w:val="24"/>
        </w:rPr>
      </w:pPr>
      <w:r>
        <w:rPr>
          <w:sz w:val="24"/>
        </w:rPr>
        <w:t xml:space="preserve">Keeping a PTE file has been very beneficial for reflective purposes on my placement. By keeping evidence of my teaching and my reflections of my teaching, I </w:t>
      </w:r>
      <w:r w:rsidR="000F6A86">
        <w:rPr>
          <w:sz w:val="24"/>
        </w:rPr>
        <w:t>can</w:t>
      </w:r>
      <w:r>
        <w:rPr>
          <w:sz w:val="24"/>
        </w:rPr>
        <w:t xml:space="preserve"> ensure that I am continually improving my teaching and to meet the QTS standards. </w:t>
      </w:r>
      <w:r w:rsidR="000F6A86">
        <w:rPr>
          <w:sz w:val="24"/>
        </w:rPr>
        <w:t>H</w:t>
      </w:r>
      <w:r w:rsidR="000F6A86" w:rsidRPr="000F6A86">
        <w:rPr>
          <w:sz w:val="24"/>
        </w:rPr>
        <w:t xml:space="preserve">urst et al </w:t>
      </w:r>
      <w:r w:rsidR="00D5590C">
        <w:rPr>
          <w:sz w:val="24"/>
        </w:rPr>
        <w:t>(</w:t>
      </w:r>
      <w:r w:rsidR="000F6A86" w:rsidRPr="000F6A86">
        <w:rPr>
          <w:sz w:val="24"/>
        </w:rPr>
        <w:t>1998</w:t>
      </w:r>
      <w:r w:rsidR="00D5590C">
        <w:rPr>
          <w:sz w:val="24"/>
        </w:rPr>
        <w:t>) talks about the importance of portfolios for trainee teachers. “</w:t>
      </w:r>
      <w:r w:rsidR="00D5590C" w:rsidRPr="00D5590C">
        <w:rPr>
          <w:sz w:val="24"/>
        </w:rPr>
        <w:t>Portfolios encourage beginning teachers to gather in one place significant artefacts representing their professional development. They assemble materials that document their competencies. Portfolios include a reflective component, for when the teacher decides which materials to include, he or she must reflect on which teaching practices worked well and why</w:t>
      </w:r>
      <w:r w:rsidR="00D5590C">
        <w:rPr>
          <w:sz w:val="24"/>
        </w:rPr>
        <w:t xml:space="preserve">” (Hurst et al, 1998). The use of portfolios during placement is what helps trainee teachers build on their teaching experiences. </w:t>
      </w:r>
      <w:r w:rsidR="00D8470C">
        <w:rPr>
          <w:sz w:val="24"/>
        </w:rPr>
        <w:t>Without keeping track of our progress and reflecting on our practices, we wouldn’t be able to set ourselves new targets and meet the criteria needed to be an outstanding primary school teacher.</w:t>
      </w:r>
    </w:p>
    <w:p w14:paraId="57769A70" w14:textId="77777777" w:rsidR="00553D8B" w:rsidRDefault="00CC1A98" w:rsidP="00A55349">
      <w:pPr>
        <w:rPr>
          <w:sz w:val="24"/>
        </w:rPr>
      </w:pPr>
      <w:r>
        <w:rPr>
          <w:sz w:val="24"/>
        </w:rPr>
        <w:t>To conclude, I believe that reflection is essential to be a teacher. By reflecting, a teacher can ensure that the children within the class are meeting their full potential and getting the most out of their education. A well as this, the teacher can reflect on their own teaching in order to understand what works well and what doesn’t. By reflecting on our own teaching practice, we are enabling ourselves to become professional and valuable teachers</w:t>
      </w:r>
      <w:r w:rsidR="004A2E9A">
        <w:rPr>
          <w:sz w:val="24"/>
        </w:rPr>
        <w:t xml:space="preserve">. </w:t>
      </w:r>
      <w:r>
        <w:rPr>
          <w:sz w:val="24"/>
        </w:rPr>
        <w:t xml:space="preserve">Reflection is key and without it, many teachers would be failing. As </w:t>
      </w:r>
      <w:r w:rsidRPr="00CC1A98">
        <w:rPr>
          <w:sz w:val="24"/>
        </w:rPr>
        <w:t>Schön</w:t>
      </w:r>
      <w:r>
        <w:rPr>
          <w:sz w:val="24"/>
        </w:rPr>
        <w:t xml:space="preserve"> (198</w:t>
      </w:r>
      <w:r w:rsidR="00606AB0">
        <w:rPr>
          <w:sz w:val="24"/>
        </w:rPr>
        <w:t>3</w:t>
      </w:r>
      <w:r>
        <w:rPr>
          <w:sz w:val="24"/>
        </w:rPr>
        <w:t>) suggests, “</w:t>
      </w:r>
      <w:r w:rsidRPr="00CC1A98">
        <w:rPr>
          <w:sz w:val="24"/>
        </w:rPr>
        <w:t>by repeatedly carrying out the process of ‘reflecting on action</w:t>
      </w:r>
      <w:r>
        <w:rPr>
          <w:sz w:val="24"/>
        </w:rPr>
        <w:t xml:space="preserve">,’ it </w:t>
      </w:r>
      <w:r w:rsidRPr="00CC1A98">
        <w:rPr>
          <w:sz w:val="24"/>
        </w:rPr>
        <w:t>can help practitioners to build upon previous experiences and scenarios.</w:t>
      </w:r>
      <w:r>
        <w:rPr>
          <w:sz w:val="24"/>
        </w:rPr>
        <w:t>”</w:t>
      </w:r>
      <w:r w:rsidR="00D80B08">
        <w:rPr>
          <w:sz w:val="24"/>
        </w:rPr>
        <w:t xml:space="preserve"> </w:t>
      </w:r>
      <w:r w:rsidR="004A2E9A">
        <w:rPr>
          <w:sz w:val="24"/>
        </w:rPr>
        <w:t xml:space="preserve">Moving forward, I will ensure to focus on S1.1 of the QTS standards 2009 as I have clearly indicated in my reflection from PTE1 that my planning for differentiation needs to be improved. Going into PTE2 I will ensure that I </w:t>
      </w:r>
      <w:r w:rsidR="00DA3F1E">
        <w:rPr>
          <w:sz w:val="24"/>
        </w:rPr>
        <w:t>keep working on differentiating my activities to ensure that I meet my personal target, as well as meeting the children’s needs.</w:t>
      </w:r>
    </w:p>
    <w:p w14:paraId="3098C118" w14:textId="42A53888" w:rsidR="00490D65" w:rsidRPr="00553D8B" w:rsidRDefault="00490D65" w:rsidP="00A55349">
      <w:pPr>
        <w:rPr>
          <w:sz w:val="24"/>
        </w:rPr>
      </w:pPr>
      <w:r w:rsidRPr="00490D65">
        <w:rPr>
          <w:sz w:val="24"/>
          <w:u w:val="single"/>
        </w:rPr>
        <w:lastRenderedPageBreak/>
        <w:t>Reference List</w:t>
      </w:r>
    </w:p>
    <w:p w14:paraId="2C4DA5CE" w14:textId="12B8EB1D" w:rsidR="00A55349" w:rsidRDefault="00A55349" w:rsidP="00A55349">
      <w:pPr>
        <w:rPr>
          <w:sz w:val="24"/>
        </w:rPr>
      </w:pPr>
      <w:r>
        <w:rPr>
          <w:sz w:val="24"/>
        </w:rPr>
        <w:t>Dewey, J</w:t>
      </w:r>
      <w:r w:rsidR="00AA7FE5">
        <w:rPr>
          <w:sz w:val="24"/>
        </w:rPr>
        <w:t xml:space="preserve">. (1933) </w:t>
      </w:r>
      <w:r w:rsidR="00AA7FE5">
        <w:rPr>
          <w:i/>
          <w:sz w:val="24"/>
        </w:rPr>
        <w:t xml:space="preserve">How We Think. </w:t>
      </w:r>
      <w:r w:rsidR="00AA7FE5">
        <w:rPr>
          <w:sz w:val="24"/>
        </w:rPr>
        <w:t>New York: Heath &amp; Co.</w:t>
      </w:r>
    </w:p>
    <w:p w14:paraId="6D30359C" w14:textId="1EAB78C4" w:rsidR="0079534B" w:rsidRDefault="0079534B" w:rsidP="00A55349">
      <w:pPr>
        <w:rPr>
          <w:sz w:val="24"/>
        </w:rPr>
      </w:pPr>
      <w:proofErr w:type="spellStart"/>
      <w:r w:rsidRPr="0079534B">
        <w:rPr>
          <w:sz w:val="24"/>
        </w:rPr>
        <w:t>Boud</w:t>
      </w:r>
      <w:proofErr w:type="spellEnd"/>
      <w:r w:rsidRPr="0079534B">
        <w:rPr>
          <w:sz w:val="24"/>
        </w:rPr>
        <w:t xml:space="preserve">, D., Keogh, R. and Walker, D. (1985) </w:t>
      </w:r>
      <w:r w:rsidRPr="0079534B">
        <w:rPr>
          <w:i/>
          <w:sz w:val="24"/>
        </w:rPr>
        <w:t>Reflection: Turning experience into learning.</w:t>
      </w:r>
      <w:r w:rsidRPr="0079534B">
        <w:rPr>
          <w:sz w:val="24"/>
        </w:rPr>
        <w:t xml:space="preserve"> Kogan, London.</w:t>
      </w:r>
    </w:p>
    <w:p w14:paraId="71106892" w14:textId="0468B2C4" w:rsidR="00B374F0" w:rsidRDefault="00B374F0" w:rsidP="00A55349">
      <w:pPr>
        <w:rPr>
          <w:sz w:val="24"/>
        </w:rPr>
      </w:pPr>
      <w:r w:rsidRPr="00B374F0">
        <w:rPr>
          <w:sz w:val="24"/>
        </w:rPr>
        <w:t>Gibbs</w:t>
      </w:r>
      <w:r w:rsidR="002301D7">
        <w:rPr>
          <w:sz w:val="24"/>
        </w:rPr>
        <w:t>,</w:t>
      </w:r>
      <w:r w:rsidRPr="00B374F0">
        <w:rPr>
          <w:sz w:val="24"/>
        </w:rPr>
        <w:t xml:space="preserve"> G</w:t>
      </w:r>
      <w:r w:rsidR="002301D7">
        <w:rPr>
          <w:sz w:val="24"/>
        </w:rPr>
        <w:t>.</w:t>
      </w:r>
      <w:r w:rsidRPr="00B374F0">
        <w:rPr>
          <w:sz w:val="24"/>
        </w:rPr>
        <w:t xml:space="preserve"> (1988) </w:t>
      </w:r>
      <w:r w:rsidRPr="002301D7">
        <w:rPr>
          <w:i/>
          <w:sz w:val="24"/>
        </w:rPr>
        <w:t>Learning by Doing: A guide to teaching and learning methods</w:t>
      </w:r>
      <w:r w:rsidRPr="00B374F0">
        <w:rPr>
          <w:sz w:val="24"/>
        </w:rPr>
        <w:t>. Further Education Unit. Oxford Polytechnic: Oxford.</w:t>
      </w:r>
      <w:r>
        <w:rPr>
          <w:sz w:val="24"/>
        </w:rPr>
        <w:t xml:space="preserve"> </w:t>
      </w:r>
    </w:p>
    <w:p w14:paraId="352A1412" w14:textId="4A4E5323" w:rsidR="00BA0B95" w:rsidRDefault="000255CD" w:rsidP="00A55349">
      <w:pPr>
        <w:rPr>
          <w:sz w:val="24"/>
        </w:rPr>
      </w:pPr>
      <w:r>
        <w:rPr>
          <w:sz w:val="24"/>
        </w:rPr>
        <w:t xml:space="preserve">Kolb, D., Fry. (1975) </w:t>
      </w:r>
      <w:r w:rsidRPr="000255CD">
        <w:rPr>
          <w:i/>
          <w:sz w:val="24"/>
        </w:rPr>
        <w:t>Social Reflection Series.</w:t>
      </w:r>
      <w:r>
        <w:rPr>
          <w:i/>
          <w:sz w:val="24"/>
        </w:rPr>
        <w:t xml:space="preserve"> </w:t>
      </w:r>
    </w:p>
    <w:p w14:paraId="73E8D09D" w14:textId="39A8E9A3" w:rsidR="00C9784B" w:rsidRDefault="00D5590C" w:rsidP="00A55349">
      <w:pPr>
        <w:rPr>
          <w:sz w:val="24"/>
        </w:rPr>
      </w:pPr>
      <w:r w:rsidRPr="00D5590C">
        <w:rPr>
          <w:sz w:val="24"/>
        </w:rPr>
        <w:t xml:space="preserve">Hurst, B., Wilson C., &amp; Cramer, G. (1998). </w:t>
      </w:r>
      <w:r w:rsidRPr="002301D7">
        <w:rPr>
          <w:i/>
          <w:sz w:val="24"/>
        </w:rPr>
        <w:t>Professional teaching portfolios</w:t>
      </w:r>
      <w:r w:rsidRPr="00D5590C">
        <w:rPr>
          <w:sz w:val="24"/>
        </w:rPr>
        <w:t xml:space="preserve">. Phi Delta </w:t>
      </w:r>
      <w:proofErr w:type="spellStart"/>
      <w:r w:rsidRPr="00D5590C">
        <w:rPr>
          <w:sz w:val="24"/>
        </w:rPr>
        <w:t>Kappan</w:t>
      </w:r>
      <w:proofErr w:type="spellEnd"/>
      <w:r>
        <w:rPr>
          <w:sz w:val="24"/>
        </w:rPr>
        <w:t xml:space="preserve">. </w:t>
      </w:r>
    </w:p>
    <w:p w14:paraId="40E4A72C" w14:textId="4E048692" w:rsidR="002301D7" w:rsidRDefault="002301D7" w:rsidP="00A55349">
      <w:pPr>
        <w:rPr>
          <w:sz w:val="24"/>
        </w:rPr>
      </w:pPr>
      <w:r w:rsidRPr="002301D7">
        <w:rPr>
          <w:sz w:val="24"/>
        </w:rPr>
        <w:t>Donald A. Schön</w:t>
      </w:r>
      <w:r>
        <w:rPr>
          <w:sz w:val="24"/>
        </w:rPr>
        <w:t xml:space="preserve">. (1983) </w:t>
      </w:r>
      <w:r w:rsidRPr="002301D7">
        <w:rPr>
          <w:i/>
          <w:sz w:val="24"/>
        </w:rPr>
        <w:t>The Reflective Practitioner: How Professionals Think in Action</w:t>
      </w:r>
      <w:r>
        <w:rPr>
          <w:i/>
          <w:sz w:val="24"/>
        </w:rPr>
        <w:t xml:space="preserve">. </w:t>
      </w:r>
      <w:r w:rsidRPr="002301D7">
        <w:rPr>
          <w:sz w:val="24"/>
        </w:rPr>
        <w:t>London:</w:t>
      </w:r>
      <w:r>
        <w:rPr>
          <w:sz w:val="24"/>
        </w:rPr>
        <w:t xml:space="preserve"> </w:t>
      </w:r>
      <w:r w:rsidRPr="002301D7">
        <w:rPr>
          <w:sz w:val="24"/>
        </w:rPr>
        <w:t>Temple Smith</w:t>
      </w:r>
      <w:r>
        <w:rPr>
          <w:sz w:val="24"/>
        </w:rPr>
        <w:t xml:space="preserve">. </w:t>
      </w:r>
    </w:p>
    <w:p w14:paraId="7F3AAA25" w14:textId="77777777" w:rsidR="002301D7" w:rsidRPr="002301D7" w:rsidRDefault="002301D7" w:rsidP="00A55349">
      <w:pPr>
        <w:rPr>
          <w:sz w:val="24"/>
        </w:rPr>
      </w:pPr>
    </w:p>
    <w:p w14:paraId="21B4B1DC" w14:textId="77777777" w:rsidR="00606AB0" w:rsidRPr="00AA7FE5" w:rsidRDefault="00606AB0" w:rsidP="00A55349">
      <w:pPr>
        <w:rPr>
          <w:sz w:val="24"/>
        </w:rPr>
      </w:pPr>
    </w:p>
    <w:sectPr w:rsidR="00606AB0" w:rsidRPr="00AA7FE5">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4EF4B8" w14:textId="77777777" w:rsidR="00637012" w:rsidRDefault="00637012" w:rsidP="001B4349">
      <w:pPr>
        <w:spacing w:after="0" w:line="240" w:lineRule="auto"/>
      </w:pPr>
      <w:r>
        <w:separator/>
      </w:r>
    </w:p>
  </w:endnote>
  <w:endnote w:type="continuationSeparator" w:id="0">
    <w:p w14:paraId="0531929A" w14:textId="77777777" w:rsidR="00637012" w:rsidRDefault="00637012" w:rsidP="001B43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9548EC" w14:textId="77777777" w:rsidR="00637012" w:rsidRDefault="00637012" w:rsidP="001B4349">
      <w:pPr>
        <w:spacing w:after="0" w:line="240" w:lineRule="auto"/>
      </w:pPr>
      <w:r>
        <w:separator/>
      </w:r>
    </w:p>
  </w:footnote>
  <w:footnote w:type="continuationSeparator" w:id="0">
    <w:p w14:paraId="4A5C5A01" w14:textId="77777777" w:rsidR="00637012" w:rsidRDefault="00637012" w:rsidP="001B43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2AA44B" w14:textId="7C618123" w:rsidR="001B4349" w:rsidRDefault="001B4349">
    <w:pPr>
      <w:pStyle w:val="Header"/>
    </w:pPr>
    <w:r>
      <w:t>Kelsey Tucker- 1800913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7BB2563"/>
    <w:multiLevelType w:val="hybridMultilevel"/>
    <w:tmpl w:val="251E7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A6B2529"/>
    <w:multiLevelType w:val="hybridMultilevel"/>
    <w:tmpl w:val="8DC2B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726A"/>
    <w:rsid w:val="000255CD"/>
    <w:rsid w:val="000765CE"/>
    <w:rsid w:val="000946AA"/>
    <w:rsid w:val="000F51EF"/>
    <w:rsid w:val="000F6A86"/>
    <w:rsid w:val="00112914"/>
    <w:rsid w:val="00127549"/>
    <w:rsid w:val="0016460E"/>
    <w:rsid w:val="00172E7D"/>
    <w:rsid w:val="001B4349"/>
    <w:rsid w:val="002301D7"/>
    <w:rsid w:val="002370B8"/>
    <w:rsid w:val="0024720E"/>
    <w:rsid w:val="00274945"/>
    <w:rsid w:val="00276605"/>
    <w:rsid w:val="0035361C"/>
    <w:rsid w:val="00387062"/>
    <w:rsid w:val="003A3199"/>
    <w:rsid w:val="003F4404"/>
    <w:rsid w:val="00410F88"/>
    <w:rsid w:val="00475B88"/>
    <w:rsid w:val="00490D65"/>
    <w:rsid w:val="004A2E9A"/>
    <w:rsid w:val="004B37BF"/>
    <w:rsid w:val="004B7CA3"/>
    <w:rsid w:val="005407C8"/>
    <w:rsid w:val="00553D8B"/>
    <w:rsid w:val="00596078"/>
    <w:rsid w:val="005D4FCD"/>
    <w:rsid w:val="005F6B2B"/>
    <w:rsid w:val="00606AB0"/>
    <w:rsid w:val="00627A2D"/>
    <w:rsid w:val="00637012"/>
    <w:rsid w:val="006529B3"/>
    <w:rsid w:val="006816EA"/>
    <w:rsid w:val="006B1068"/>
    <w:rsid w:val="00704D21"/>
    <w:rsid w:val="00720E4D"/>
    <w:rsid w:val="00765D35"/>
    <w:rsid w:val="00774FC1"/>
    <w:rsid w:val="00776275"/>
    <w:rsid w:val="0079534B"/>
    <w:rsid w:val="007A1411"/>
    <w:rsid w:val="007A4F6B"/>
    <w:rsid w:val="007D763B"/>
    <w:rsid w:val="00812B84"/>
    <w:rsid w:val="00815480"/>
    <w:rsid w:val="00850437"/>
    <w:rsid w:val="00916851"/>
    <w:rsid w:val="009315B1"/>
    <w:rsid w:val="0096559E"/>
    <w:rsid w:val="00985632"/>
    <w:rsid w:val="009C3995"/>
    <w:rsid w:val="00A15F19"/>
    <w:rsid w:val="00A424AB"/>
    <w:rsid w:val="00A55349"/>
    <w:rsid w:val="00A624FE"/>
    <w:rsid w:val="00AA7FE5"/>
    <w:rsid w:val="00AF4DD8"/>
    <w:rsid w:val="00B0521A"/>
    <w:rsid w:val="00B360F7"/>
    <w:rsid w:val="00B374F0"/>
    <w:rsid w:val="00B60F0D"/>
    <w:rsid w:val="00BA0B95"/>
    <w:rsid w:val="00C1638D"/>
    <w:rsid w:val="00C953AE"/>
    <w:rsid w:val="00C9784B"/>
    <w:rsid w:val="00CB67B9"/>
    <w:rsid w:val="00CC1A98"/>
    <w:rsid w:val="00CC726A"/>
    <w:rsid w:val="00D5590C"/>
    <w:rsid w:val="00D73752"/>
    <w:rsid w:val="00D80B08"/>
    <w:rsid w:val="00D8470C"/>
    <w:rsid w:val="00D9168D"/>
    <w:rsid w:val="00DA3F1E"/>
    <w:rsid w:val="00E01D78"/>
    <w:rsid w:val="00E57546"/>
    <w:rsid w:val="00E73F0A"/>
    <w:rsid w:val="00F15356"/>
    <w:rsid w:val="00F548F5"/>
    <w:rsid w:val="00FC608C"/>
    <w:rsid w:val="00FE1355"/>
    <w:rsid w:val="00FE40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6E655F"/>
  <w15:chartTrackingRefBased/>
  <w15:docId w15:val="{5434EDDF-3326-4F31-928E-57A276161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0D65"/>
    <w:pPr>
      <w:ind w:left="720"/>
      <w:contextualSpacing/>
    </w:pPr>
  </w:style>
  <w:style w:type="character" w:styleId="Hyperlink">
    <w:name w:val="Hyperlink"/>
    <w:basedOn w:val="DefaultParagraphFont"/>
    <w:uiPriority w:val="99"/>
    <w:unhideWhenUsed/>
    <w:rsid w:val="00A55349"/>
    <w:rPr>
      <w:color w:val="0563C1" w:themeColor="hyperlink"/>
      <w:u w:val="single"/>
    </w:rPr>
  </w:style>
  <w:style w:type="character" w:styleId="UnresolvedMention">
    <w:name w:val="Unresolved Mention"/>
    <w:basedOn w:val="DefaultParagraphFont"/>
    <w:uiPriority w:val="99"/>
    <w:semiHidden/>
    <w:unhideWhenUsed/>
    <w:rsid w:val="00A55349"/>
    <w:rPr>
      <w:color w:val="605E5C"/>
      <w:shd w:val="clear" w:color="auto" w:fill="E1DFDD"/>
    </w:rPr>
  </w:style>
  <w:style w:type="paragraph" w:styleId="BalloonText">
    <w:name w:val="Balloon Text"/>
    <w:basedOn w:val="Normal"/>
    <w:link w:val="BalloonTextChar"/>
    <w:uiPriority w:val="99"/>
    <w:semiHidden/>
    <w:unhideWhenUsed/>
    <w:rsid w:val="00B374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74F0"/>
    <w:rPr>
      <w:rFonts w:ascii="Segoe UI" w:hAnsi="Segoe UI" w:cs="Segoe UI"/>
      <w:sz w:val="18"/>
      <w:szCs w:val="18"/>
    </w:rPr>
  </w:style>
  <w:style w:type="paragraph" w:styleId="Header">
    <w:name w:val="header"/>
    <w:basedOn w:val="Normal"/>
    <w:link w:val="HeaderChar"/>
    <w:uiPriority w:val="99"/>
    <w:unhideWhenUsed/>
    <w:rsid w:val="001B43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4349"/>
  </w:style>
  <w:style w:type="paragraph" w:styleId="Footer">
    <w:name w:val="footer"/>
    <w:basedOn w:val="Normal"/>
    <w:link w:val="FooterChar"/>
    <w:uiPriority w:val="99"/>
    <w:unhideWhenUsed/>
    <w:rsid w:val="001B43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43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365</TotalTime>
  <Pages>4</Pages>
  <Words>1453</Words>
  <Characters>8286</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 Laptop</dc:creator>
  <cp:keywords/>
  <dc:description/>
  <cp:lastModifiedBy>HP Laptop</cp:lastModifiedBy>
  <cp:revision>55</cp:revision>
  <dcterms:created xsi:type="dcterms:W3CDTF">2019-03-17T14:44:00Z</dcterms:created>
  <dcterms:modified xsi:type="dcterms:W3CDTF">2019-03-22T10:51:00Z</dcterms:modified>
</cp:coreProperties>
</file>