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AF028" w14:textId="77777777" w:rsidR="005F2F1B" w:rsidRPr="000A7C1E" w:rsidRDefault="005F2F1B">
      <w:pPr>
        <w:pStyle w:val="p1"/>
        <w:rPr>
          <w:rFonts w:ascii="Arial" w:hAnsi="Arial" w:cs="Arial"/>
          <w:b/>
          <w:bCs/>
          <w:sz w:val="22"/>
          <w:szCs w:val="22"/>
        </w:rPr>
      </w:pPr>
      <w:r w:rsidRPr="000A7C1E">
        <w:rPr>
          <w:rStyle w:val="s1"/>
          <w:rFonts w:ascii="Arial" w:hAnsi="Arial" w:cs="Arial"/>
          <w:b w:val="0"/>
          <w:bCs w:val="0"/>
          <w:sz w:val="22"/>
          <w:szCs w:val="22"/>
        </w:rPr>
        <w:t>Will Naish</w:t>
      </w:r>
    </w:p>
    <w:p w14:paraId="690C1DB9" w14:textId="77777777" w:rsidR="005F2F1B" w:rsidRPr="000A7C1E" w:rsidRDefault="005F2F1B">
      <w:pPr>
        <w:pStyle w:val="p1"/>
        <w:rPr>
          <w:rFonts w:ascii="Arial" w:hAnsi="Arial" w:cs="Arial"/>
          <w:b/>
          <w:bCs/>
          <w:sz w:val="22"/>
          <w:szCs w:val="22"/>
        </w:rPr>
      </w:pPr>
      <w:r w:rsidRPr="000A7C1E">
        <w:rPr>
          <w:rStyle w:val="s1"/>
          <w:rFonts w:ascii="Arial" w:hAnsi="Arial" w:cs="Arial"/>
          <w:b w:val="0"/>
          <w:bCs w:val="0"/>
          <w:sz w:val="22"/>
          <w:szCs w:val="22"/>
        </w:rPr>
        <w:t>CIPD Number: 88139784</w:t>
      </w:r>
    </w:p>
    <w:p w14:paraId="10DD3154" w14:textId="295C5334" w:rsidR="005F2F1B" w:rsidRPr="000A7C1E" w:rsidRDefault="005F2F1B">
      <w:pPr>
        <w:pStyle w:val="p1"/>
        <w:rPr>
          <w:rFonts w:ascii="Arial" w:hAnsi="Arial" w:cs="Arial"/>
          <w:b/>
          <w:bCs/>
          <w:sz w:val="22"/>
          <w:szCs w:val="22"/>
        </w:rPr>
      </w:pPr>
      <w:r w:rsidRPr="000A7C1E">
        <w:rPr>
          <w:rStyle w:val="s1"/>
          <w:rFonts w:ascii="Arial" w:hAnsi="Arial" w:cs="Arial"/>
          <w:b w:val="0"/>
          <w:bCs w:val="0"/>
          <w:sz w:val="22"/>
          <w:szCs w:val="22"/>
        </w:rPr>
        <w:t>Total Word Count: 42</w:t>
      </w:r>
      <w:r w:rsidR="001F7C30" w:rsidRPr="000A7C1E">
        <w:rPr>
          <w:rStyle w:val="s1"/>
          <w:rFonts w:ascii="Arial" w:hAnsi="Arial" w:cs="Arial"/>
          <w:b w:val="0"/>
          <w:bCs w:val="0"/>
          <w:sz w:val="22"/>
          <w:szCs w:val="22"/>
        </w:rPr>
        <w:t>78</w:t>
      </w:r>
    </w:p>
    <w:p w14:paraId="54F9B570" w14:textId="502241DD" w:rsidR="00F84949" w:rsidRPr="000A7C1E" w:rsidRDefault="00F84949" w:rsidP="00263567">
      <w:pPr>
        <w:rPr>
          <w:rStyle w:val="ui-provider"/>
          <w:rFonts w:ascii="Arial" w:hAnsi="Arial" w:cs="Arial"/>
          <w:sz w:val="22"/>
          <w:szCs w:val="22"/>
        </w:rPr>
      </w:pPr>
    </w:p>
    <w:p w14:paraId="79B4F74C" w14:textId="77777777" w:rsidR="00F84949" w:rsidRPr="000A7C1E" w:rsidRDefault="00F84949" w:rsidP="00F84949">
      <w:pPr>
        <w:pStyle w:val="ListParagraph"/>
        <w:rPr>
          <w:rStyle w:val="ui-provider"/>
          <w:rFonts w:ascii="Arial" w:hAnsi="Arial" w:cs="Arial"/>
          <w:sz w:val="22"/>
          <w:szCs w:val="22"/>
        </w:rPr>
      </w:pPr>
    </w:p>
    <w:p w14:paraId="1D5FA2BE" w14:textId="03E7B58D" w:rsidR="007B501D" w:rsidRPr="000A7C1E" w:rsidRDefault="00AE5062" w:rsidP="007B501D">
      <w:pPr>
        <w:pStyle w:val="ListParagraph"/>
        <w:numPr>
          <w:ilvl w:val="0"/>
          <w:numId w:val="1"/>
        </w:numPr>
        <w:rPr>
          <w:rStyle w:val="ui-provider"/>
          <w:rFonts w:ascii="Arial" w:hAnsi="Arial" w:cs="Arial"/>
          <w:sz w:val="22"/>
          <w:szCs w:val="22"/>
        </w:rPr>
      </w:pPr>
      <w:r w:rsidRPr="000A7C1E">
        <w:rPr>
          <w:rStyle w:val="ui-provider"/>
          <w:rFonts w:ascii="Arial" w:hAnsi="Arial" w:cs="Arial"/>
          <w:color w:val="215E99" w:themeColor="text2" w:themeTint="BF"/>
          <w:sz w:val="22"/>
          <w:szCs w:val="22"/>
        </w:rPr>
        <w:t>New entrants to the parcel delivery market and other labour market competitors have adversely affected ParcelCare’s ability to compete in labour markets. Explain how ParcelCare can strategically position themselves in competitive labour markets. (AC 1.1)</w:t>
      </w:r>
    </w:p>
    <w:p w14:paraId="40414353" w14:textId="647B72F4" w:rsidR="00F324BE" w:rsidRPr="000A7C1E" w:rsidRDefault="006522FB" w:rsidP="00F324BE">
      <w:pPr>
        <w:rPr>
          <w:rStyle w:val="ui-provider"/>
          <w:rFonts w:ascii="Arial" w:hAnsi="Arial" w:cs="Arial"/>
          <w:sz w:val="22"/>
          <w:szCs w:val="22"/>
        </w:rPr>
      </w:pPr>
      <w:r w:rsidRPr="000A7C1E">
        <w:rPr>
          <w:rFonts w:ascii="Arial" w:eastAsia="Times New Roman" w:hAnsi="Arial" w:cs="Arial"/>
          <w:color w:val="000000"/>
          <w:sz w:val="22"/>
          <w:szCs w:val="22"/>
        </w:rPr>
        <w:t xml:space="preserve">Parcel care can strategically position itself in competitive labour markets by using SWOT analysis tools. This data capture exercise helps organisations align their goals, programs, and capacities with their environment, identifying strengths, weaknesses, opportunities, and threats. It's used for various purposes, including workshop sessions, problem-solving, planning, product evaluation, competitor evaluation, and decision making. </w:t>
      </w:r>
      <w:r w:rsidR="0067581C" w:rsidRPr="000A7C1E">
        <w:rPr>
          <w:rFonts w:ascii="Arial" w:eastAsia="Times New Roman" w:hAnsi="Arial" w:cs="Arial"/>
          <w:color w:val="000000"/>
          <w:sz w:val="22"/>
          <w:szCs w:val="22"/>
        </w:rPr>
        <w:t>(CIPD, 2024)</w:t>
      </w:r>
    </w:p>
    <w:p w14:paraId="1EA3AC0D" w14:textId="31E331F0" w:rsidR="00261599" w:rsidRPr="000A7C1E" w:rsidRDefault="00B816A2" w:rsidP="00F56830">
      <w:pPr>
        <w:rPr>
          <w:rFonts w:ascii="Arial" w:hAnsi="Arial" w:cs="Arial"/>
          <w:sz w:val="22"/>
          <w:szCs w:val="22"/>
        </w:rPr>
      </w:pPr>
      <w:r w:rsidRPr="000A7C1E">
        <w:rPr>
          <w:rFonts w:ascii="Arial" w:eastAsia="Times New Roman" w:hAnsi="Arial" w:cs="Arial"/>
          <w:color w:val="000000"/>
          <w:sz w:val="22"/>
          <w:szCs w:val="22"/>
        </w:rPr>
        <w:t>A PESTLE analysis tool, when used alongside SWOT analysis, can aid</w:t>
      </w:r>
      <w:r w:rsidR="00E425B9" w:rsidRPr="000A7C1E">
        <w:rPr>
          <w:rFonts w:ascii="Arial" w:eastAsia="Times New Roman" w:hAnsi="Arial" w:cs="Arial"/>
          <w:color w:val="000000"/>
          <w:sz w:val="22"/>
          <w:szCs w:val="22"/>
        </w:rPr>
        <w:t xml:space="preserve"> ParcelCare</w:t>
      </w:r>
      <w:r w:rsidRPr="000A7C1E">
        <w:rPr>
          <w:rFonts w:ascii="Arial" w:eastAsia="Times New Roman" w:hAnsi="Arial" w:cs="Arial"/>
          <w:color w:val="000000"/>
          <w:sz w:val="22"/>
          <w:szCs w:val="22"/>
        </w:rPr>
        <w:t xml:space="preserve"> in competitive advantage by assessing the external environment and identifying long-term trends. It aids in strategic business planning, workforce planning, marketing, product development, and organisational change, providing context for business direction, brand positioning, growth targets, and risks.</w:t>
      </w:r>
      <w:r w:rsidR="001B49C9" w:rsidRPr="000A7C1E">
        <w:rPr>
          <w:rFonts w:ascii="Arial" w:eastAsia="Times New Roman" w:hAnsi="Arial" w:cs="Arial"/>
          <w:color w:val="000000"/>
          <w:sz w:val="22"/>
          <w:szCs w:val="22"/>
        </w:rPr>
        <w:t xml:space="preserve"> CIPD (2023a)</w:t>
      </w:r>
    </w:p>
    <w:p w14:paraId="0C52024E" w14:textId="66AA1949" w:rsidR="000A41EA" w:rsidRPr="000A7C1E" w:rsidRDefault="008404A0">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ParcelCare can boost its competitiveness by </w:t>
      </w:r>
      <w:r w:rsidR="008420A7" w:rsidRPr="000A7C1E">
        <w:rPr>
          <w:rFonts w:ascii="Arial" w:eastAsia="Times New Roman" w:hAnsi="Arial" w:cs="Arial"/>
          <w:color w:val="000000"/>
          <w:sz w:val="22"/>
          <w:szCs w:val="22"/>
        </w:rPr>
        <w:t>using</w:t>
      </w:r>
      <w:r w:rsidRPr="000A7C1E">
        <w:rPr>
          <w:rFonts w:ascii="Arial" w:eastAsia="Times New Roman" w:hAnsi="Arial" w:cs="Arial"/>
          <w:color w:val="000000"/>
          <w:sz w:val="22"/>
          <w:szCs w:val="22"/>
        </w:rPr>
        <w:t xml:space="preserve"> strategic human resource management (SHRM), a field that combines strategic management and HRM, to strategically deploy human resources for achieving firm goals and strategy </w:t>
      </w:r>
      <w:r w:rsidR="008420A7" w:rsidRPr="000A7C1E">
        <w:rPr>
          <w:rFonts w:ascii="Arial" w:eastAsia="Times New Roman" w:hAnsi="Arial" w:cs="Arial"/>
          <w:color w:val="000000"/>
          <w:sz w:val="22"/>
          <w:szCs w:val="22"/>
        </w:rPr>
        <w:t xml:space="preserve">implementation. </w:t>
      </w:r>
      <w:proofErr w:type="spellStart"/>
      <w:r w:rsidR="008420A7" w:rsidRPr="000A7C1E">
        <w:rPr>
          <w:rFonts w:ascii="Arial" w:eastAsia="Times New Roman" w:hAnsi="Arial" w:cs="Arial"/>
          <w:color w:val="000000"/>
          <w:sz w:val="22"/>
          <w:szCs w:val="22"/>
        </w:rPr>
        <w:t>Boxall</w:t>
      </w:r>
      <w:proofErr w:type="spellEnd"/>
      <w:r w:rsidR="00CB45EC" w:rsidRPr="000A7C1E">
        <w:rPr>
          <w:rFonts w:ascii="Arial" w:eastAsia="Times New Roman" w:hAnsi="Arial" w:cs="Arial"/>
          <w:color w:val="000000"/>
          <w:sz w:val="22"/>
          <w:szCs w:val="22"/>
        </w:rPr>
        <w:t>, Purcell and Wright (2008)</w:t>
      </w:r>
    </w:p>
    <w:p w14:paraId="78600445" w14:textId="1D86AE8F" w:rsidR="00F74E28" w:rsidRPr="000A7C1E" w:rsidRDefault="00CB6041">
      <w:pPr>
        <w:rPr>
          <w:rStyle w:val="ui-provider"/>
          <w:rFonts w:ascii="Arial" w:eastAsia="Times New Roman" w:hAnsi="Arial" w:cs="Arial"/>
          <w:color w:val="000000"/>
          <w:sz w:val="22"/>
          <w:szCs w:val="22"/>
        </w:rPr>
      </w:pPr>
      <w:r w:rsidRPr="000A7C1E">
        <w:rPr>
          <w:rFonts w:ascii="Arial" w:eastAsia="Times New Roman" w:hAnsi="Arial" w:cs="Arial"/>
          <w:color w:val="000000"/>
          <w:sz w:val="22"/>
          <w:szCs w:val="22"/>
        </w:rPr>
        <w:t xml:space="preserve">The Porter five competitive forces tool can assist ParcelCare in </w:t>
      </w:r>
      <w:r w:rsidR="00E359BB" w:rsidRPr="000A7C1E">
        <w:rPr>
          <w:rFonts w:ascii="Arial" w:eastAsia="Times New Roman" w:hAnsi="Arial" w:cs="Arial"/>
          <w:color w:val="000000"/>
          <w:sz w:val="22"/>
          <w:szCs w:val="22"/>
        </w:rPr>
        <w:t>analysing</w:t>
      </w:r>
      <w:r w:rsidRPr="000A7C1E">
        <w:rPr>
          <w:rFonts w:ascii="Arial" w:eastAsia="Times New Roman" w:hAnsi="Arial" w:cs="Arial"/>
          <w:color w:val="000000"/>
          <w:sz w:val="22"/>
          <w:szCs w:val="22"/>
        </w:rPr>
        <w:t xml:space="preserve"> entry, threat of substitution, bargaining power of buyers and suppliers, and rivalry among competitors. These forces determine competition intensity and profitability, with the strongest force being crucial for strategy formulation. Intense rivalry can limit potential returns in perfectly competitive industries.</w:t>
      </w:r>
      <w:r w:rsidR="006D6734" w:rsidRPr="000A7C1E">
        <w:rPr>
          <w:rFonts w:ascii="Arial" w:eastAsia="Times New Roman" w:hAnsi="Arial" w:cs="Arial"/>
          <w:color w:val="000000"/>
          <w:sz w:val="22"/>
          <w:szCs w:val="22"/>
        </w:rPr>
        <w:t xml:space="preserve"> </w:t>
      </w:r>
      <w:r w:rsidR="00C165FE" w:rsidRPr="000A7C1E">
        <w:rPr>
          <w:rFonts w:ascii="Arial" w:eastAsia="Times New Roman" w:hAnsi="Arial" w:cs="Arial"/>
          <w:color w:val="000000"/>
          <w:sz w:val="22"/>
          <w:szCs w:val="22"/>
        </w:rPr>
        <w:t>(</w:t>
      </w:r>
      <w:r w:rsidR="000529C8" w:rsidRPr="000A7C1E">
        <w:rPr>
          <w:rFonts w:ascii="Arial" w:eastAsia="Times New Roman" w:hAnsi="Arial" w:cs="Arial"/>
          <w:color w:val="000000"/>
          <w:sz w:val="22"/>
          <w:szCs w:val="22"/>
        </w:rPr>
        <w:t>Porter</w:t>
      </w:r>
      <w:r w:rsidR="00C165FE" w:rsidRPr="000A7C1E">
        <w:rPr>
          <w:rFonts w:ascii="Arial" w:eastAsia="Times New Roman" w:hAnsi="Arial" w:cs="Arial"/>
          <w:color w:val="000000"/>
          <w:sz w:val="22"/>
          <w:szCs w:val="22"/>
        </w:rPr>
        <w:t xml:space="preserve"> </w:t>
      </w:r>
      <w:r w:rsidR="000529C8" w:rsidRPr="000A7C1E">
        <w:rPr>
          <w:rFonts w:ascii="Arial" w:eastAsia="Times New Roman" w:hAnsi="Arial" w:cs="Arial"/>
          <w:color w:val="000000"/>
          <w:sz w:val="22"/>
          <w:szCs w:val="22"/>
        </w:rPr>
        <w:t>1985)</w:t>
      </w:r>
    </w:p>
    <w:p w14:paraId="0424160C" w14:textId="1F2C39A7" w:rsidR="00987377" w:rsidRPr="000A7C1E" w:rsidRDefault="00B31825">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ParcelCare can improve its reputation by implementing a total reward approach, integrating learning, development, and working environment into a comprehensive benefits </w:t>
      </w:r>
      <w:r w:rsidR="00F96D28" w:rsidRPr="000A7C1E">
        <w:rPr>
          <w:rFonts w:ascii="Arial" w:eastAsia="Times New Roman" w:hAnsi="Arial" w:cs="Arial"/>
          <w:color w:val="000000"/>
          <w:sz w:val="22"/>
          <w:szCs w:val="22"/>
        </w:rPr>
        <w:t>package. Armstrong</w:t>
      </w:r>
      <w:r w:rsidR="0047024D" w:rsidRPr="000A7C1E">
        <w:rPr>
          <w:rFonts w:ascii="Arial" w:eastAsia="Times New Roman" w:hAnsi="Arial" w:cs="Arial"/>
          <w:color w:val="000000"/>
          <w:sz w:val="22"/>
          <w:szCs w:val="22"/>
        </w:rPr>
        <w:t xml:space="preserve"> (2007)</w:t>
      </w:r>
    </w:p>
    <w:p w14:paraId="778B44CA" w14:textId="3AC828CB" w:rsidR="001E0BD5" w:rsidRPr="000A7C1E" w:rsidRDefault="00E60DFE">
      <w:pPr>
        <w:rPr>
          <w:rFonts w:ascii="Arial" w:eastAsia="Times New Roman" w:hAnsi="Arial" w:cs="Arial"/>
          <w:color w:val="000000"/>
          <w:sz w:val="22"/>
          <w:szCs w:val="22"/>
        </w:rPr>
      </w:pPr>
      <w:r w:rsidRPr="000A7C1E">
        <w:rPr>
          <w:rFonts w:ascii="Arial" w:eastAsia="Times New Roman" w:hAnsi="Arial" w:cs="Arial"/>
          <w:color w:val="000000"/>
          <w:sz w:val="22"/>
          <w:szCs w:val="22"/>
        </w:rPr>
        <w:t>ParcelCare's approach to the labour market involves 'employer of cash' and 'employer of values'. The company targets low-skilled individuals, overseas workers, and temporary students. The ultimate strategic aim is to be an 'employer of choice', presenting the company in the best possible light.</w:t>
      </w:r>
      <w:r w:rsidR="008E5415" w:rsidRPr="000A7C1E">
        <w:rPr>
          <w:rFonts w:ascii="Arial" w:eastAsia="Times New Roman" w:hAnsi="Arial" w:cs="Arial"/>
          <w:color w:val="000000"/>
          <w:sz w:val="22"/>
          <w:szCs w:val="22"/>
        </w:rPr>
        <w:t xml:space="preserve"> Taylor and </w:t>
      </w:r>
      <w:proofErr w:type="spellStart"/>
      <w:r w:rsidR="008E5415" w:rsidRPr="000A7C1E">
        <w:rPr>
          <w:rFonts w:ascii="Arial" w:eastAsia="Times New Roman" w:hAnsi="Arial" w:cs="Arial"/>
          <w:color w:val="000000"/>
          <w:sz w:val="22"/>
          <w:szCs w:val="22"/>
        </w:rPr>
        <w:t>Woodhams</w:t>
      </w:r>
      <w:proofErr w:type="spellEnd"/>
      <w:r w:rsidR="008E5415" w:rsidRPr="000A7C1E">
        <w:rPr>
          <w:rFonts w:ascii="Arial" w:eastAsia="Times New Roman" w:hAnsi="Arial" w:cs="Arial"/>
          <w:color w:val="000000"/>
          <w:sz w:val="22"/>
          <w:szCs w:val="22"/>
        </w:rPr>
        <w:t xml:space="preserve"> (2016j)</w:t>
      </w:r>
    </w:p>
    <w:p w14:paraId="10E0F492" w14:textId="2FB81C95" w:rsidR="003D040A" w:rsidRPr="000A7C1E" w:rsidRDefault="00EB29D6">
      <w:pPr>
        <w:rPr>
          <w:rFonts w:ascii="Arial" w:eastAsia="Times New Roman" w:hAnsi="Arial" w:cs="Arial"/>
          <w:color w:val="000000"/>
          <w:sz w:val="22"/>
          <w:szCs w:val="22"/>
        </w:rPr>
      </w:pPr>
      <w:r w:rsidRPr="000A7C1E">
        <w:rPr>
          <w:rFonts w:ascii="Arial" w:eastAsia="Times New Roman" w:hAnsi="Arial" w:cs="Arial"/>
          <w:color w:val="000000"/>
          <w:sz w:val="22"/>
          <w:szCs w:val="22"/>
        </w:rPr>
        <w:t>ParcelCare promotes employee wellbeing by addressing stress and creating positive work environments, focusing on relationships, environment, culture, resources, EDI approach, and work design.</w:t>
      </w:r>
      <w:r w:rsidR="00A52B2C" w:rsidRPr="000A7C1E">
        <w:rPr>
          <w:rFonts w:ascii="Arial" w:eastAsia="Times New Roman" w:hAnsi="Arial" w:cs="Arial"/>
          <w:color w:val="000000"/>
          <w:sz w:val="22"/>
          <w:szCs w:val="22"/>
        </w:rPr>
        <w:t xml:space="preserve"> CIPD (2023a)</w:t>
      </w:r>
    </w:p>
    <w:p w14:paraId="58080F4B" w14:textId="5CEEC4EC" w:rsidR="00536928" w:rsidRPr="000A7C1E" w:rsidRDefault="00DC7120">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To successfully implement cultural change at ParcelCare, they should communicate the vision and need for change, engage key stakeholders, and ensure employees understand the benefits of the change. They should avoid immediate </w:t>
      </w:r>
      <w:r w:rsidR="00980278" w:rsidRPr="000A7C1E">
        <w:rPr>
          <w:rFonts w:ascii="Arial" w:eastAsia="Times New Roman" w:hAnsi="Arial" w:cs="Arial"/>
          <w:color w:val="000000"/>
          <w:sz w:val="22"/>
          <w:szCs w:val="22"/>
        </w:rPr>
        <w:t>reorganisation</w:t>
      </w:r>
      <w:r w:rsidRPr="000A7C1E">
        <w:rPr>
          <w:rFonts w:ascii="Arial" w:eastAsia="Times New Roman" w:hAnsi="Arial" w:cs="Arial"/>
          <w:color w:val="000000"/>
          <w:sz w:val="22"/>
          <w:szCs w:val="22"/>
        </w:rPr>
        <w:t xml:space="preserve"> and clarify the vision, ensuring management roles and systems support </w:t>
      </w:r>
      <w:r w:rsidR="00CF07A2" w:rsidRPr="000A7C1E">
        <w:rPr>
          <w:rFonts w:ascii="Arial" w:eastAsia="Times New Roman" w:hAnsi="Arial" w:cs="Arial"/>
          <w:color w:val="000000"/>
          <w:sz w:val="22"/>
          <w:szCs w:val="22"/>
        </w:rPr>
        <w:t>it. CIPD</w:t>
      </w:r>
      <w:r w:rsidR="00125AD7" w:rsidRPr="000A7C1E">
        <w:rPr>
          <w:rFonts w:ascii="Arial" w:eastAsia="Times New Roman" w:hAnsi="Arial" w:cs="Arial"/>
          <w:color w:val="000000"/>
          <w:sz w:val="22"/>
          <w:szCs w:val="22"/>
        </w:rPr>
        <w:t xml:space="preserve"> (2023)</w:t>
      </w:r>
    </w:p>
    <w:p w14:paraId="74643E97" w14:textId="42B06EF5" w:rsidR="003E4885" w:rsidRPr="000A7C1E" w:rsidRDefault="000E1DB0">
      <w:pPr>
        <w:rPr>
          <w:rStyle w:val="ui-provider"/>
          <w:rFonts w:ascii="Arial" w:hAnsi="Arial" w:cs="Arial"/>
          <w:sz w:val="22"/>
          <w:szCs w:val="22"/>
        </w:rPr>
      </w:pPr>
      <w:r w:rsidRPr="000A7C1E">
        <w:rPr>
          <w:rFonts w:ascii="Arial" w:eastAsia="Times New Roman" w:hAnsi="Arial" w:cs="Arial"/>
          <w:color w:val="000000"/>
          <w:sz w:val="22"/>
          <w:szCs w:val="22"/>
        </w:rPr>
        <w:lastRenderedPageBreak/>
        <w:t>ParcelCare plans to invest in technology to enhance business outcomes, workforce engagement, and job quality, ensuring AI's equality, diversity, and inclusion goals are met with caution.</w:t>
      </w:r>
      <w:r w:rsidR="00CF07A2" w:rsidRPr="000A7C1E">
        <w:rPr>
          <w:rFonts w:ascii="Arial" w:eastAsia="Times New Roman" w:hAnsi="Arial" w:cs="Arial"/>
          <w:color w:val="000000"/>
          <w:sz w:val="22"/>
          <w:szCs w:val="22"/>
        </w:rPr>
        <w:t xml:space="preserve"> CIPD</w:t>
      </w:r>
      <w:r w:rsidR="00142F20" w:rsidRPr="000A7C1E">
        <w:rPr>
          <w:rFonts w:ascii="Arial" w:eastAsia="Times New Roman" w:hAnsi="Arial" w:cs="Arial"/>
          <w:color w:val="000000"/>
          <w:sz w:val="22"/>
          <w:szCs w:val="22"/>
        </w:rPr>
        <w:t xml:space="preserve"> (2021)</w:t>
      </w:r>
    </w:p>
    <w:p w14:paraId="49064860" w14:textId="5FEF2D00" w:rsidR="002D7676" w:rsidRPr="000A7C1E" w:rsidRDefault="00CB2028">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ParcelCare should </w:t>
      </w:r>
      <w:r w:rsidR="00F96D28" w:rsidRPr="000A7C1E">
        <w:rPr>
          <w:rFonts w:ascii="Arial" w:eastAsia="Times New Roman" w:hAnsi="Arial" w:cs="Arial"/>
          <w:color w:val="000000"/>
          <w:sz w:val="22"/>
          <w:szCs w:val="22"/>
        </w:rPr>
        <w:t>prioritise</w:t>
      </w:r>
      <w:r w:rsidRPr="000A7C1E">
        <w:rPr>
          <w:rFonts w:ascii="Arial" w:eastAsia="Times New Roman" w:hAnsi="Arial" w:cs="Arial"/>
          <w:color w:val="000000"/>
          <w:sz w:val="22"/>
          <w:szCs w:val="22"/>
        </w:rPr>
        <w:t xml:space="preserve"> addressing unethical </w:t>
      </w:r>
      <w:r w:rsidR="00F96D28" w:rsidRPr="000A7C1E">
        <w:rPr>
          <w:rFonts w:ascii="Arial" w:eastAsia="Times New Roman" w:hAnsi="Arial" w:cs="Arial"/>
          <w:color w:val="000000"/>
          <w:sz w:val="22"/>
          <w:szCs w:val="22"/>
        </w:rPr>
        <w:t>behaviour</w:t>
      </w:r>
      <w:r w:rsidRPr="000A7C1E">
        <w:rPr>
          <w:rFonts w:ascii="Arial" w:eastAsia="Times New Roman" w:hAnsi="Arial" w:cs="Arial"/>
          <w:color w:val="000000"/>
          <w:sz w:val="22"/>
          <w:szCs w:val="22"/>
        </w:rPr>
        <w:t xml:space="preserve"> by implementing shared codes, enforcing them consistently, and conducting regular checks and balances to identify blind spots and </w:t>
      </w:r>
      <w:r w:rsidR="00FE23ED" w:rsidRPr="000A7C1E">
        <w:rPr>
          <w:rFonts w:ascii="Arial" w:eastAsia="Times New Roman" w:hAnsi="Arial" w:cs="Arial"/>
          <w:color w:val="000000"/>
          <w:sz w:val="22"/>
          <w:szCs w:val="22"/>
        </w:rPr>
        <w:t>inaction. Russell</w:t>
      </w:r>
      <w:r w:rsidR="001841F3" w:rsidRPr="000A7C1E">
        <w:rPr>
          <w:rFonts w:ascii="Arial" w:eastAsia="Times New Roman" w:hAnsi="Arial" w:cs="Arial"/>
          <w:color w:val="000000"/>
          <w:sz w:val="22"/>
          <w:szCs w:val="22"/>
        </w:rPr>
        <w:t xml:space="preserve"> and Weeks (2024)</w:t>
      </w:r>
    </w:p>
    <w:p w14:paraId="15354FC5" w14:textId="3E39FC6D" w:rsidR="0082259B" w:rsidRPr="000A7C1E" w:rsidRDefault="001F058A">
      <w:pPr>
        <w:rPr>
          <w:rStyle w:val="ui-provider"/>
          <w:rFonts w:ascii="Arial" w:hAnsi="Arial" w:cs="Arial"/>
          <w:sz w:val="22"/>
          <w:szCs w:val="22"/>
        </w:rPr>
      </w:pPr>
      <w:r w:rsidRPr="000A7C1E">
        <w:rPr>
          <w:rFonts w:ascii="Arial" w:eastAsia="Times New Roman" w:hAnsi="Arial" w:cs="Arial"/>
          <w:color w:val="000000"/>
          <w:sz w:val="22"/>
          <w:szCs w:val="22"/>
        </w:rPr>
        <w:t>ParcelCare should adopt a reward and culture typology to present themselves to the labour market, targeting low-skilled individuals, overseas workers, and temporary students, aiming to be an employer of choice.</w:t>
      </w:r>
      <w:r w:rsidR="0010399B" w:rsidRPr="000A7C1E">
        <w:rPr>
          <w:rStyle w:val="apple-converted-space"/>
          <w:rFonts w:ascii="Arial" w:eastAsia="Times New Roman" w:hAnsi="Arial" w:cs="Arial"/>
          <w:color w:val="000000"/>
          <w:sz w:val="22"/>
          <w:szCs w:val="22"/>
        </w:rPr>
        <w:t> </w:t>
      </w:r>
      <w:r w:rsidR="000E00A6" w:rsidRPr="000A7C1E">
        <w:rPr>
          <w:rFonts w:ascii="Arial" w:eastAsia="Times New Roman" w:hAnsi="Arial" w:cs="Arial"/>
          <w:color w:val="000000"/>
          <w:sz w:val="22"/>
          <w:szCs w:val="22"/>
        </w:rPr>
        <w:t xml:space="preserve">Taylor and </w:t>
      </w:r>
      <w:proofErr w:type="spellStart"/>
      <w:r w:rsidR="000E00A6" w:rsidRPr="000A7C1E">
        <w:rPr>
          <w:rFonts w:ascii="Arial" w:eastAsia="Times New Roman" w:hAnsi="Arial" w:cs="Arial"/>
          <w:color w:val="000000"/>
          <w:sz w:val="22"/>
          <w:szCs w:val="22"/>
        </w:rPr>
        <w:t>Woodhams</w:t>
      </w:r>
      <w:proofErr w:type="spellEnd"/>
      <w:r w:rsidR="000E00A6" w:rsidRPr="000A7C1E">
        <w:rPr>
          <w:rFonts w:ascii="Arial" w:eastAsia="Times New Roman" w:hAnsi="Arial" w:cs="Arial"/>
          <w:color w:val="000000"/>
          <w:sz w:val="22"/>
          <w:szCs w:val="22"/>
        </w:rPr>
        <w:t xml:space="preserve"> (2016e)</w:t>
      </w:r>
    </w:p>
    <w:p w14:paraId="1B0ABE27" w14:textId="77777777" w:rsidR="00DA7FEF" w:rsidRPr="000A7C1E" w:rsidRDefault="00CE68F5">
      <w:pPr>
        <w:rPr>
          <w:rFonts w:ascii="Arial" w:eastAsia="Times New Roman" w:hAnsi="Arial" w:cs="Arial"/>
          <w:color w:val="000000"/>
          <w:sz w:val="22"/>
          <w:szCs w:val="22"/>
        </w:rPr>
      </w:pPr>
      <w:r w:rsidRPr="000A7C1E">
        <w:rPr>
          <w:rStyle w:val="ui-provider"/>
          <w:rFonts w:ascii="Arial" w:hAnsi="Arial" w:cs="Arial"/>
          <w:color w:val="215E99" w:themeColor="text2" w:themeTint="BF"/>
          <w:sz w:val="22"/>
          <w:szCs w:val="22"/>
        </w:rPr>
        <w:t>2.Explain the impact of changing labour market conditions on resourcing decisions at ParcelCare. (AC 1.2)</w:t>
      </w:r>
      <w:r w:rsidR="00DA7FEF" w:rsidRPr="000A7C1E">
        <w:rPr>
          <w:rFonts w:ascii="Arial" w:eastAsia="Times New Roman" w:hAnsi="Arial" w:cs="Arial"/>
          <w:color w:val="000000"/>
          <w:sz w:val="22"/>
          <w:szCs w:val="22"/>
        </w:rPr>
        <w:t xml:space="preserve"> </w:t>
      </w:r>
    </w:p>
    <w:p w14:paraId="29458153" w14:textId="10A9AAC1" w:rsidR="00A358A1" w:rsidRPr="000A7C1E" w:rsidRDefault="00A358A1">
      <w:pPr>
        <w:rPr>
          <w:rFonts w:ascii="Arial" w:eastAsia="Times New Roman" w:hAnsi="Arial" w:cs="Arial"/>
          <w:color w:val="000000"/>
          <w:sz w:val="22"/>
          <w:szCs w:val="22"/>
        </w:rPr>
      </w:pPr>
      <w:r w:rsidRPr="000A7C1E">
        <w:rPr>
          <w:rFonts w:ascii="Arial" w:eastAsia="Times New Roman" w:hAnsi="Arial" w:cs="Arial"/>
          <w:color w:val="000000"/>
          <w:sz w:val="22"/>
          <w:szCs w:val="22"/>
        </w:rPr>
        <w:t>According to the CIPD Outlook for Winter 23–24, 91% of private sector businesses intend to reduce worker levels within the next three months, and net employment balance fell from 26 to 22. Employers in the public sector have twice as many plans, and 38% of them have difficult-to-fill positions. CIPD (2024c)</w:t>
      </w:r>
    </w:p>
    <w:p w14:paraId="04391715" w14:textId="08FBDDFB" w:rsidR="000C217A" w:rsidRPr="000A7C1E" w:rsidRDefault="000C217A">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The labour market can expand or contract due to various factors, including economic context, demographic changes, political changes, legislative changes, technological developments, and natural disasters. In 2008, the UK's labour market was relatively loose due to recession, open immigration policies, international competition, job exports, and labor-saving technologies. </w:t>
      </w:r>
      <w:r w:rsidR="00C7176A"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often pay little attention to employee recruitment and retention, as they are unlikely to voluntarily leave a job.</w:t>
      </w:r>
      <w:r w:rsidR="00D403EF" w:rsidRPr="000A7C1E">
        <w:rPr>
          <w:rFonts w:ascii="Arial" w:eastAsia="Times New Roman" w:hAnsi="Arial" w:cs="Arial"/>
          <w:color w:val="000000"/>
          <w:sz w:val="22"/>
          <w:szCs w:val="22"/>
        </w:rPr>
        <w:t xml:space="preserve"> Taylor and </w:t>
      </w:r>
      <w:proofErr w:type="spellStart"/>
      <w:r w:rsidR="00D403EF" w:rsidRPr="000A7C1E">
        <w:rPr>
          <w:rFonts w:ascii="Arial" w:eastAsia="Times New Roman" w:hAnsi="Arial" w:cs="Arial"/>
          <w:color w:val="000000"/>
          <w:sz w:val="22"/>
          <w:szCs w:val="22"/>
        </w:rPr>
        <w:t>Woodhams</w:t>
      </w:r>
      <w:proofErr w:type="spellEnd"/>
      <w:r w:rsidR="00D403EF" w:rsidRPr="000A7C1E">
        <w:rPr>
          <w:rFonts w:ascii="Arial" w:eastAsia="Times New Roman" w:hAnsi="Arial" w:cs="Arial"/>
          <w:color w:val="000000"/>
          <w:sz w:val="22"/>
          <w:szCs w:val="22"/>
        </w:rPr>
        <w:t xml:space="preserve"> (2016a)</w:t>
      </w:r>
    </w:p>
    <w:p w14:paraId="12134AAB" w14:textId="796B6189" w:rsidR="00AD6886" w:rsidRPr="000A7C1E" w:rsidRDefault="00D92B13">
      <w:pPr>
        <w:rPr>
          <w:rFonts w:ascii="Arial" w:eastAsia="Times New Roman" w:hAnsi="Arial" w:cs="Arial"/>
          <w:color w:val="000000"/>
          <w:sz w:val="22"/>
          <w:szCs w:val="22"/>
        </w:rPr>
      </w:pPr>
      <w:r w:rsidRPr="000A7C1E">
        <w:rPr>
          <w:rFonts w:ascii="Arial" w:eastAsia="Times New Roman" w:hAnsi="Arial" w:cs="Arial"/>
          <w:color w:val="000000"/>
          <w:sz w:val="22"/>
          <w:szCs w:val="22"/>
        </w:rPr>
        <w:t>The recruitment process depends on the labour market, with tight markets having more job opportunities and loose markets having fewer. Employers must be creative with recruitment strategies, including employer branding, retention, reorganisation, development, and long-term resource planning. They should focus on creating a company personality, investing in innovative techniques, investigating reasons for departures, changing job task allocation, enhancing workforce skills, and collaborating with local universities or training providers. Recruitment strategies are influenced by economic context, demographic changes, political changes, legislative changes, technological developments, and natural disasters.</w:t>
      </w:r>
      <w:r w:rsidR="00893EF4" w:rsidRPr="000A7C1E">
        <w:rPr>
          <w:rFonts w:ascii="Arial" w:eastAsia="Times New Roman" w:hAnsi="Arial" w:cs="Arial"/>
          <w:color w:val="000000"/>
          <w:sz w:val="22"/>
          <w:szCs w:val="22"/>
        </w:rPr>
        <w:t xml:space="preserve"> Taylor and </w:t>
      </w:r>
      <w:proofErr w:type="spellStart"/>
      <w:r w:rsidR="00893EF4" w:rsidRPr="000A7C1E">
        <w:rPr>
          <w:rFonts w:ascii="Arial" w:eastAsia="Times New Roman" w:hAnsi="Arial" w:cs="Arial"/>
          <w:color w:val="000000"/>
          <w:sz w:val="22"/>
          <w:szCs w:val="22"/>
        </w:rPr>
        <w:t>Woodhams</w:t>
      </w:r>
      <w:proofErr w:type="spellEnd"/>
      <w:r w:rsidR="00893EF4" w:rsidRPr="000A7C1E">
        <w:rPr>
          <w:rFonts w:ascii="Arial" w:eastAsia="Times New Roman" w:hAnsi="Arial" w:cs="Arial"/>
          <w:color w:val="000000"/>
          <w:sz w:val="22"/>
          <w:szCs w:val="22"/>
        </w:rPr>
        <w:t xml:space="preserve"> (2016b)</w:t>
      </w:r>
    </w:p>
    <w:p w14:paraId="02A75A03" w14:textId="4F870DD5" w:rsidR="003C58FD" w:rsidRPr="000A7C1E" w:rsidRDefault="00D834A7">
      <w:pPr>
        <w:rPr>
          <w:rFonts w:ascii="Arial" w:eastAsia="Times New Roman" w:hAnsi="Arial" w:cs="Arial"/>
          <w:color w:val="000000"/>
          <w:sz w:val="22"/>
          <w:szCs w:val="22"/>
        </w:rPr>
      </w:pPr>
      <w:r w:rsidRPr="000A7C1E">
        <w:rPr>
          <w:rFonts w:ascii="Arial" w:eastAsia="Times New Roman" w:hAnsi="Arial" w:cs="Arial"/>
          <w:color w:val="000000"/>
          <w:sz w:val="22"/>
          <w:szCs w:val="22"/>
        </w:rPr>
        <w:t>ParcelCare should develop a recruitment strategy that defines their corporate brand, treats candidates as customers, uses social media effectively, and reflects the company's culture in job ads, thereby attracting and retaining top talent, thereby fostering a more productive workforce.</w:t>
      </w:r>
      <w:r w:rsidR="00410975" w:rsidRPr="000A7C1E">
        <w:rPr>
          <w:rFonts w:ascii="Arial" w:eastAsia="Times New Roman" w:hAnsi="Arial" w:cs="Arial"/>
          <w:color w:val="000000"/>
          <w:sz w:val="22"/>
          <w:szCs w:val="22"/>
        </w:rPr>
        <w:t xml:space="preserve"> (Leonard, 2023)</w:t>
      </w:r>
    </w:p>
    <w:p w14:paraId="4A79259D" w14:textId="1494B49A" w:rsidR="00DE483D" w:rsidRPr="000A7C1E" w:rsidRDefault="005C1843">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ParcelCare should conduct a skills audit to identify gaps in their workforce. This involves creating a competency framework, assessing current employees, and </w:t>
      </w:r>
      <w:r w:rsidR="00F96D28" w:rsidRPr="000A7C1E">
        <w:rPr>
          <w:rFonts w:ascii="Arial" w:eastAsia="Times New Roman" w:hAnsi="Arial" w:cs="Arial"/>
          <w:color w:val="000000"/>
          <w:sz w:val="22"/>
          <w:szCs w:val="22"/>
        </w:rPr>
        <w:t>summarising</w:t>
      </w:r>
      <w:r w:rsidRPr="000A7C1E">
        <w:rPr>
          <w:rFonts w:ascii="Arial" w:eastAsia="Times New Roman" w:hAnsi="Arial" w:cs="Arial"/>
          <w:color w:val="000000"/>
          <w:sz w:val="22"/>
          <w:szCs w:val="22"/>
        </w:rPr>
        <w:t xml:space="preserve"> results. It also identifies external sources of skills, such as local labor markets, outsourcing, and collaborations.</w:t>
      </w:r>
      <w:r w:rsidR="00ED093E" w:rsidRPr="000A7C1E">
        <w:rPr>
          <w:rFonts w:ascii="Arial" w:eastAsia="Times New Roman" w:hAnsi="Arial" w:cs="Arial"/>
          <w:color w:val="000000"/>
          <w:sz w:val="22"/>
          <w:szCs w:val="22"/>
        </w:rPr>
        <w:t xml:space="preserve"> Taylor and </w:t>
      </w:r>
      <w:proofErr w:type="spellStart"/>
      <w:r w:rsidR="00ED093E" w:rsidRPr="000A7C1E">
        <w:rPr>
          <w:rFonts w:ascii="Arial" w:eastAsia="Times New Roman" w:hAnsi="Arial" w:cs="Arial"/>
          <w:color w:val="000000"/>
          <w:sz w:val="22"/>
          <w:szCs w:val="22"/>
        </w:rPr>
        <w:t>Woodhams</w:t>
      </w:r>
      <w:proofErr w:type="spellEnd"/>
      <w:r w:rsidR="00ED093E" w:rsidRPr="000A7C1E">
        <w:rPr>
          <w:rFonts w:ascii="Arial" w:eastAsia="Times New Roman" w:hAnsi="Arial" w:cs="Arial"/>
          <w:color w:val="000000"/>
          <w:sz w:val="22"/>
          <w:szCs w:val="22"/>
        </w:rPr>
        <w:t xml:space="preserve"> (2016c)</w:t>
      </w:r>
    </w:p>
    <w:p w14:paraId="73CE4822" w14:textId="0C2770FA" w:rsidR="009830D5" w:rsidRPr="000A7C1E" w:rsidRDefault="00B85F12">
      <w:pPr>
        <w:rPr>
          <w:rFonts w:ascii="Arial" w:eastAsia="Times New Roman" w:hAnsi="Arial" w:cs="Arial"/>
          <w:color w:val="000000"/>
          <w:sz w:val="22"/>
          <w:szCs w:val="22"/>
        </w:rPr>
      </w:pPr>
      <w:r w:rsidRPr="000A7C1E">
        <w:rPr>
          <w:rFonts w:ascii="Arial" w:eastAsia="Times New Roman" w:hAnsi="Arial" w:cs="Arial"/>
          <w:color w:val="000000"/>
          <w:sz w:val="22"/>
          <w:szCs w:val="22"/>
        </w:rPr>
        <w:t>ParcelCare should invest in a financial wellbeing policy to improve employee mental and physical wellbeing, ensuring fair pay and reducing stress, making it a standout in the labour market.</w:t>
      </w:r>
      <w:r w:rsidR="008A65B2" w:rsidRPr="000A7C1E">
        <w:rPr>
          <w:rFonts w:ascii="Arial" w:eastAsia="Times New Roman" w:hAnsi="Arial" w:cs="Arial"/>
          <w:color w:val="000000"/>
          <w:sz w:val="22"/>
          <w:szCs w:val="22"/>
        </w:rPr>
        <w:t>CIPD (2022</w:t>
      </w:r>
      <w:r w:rsidR="008D6357" w:rsidRPr="000A7C1E">
        <w:rPr>
          <w:rFonts w:ascii="Arial" w:eastAsia="Times New Roman" w:hAnsi="Arial" w:cs="Arial"/>
          <w:color w:val="000000"/>
          <w:sz w:val="22"/>
          <w:szCs w:val="22"/>
        </w:rPr>
        <w:t>)</w:t>
      </w:r>
    </w:p>
    <w:p w14:paraId="69F21450" w14:textId="67A93234" w:rsidR="00C8572D" w:rsidRPr="000A7C1E" w:rsidRDefault="00EF5DA7" w:rsidP="00F22F9D">
      <w:pPr>
        <w:spacing w:line="264" w:lineRule="auto"/>
        <w:ind w:left="360"/>
        <w:divId w:val="201016118"/>
        <w:rPr>
          <w:rFonts w:ascii="Arial" w:eastAsia="Arial" w:hAnsi="Arial" w:cs="Arial"/>
          <w:color w:val="215E99" w:themeColor="text2" w:themeTint="BF"/>
          <w:kern w:val="0"/>
          <w:sz w:val="22"/>
          <w:szCs w:val="22"/>
          <w:u w:color="000000"/>
          <w:lang w:val="en-US"/>
          <w14:ligatures w14:val="none"/>
        </w:rPr>
      </w:pPr>
      <w:r w:rsidRPr="000A7C1E">
        <w:rPr>
          <w:rFonts w:ascii="Arial" w:eastAsia="Arial" w:hAnsi="Arial" w:cs="Arial"/>
          <w:color w:val="215E99" w:themeColor="text2" w:themeTint="BF"/>
          <w:kern w:val="0"/>
          <w:sz w:val="22"/>
          <w:szCs w:val="22"/>
          <w:u w:color="000000"/>
          <w:lang w:val="en-US"/>
          <w14:ligatures w14:val="none"/>
        </w:rPr>
        <w:lastRenderedPageBreak/>
        <w:t>3.</w:t>
      </w:r>
      <w:r w:rsidR="008D6357" w:rsidRPr="000A7C1E">
        <w:rPr>
          <w:rFonts w:ascii="Arial" w:eastAsia="Arial" w:hAnsi="Arial" w:cs="Arial"/>
          <w:color w:val="215E99" w:themeColor="text2" w:themeTint="BF"/>
          <w:kern w:val="0"/>
          <w:sz w:val="22"/>
          <w:szCs w:val="22"/>
          <w:u w:color="000000"/>
          <w:lang w:val="en-US"/>
          <w14:ligatures w14:val="none"/>
        </w:rPr>
        <w:t xml:space="preserve">You are aware that workforce planning has not </w:t>
      </w:r>
      <w:bookmarkStart w:id="0" w:name="_Int_ifVT1EIA"/>
      <w:r w:rsidR="008D6357" w:rsidRPr="000A7C1E">
        <w:rPr>
          <w:rFonts w:ascii="Arial" w:eastAsia="Arial" w:hAnsi="Arial" w:cs="Arial"/>
          <w:color w:val="215E99" w:themeColor="text2" w:themeTint="BF"/>
          <w:kern w:val="0"/>
          <w:sz w:val="22"/>
          <w:szCs w:val="22"/>
          <w:u w:color="000000"/>
          <w:lang w:val="en-US"/>
          <w14:ligatures w14:val="none"/>
        </w:rPr>
        <w:t>been carried</w:t>
      </w:r>
      <w:bookmarkEnd w:id="0"/>
      <w:r w:rsidR="008D6357" w:rsidRPr="000A7C1E">
        <w:rPr>
          <w:rFonts w:ascii="Arial" w:eastAsia="Arial" w:hAnsi="Arial" w:cs="Arial"/>
          <w:color w:val="215E99" w:themeColor="text2" w:themeTint="BF"/>
          <w:kern w:val="0"/>
          <w:sz w:val="22"/>
          <w:szCs w:val="22"/>
          <w:u w:color="000000"/>
          <w:lang w:val="en-US"/>
          <w14:ligatures w14:val="none"/>
        </w:rPr>
        <w:t xml:space="preserve"> out in the past and decide to persuade the senior leadership team that this activity is worth doing.</w:t>
      </w:r>
      <w:r w:rsidR="00CD71B8" w:rsidRPr="000A7C1E">
        <w:rPr>
          <w:rFonts w:ascii="Arial" w:eastAsia="Arial" w:hAnsi="Arial" w:cs="Arial"/>
          <w:color w:val="215E99" w:themeColor="text2" w:themeTint="BF"/>
          <w:kern w:val="0"/>
          <w:sz w:val="22"/>
          <w:szCs w:val="22"/>
          <w:u w:color="000000"/>
          <w:lang w:val="en-US"/>
          <w14:ligatures w14:val="none"/>
        </w:rPr>
        <w:t xml:space="preserve"> </w:t>
      </w:r>
      <w:r w:rsidR="0062146A" w:rsidRPr="000A7C1E">
        <w:rPr>
          <w:rFonts w:ascii="Arial" w:eastAsia="Arial" w:hAnsi="Arial" w:cs="Arial"/>
          <w:color w:val="215E99" w:themeColor="text2" w:themeTint="BF"/>
          <w:kern w:val="0"/>
          <w:sz w:val="22"/>
          <w:szCs w:val="22"/>
          <w:u w:color="000000"/>
          <w:lang w:val="en-US"/>
          <w14:ligatures w14:val="none"/>
        </w:rPr>
        <w:t>Analyse</w:t>
      </w:r>
      <w:r w:rsidR="008D6357" w:rsidRPr="000A7C1E">
        <w:rPr>
          <w:rFonts w:ascii="Arial" w:eastAsia="Arial" w:hAnsi="Arial" w:cs="Arial"/>
          <w:color w:val="215E99" w:themeColor="text2" w:themeTint="BF"/>
          <w:kern w:val="0"/>
          <w:sz w:val="22"/>
          <w:szCs w:val="22"/>
          <w:u w:color="000000"/>
          <w:lang w:val="en-US"/>
          <w14:ligatures w14:val="none"/>
        </w:rPr>
        <w:t xml:space="preserve"> the impact of effective workforce planning, making clear how ParcelCare could </w:t>
      </w:r>
      <w:bookmarkStart w:id="1" w:name="_Int_fj6S5H3J"/>
      <w:r w:rsidR="008D6357" w:rsidRPr="000A7C1E">
        <w:rPr>
          <w:rFonts w:ascii="Arial" w:eastAsia="Arial" w:hAnsi="Arial" w:cs="Arial"/>
          <w:color w:val="215E99" w:themeColor="text2" w:themeTint="BF"/>
          <w:kern w:val="0"/>
          <w:sz w:val="22"/>
          <w:szCs w:val="22"/>
          <w:u w:color="000000"/>
          <w:lang w:val="en-US"/>
          <w14:ligatures w14:val="none"/>
        </w:rPr>
        <w:t>benefit</w:t>
      </w:r>
      <w:bookmarkEnd w:id="1"/>
      <w:r w:rsidR="008D6357" w:rsidRPr="000A7C1E">
        <w:rPr>
          <w:rFonts w:ascii="Arial" w:eastAsia="Arial" w:hAnsi="Arial" w:cs="Arial"/>
          <w:color w:val="215E99" w:themeColor="text2" w:themeTint="BF"/>
          <w:kern w:val="0"/>
          <w:sz w:val="22"/>
          <w:szCs w:val="22"/>
          <w:u w:color="000000"/>
          <w:lang w:val="en-US"/>
          <w14:ligatures w14:val="none"/>
        </w:rPr>
        <w:t xml:space="preserve"> from this activity. (AC 2.1)</w:t>
      </w:r>
    </w:p>
    <w:p w14:paraId="7C6F00CB" w14:textId="67A2E196" w:rsidR="00C8572D" w:rsidRPr="000A7C1E" w:rsidRDefault="00CD50ED" w:rsidP="00CD71B8">
      <w:pPr>
        <w:spacing w:line="264" w:lineRule="auto"/>
        <w:divId w:val="201016118"/>
        <w:rPr>
          <w:rFonts w:ascii="Arial" w:eastAsia="Arial" w:hAnsi="Arial" w:cs="Arial"/>
          <w:color w:val="215E99" w:themeColor="text2" w:themeTint="BF"/>
          <w:kern w:val="0"/>
          <w:sz w:val="22"/>
          <w:szCs w:val="22"/>
          <w:u w:color="000000"/>
          <w:lang w:val="en-US"/>
          <w14:ligatures w14:val="none"/>
        </w:rPr>
      </w:pPr>
      <w:r w:rsidRPr="000A7C1E">
        <w:rPr>
          <w:rFonts w:ascii="Arial" w:eastAsia="Times New Roman" w:hAnsi="Arial" w:cs="Arial"/>
          <w:color w:val="000000"/>
          <w:sz w:val="22"/>
          <w:szCs w:val="22"/>
        </w:rPr>
        <w:t xml:space="preserve">Workforce planning is a strategic process that balances labour supply and demand, ensuring an </w:t>
      </w:r>
      <w:r w:rsidR="00450C0D"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xml:space="preserve"> achieves its mission, goals, and strategic objectives. It helps reduce costs, respond to customer needs, and improve employee retention, productivity, and work-life balance.</w:t>
      </w:r>
      <w:r w:rsidR="005100B3" w:rsidRPr="000A7C1E">
        <w:rPr>
          <w:rFonts w:ascii="Arial" w:eastAsia="Times New Roman" w:hAnsi="Arial" w:cs="Arial"/>
          <w:color w:val="000000"/>
          <w:sz w:val="22"/>
          <w:szCs w:val="22"/>
        </w:rPr>
        <w:t xml:space="preserve"> CIPD (2023c)</w:t>
      </w:r>
    </w:p>
    <w:p w14:paraId="34031723" w14:textId="2F12637A" w:rsidR="004F64ED" w:rsidRPr="000A7C1E" w:rsidRDefault="004F64ED" w:rsidP="0062146A">
      <w:pPr>
        <w:spacing w:line="264" w:lineRule="auto"/>
        <w:divId w:val="201016118"/>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ParcelCare senior leadership should </w:t>
      </w:r>
      <w:r w:rsidR="00584E71" w:rsidRPr="000A7C1E">
        <w:rPr>
          <w:rFonts w:ascii="Arial" w:eastAsia="Times New Roman" w:hAnsi="Arial" w:cs="Arial"/>
          <w:color w:val="000000"/>
          <w:sz w:val="22"/>
          <w:szCs w:val="22"/>
        </w:rPr>
        <w:t>prioritise</w:t>
      </w:r>
      <w:r w:rsidRPr="000A7C1E">
        <w:rPr>
          <w:rFonts w:ascii="Arial" w:eastAsia="Times New Roman" w:hAnsi="Arial" w:cs="Arial"/>
          <w:color w:val="000000"/>
          <w:sz w:val="22"/>
          <w:szCs w:val="22"/>
        </w:rPr>
        <w:t xml:space="preserve"> workforce planning to </w:t>
      </w:r>
      <w:r w:rsidR="00584E71" w:rsidRPr="000A7C1E">
        <w:rPr>
          <w:rFonts w:ascii="Arial" w:eastAsia="Times New Roman" w:hAnsi="Arial" w:cs="Arial"/>
          <w:color w:val="000000"/>
          <w:sz w:val="22"/>
          <w:szCs w:val="22"/>
        </w:rPr>
        <w:t>maximise</w:t>
      </w:r>
      <w:r w:rsidRPr="000A7C1E">
        <w:rPr>
          <w:rFonts w:ascii="Arial" w:eastAsia="Times New Roman" w:hAnsi="Arial" w:cs="Arial"/>
          <w:color w:val="000000"/>
          <w:sz w:val="22"/>
          <w:szCs w:val="22"/>
        </w:rPr>
        <w:t xml:space="preserve"> employee retention. Two approaches can </w:t>
      </w:r>
      <w:bookmarkStart w:id="2" w:name="_Int_vVWcaIBi"/>
      <w:r w:rsidRPr="000A7C1E">
        <w:rPr>
          <w:rFonts w:ascii="Arial" w:eastAsia="Times New Roman" w:hAnsi="Arial" w:cs="Arial"/>
          <w:color w:val="000000"/>
          <w:sz w:val="22"/>
          <w:szCs w:val="22"/>
        </w:rPr>
        <w:t>be used</w:t>
      </w:r>
      <w:bookmarkEnd w:id="2"/>
      <w:r w:rsidRPr="000A7C1E">
        <w:rPr>
          <w:rFonts w:ascii="Arial" w:eastAsia="Times New Roman" w:hAnsi="Arial" w:cs="Arial"/>
          <w:color w:val="000000"/>
          <w:sz w:val="22"/>
          <w:szCs w:val="22"/>
        </w:rPr>
        <w:t xml:space="preserve">: looking outside the </w:t>
      </w:r>
      <w:r w:rsidR="004A643E"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xml:space="preserve"> and examining current turnover levels. Understanding the current turnover situation is crucial, as not all turnover is bad. Quantitative methods like crude turnover rate calculation, stability rate calculation, and cohort analysis can help </w:t>
      </w:r>
      <w:r w:rsidR="004A643E" w:rsidRPr="000A7C1E">
        <w:rPr>
          <w:rFonts w:ascii="Arial" w:eastAsia="Times New Roman" w:hAnsi="Arial" w:cs="Arial"/>
          <w:color w:val="000000"/>
          <w:sz w:val="22"/>
          <w:szCs w:val="22"/>
        </w:rPr>
        <w:t>decide</w:t>
      </w:r>
      <w:r w:rsidRPr="000A7C1E">
        <w:rPr>
          <w:rFonts w:ascii="Arial" w:eastAsia="Times New Roman" w:hAnsi="Arial" w:cs="Arial"/>
          <w:color w:val="000000"/>
          <w:sz w:val="22"/>
          <w:szCs w:val="22"/>
        </w:rPr>
        <w:t xml:space="preserve"> the level and reasons for turnover. Benchmarking can also help gain commitment from senior management.</w:t>
      </w:r>
      <w:r w:rsidR="00584E71" w:rsidRPr="000A7C1E">
        <w:rPr>
          <w:rFonts w:ascii="Arial" w:eastAsia="Times New Roman" w:hAnsi="Arial" w:cs="Arial"/>
          <w:color w:val="000000"/>
          <w:sz w:val="22"/>
          <w:szCs w:val="22"/>
        </w:rPr>
        <w:t xml:space="preserve"> Taylor and </w:t>
      </w:r>
      <w:proofErr w:type="spellStart"/>
      <w:r w:rsidR="00584E71" w:rsidRPr="000A7C1E">
        <w:rPr>
          <w:rFonts w:ascii="Arial" w:eastAsia="Times New Roman" w:hAnsi="Arial" w:cs="Arial"/>
          <w:color w:val="000000"/>
          <w:sz w:val="22"/>
          <w:szCs w:val="22"/>
        </w:rPr>
        <w:t>Woodhams</w:t>
      </w:r>
      <w:proofErr w:type="spellEnd"/>
      <w:r w:rsidR="00584E71" w:rsidRPr="000A7C1E">
        <w:rPr>
          <w:rFonts w:ascii="Arial" w:eastAsia="Times New Roman" w:hAnsi="Arial" w:cs="Arial"/>
          <w:color w:val="000000"/>
          <w:sz w:val="22"/>
          <w:szCs w:val="22"/>
        </w:rPr>
        <w:t xml:space="preserve"> (2016f)</w:t>
      </w:r>
    </w:p>
    <w:p w14:paraId="7A79459D" w14:textId="1EE1BE6B" w:rsidR="004A643E" w:rsidRPr="000A7C1E" w:rsidRDefault="00D37C36" w:rsidP="0062146A">
      <w:pPr>
        <w:spacing w:line="264" w:lineRule="auto"/>
        <w:divId w:val="201016118"/>
        <w:rPr>
          <w:rFonts w:ascii="Arial" w:eastAsia="Times New Roman" w:hAnsi="Arial" w:cs="Arial"/>
          <w:color w:val="000000"/>
          <w:sz w:val="22"/>
          <w:szCs w:val="22"/>
        </w:rPr>
      </w:pPr>
      <w:r w:rsidRPr="000A7C1E">
        <w:rPr>
          <w:rFonts w:ascii="Arial" w:eastAsia="Times New Roman" w:hAnsi="Arial" w:cs="Arial"/>
          <w:color w:val="000000"/>
          <w:sz w:val="22"/>
          <w:szCs w:val="22"/>
        </w:rPr>
        <w:t>Talent planning is a crucial process for ParcelCare to ensure the company has the right people, skills, and locations to achieve its strategic objectives. It involves forecasting future demand for skills, identifying gaps between demand and supply, and making plans to fill them. This process can be done using systematic techniques, managerial judgment, and cost-saving strategies. Investing in future skills will positively impact ParcelCare's future.</w:t>
      </w:r>
      <w:r w:rsidR="006F5511" w:rsidRPr="000A7C1E">
        <w:rPr>
          <w:rFonts w:ascii="Arial" w:eastAsia="Times New Roman" w:hAnsi="Arial" w:cs="Arial"/>
          <w:color w:val="000000"/>
          <w:sz w:val="22"/>
          <w:szCs w:val="22"/>
        </w:rPr>
        <w:t xml:space="preserve"> Taylor and </w:t>
      </w:r>
      <w:proofErr w:type="spellStart"/>
      <w:r w:rsidR="006F5511" w:rsidRPr="000A7C1E">
        <w:rPr>
          <w:rFonts w:ascii="Arial" w:eastAsia="Times New Roman" w:hAnsi="Arial" w:cs="Arial"/>
          <w:color w:val="000000"/>
          <w:sz w:val="22"/>
          <w:szCs w:val="22"/>
        </w:rPr>
        <w:t>Woodhams</w:t>
      </w:r>
      <w:proofErr w:type="spellEnd"/>
      <w:r w:rsidR="006F5511" w:rsidRPr="000A7C1E">
        <w:rPr>
          <w:rFonts w:ascii="Arial" w:eastAsia="Times New Roman" w:hAnsi="Arial" w:cs="Arial"/>
          <w:color w:val="000000"/>
          <w:sz w:val="22"/>
          <w:szCs w:val="22"/>
        </w:rPr>
        <w:t xml:space="preserve"> (2016g)</w:t>
      </w:r>
    </w:p>
    <w:p w14:paraId="311F3713" w14:textId="309BCE83" w:rsidR="00A564A5" w:rsidRPr="000A7C1E" w:rsidRDefault="00697A98" w:rsidP="0062146A">
      <w:pPr>
        <w:spacing w:line="264" w:lineRule="auto"/>
        <w:divId w:val="201016118"/>
        <w:rPr>
          <w:rFonts w:ascii="Arial" w:eastAsia="Times New Roman" w:hAnsi="Arial" w:cs="Arial"/>
          <w:color w:val="000000"/>
          <w:sz w:val="22"/>
          <w:szCs w:val="22"/>
        </w:rPr>
      </w:pPr>
      <w:r w:rsidRPr="000A7C1E">
        <w:rPr>
          <w:rFonts w:ascii="Arial" w:eastAsia="Times New Roman" w:hAnsi="Arial" w:cs="Arial"/>
          <w:color w:val="000000"/>
          <w:sz w:val="22"/>
          <w:szCs w:val="22"/>
        </w:rPr>
        <w:t>Organisational</w:t>
      </w:r>
      <w:r w:rsidR="00317B20" w:rsidRPr="000A7C1E">
        <w:rPr>
          <w:rFonts w:ascii="Arial" w:eastAsia="Times New Roman" w:hAnsi="Arial" w:cs="Arial"/>
          <w:color w:val="000000"/>
          <w:sz w:val="22"/>
          <w:szCs w:val="22"/>
        </w:rPr>
        <w:t xml:space="preserve"> skills plans should consider the durability of skills, distinguishing between 'perishable' and 'durable' skills. Competitive businesses invest in proactive reskilling and upskilling, considering communities at risk. </w:t>
      </w:r>
      <w:r w:rsidR="00FE10BA" w:rsidRPr="000A7C1E">
        <w:rPr>
          <w:rFonts w:ascii="Arial" w:eastAsia="Times New Roman" w:hAnsi="Arial" w:cs="Arial"/>
          <w:color w:val="000000"/>
          <w:sz w:val="22"/>
          <w:szCs w:val="22"/>
        </w:rPr>
        <w:t>ParcelCare</w:t>
      </w:r>
      <w:r w:rsidR="00317B20" w:rsidRPr="000A7C1E">
        <w:rPr>
          <w:rFonts w:ascii="Arial" w:eastAsia="Times New Roman" w:hAnsi="Arial" w:cs="Arial"/>
          <w:color w:val="000000"/>
          <w:sz w:val="22"/>
          <w:szCs w:val="22"/>
        </w:rPr>
        <w:t xml:space="preserve"> should support staff and build relationships with organisations for outskilling programs. ParcelCare Leadership's skill plan can give them a competitive edge and increased employee engagement.</w:t>
      </w:r>
      <w:r w:rsidR="0078624B" w:rsidRPr="000A7C1E">
        <w:rPr>
          <w:rFonts w:ascii="Arial" w:eastAsia="Times New Roman" w:hAnsi="Arial" w:cs="Arial"/>
          <w:color w:val="000000"/>
          <w:sz w:val="22"/>
          <w:szCs w:val="22"/>
        </w:rPr>
        <w:t xml:space="preserve"> Dr Elouise Leonard-Cross (2021)</w:t>
      </w:r>
    </w:p>
    <w:p w14:paraId="46761D08" w14:textId="0A5B1D84" w:rsidR="006A44A6" w:rsidRPr="000A7C1E" w:rsidRDefault="00FC7AE7" w:rsidP="0062146A">
      <w:pPr>
        <w:spacing w:line="264" w:lineRule="auto"/>
        <w:divId w:val="201016118"/>
        <w:rPr>
          <w:rFonts w:ascii="Arial" w:eastAsia="Times New Roman" w:hAnsi="Arial" w:cs="Arial"/>
          <w:color w:val="000000"/>
          <w:sz w:val="22"/>
          <w:szCs w:val="22"/>
        </w:rPr>
      </w:pPr>
      <w:r w:rsidRPr="000A7C1E">
        <w:rPr>
          <w:rFonts w:ascii="Arial" w:eastAsia="Times New Roman" w:hAnsi="Arial" w:cs="Arial"/>
          <w:color w:val="000000"/>
          <w:sz w:val="22"/>
          <w:szCs w:val="22"/>
        </w:rPr>
        <w:t>Talent planning ensures fair opportunities for employees through communication, selection, appraisals, and initiatives. ParcelCare Leadership team engagement positively impacts workforce and sales.</w:t>
      </w:r>
      <w:r w:rsidR="0014016F" w:rsidRPr="000A7C1E">
        <w:rPr>
          <w:rFonts w:ascii="Arial" w:eastAsia="Times New Roman" w:hAnsi="Arial" w:cs="Arial"/>
          <w:color w:val="000000"/>
          <w:sz w:val="22"/>
          <w:szCs w:val="22"/>
        </w:rPr>
        <w:t xml:space="preserve">Taylor and </w:t>
      </w:r>
      <w:proofErr w:type="spellStart"/>
      <w:r w:rsidR="0014016F" w:rsidRPr="000A7C1E">
        <w:rPr>
          <w:rFonts w:ascii="Arial" w:eastAsia="Times New Roman" w:hAnsi="Arial" w:cs="Arial"/>
          <w:color w:val="000000"/>
          <w:sz w:val="22"/>
          <w:szCs w:val="22"/>
        </w:rPr>
        <w:t>Woodhams</w:t>
      </w:r>
      <w:proofErr w:type="spellEnd"/>
      <w:r w:rsidR="0014016F" w:rsidRPr="000A7C1E">
        <w:rPr>
          <w:rFonts w:ascii="Arial" w:eastAsia="Times New Roman" w:hAnsi="Arial" w:cs="Arial"/>
          <w:color w:val="000000"/>
          <w:sz w:val="22"/>
          <w:szCs w:val="22"/>
        </w:rPr>
        <w:t xml:space="preserve"> (2016h)</w:t>
      </w:r>
    </w:p>
    <w:p w14:paraId="2F63006C" w14:textId="37EE17E8" w:rsidR="00351CAC" w:rsidRPr="000A7C1E" w:rsidRDefault="00C77918" w:rsidP="0062146A">
      <w:pPr>
        <w:spacing w:line="264" w:lineRule="auto"/>
        <w:divId w:val="201016118"/>
        <w:rPr>
          <w:rFonts w:ascii="Arial" w:eastAsia="Arial" w:hAnsi="Arial" w:cs="Arial"/>
          <w:color w:val="215E99" w:themeColor="text2" w:themeTint="BF"/>
          <w:kern w:val="0"/>
          <w:sz w:val="22"/>
          <w:szCs w:val="22"/>
          <w:u w:color="000000"/>
          <w:lang w:val="en-US"/>
          <w14:ligatures w14:val="none"/>
        </w:rPr>
      </w:pPr>
      <w:r w:rsidRPr="000A7C1E">
        <w:rPr>
          <w:rFonts w:ascii="Arial" w:eastAsia="Times New Roman" w:hAnsi="Arial" w:cs="Arial"/>
          <w:color w:val="000000"/>
          <w:sz w:val="22"/>
          <w:szCs w:val="22"/>
        </w:rPr>
        <w:t xml:space="preserve">Workforce planning is crucial for organisations to align talent strategy with business objectives, improve productivity, and drive success. ParcelCare should </w:t>
      </w:r>
      <w:r w:rsidR="00450C0D" w:rsidRPr="000A7C1E">
        <w:rPr>
          <w:rFonts w:ascii="Arial" w:eastAsia="Times New Roman" w:hAnsi="Arial" w:cs="Arial"/>
          <w:color w:val="000000"/>
          <w:sz w:val="22"/>
          <w:szCs w:val="22"/>
        </w:rPr>
        <w:t>prioritise</w:t>
      </w:r>
      <w:r w:rsidRPr="000A7C1E">
        <w:rPr>
          <w:rFonts w:ascii="Arial" w:eastAsia="Times New Roman" w:hAnsi="Arial" w:cs="Arial"/>
          <w:color w:val="000000"/>
          <w:sz w:val="22"/>
          <w:szCs w:val="22"/>
        </w:rPr>
        <w:t xml:space="preserve"> strategic talent alignment, employee development, and anticipating future needs to position themselves for success and adapt to changing environments.</w:t>
      </w:r>
      <w:r w:rsidR="00223F14" w:rsidRPr="000A7C1E">
        <w:rPr>
          <w:rFonts w:ascii="Arial" w:eastAsia="Times New Roman" w:hAnsi="Arial" w:cs="Arial"/>
          <w:color w:val="000000"/>
          <w:sz w:val="22"/>
          <w:szCs w:val="22"/>
        </w:rPr>
        <w:t xml:space="preserve"> </w:t>
      </w:r>
      <w:proofErr w:type="spellStart"/>
      <w:r w:rsidR="00223F14" w:rsidRPr="000A7C1E">
        <w:rPr>
          <w:rFonts w:ascii="Arial" w:eastAsia="Times New Roman" w:hAnsi="Arial" w:cs="Arial"/>
          <w:color w:val="000000"/>
          <w:sz w:val="22"/>
          <w:szCs w:val="22"/>
        </w:rPr>
        <w:t>Lupena</w:t>
      </w:r>
      <w:proofErr w:type="spellEnd"/>
      <w:r w:rsidR="00223F14" w:rsidRPr="000A7C1E">
        <w:rPr>
          <w:rFonts w:ascii="Arial" w:eastAsia="Times New Roman" w:hAnsi="Arial" w:cs="Arial"/>
          <w:color w:val="000000"/>
          <w:sz w:val="22"/>
          <w:szCs w:val="22"/>
        </w:rPr>
        <w:t xml:space="preserve"> (2024)</w:t>
      </w:r>
      <w:r w:rsidR="004B0927" w:rsidRPr="000A7C1E">
        <w:rPr>
          <w:rFonts w:ascii="Arial" w:eastAsia="Arial" w:hAnsi="Arial" w:cs="Arial"/>
          <w:color w:val="215E99" w:themeColor="text2" w:themeTint="BF"/>
          <w:kern w:val="0"/>
          <w:sz w:val="22"/>
          <w:szCs w:val="22"/>
          <w:u w:color="000000"/>
          <w:lang w:val="en-US"/>
          <w14:ligatures w14:val="none"/>
        </w:rPr>
        <w:t xml:space="preserve"> </w:t>
      </w:r>
    </w:p>
    <w:p w14:paraId="6F0E3267" w14:textId="3D4CCF40" w:rsidR="00B0798B" w:rsidRPr="000A7C1E" w:rsidRDefault="00B0798B" w:rsidP="0062146A">
      <w:pPr>
        <w:spacing w:line="264" w:lineRule="auto"/>
        <w:divId w:val="201016118"/>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Traditional workforce planning approaches often lack benefits due to their focus on efficiency and effectiveness. Resource planning, a key horizon, often overlooks </w:t>
      </w:r>
      <w:r w:rsidR="00166837" w:rsidRPr="000A7C1E">
        <w:rPr>
          <w:rFonts w:ascii="Arial" w:eastAsia="Times New Roman" w:hAnsi="Arial" w:cs="Arial"/>
          <w:color w:val="000000"/>
          <w:sz w:val="22"/>
          <w:szCs w:val="22"/>
        </w:rPr>
        <w:t>organisational</w:t>
      </w:r>
      <w:r w:rsidRPr="000A7C1E">
        <w:rPr>
          <w:rFonts w:ascii="Arial" w:eastAsia="Times New Roman" w:hAnsi="Arial" w:cs="Arial"/>
          <w:color w:val="000000"/>
          <w:sz w:val="22"/>
          <w:szCs w:val="22"/>
        </w:rPr>
        <w:t xml:space="preserve"> strategy, workforce trends, and wider enterprise issues, leading to siloed approaches and ineffective capacity models.</w:t>
      </w:r>
      <w:r w:rsidR="00BD5BA1" w:rsidRPr="000A7C1E">
        <w:rPr>
          <w:rFonts w:ascii="Arial" w:eastAsia="Times New Roman" w:hAnsi="Arial" w:cs="Arial"/>
          <w:color w:val="000000"/>
          <w:sz w:val="22"/>
          <w:szCs w:val="22"/>
        </w:rPr>
        <w:t xml:space="preserve"> Gibson (2021)</w:t>
      </w:r>
    </w:p>
    <w:p w14:paraId="4644D862" w14:textId="68561859" w:rsidR="009E6E45" w:rsidRPr="000A7C1E" w:rsidRDefault="00D94989" w:rsidP="0062146A">
      <w:pPr>
        <w:spacing w:line="264" w:lineRule="auto"/>
        <w:divId w:val="201016118"/>
        <w:rPr>
          <w:rFonts w:ascii="Arial" w:eastAsia="Arial" w:hAnsi="Arial" w:cs="Arial"/>
          <w:color w:val="215E99" w:themeColor="text2" w:themeTint="BF"/>
          <w:kern w:val="0"/>
          <w:sz w:val="22"/>
          <w:szCs w:val="22"/>
          <w:u w:color="000000"/>
          <w:lang w:val="en-US"/>
          <w14:ligatures w14:val="none"/>
        </w:rPr>
      </w:pPr>
      <w:r w:rsidRPr="000A7C1E">
        <w:rPr>
          <w:rFonts w:ascii="Arial" w:eastAsia="Times New Roman" w:hAnsi="Arial" w:cs="Arial"/>
          <w:color w:val="000000"/>
          <w:sz w:val="22"/>
          <w:szCs w:val="22"/>
        </w:rPr>
        <w:t>ParcelCare's workforce planning is a vital HR function that aids in budgeting, talent sourcing, and ensuring the right person is in the right place at the right time, involving strategic direction analysis, workforce alignment, and success evaluation.</w:t>
      </w:r>
      <w:r w:rsidR="00805A74" w:rsidRPr="000A7C1E">
        <w:rPr>
          <w:rFonts w:ascii="Arial" w:eastAsia="Times New Roman" w:hAnsi="Arial" w:cs="Arial"/>
          <w:color w:val="000000"/>
          <w:sz w:val="22"/>
          <w:szCs w:val="22"/>
        </w:rPr>
        <w:t>People Management (2022)</w:t>
      </w:r>
    </w:p>
    <w:p w14:paraId="4B830A90" w14:textId="06574417" w:rsidR="008D6357" w:rsidRPr="000A7C1E" w:rsidRDefault="0078503A">
      <w:pPr>
        <w:rPr>
          <w:rStyle w:val="ui-provider"/>
          <w:rFonts w:ascii="Arial" w:hAnsi="Arial" w:cs="Arial"/>
          <w:color w:val="215E99" w:themeColor="text2" w:themeTint="BF"/>
          <w:sz w:val="22"/>
          <w:szCs w:val="22"/>
        </w:rPr>
      </w:pPr>
      <w:r w:rsidRPr="000A7C1E">
        <w:rPr>
          <w:rStyle w:val="ui-provider"/>
          <w:rFonts w:ascii="Arial" w:hAnsi="Arial" w:cs="Arial"/>
          <w:color w:val="215E99" w:themeColor="text2" w:themeTint="BF"/>
          <w:sz w:val="22"/>
          <w:szCs w:val="22"/>
        </w:rPr>
        <w:t>4.To strengthen your argument to introduce workforce planning, evaluate techniques that can be used to support the process of workforce planning. (AC 2.2)</w:t>
      </w:r>
    </w:p>
    <w:p w14:paraId="550D85FF" w14:textId="3648EB8F" w:rsidR="00E038AF" w:rsidRPr="000A7C1E" w:rsidRDefault="00ED7008">
      <w:pPr>
        <w:rPr>
          <w:rFonts w:ascii="Arial" w:eastAsia="Times New Roman" w:hAnsi="Arial" w:cs="Arial"/>
          <w:strike/>
          <w:color w:val="000000"/>
          <w:sz w:val="22"/>
          <w:szCs w:val="22"/>
        </w:rPr>
      </w:pPr>
      <w:r w:rsidRPr="000A7C1E">
        <w:rPr>
          <w:rFonts w:ascii="Arial" w:eastAsia="Times New Roman" w:hAnsi="Arial" w:cs="Arial"/>
          <w:strike/>
          <w:color w:val="000000"/>
          <w:sz w:val="22"/>
          <w:szCs w:val="22"/>
        </w:rPr>
        <w:lastRenderedPageBreak/>
        <w:t xml:space="preserve">Gap analysis is a crucial stage in workforce planning, transitioning from diagnostic to predictive analytics. It helps predict the </w:t>
      </w:r>
      <w:r w:rsidR="00AC696F" w:rsidRPr="000A7C1E">
        <w:rPr>
          <w:rFonts w:ascii="Arial" w:eastAsia="Times New Roman" w:hAnsi="Arial" w:cs="Arial"/>
          <w:strike/>
          <w:color w:val="000000"/>
          <w:sz w:val="22"/>
          <w:szCs w:val="22"/>
        </w:rPr>
        <w:t>organisation’s</w:t>
      </w:r>
      <w:r w:rsidRPr="000A7C1E">
        <w:rPr>
          <w:rFonts w:ascii="Arial" w:eastAsia="Times New Roman" w:hAnsi="Arial" w:cs="Arial"/>
          <w:strike/>
          <w:color w:val="000000"/>
          <w:sz w:val="22"/>
          <w:szCs w:val="22"/>
        </w:rPr>
        <w:t xml:space="preserve"> future, impacting stakeholders and objectives. Traditional approaches overlook continuous business throughout the planning horizon. Contemporary thinkers focus on bridging the gap.</w:t>
      </w:r>
      <w:r w:rsidR="001C6267" w:rsidRPr="000A7C1E">
        <w:rPr>
          <w:rFonts w:ascii="Arial" w:eastAsia="Times New Roman" w:hAnsi="Arial" w:cs="Arial"/>
          <w:strike/>
          <w:color w:val="000000"/>
          <w:sz w:val="22"/>
          <w:szCs w:val="22"/>
        </w:rPr>
        <w:t xml:space="preserve"> Gibson (2021b)</w:t>
      </w:r>
    </w:p>
    <w:p w14:paraId="0DBB92D2" w14:textId="3F250D3F" w:rsidR="00AC76EB" w:rsidRPr="000A7C1E" w:rsidRDefault="00155A1B">
      <w:pPr>
        <w:rPr>
          <w:rFonts w:ascii="Arial" w:eastAsia="Times New Roman" w:hAnsi="Arial" w:cs="Arial"/>
          <w:strike/>
          <w:color w:val="000000"/>
          <w:sz w:val="22"/>
          <w:szCs w:val="22"/>
        </w:rPr>
      </w:pPr>
      <w:r w:rsidRPr="000A7C1E">
        <w:rPr>
          <w:rFonts w:ascii="Arial" w:eastAsia="Times New Roman" w:hAnsi="Arial" w:cs="Arial"/>
          <w:strike/>
          <w:color w:val="000000"/>
          <w:sz w:val="22"/>
          <w:szCs w:val="22"/>
        </w:rPr>
        <w:t>Traditional workforce planning overlooks continuous business and natural changes, while contemporary thinkers focus on comparing workforce and demand at the end of the planning horizon, considering organisational goals and objectives.</w:t>
      </w:r>
      <w:r w:rsidR="00BF2A5B" w:rsidRPr="000A7C1E">
        <w:rPr>
          <w:rFonts w:ascii="Arial" w:eastAsia="Times New Roman" w:hAnsi="Arial" w:cs="Arial"/>
          <w:strike/>
          <w:color w:val="000000"/>
          <w:sz w:val="22"/>
          <w:szCs w:val="22"/>
        </w:rPr>
        <w:t xml:space="preserve"> Gibson (2021d)</w:t>
      </w:r>
    </w:p>
    <w:p w14:paraId="70DC5F0C" w14:textId="1D59BB94" w:rsidR="00CD7F21" w:rsidRPr="000A7C1E" w:rsidRDefault="00AC696F">
      <w:pPr>
        <w:rPr>
          <w:rFonts w:ascii="Arial" w:eastAsia="Times New Roman" w:hAnsi="Arial" w:cs="Arial"/>
          <w:strike/>
          <w:color w:val="000000"/>
          <w:sz w:val="22"/>
          <w:szCs w:val="22"/>
        </w:rPr>
      </w:pPr>
      <w:r w:rsidRPr="000A7C1E">
        <w:rPr>
          <w:rFonts w:ascii="Arial" w:eastAsia="Times New Roman" w:hAnsi="Arial" w:cs="Arial"/>
          <w:strike/>
          <w:color w:val="000000"/>
          <w:sz w:val="22"/>
          <w:szCs w:val="22"/>
        </w:rPr>
        <w:t>Workforce supply refers to the labour availability, roles, skills, and timeframe needed for business needs. Effective planning involves determining needs, evaluating talent supply, and forecasting. Organisations should assess policies, employer brand, talent development, and forecasting.</w:t>
      </w:r>
      <w:r w:rsidR="004F0608" w:rsidRPr="000A7C1E">
        <w:rPr>
          <w:rFonts w:ascii="Arial" w:eastAsia="Times New Roman" w:hAnsi="Arial" w:cs="Arial"/>
          <w:strike/>
          <w:color w:val="000000"/>
          <w:sz w:val="22"/>
          <w:szCs w:val="22"/>
        </w:rPr>
        <w:t xml:space="preserve"> CIPD (2023e)</w:t>
      </w:r>
    </w:p>
    <w:p w14:paraId="37FC6CF8" w14:textId="1735058F" w:rsidR="007E327A" w:rsidRPr="000A7C1E" w:rsidRDefault="006D0738">
      <w:pPr>
        <w:rPr>
          <w:rFonts w:ascii="Arial" w:eastAsia="Times New Roman" w:hAnsi="Arial" w:cs="Arial"/>
          <w:strike/>
          <w:color w:val="000000"/>
          <w:sz w:val="22"/>
          <w:szCs w:val="22"/>
        </w:rPr>
      </w:pPr>
      <w:r w:rsidRPr="000A7C1E">
        <w:rPr>
          <w:rFonts w:ascii="Arial" w:eastAsia="Times New Roman" w:hAnsi="Arial" w:cs="Arial"/>
          <w:color w:val="FF0000"/>
          <w:sz w:val="22"/>
          <w:szCs w:val="22"/>
        </w:rPr>
        <w:t xml:space="preserve">Forecasting demand is the first stage of talent planning, involving determining future skill demands and dividing tasks into individual roles. Approaches include systematic techniques, managerial judgement, and working back from costs. By </w:t>
      </w:r>
      <w:r w:rsidR="00B45664" w:rsidRPr="000A7C1E">
        <w:rPr>
          <w:rFonts w:ascii="Arial" w:eastAsia="Times New Roman" w:hAnsi="Arial" w:cs="Arial"/>
          <w:color w:val="FF0000"/>
          <w:sz w:val="22"/>
          <w:szCs w:val="22"/>
        </w:rPr>
        <w:t>analysing</w:t>
      </w:r>
      <w:r w:rsidRPr="000A7C1E">
        <w:rPr>
          <w:rFonts w:ascii="Arial" w:eastAsia="Times New Roman" w:hAnsi="Arial" w:cs="Arial"/>
          <w:color w:val="FF0000"/>
          <w:sz w:val="22"/>
          <w:szCs w:val="22"/>
        </w:rPr>
        <w:t xml:space="preserve"> past trends, desired outputs, and the knowledge of senior staff, </w:t>
      </w:r>
      <w:r w:rsidR="00B45664" w:rsidRPr="000A7C1E">
        <w:rPr>
          <w:rFonts w:ascii="Arial" w:eastAsia="Times New Roman" w:hAnsi="Arial" w:cs="Arial"/>
          <w:color w:val="FF0000"/>
          <w:sz w:val="22"/>
          <w:szCs w:val="22"/>
        </w:rPr>
        <w:t>organisations</w:t>
      </w:r>
      <w:r w:rsidRPr="000A7C1E">
        <w:rPr>
          <w:rFonts w:ascii="Arial" w:eastAsia="Times New Roman" w:hAnsi="Arial" w:cs="Arial"/>
          <w:color w:val="FF0000"/>
          <w:sz w:val="22"/>
          <w:szCs w:val="22"/>
        </w:rPr>
        <w:t xml:space="preserve"> can identify job roles, required skills, and budgets. This information helps in creating specific job descriptions and person specifications.</w:t>
      </w:r>
      <w:r w:rsidR="004939E9" w:rsidRPr="000A7C1E">
        <w:rPr>
          <w:rFonts w:ascii="Arial" w:eastAsia="Times New Roman" w:hAnsi="Arial" w:cs="Arial"/>
          <w:color w:val="FF0000"/>
          <w:sz w:val="22"/>
          <w:szCs w:val="22"/>
        </w:rPr>
        <w:t xml:space="preserve"> Taylor and </w:t>
      </w:r>
      <w:proofErr w:type="spellStart"/>
      <w:r w:rsidR="004939E9" w:rsidRPr="000A7C1E">
        <w:rPr>
          <w:rFonts w:ascii="Arial" w:eastAsia="Times New Roman" w:hAnsi="Arial" w:cs="Arial"/>
          <w:color w:val="FF0000"/>
          <w:sz w:val="22"/>
          <w:szCs w:val="22"/>
        </w:rPr>
        <w:t>Woodhams</w:t>
      </w:r>
      <w:proofErr w:type="spellEnd"/>
      <w:r w:rsidR="004939E9" w:rsidRPr="000A7C1E">
        <w:rPr>
          <w:rFonts w:ascii="Arial" w:eastAsia="Times New Roman" w:hAnsi="Arial" w:cs="Arial"/>
          <w:color w:val="FF0000"/>
          <w:sz w:val="22"/>
          <w:szCs w:val="22"/>
        </w:rPr>
        <w:t xml:space="preserve"> (2016s)</w:t>
      </w:r>
    </w:p>
    <w:p w14:paraId="74AD608E" w14:textId="2D19546D" w:rsidR="006D4F73" w:rsidRPr="000A7C1E" w:rsidRDefault="000506A9">
      <w:pPr>
        <w:rPr>
          <w:rFonts w:ascii="Arial" w:eastAsia="Times New Roman" w:hAnsi="Arial" w:cs="Arial"/>
          <w:color w:val="FF0000"/>
          <w:sz w:val="22"/>
          <w:szCs w:val="22"/>
        </w:rPr>
      </w:pPr>
      <w:r w:rsidRPr="000A7C1E">
        <w:rPr>
          <w:rFonts w:ascii="Arial" w:eastAsia="Times New Roman" w:hAnsi="Arial" w:cs="Arial"/>
          <w:color w:val="FF0000"/>
          <w:sz w:val="22"/>
          <w:szCs w:val="22"/>
        </w:rPr>
        <w:t>Future labour demand can be forecasted using objective and subjective techniques, but is challenging due to factors like mobility, fragmentation, and increased competition for skilled talent.</w:t>
      </w:r>
      <w:r w:rsidR="00B61C57" w:rsidRPr="000A7C1E">
        <w:rPr>
          <w:rFonts w:ascii="Arial" w:eastAsia="Times New Roman" w:hAnsi="Arial" w:cs="Arial"/>
          <w:color w:val="FF0000"/>
          <w:sz w:val="22"/>
          <w:szCs w:val="22"/>
        </w:rPr>
        <w:t xml:space="preserve"> (Stephen Taylor and CIPD, 2018)</w:t>
      </w:r>
    </w:p>
    <w:p w14:paraId="2B979CEE" w14:textId="643B3C01" w:rsidR="000879CE" w:rsidRPr="000A7C1E" w:rsidRDefault="0093205A">
      <w:pPr>
        <w:rPr>
          <w:rFonts w:ascii="Arial" w:eastAsia="Times New Roman" w:hAnsi="Arial" w:cs="Arial"/>
          <w:color w:val="FF0000"/>
          <w:sz w:val="22"/>
          <w:szCs w:val="22"/>
        </w:rPr>
      </w:pPr>
      <w:r w:rsidRPr="000A7C1E">
        <w:rPr>
          <w:rFonts w:ascii="Arial" w:eastAsia="Times New Roman" w:hAnsi="Arial" w:cs="Arial"/>
          <w:color w:val="FF0000"/>
          <w:sz w:val="22"/>
          <w:szCs w:val="22"/>
        </w:rPr>
        <w:t>ParcelCare</w:t>
      </w:r>
      <w:r w:rsidR="00BB4532" w:rsidRPr="000A7C1E">
        <w:rPr>
          <w:rFonts w:ascii="Arial" w:eastAsia="Times New Roman" w:hAnsi="Arial" w:cs="Arial"/>
          <w:color w:val="FF0000"/>
          <w:sz w:val="22"/>
          <w:szCs w:val="22"/>
        </w:rPr>
        <w:t xml:space="preserve"> could</w:t>
      </w:r>
      <w:r w:rsidR="000879CE" w:rsidRPr="000A7C1E">
        <w:rPr>
          <w:rFonts w:ascii="Arial" w:eastAsia="Times New Roman" w:hAnsi="Arial" w:cs="Arial"/>
          <w:color w:val="FF0000"/>
          <w:sz w:val="22"/>
          <w:szCs w:val="22"/>
        </w:rPr>
        <w:t xml:space="preserve"> </w:t>
      </w:r>
      <w:r w:rsidR="003F7204" w:rsidRPr="000A7C1E">
        <w:rPr>
          <w:rFonts w:ascii="Arial" w:eastAsia="Times New Roman" w:hAnsi="Arial" w:cs="Arial"/>
          <w:color w:val="FF0000"/>
          <w:sz w:val="22"/>
          <w:szCs w:val="22"/>
        </w:rPr>
        <w:t xml:space="preserve">use </w:t>
      </w:r>
      <w:r w:rsidR="000879CE" w:rsidRPr="000A7C1E">
        <w:rPr>
          <w:rFonts w:ascii="Arial" w:eastAsia="Times New Roman" w:hAnsi="Arial" w:cs="Arial"/>
          <w:color w:val="FF0000"/>
          <w:sz w:val="22"/>
          <w:szCs w:val="22"/>
        </w:rPr>
        <w:t xml:space="preserve">forecast </w:t>
      </w:r>
      <w:r w:rsidR="003F7204" w:rsidRPr="000A7C1E">
        <w:rPr>
          <w:rFonts w:ascii="Arial" w:eastAsia="Times New Roman" w:hAnsi="Arial" w:cs="Arial"/>
          <w:color w:val="FF0000"/>
          <w:sz w:val="22"/>
          <w:szCs w:val="22"/>
        </w:rPr>
        <w:t>supply</w:t>
      </w:r>
      <w:r w:rsidR="000879CE" w:rsidRPr="000A7C1E">
        <w:rPr>
          <w:rFonts w:ascii="Arial" w:eastAsia="Times New Roman" w:hAnsi="Arial" w:cs="Arial"/>
          <w:color w:val="FF0000"/>
          <w:sz w:val="22"/>
          <w:szCs w:val="22"/>
        </w:rPr>
        <w:t xml:space="preserve"> </w:t>
      </w:r>
      <w:r w:rsidR="003F7204" w:rsidRPr="000A7C1E">
        <w:rPr>
          <w:rFonts w:ascii="Arial" w:eastAsia="Times New Roman" w:hAnsi="Arial" w:cs="Arial"/>
          <w:color w:val="FF0000"/>
          <w:sz w:val="22"/>
          <w:szCs w:val="22"/>
        </w:rPr>
        <w:t xml:space="preserve">for their </w:t>
      </w:r>
      <w:r w:rsidR="000879CE" w:rsidRPr="000A7C1E">
        <w:rPr>
          <w:rFonts w:ascii="Arial" w:eastAsia="Times New Roman" w:hAnsi="Arial" w:cs="Arial"/>
          <w:color w:val="FF0000"/>
          <w:sz w:val="22"/>
          <w:szCs w:val="22"/>
        </w:rPr>
        <w:t xml:space="preserve">workforce, consider the current resources, workforce composition, skills, and future </w:t>
      </w:r>
      <w:r w:rsidR="004855C8" w:rsidRPr="000A7C1E">
        <w:rPr>
          <w:rFonts w:ascii="Arial" w:eastAsia="Times New Roman" w:hAnsi="Arial" w:cs="Arial"/>
          <w:color w:val="FF0000"/>
          <w:sz w:val="22"/>
          <w:szCs w:val="22"/>
        </w:rPr>
        <w:t>proportion. They</w:t>
      </w:r>
      <w:r w:rsidR="009D63D1" w:rsidRPr="000A7C1E">
        <w:rPr>
          <w:rFonts w:ascii="Arial" w:eastAsia="Times New Roman" w:hAnsi="Arial" w:cs="Arial"/>
          <w:color w:val="FF0000"/>
          <w:sz w:val="22"/>
          <w:szCs w:val="22"/>
        </w:rPr>
        <w:t xml:space="preserve"> would need to</w:t>
      </w:r>
      <w:r w:rsidR="000879CE" w:rsidRPr="000A7C1E">
        <w:rPr>
          <w:rFonts w:ascii="Arial" w:eastAsia="Times New Roman" w:hAnsi="Arial" w:cs="Arial"/>
          <w:color w:val="FF0000"/>
          <w:sz w:val="22"/>
          <w:szCs w:val="22"/>
        </w:rPr>
        <w:t xml:space="preserve"> </w:t>
      </w:r>
      <w:r w:rsidR="009D63D1" w:rsidRPr="000A7C1E">
        <w:rPr>
          <w:rFonts w:ascii="Arial" w:eastAsia="Times New Roman" w:hAnsi="Arial" w:cs="Arial"/>
          <w:color w:val="FF0000"/>
          <w:sz w:val="22"/>
          <w:szCs w:val="22"/>
        </w:rPr>
        <w:t>i</w:t>
      </w:r>
      <w:r w:rsidR="000879CE" w:rsidRPr="000A7C1E">
        <w:rPr>
          <w:rFonts w:ascii="Arial" w:eastAsia="Times New Roman" w:hAnsi="Arial" w:cs="Arial"/>
          <w:color w:val="FF0000"/>
          <w:sz w:val="22"/>
          <w:szCs w:val="22"/>
        </w:rPr>
        <w:t xml:space="preserve">dentify the total number of employees, wage cost, workforce composition, and sickness absence levels. Assess current employees' skills using job specifications, appraisal information, and internal training records. Estimate future employment numbers by considering employee turnover trends, retirement age, and potential lateral moves and promotions. </w:t>
      </w:r>
      <w:r w:rsidR="00ED65C9" w:rsidRPr="000A7C1E">
        <w:rPr>
          <w:rFonts w:ascii="Arial" w:eastAsia="Times New Roman" w:hAnsi="Arial" w:cs="Arial"/>
          <w:color w:val="FF0000"/>
          <w:sz w:val="22"/>
          <w:szCs w:val="22"/>
        </w:rPr>
        <w:t>Analyse</w:t>
      </w:r>
      <w:r w:rsidR="000879CE" w:rsidRPr="000A7C1E">
        <w:rPr>
          <w:rFonts w:ascii="Arial" w:eastAsia="Times New Roman" w:hAnsi="Arial" w:cs="Arial"/>
          <w:color w:val="FF0000"/>
          <w:sz w:val="22"/>
          <w:szCs w:val="22"/>
        </w:rPr>
        <w:t xml:space="preserve"> roles, lateral moves, and promotions to ensure the </w:t>
      </w:r>
      <w:r w:rsidR="00ED65C9" w:rsidRPr="000A7C1E">
        <w:rPr>
          <w:rFonts w:ascii="Arial" w:eastAsia="Times New Roman" w:hAnsi="Arial" w:cs="Arial"/>
          <w:color w:val="FF0000"/>
          <w:sz w:val="22"/>
          <w:szCs w:val="22"/>
        </w:rPr>
        <w:t>organisation’s</w:t>
      </w:r>
      <w:r w:rsidR="000879CE" w:rsidRPr="000A7C1E">
        <w:rPr>
          <w:rFonts w:ascii="Arial" w:eastAsia="Times New Roman" w:hAnsi="Arial" w:cs="Arial"/>
          <w:color w:val="FF0000"/>
          <w:sz w:val="22"/>
          <w:szCs w:val="22"/>
        </w:rPr>
        <w:t xml:space="preserve"> ability to deliver services effectively.</w:t>
      </w:r>
      <w:r w:rsidR="009F7DDB" w:rsidRPr="000A7C1E">
        <w:rPr>
          <w:rFonts w:ascii="Arial" w:eastAsia="Times New Roman" w:hAnsi="Arial" w:cs="Arial"/>
          <w:color w:val="FF0000"/>
          <w:sz w:val="22"/>
          <w:szCs w:val="22"/>
        </w:rPr>
        <w:t xml:space="preserve"> Taylor and </w:t>
      </w:r>
      <w:proofErr w:type="spellStart"/>
      <w:r w:rsidR="009F7DDB" w:rsidRPr="000A7C1E">
        <w:rPr>
          <w:rFonts w:ascii="Arial" w:eastAsia="Times New Roman" w:hAnsi="Arial" w:cs="Arial"/>
          <w:color w:val="FF0000"/>
          <w:sz w:val="22"/>
          <w:szCs w:val="22"/>
        </w:rPr>
        <w:t>Woodhams</w:t>
      </w:r>
      <w:proofErr w:type="spellEnd"/>
      <w:r w:rsidR="009F7DDB" w:rsidRPr="000A7C1E">
        <w:rPr>
          <w:rFonts w:ascii="Arial" w:eastAsia="Times New Roman" w:hAnsi="Arial" w:cs="Arial"/>
          <w:color w:val="FF0000"/>
          <w:sz w:val="22"/>
          <w:szCs w:val="22"/>
        </w:rPr>
        <w:t xml:space="preserve"> (2016t)</w:t>
      </w:r>
    </w:p>
    <w:p w14:paraId="1C2E183E" w14:textId="11B7AB47" w:rsidR="009165BD" w:rsidRPr="000A7C1E" w:rsidRDefault="00C343FD">
      <w:pPr>
        <w:rPr>
          <w:rFonts w:ascii="Arial" w:eastAsia="Times New Roman" w:hAnsi="Arial" w:cs="Arial"/>
          <w:strike/>
          <w:color w:val="000000"/>
          <w:sz w:val="22"/>
          <w:szCs w:val="22"/>
        </w:rPr>
      </w:pPr>
      <w:r w:rsidRPr="000A7C1E">
        <w:rPr>
          <w:rFonts w:ascii="Arial" w:eastAsia="Times New Roman" w:hAnsi="Arial" w:cs="Arial"/>
          <w:color w:val="FF0000"/>
          <w:sz w:val="22"/>
          <w:szCs w:val="22"/>
        </w:rPr>
        <w:t xml:space="preserve">Forecasting internal supply involves balancing external recruitment and internal staff development. Techniques include job/grade movements and wastage/labour turnover, which can reveal </w:t>
      </w:r>
      <w:r w:rsidR="00ED65C9" w:rsidRPr="000A7C1E">
        <w:rPr>
          <w:rFonts w:ascii="Arial" w:eastAsia="Times New Roman" w:hAnsi="Arial" w:cs="Arial"/>
          <w:color w:val="FF0000"/>
          <w:sz w:val="22"/>
          <w:szCs w:val="22"/>
        </w:rPr>
        <w:t>organisational</w:t>
      </w:r>
      <w:r w:rsidRPr="000A7C1E">
        <w:rPr>
          <w:rFonts w:ascii="Arial" w:eastAsia="Times New Roman" w:hAnsi="Arial" w:cs="Arial"/>
          <w:color w:val="FF0000"/>
          <w:sz w:val="22"/>
          <w:szCs w:val="22"/>
        </w:rPr>
        <w:t xml:space="preserve"> problems. High levels of labor turnover may indicate HR practices issues, such as inadequate recruitment, poor pay systems, and grievance procedures. External factors like competition and poor public transport also contribute to these issues. Research on employee turnover focuses on external forces and individuals' decisions to quit, with perceived job insecurity increasing quit intentions.</w:t>
      </w:r>
      <w:r w:rsidR="0075504D" w:rsidRPr="000A7C1E">
        <w:rPr>
          <w:rFonts w:ascii="Arial" w:eastAsia="Times New Roman" w:hAnsi="Arial" w:cs="Arial"/>
          <w:color w:val="FF0000"/>
          <w:sz w:val="22"/>
          <w:szCs w:val="22"/>
        </w:rPr>
        <w:t xml:space="preserve"> (Stephen Taylor and </w:t>
      </w:r>
      <w:r w:rsidR="00D3469D" w:rsidRPr="000A7C1E">
        <w:rPr>
          <w:rFonts w:ascii="Arial" w:eastAsia="Times New Roman" w:hAnsi="Arial" w:cs="Arial"/>
          <w:color w:val="FF0000"/>
          <w:sz w:val="22"/>
          <w:szCs w:val="22"/>
        </w:rPr>
        <w:t>C</w:t>
      </w:r>
      <w:r w:rsidR="00CB7F8B" w:rsidRPr="000A7C1E">
        <w:rPr>
          <w:rFonts w:ascii="Arial" w:eastAsia="Times New Roman" w:hAnsi="Arial" w:cs="Arial"/>
          <w:color w:val="FF0000"/>
          <w:sz w:val="22"/>
          <w:szCs w:val="22"/>
        </w:rPr>
        <w:t>I</w:t>
      </w:r>
      <w:r w:rsidR="0075504D" w:rsidRPr="000A7C1E">
        <w:rPr>
          <w:rFonts w:ascii="Arial" w:eastAsia="Times New Roman" w:hAnsi="Arial" w:cs="Arial"/>
          <w:color w:val="FF0000"/>
          <w:sz w:val="22"/>
          <w:szCs w:val="22"/>
        </w:rPr>
        <w:t>PD, 2018b)</w:t>
      </w:r>
    </w:p>
    <w:p w14:paraId="4EA5A7BE" w14:textId="7DACDCF4" w:rsidR="00842797" w:rsidRPr="000A7C1E" w:rsidRDefault="00842797">
      <w:pPr>
        <w:rPr>
          <w:rFonts w:ascii="Arial" w:eastAsia="Times New Roman" w:hAnsi="Arial" w:cs="Arial"/>
          <w:strike/>
          <w:color w:val="000000"/>
          <w:sz w:val="22"/>
          <w:szCs w:val="22"/>
        </w:rPr>
      </w:pPr>
      <w:r w:rsidRPr="000A7C1E">
        <w:rPr>
          <w:rFonts w:ascii="Arial" w:eastAsia="Times New Roman" w:hAnsi="Arial" w:cs="Arial"/>
          <w:strike/>
          <w:color w:val="000000"/>
          <w:sz w:val="22"/>
          <w:szCs w:val="22"/>
        </w:rPr>
        <w:t>Talent planning involves a company considering future employee needs and implementing strategies to meet these requirements, potentially involving labor market recruitment. It involves forecasting future skill demand, identifying gaps, and making plans to fill them, ensuring the right people are available at the right time.</w:t>
      </w:r>
      <w:r w:rsidR="006E342B" w:rsidRPr="000A7C1E">
        <w:rPr>
          <w:rFonts w:ascii="Arial" w:eastAsia="Times New Roman" w:hAnsi="Arial" w:cs="Arial"/>
          <w:strike/>
          <w:color w:val="000000"/>
          <w:sz w:val="22"/>
          <w:szCs w:val="22"/>
        </w:rPr>
        <w:t xml:space="preserve"> Taylor and </w:t>
      </w:r>
      <w:proofErr w:type="spellStart"/>
      <w:r w:rsidR="006E342B" w:rsidRPr="000A7C1E">
        <w:rPr>
          <w:rFonts w:ascii="Arial" w:eastAsia="Times New Roman" w:hAnsi="Arial" w:cs="Arial"/>
          <w:strike/>
          <w:color w:val="000000"/>
          <w:sz w:val="22"/>
          <w:szCs w:val="22"/>
        </w:rPr>
        <w:t>Woodhams</w:t>
      </w:r>
      <w:proofErr w:type="spellEnd"/>
      <w:r w:rsidR="006E342B" w:rsidRPr="000A7C1E">
        <w:rPr>
          <w:rFonts w:ascii="Arial" w:eastAsia="Times New Roman" w:hAnsi="Arial" w:cs="Arial"/>
          <w:strike/>
          <w:color w:val="000000"/>
          <w:sz w:val="22"/>
          <w:szCs w:val="22"/>
        </w:rPr>
        <w:t xml:space="preserve"> (2016r)</w:t>
      </w:r>
    </w:p>
    <w:p w14:paraId="31E19F7A" w14:textId="5A1ACD95" w:rsidR="003C2E85" w:rsidRPr="000A7C1E" w:rsidRDefault="004015D7">
      <w:pPr>
        <w:rPr>
          <w:rFonts w:ascii="Arial" w:eastAsia="Times New Roman" w:hAnsi="Arial" w:cs="Arial"/>
          <w:color w:val="000000"/>
          <w:sz w:val="22"/>
          <w:szCs w:val="22"/>
        </w:rPr>
      </w:pPr>
      <w:r w:rsidRPr="000A7C1E">
        <w:rPr>
          <w:rFonts w:ascii="Arial" w:eastAsia="Times New Roman" w:hAnsi="Arial" w:cs="Arial"/>
          <w:strike/>
          <w:color w:val="000000"/>
          <w:sz w:val="22"/>
          <w:szCs w:val="22"/>
        </w:rPr>
        <w:t xml:space="preserve">Succession planning is a strategic process that ensures an </w:t>
      </w:r>
      <w:r w:rsidR="00CB3F59" w:rsidRPr="000A7C1E">
        <w:rPr>
          <w:rFonts w:ascii="Arial" w:eastAsia="Times New Roman" w:hAnsi="Arial" w:cs="Arial"/>
          <w:strike/>
          <w:color w:val="000000"/>
          <w:sz w:val="22"/>
          <w:szCs w:val="22"/>
        </w:rPr>
        <w:t>organisation</w:t>
      </w:r>
      <w:r w:rsidRPr="000A7C1E">
        <w:rPr>
          <w:rFonts w:ascii="Arial" w:eastAsia="Times New Roman" w:hAnsi="Arial" w:cs="Arial"/>
          <w:strike/>
          <w:color w:val="000000"/>
          <w:sz w:val="22"/>
          <w:szCs w:val="22"/>
        </w:rPr>
        <w:t xml:space="preserve"> has enough skilled individuals to fill vacant roles. It involves appraisal meetings, training programs, and development activities, aiming to create "pools of talent" for replacements. Balancing this with the desire for new talent is a long-standing HR </w:t>
      </w:r>
      <w:r w:rsidR="00CB3F59" w:rsidRPr="000A7C1E">
        <w:rPr>
          <w:rFonts w:ascii="Arial" w:eastAsia="Times New Roman" w:hAnsi="Arial" w:cs="Arial"/>
          <w:strike/>
          <w:color w:val="000000"/>
          <w:sz w:val="22"/>
          <w:szCs w:val="22"/>
        </w:rPr>
        <w:t>debate. Taylor</w:t>
      </w:r>
      <w:r w:rsidR="00C6118F" w:rsidRPr="000A7C1E">
        <w:rPr>
          <w:rFonts w:ascii="Arial" w:eastAsia="Times New Roman" w:hAnsi="Arial" w:cs="Arial"/>
          <w:strike/>
          <w:color w:val="000000"/>
          <w:sz w:val="22"/>
          <w:szCs w:val="22"/>
        </w:rPr>
        <w:t xml:space="preserve"> and </w:t>
      </w:r>
      <w:proofErr w:type="spellStart"/>
      <w:r w:rsidR="00C6118F" w:rsidRPr="000A7C1E">
        <w:rPr>
          <w:rFonts w:ascii="Arial" w:eastAsia="Times New Roman" w:hAnsi="Arial" w:cs="Arial"/>
          <w:strike/>
          <w:color w:val="000000"/>
          <w:sz w:val="22"/>
          <w:szCs w:val="22"/>
        </w:rPr>
        <w:t>Woodhams</w:t>
      </w:r>
      <w:proofErr w:type="spellEnd"/>
      <w:r w:rsidR="00C6118F" w:rsidRPr="000A7C1E">
        <w:rPr>
          <w:rFonts w:ascii="Arial" w:eastAsia="Times New Roman" w:hAnsi="Arial" w:cs="Arial"/>
          <w:strike/>
          <w:color w:val="000000"/>
          <w:sz w:val="22"/>
          <w:szCs w:val="22"/>
        </w:rPr>
        <w:t xml:space="preserve"> (2016i)</w:t>
      </w:r>
    </w:p>
    <w:p w14:paraId="7D3F5178" w14:textId="0990B645" w:rsidR="00680140" w:rsidRPr="000A7C1E" w:rsidRDefault="0000207C">
      <w:pPr>
        <w:rPr>
          <w:rFonts w:ascii="Arial" w:eastAsia="Times New Roman" w:hAnsi="Arial" w:cs="Arial"/>
          <w:color w:val="000000"/>
          <w:sz w:val="22"/>
          <w:szCs w:val="22"/>
        </w:rPr>
      </w:pPr>
      <w:r w:rsidRPr="000A7C1E">
        <w:rPr>
          <w:rFonts w:ascii="Arial" w:eastAsia="Times New Roman" w:hAnsi="Arial" w:cs="Arial"/>
          <w:color w:val="000000"/>
          <w:sz w:val="22"/>
          <w:szCs w:val="22"/>
        </w:rPr>
        <w:lastRenderedPageBreak/>
        <w:t>ParcelCare should be careful as organisations</w:t>
      </w:r>
      <w:r w:rsidR="00680140" w:rsidRPr="000A7C1E">
        <w:rPr>
          <w:rFonts w:ascii="Arial" w:eastAsia="Times New Roman" w:hAnsi="Arial" w:cs="Arial"/>
          <w:color w:val="000000"/>
          <w:sz w:val="22"/>
          <w:szCs w:val="22"/>
        </w:rPr>
        <w:t xml:space="preserve"> often </w:t>
      </w:r>
      <w:r w:rsidR="005B7265" w:rsidRPr="000A7C1E">
        <w:rPr>
          <w:rFonts w:ascii="Arial" w:eastAsia="Times New Roman" w:hAnsi="Arial" w:cs="Arial"/>
          <w:color w:val="000000"/>
          <w:sz w:val="22"/>
          <w:szCs w:val="22"/>
        </w:rPr>
        <w:t>prioritise</w:t>
      </w:r>
      <w:r w:rsidR="00680140" w:rsidRPr="000A7C1E">
        <w:rPr>
          <w:rFonts w:ascii="Arial" w:eastAsia="Times New Roman" w:hAnsi="Arial" w:cs="Arial"/>
          <w:color w:val="000000"/>
          <w:sz w:val="22"/>
          <w:szCs w:val="22"/>
        </w:rPr>
        <w:t xml:space="preserve"> charisma over depth of knowledge and alignment with company values, leading to misalignment and lack of resilience. They should have robust succession planning systems, identify and cultivate talent early, and give opportunities for growth to ensure sustainable leadership.</w:t>
      </w:r>
      <w:r w:rsidR="002A2C5E" w:rsidRPr="000A7C1E">
        <w:rPr>
          <w:rFonts w:ascii="Arial" w:eastAsia="Times New Roman" w:hAnsi="Arial" w:cs="Arial"/>
          <w:color w:val="000000"/>
          <w:sz w:val="22"/>
          <w:szCs w:val="22"/>
        </w:rPr>
        <w:t xml:space="preserve"> Expert Panel (2024)</w:t>
      </w:r>
    </w:p>
    <w:p w14:paraId="2BB6A93D" w14:textId="1CCE55D1" w:rsidR="00207E76" w:rsidRPr="000A7C1E" w:rsidRDefault="008764E7">
      <w:pPr>
        <w:rPr>
          <w:rFonts w:ascii="Arial" w:hAnsi="Arial" w:cs="Arial"/>
          <w:sz w:val="22"/>
          <w:szCs w:val="22"/>
        </w:rPr>
      </w:pPr>
      <w:r w:rsidRPr="000A7C1E">
        <w:rPr>
          <w:rFonts w:ascii="Arial" w:eastAsia="Times New Roman" w:hAnsi="Arial" w:cs="Arial"/>
          <w:color w:val="000000"/>
          <w:sz w:val="22"/>
          <w:szCs w:val="22"/>
        </w:rPr>
        <w:t>McKinsey's research reveals a slight disparity in ambition for progression in organisations, with women holding only 37% of middle-management positions and 14% of executive committee seats. The study suggests that succession planning and diversity management should be integrated for equal opportunities.</w:t>
      </w:r>
      <w:r w:rsidR="00206912" w:rsidRPr="000A7C1E">
        <w:rPr>
          <w:rFonts w:ascii="Arial" w:eastAsia="Times New Roman" w:hAnsi="Arial" w:cs="Arial"/>
          <w:color w:val="000000"/>
          <w:sz w:val="22"/>
          <w:szCs w:val="22"/>
        </w:rPr>
        <w:t>Clutterbuck (2013)</w:t>
      </w:r>
    </w:p>
    <w:p w14:paraId="3116D2ED" w14:textId="0574BEA1" w:rsidR="00F7258C" w:rsidRPr="000A7C1E" w:rsidRDefault="00593693">
      <w:pPr>
        <w:rPr>
          <w:rFonts w:ascii="Arial" w:hAnsi="Arial" w:cs="Arial"/>
          <w:color w:val="215E99" w:themeColor="text2" w:themeTint="BF"/>
          <w:sz w:val="22"/>
          <w:szCs w:val="22"/>
        </w:rPr>
      </w:pPr>
      <w:r w:rsidRPr="000A7C1E">
        <w:rPr>
          <w:rStyle w:val="ui-provider"/>
          <w:rFonts w:ascii="Arial" w:hAnsi="Arial" w:cs="Arial"/>
          <w:color w:val="215E99" w:themeColor="text2" w:themeTint="BF"/>
          <w:sz w:val="22"/>
          <w:szCs w:val="22"/>
        </w:rPr>
        <w:t>5.</w:t>
      </w:r>
      <w:r w:rsidR="00207E76" w:rsidRPr="000A7C1E">
        <w:rPr>
          <w:rStyle w:val="ui-provider"/>
          <w:rFonts w:ascii="Arial" w:hAnsi="Arial" w:cs="Arial"/>
          <w:color w:val="215E99" w:themeColor="text2" w:themeTint="BF"/>
          <w:sz w:val="22"/>
          <w:szCs w:val="22"/>
        </w:rPr>
        <w:t xml:space="preserve">Currently, vacancies </w:t>
      </w:r>
      <w:bookmarkStart w:id="3" w:name="_Int_Uj6NMXEq"/>
      <w:r w:rsidR="00207E76" w:rsidRPr="000A7C1E">
        <w:rPr>
          <w:rStyle w:val="ui-provider"/>
          <w:rFonts w:ascii="Arial" w:hAnsi="Arial" w:cs="Arial"/>
          <w:color w:val="215E99" w:themeColor="text2" w:themeTint="BF"/>
          <w:sz w:val="22"/>
          <w:szCs w:val="22"/>
        </w:rPr>
        <w:t>are advertised</w:t>
      </w:r>
      <w:bookmarkEnd w:id="3"/>
      <w:r w:rsidR="00207E76" w:rsidRPr="000A7C1E">
        <w:rPr>
          <w:rStyle w:val="ui-provider"/>
          <w:rFonts w:ascii="Arial" w:hAnsi="Arial" w:cs="Arial"/>
          <w:color w:val="215E99" w:themeColor="text2" w:themeTint="BF"/>
          <w:sz w:val="22"/>
          <w:szCs w:val="22"/>
        </w:rPr>
        <w:t xml:space="preserve"> on ParcelCare’s website. Line managers then interview shortlisted applicants. You feel that these are suitable recruitment and selection methods to use but want to broaden the methods used. Evaluate the strengths and weaknesses of</w:t>
      </w:r>
      <w:r w:rsidR="00207E76" w:rsidRPr="000A7C1E">
        <w:rPr>
          <w:rFonts w:ascii="Arial" w:hAnsi="Arial" w:cs="Arial"/>
          <w:color w:val="215E99" w:themeColor="text2" w:themeTint="BF"/>
          <w:sz w:val="22"/>
          <w:szCs w:val="22"/>
        </w:rPr>
        <w:t xml:space="preserve"> two</w:t>
      </w:r>
      <w:r w:rsidR="00207E76" w:rsidRPr="000A7C1E">
        <w:rPr>
          <w:rStyle w:val="ui-provider"/>
          <w:rFonts w:ascii="Arial" w:hAnsi="Arial" w:cs="Arial"/>
          <w:color w:val="215E99" w:themeColor="text2" w:themeTint="BF"/>
          <w:sz w:val="22"/>
          <w:szCs w:val="22"/>
        </w:rPr>
        <w:t xml:space="preserve"> different recruitment methods and </w:t>
      </w:r>
      <w:r w:rsidR="00207E76" w:rsidRPr="000A7C1E">
        <w:rPr>
          <w:rFonts w:ascii="Arial" w:hAnsi="Arial" w:cs="Arial"/>
          <w:color w:val="215E99" w:themeColor="text2" w:themeTint="BF"/>
          <w:sz w:val="22"/>
          <w:szCs w:val="22"/>
        </w:rPr>
        <w:t>two</w:t>
      </w:r>
      <w:r w:rsidR="00207E76" w:rsidRPr="000A7C1E">
        <w:rPr>
          <w:rStyle w:val="ui-provider"/>
          <w:rFonts w:ascii="Arial" w:hAnsi="Arial" w:cs="Arial"/>
          <w:color w:val="215E99" w:themeColor="text2" w:themeTint="BF"/>
          <w:sz w:val="22"/>
          <w:szCs w:val="22"/>
        </w:rPr>
        <w:t xml:space="preserve"> different selection methods. (AC 2.3)</w:t>
      </w:r>
      <w:r w:rsidR="00F7258C" w:rsidRPr="000A7C1E">
        <w:rPr>
          <w:rFonts w:ascii="Arial" w:hAnsi="Arial" w:cs="Arial"/>
          <w:color w:val="215E99" w:themeColor="text2" w:themeTint="BF"/>
          <w:sz w:val="22"/>
          <w:szCs w:val="22"/>
        </w:rPr>
        <w:t xml:space="preserve"> </w:t>
      </w:r>
    </w:p>
    <w:p w14:paraId="1F57A074" w14:textId="530F1266" w:rsidR="00C07B84" w:rsidRPr="000A7C1E" w:rsidRDefault="00F905DD">
      <w:pPr>
        <w:rPr>
          <w:rFonts w:ascii="Arial" w:eastAsia="Times New Roman" w:hAnsi="Arial" w:cs="Arial"/>
          <w:color w:val="000000"/>
          <w:sz w:val="22"/>
          <w:szCs w:val="22"/>
        </w:rPr>
      </w:pPr>
      <w:r w:rsidRPr="000A7C1E">
        <w:rPr>
          <w:rFonts w:ascii="Arial" w:eastAsia="Times New Roman" w:hAnsi="Arial" w:cs="Arial"/>
          <w:color w:val="000000"/>
          <w:sz w:val="22"/>
          <w:szCs w:val="22"/>
        </w:rPr>
        <w:t>Effective recruitment is crucial for a company's long-term success, ensuring the workforce has the necessary skills for its current and future needs, using workforce planning data.</w:t>
      </w:r>
      <w:r w:rsidR="001528D8" w:rsidRPr="000A7C1E">
        <w:rPr>
          <w:rFonts w:ascii="Arial" w:eastAsia="Times New Roman" w:hAnsi="Arial" w:cs="Arial"/>
          <w:color w:val="000000"/>
          <w:sz w:val="22"/>
          <w:szCs w:val="22"/>
        </w:rPr>
        <w:t xml:space="preserve"> McCartney (2023)</w:t>
      </w:r>
    </w:p>
    <w:p w14:paraId="58629D5B" w14:textId="77777777" w:rsidR="00A67E61" w:rsidRPr="000A7C1E" w:rsidRDefault="002666D0">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Temporary agencies and industry/field-specific search firms are two types of recruitment services that help </w:t>
      </w:r>
      <w:r w:rsidR="00943B3A"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fill temporary vacancies. Temporary agencies provide candidates for part-time or full-time jobs, often through their own assessment methods, ensuring a good fit for the job. Industry/field-specific search firms </w:t>
      </w:r>
      <w:r w:rsidR="00943B3A" w:rsidRPr="000A7C1E">
        <w:rPr>
          <w:rFonts w:ascii="Arial" w:eastAsia="Times New Roman" w:hAnsi="Arial" w:cs="Arial"/>
          <w:color w:val="000000"/>
          <w:sz w:val="22"/>
          <w:szCs w:val="22"/>
        </w:rPr>
        <w:t>specialise</w:t>
      </w:r>
      <w:r w:rsidRPr="000A7C1E">
        <w:rPr>
          <w:rFonts w:ascii="Arial" w:eastAsia="Times New Roman" w:hAnsi="Arial" w:cs="Arial"/>
          <w:color w:val="000000"/>
          <w:sz w:val="22"/>
          <w:szCs w:val="22"/>
        </w:rPr>
        <w:t xml:space="preserve"> in specific fields, such as IT, accounting, healthcare, insurance, or senior-level professionals. They have extensive pipelines of qualified candidates and can be costly to </w:t>
      </w:r>
      <w:r w:rsidR="00F66024" w:rsidRPr="000A7C1E">
        <w:rPr>
          <w:rFonts w:ascii="Arial" w:eastAsia="Times New Roman" w:hAnsi="Arial" w:cs="Arial"/>
          <w:color w:val="000000"/>
          <w:sz w:val="22"/>
          <w:szCs w:val="22"/>
        </w:rPr>
        <w:t>retain but</w:t>
      </w:r>
      <w:r w:rsidRPr="000A7C1E">
        <w:rPr>
          <w:rFonts w:ascii="Arial" w:eastAsia="Times New Roman" w:hAnsi="Arial" w:cs="Arial"/>
          <w:color w:val="000000"/>
          <w:sz w:val="22"/>
          <w:szCs w:val="22"/>
        </w:rPr>
        <w:t xml:space="preserve"> are worth it for recruiting exceptional or hard-to-find professionals.</w:t>
      </w:r>
      <w:r w:rsidR="00F66024" w:rsidRPr="000A7C1E">
        <w:rPr>
          <w:rFonts w:ascii="Arial" w:eastAsia="Times New Roman" w:hAnsi="Arial" w:cs="Arial"/>
          <w:color w:val="000000"/>
          <w:sz w:val="22"/>
          <w:szCs w:val="22"/>
        </w:rPr>
        <w:t xml:space="preserve"> </w:t>
      </w:r>
      <w:proofErr w:type="spellStart"/>
      <w:r w:rsidR="00F66024" w:rsidRPr="000A7C1E">
        <w:rPr>
          <w:rFonts w:ascii="Arial" w:eastAsia="Times New Roman" w:hAnsi="Arial" w:cs="Arial"/>
          <w:color w:val="000000"/>
          <w:sz w:val="22"/>
          <w:szCs w:val="22"/>
        </w:rPr>
        <w:t>Picardi</w:t>
      </w:r>
      <w:proofErr w:type="spellEnd"/>
      <w:r w:rsidR="00F66024" w:rsidRPr="000A7C1E">
        <w:rPr>
          <w:rFonts w:ascii="Arial" w:eastAsia="Times New Roman" w:hAnsi="Arial" w:cs="Arial"/>
          <w:color w:val="000000"/>
          <w:sz w:val="22"/>
          <w:szCs w:val="22"/>
        </w:rPr>
        <w:t xml:space="preserve"> (2020)</w:t>
      </w:r>
      <w:r w:rsidR="00AD1396" w:rsidRPr="000A7C1E">
        <w:rPr>
          <w:rFonts w:ascii="Arial" w:eastAsia="Times New Roman" w:hAnsi="Arial" w:cs="Arial"/>
          <w:color w:val="000000"/>
          <w:sz w:val="22"/>
          <w:szCs w:val="22"/>
        </w:rPr>
        <w:t xml:space="preserve">. </w:t>
      </w:r>
    </w:p>
    <w:p w14:paraId="24838527" w14:textId="232187C7" w:rsidR="00B71D1F" w:rsidRPr="000A7C1E" w:rsidRDefault="00025169">
      <w:pPr>
        <w:rPr>
          <w:rFonts w:ascii="Arial" w:eastAsia="Times New Roman" w:hAnsi="Arial" w:cs="Arial"/>
          <w:color w:val="000000"/>
          <w:sz w:val="22"/>
          <w:szCs w:val="22"/>
        </w:rPr>
      </w:pPr>
      <w:r w:rsidRPr="000A7C1E">
        <w:rPr>
          <w:rFonts w:ascii="Arial" w:eastAsia="Times New Roman" w:hAnsi="Arial" w:cs="Arial"/>
          <w:color w:val="000000"/>
          <w:sz w:val="22"/>
          <w:szCs w:val="22"/>
        </w:rPr>
        <w:t>Agencies often recruit staff quickly, potentially leaving them on the books of other agencies without ethical restrictions. They may not provide suitable candidates and charge a fee ranging from 10% to 20%.</w:t>
      </w:r>
      <w:r w:rsidR="0032390F" w:rsidRPr="000A7C1E">
        <w:rPr>
          <w:rFonts w:ascii="Arial" w:eastAsia="Times New Roman" w:hAnsi="Arial" w:cs="Arial"/>
          <w:color w:val="000000"/>
          <w:sz w:val="22"/>
          <w:szCs w:val="22"/>
        </w:rPr>
        <w:t xml:space="preserve"> </w:t>
      </w:r>
      <w:proofErr w:type="spellStart"/>
      <w:r w:rsidR="0032390F" w:rsidRPr="000A7C1E">
        <w:rPr>
          <w:rFonts w:ascii="Arial" w:eastAsia="Times New Roman" w:hAnsi="Arial" w:cs="Arial"/>
          <w:color w:val="000000"/>
          <w:sz w:val="22"/>
          <w:szCs w:val="22"/>
        </w:rPr>
        <w:t>Stredwick</w:t>
      </w:r>
      <w:proofErr w:type="spellEnd"/>
      <w:r w:rsidR="0032390F" w:rsidRPr="000A7C1E">
        <w:rPr>
          <w:rFonts w:ascii="Arial" w:eastAsia="Times New Roman" w:hAnsi="Arial" w:cs="Arial"/>
          <w:color w:val="000000"/>
          <w:sz w:val="22"/>
          <w:szCs w:val="22"/>
        </w:rPr>
        <w:t xml:space="preserve"> (2005)</w:t>
      </w:r>
    </w:p>
    <w:p w14:paraId="1C55BAF5" w14:textId="53BCDE5D" w:rsidR="00C07B84" w:rsidRPr="000A7C1E" w:rsidRDefault="00EE089C">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Word of mouth is a cost-effective and simple recruitment method, often boosted by staff introductions. It is likely to attract applicants with a good understanding of the </w:t>
      </w:r>
      <w:r w:rsidR="007E603F"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xml:space="preserve"> and </w:t>
      </w:r>
      <w:r w:rsidR="007E603F" w:rsidRPr="000A7C1E">
        <w:rPr>
          <w:rFonts w:ascii="Arial" w:eastAsia="Times New Roman" w:hAnsi="Arial" w:cs="Arial"/>
          <w:color w:val="000000"/>
          <w:sz w:val="22"/>
          <w:szCs w:val="22"/>
        </w:rPr>
        <w:t>job and</w:t>
      </w:r>
      <w:r w:rsidRPr="000A7C1E">
        <w:rPr>
          <w:rFonts w:ascii="Arial" w:eastAsia="Times New Roman" w:hAnsi="Arial" w:cs="Arial"/>
          <w:color w:val="000000"/>
          <w:sz w:val="22"/>
          <w:szCs w:val="22"/>
        </w:rPr>
        <w:t xml:space="preserve"> should fit well within the </w:t>
      </w:r>
      <w:r w:rsidR="007E603F"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culture. However, it may be a discriminatory approach, as opportunities may not be known to outside applicants, and it may exclude females and ethnic minorities from the process in a </w:t>
      </w:r>
      <w:r w:rsidR="007E603F" w:rsidRPr="000A7C1E">
        <w:rPr>
          <w:rFonts w:ascii="Arial" w:eastAsia="Times New Roman" w:hAnsi="Arial" w:cs="Arial"/>
          <w:color w:val="000000"/>
          <w:sz w:val="22"/>
          <w:szCs w:val="22"/>
        </w:rPr>
        <w:t>white</w:t>
      </w:r>
      <w:r w:rsidRPr="000A7C1E">
        <w:rPr>
          <w:rFonts w:ascii="Arial" w:eastAsia="Times New Roman" w:hAnsi="Arial" w:cs="Arial"/>
          <w:color w:val="000000"/>
          <w:sz w:val="22"/>
          <w:szCs w:val="22"/>
        </w:rPr>
        <w:t>, single-sex environment.</w:t>
      </w:r>
      <w:r w:rsidR="002134B2" w:rsidRPr="000A7C1E">
        <w:rPr>
          <w:rFonts w:ascii="Arial" w:eastAsia="Times New Roman" w:hAnsi="Arial" w:cs="Arial"/>
          <w:color w:val="000000"/>
          <w:sz w:val="22"/>
          <w:szCs w:val="22"/>
        </w:rPr>
        <w:t xml:space="preserve"> </w:t>
      </w:r>
      <w:proofErr w:type="spellStart"/>
      <w:r w:rsidR="002134B2" w:rsidRPr="000A7C1E">
        <w:rPr>
          <w:rFonts w:ascii="Arial" w:eastAsia="Times New Roman" w:hAnsi="Arial" w:cs="Arial"/>
          <w:color w:val="000000"/>
          <w:sz w:val="22"/>
          <w:szCs w:val="22"/>
        </w:rPr>
        <w:t>Stredwick</w:t>
      </w:r>
      <w:proofErr w:type="spellEnd"/>
      <w:r w:rsidR="002134B2" w:rsidRPr="000A7C1E">
        <w:rPr>
          <w:rFonts w:ascii="Arial" w:eastAsia="Times New Roman" w:hAnsi="Arial" w:cs="Arial"/>
          <w:color w:val="000000"/>
          <w:sz w:val="22"/>
          <w:szCs w:val="22"/>
        </w:rPr>
        <w:t xml:space="preserve"> (2005b)</w:t>
      </w:r>
    </w:p>
    <w:p w14:paraId="2932D418" w14:textId="72D0029F" w:rsidR="00456983" w:rsidRPr="000A7C1E" w:rsidRDefault="00456983">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ParcelCare should ensure fair selection methods, including shortlisting and assessment, based on candidates' ability to perform roles, contribute to the </w:t>
      </w:r>
      <w:r w:rsidR="00C07B84"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and their potential for development.</w:t>
      </w:r>
      <w:r w:rsidR="00F4527A" w:rsidRPr="000A7C1E">
        <w:rPr>
          <w:rFonts w:ascii="Arial" w:eastAsia="Times New Roman" w:hAnsi="Arial" w:cs="Arial"/>
          <w:color w:val="000000"/>
          <w:sz w:val="22"/>
          <w:szCs w:val="22"/>
        </w:rPr>
        <w:t xml:space="preserve"> CIPD (2023c)</w:t>
      </w:r>
    </w:p>
    <w:p w14:paraId="493414DE" w14:textId="33CF8C84" w:rsidR="00D36917" w:rsidRPr="000A7C1E" w:rsidRDefault="0002208A">
      <w:pPr>
        <w:rPr>
          <w:rFonts w:ascii="Arial" w:eastAsia="Times New Roman" w:hAnsi="Arial" w:cs="Arial"/>
          <w:color w:val="000000"/>
          <w:sz w:val="22"/>
          <w:szCs w:val="22"/>
        </w:rPr>
      </w:pPr>
      <w:r w:rsidRPr="000A7C1E">
        <w:rPr>
          <w:rFonts w:ascii="Arial" w:eastAsia="Times New Roman" w:hAnsi="Arial" w:cs="Arial"/>
          <w:color w:val="000000"/>
          <w:sz w:val="22"/>
          <w:szCs w:val="22"/>
        </w:rPr>
        <w:t>Assessment centres are advanced selection methods that combine various methods like candidate presentations, interviews, work samples, ability tests, group activities, and role-playing. These methods are valid and cost-effective but are only viable for large numbers of candidates and can be costly. Taylor</w:t>
      </w:r>
      <w:r w:rsidR="00B82944" w:rsidRPr="000A7C1E">
        <w:rPr>
          <w:rFonts w:ascii="Arial" w:eastAsia="Times New Roman" w:hAnsi="Arial" w:cs="Arial"/>
          <w:color w:val="000000"/>
          <w:sz w:val="22"/>
          <w:szCs w:val="22"/>
        </w:rPr>
        <w:t xml:space="preserve"> and </w:t>
      </w:r>
      <w:proofErr w:type="spellStart"/>
      <w:r w:rsidR="00B82944" w:rsidRPr="000A7C1E">
        <w:rPr>
          <w:rFonts w:ascii="Arial" w:eastAsia="Times New Roman" w:hAnsi="Arial" w:cs="Arial"/>
          <w:color w:val="000000"/>
          <w:sz w:val="22"/>
          <w:szCs w:val="22"/>
        </w:rPr>
        <w:t>Woodhams</w:t>
      </w:r>
      <w:proofErr w:type="spellEnd"/>
      <w:r w:rsidR="00B82944" w:rsidRPr="000A7C1E">
        <w:rPr>
          <w:rFonts w:ascii="Arial" w:eastAsia="Times New Roman" w:hAnsi="Arial" w:cs="Arial"/>
          <w:color w:val="000000"/>
          <w:sz w:val="22"/>
          <w:szCs w:val="22"/>
        </w:rPr>
        <w:t xml:space="preserve"> (2016k)</w:t>
      </w:r>
    </w:p>
    <w:p w14:paraId="1809E285" w14:textId="3A4A262F" w:rsidR="007C4640" w:rsidRPr="000A7C1E" w:rsidRDefault="008A62C9">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Structured interviews are essential for employer and candidate selection, ensuring equal playing field and </w:t>
      </w:r>
      <w:r w:rsidR="00A67E61" w:rsidRPr="000A7C1E">
        <w:rPr>
          <w:rFonts w:ascii="Arial" w:eastAsia="Times New Roman" w:hAnsi="Arial" w:cs="Arial"/>
          <w:color w:val="000000"/>
          <w:sz w:val="22"/>
          <w:szCs w:val="22"/>
        </w:rPr>
        <w:t>minimising</w:t>
      </w:r>
      <w:r w:rsidRPr="000A7C1E">
        <w:rPr>
          <w:rFonts w:ascii="Arial" w:eastAsia="Times New Roman" w:hAnsi="Arial" w:cs="Arial"/>
          <w:color w:val="000000"/>
          <w:sz w:val="22"/>
          <w:szCs w:val="22"/>
        </w:rPr>
        <w:t xml:space="preserve"> bias. They should include questions, scoring criteria, multiple </w:t>
      </w:r>
      <w:r w:rsidRPr="000A7C1E">
        <w:rPr>
          <w:rFonts w:ascii="Arial" w:eastAsia="Times New Roman" w:hAnsi="Arial" w:cs="Arial"/>
          <w:color w:val="000000"/>
          <w:sz w:val="22"/>
          <w:szCs w:val="22"/>
        </w:rPr>
        <w:lastRenderedPageBreak/>
        <w:t>interviewers, and professional conduct, including psychometric tests and task simulation activities.</w:t>
      </w:r>
      <w:r w:rsidR="0054277C" w:rsidRPr="000A7C1E">
        <w:rPr>
          <w:rFonts w:ascii="Arial" w:eastAsia="Times New Roman" w:hAnsi="Arial" w:cs="Arial"/>
          <w:color w:val="000000"/>
          <w:sz w:val="22"/>
          <w:szCs w:val="22"/>
        </w:rPr>
        <w:t xml:space="preserve"> CIPD (2023d)</w:t>
      </w:r>
    </w:p>
    <w:p w14:paraId="1DE49D65" w14:textId="00EE8FAB" w:rsidR="00795BD4" w:rsidRPr="000A7C1E" w:rsidRDefault="004231F8">
      <w:pPr>
        <w:rPr>
          <w:rFonts w:ascii="Arial" w:hAnsi="Arial" w:cs="Arial"/>
          <w:color w:val="215E99" w:themeColor="text2" w:themeTint="BF"/>
          <w:sz w:val="22"/>
          <w:szCs w:val="22"/>
        </w:rPr>
      </w:pPr>
      <w:r w:rsidRPr="000A7C1E">
        <w:rPr>
          <w:rFonts w:ascii="Arial" w:eastAsia="Times New Roman" w:hAnsi="Arial" w:cs="Arial"/>
          <w:color w:val="000000"/>
          <w:sz w:val="22"/>
          <w:szCs w:val="22"/>
        </w:rPr>
        <w:t xml:space="preserve">Interviewers make decisions based on factors like person specification, intuition, prior decision-making, self-preference, and stereotypes. They may also adjust information, influence candidates' </w:t>
      </w:r>
      <w:r w:rsidR="00A67E61" w:rsidRPr="000A7C1E">
        <w:rPr>
          <w:rFonts w:ascii="Arial" w:eastAsia="Times New Roman" w:hAnsi="Arial" w:cs="Arial"/>
          <w:color w:val="000000"/>
          <w:sz w:val="22"/>
          <w:szCs w:val="22"/>
        </w:rPr>
        <w:t>behaviour</w:t>
      </w:r>
      <w:r w:rsidRPr="000A7C1E">
        <w:rPr>
          <w:rFonts w:ascii="Arial" w:eastAsia="Times New Roman" w:hAnsi="Arial" w:cs="Arial"/>
          <w:color w:val="000000"/>
          <w:sz w:val="22"/>
          <w:szCs w:val="22"/>
        </w:rPr>
        <w:t>, and pressure to select a successful candidate, making it crucial to avoid biases.</w:t>
      </w:r>
      <w:r w:rsidR="00CF427B" w:rsidRPr="000A7C1E">
        <w:rPr>
          <w:rFonts w:ascii="Arial" w:eastAsia="Times New Roman" w:hAnsi="Arial" w:cs="Arial"/>
          <w:color w:val="000000"/>
          <w:sz w:val="22"/>
          <w:szCs w:val="22"/>
        </w:rPr>
        <w:t xml:space="preserve"> </w:t>
      </w:r>
      <w:proofErr w:type="spellStart"/>
      <w:r w:rsidR="00CF427B" w:rsidRPr="000A7C1E">
        <w:rPr>
          <w:rFonts w:ascii="Arial" w:eastAsia="Times New Roman" w:hAnsi="Arial" w:cs="Arial"/>
          <w:color w:val="000000"/>
          <w:sz w:val="22"/>
          <w:szCs w:val="22"/>
        </w:rPr>
        <w:t>Stredwick</w:t>
      </w:r>
      <w:proofErr w:type="spellEnd"/>
      <w:r w:rsidR="00CF427B" w:rsidRPr="000A7C1E">
        <w:rPr>
          <w:rFonts w:ascii="Arial" w:eastAsia="Times New Roman" w:hAnsi="Arial" w:cs="Arial"/>
          <w:color w:val="000000"/>
          <w:sz w:val="22"/>
          <w:szCs w:val="22"/>
        </w:rPr>
        <w:t xml:space="preserve"> (2005c)</w:t>
      </w:r>
    </w:p>
    <w:p w14:paraId="5B25D674" w14:textId="64EB249A" w:rsidR="00E334FC" w:rsidRPr="000A7C1E" w:rsidRDefault="002B0FA8">
      <w:pPr>
        <w:rPr>
          <w:rStyle w:val="ui-provider"/>
          <w:rFonts w:ascii="Arial" w:hAnsi="Arial" w:cs="Arial"/>
          <w:color w:val="215E99" w:themeColor="text2" w:themeTint="BF"/>
          <w:sz w:val="22"/>
          <w:szCs w:val="22"/>
        </w:rPr>
      </w:pPr>
      <w:r w:rsidRPr="000A7C1E">
        <w:rPr>
          <w:rStyle w:val="ui-provider"/>
          <w:rFonts w:ascii="Arial" w:hAnsi="Arial" w:cs="Arial"/>
          <w:color w:val="215E99" w:themeColor="text2" w:themeTint="BF"/>
          <w:sz w:val="22"/>
          <w:szCs w:val="22"/>
        </w:rPr>
        <w:t>6.</w:t>
      </w:r>
      <w:r w:rsidR="00C541D1" w:rsidRPr="000A7C1E">
        <w:rPr>
          <w:rStyle w:val="ui-provider"/>
          <w:rFonts w:ascii="Arial" w:hAnsi="Arial" w:cs="Arial"/>
          <w:color w:val="215E99" w:themeColor="text2" w:themeTint="BF"/>
          <w:sz w:val="22"/>
          <w:szCs w:val="22"/>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3860760E" w14:textId="679DBE0A" w:rsidR="00B1420A" w:rsidRPr="000A7C1E" w:rsidRDefault="003C3A1F">
      <w:pPr>
        <w:rPr>
          <w:rFonts w:ascii="Arial" w:eastAsia="Times New Roman" w:hAnsi="Arial" w:cs="Arial"/>
          <w:color w:val="000000"/>
          <w:sz w:val="22"/>
          <w:szCs w:val="22"/>
        </w:rPr>
      </w:pPr>
      <w:r w:rsidRPr="000A7C1E">
        <w:rPr>
          <w:rFonts w:ascii="Arial" w:eastAsia="Times New Roman" w:hAnsi="Arial" w:cs="Arial"/>
          <w:color w:val="000000"/>
          <w:sz w:val="22"/>
          <w:szCs w:val="22"/>
        </w:rPr>
        <w:t>Understanding the reasons behind dysfunctional turnover is crucial for reducing it, distinguishing between unavoidable and potentially avoided reasons for employee departures.</w:t>
      </w:r>
    </w:p>
    <w:p w14:paraId="726957C2" w14:textId="27D38783" w:rsidR="006B5D86" w:rsidRPr="000A7C1E" w:rsidRDefault="006B5D86">
      <w:pPr>
        <w:rPr>
          <w:rFonts w:ascii="Arial" w:eastAsia="Times New Roman" w:hAnsi="Arial" w:cs="Arial"/>
          <w:color w:val="000000"/>
          <w:sz w:val="22"/>
          <w:szCs w:val="22"/>
        </w:rPr>
      </w:pPr>
      <w:r w:rsidRPr="000A7C1E">
        <w:rPr>
          <w:rFonts w:ascii="Arial" w:eastAsia="Times New Roman" w:hAnsi="Arial" w:cs="Arial"/>
          <w:color w:val="000000"/>
          <w:sz w:val="22"/>
          <w:szCs w:val="22"/>
        </w:rPr>
        <w:t>Unavoidable turnover occurs due to unrelated factors like illness or domestic commitments, while avoidable turnover, influenced by dissatisfaction, is potentially within management's control, accounting for around 90% of employee departures.</w:t>
      </w:r>
      <w:r w:rsidR="00614D8D" w:rsidRPr="000A7C1E">
        <w:rPr>
          <w:rFonts w:ascii="Arial" w:eastAsia="Times New Roman" w:hAnsi="Arial" w:cs="Arial"/>
          <w:color w:val="000000"/>
          <w:sz w:val="22"/>
          <w:szCs w:val="22"/>
        </w:rPr>
        <w:t xml:space="preserve"> Taylor and </w:t>
      </w:r>
      <w:proofErr w:type="spellStart"/>
      <w:r w:rsidR="00614D8D" w:rsidRPr="000A7C1E">
        <w:rPr>
          <w:rFonts w:ascii="Arial" w:eastAsia="Times New Roman" w:hAnsi="Arial" w:cs="Arial"/>
          <w:color w:val="000000"/>
          <w:sz w:val="22"/>
          <w:szCs w:val="22"/>
        </w:rPr>
        <w:t>Woodhams</w:t>
      </w:r>
      <w:proofErr w:type="spellEnd"/>
      <w:r w:rsidR="00614D8D" w:rsidRPr="000A7C1E">
        <w:rPr>
          <w:rFonts w:ascii="Arial" w:eastAsia="Times New Roman" w:hAnsi="Arial" w:cs="Arial"/>
          <w:color w:val="000000"/>
          <w:sz w:val="22"/>
          <w:szCs w:val="22"/>
        </w:rPr>
        <w:t xml:space="preserve"> (2016l)</w:t>
      </w:r>
    </w:p>
    <w:p w14:paraId="22E23934" w14:textId="05AC8AA2" w:rsidR="004A6B14" w:rsidRPr="000A7C1E" w:rsidRDefault="004A6B14">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Unavoidable turnover can be caused by various factors like health issues or lottery </w:t>
      </w:r>
      <w:r w:rsidR="00305FE6" w:rsidRPr="000A7C1E">
        <w:rPr>
          <w:rFonts w:ascii="Arial" w:eastAsia="Times New Roman" w:hAnsi="Arial" w:cs="Arial"/>
          <w:color w:val="000000"/>
          <w:sz w:val="22"/>
          <w:szCs w:val="22"/>
        </w:rPr>
        <w:t>winnings and</w:t>
      </w:r>
      <w:r w:rsidRPr="000A7C1E">
        <w:rPr>
          <w:rFonts w:ascii="Arial" w:eastAsia="Times New Roman" w:hAnsi="Arial" w:cs="Arial"/>
          <w:color w:val="000000"/>
          <w:sz w:val="22"/>
          <w:szCs w:val="22"/>
        </w:rPr>
        <w:t xml:space="preserve"> can be influenced by eight types of motivations: affective, calculative, contractual, </w:t>
      </w:r>
      <w:r w:rsidR="00E0234D" w:rsidRPr="000A7C1E">
        <w:rPr>
          <w:rFonts w:ascii="Arial" w:eastAsia="Times New Roman" w:hAnsi="Arial" w:cs="Arial"/>
          <w:color w:val="000000"/>
          <w:sz w:val="22"/>
          <w:szCs w:val="22"/>
        </w:rPr>
        <w:t>behavioural</w:t>
      </w:r>
      <w:r w:rsidRPr="000A7C1E">
        <w:rPr>
          <w:rFonts w:ascii="Arial" w:eastAsia="Times New Roman" w:hAnsi="Arial" w:cs="Arial"/>
          <w:color w:val="000000"/>
          <w:sz w:val="22"/>
          <w:szCs w:val="22"/>
        </w:rPr>
        <w:t>, alternative, normative constituent, and moral/ethical.</w:t>
      </w:r>
      <w:r w:rsidR="007D2F1A" w:rsidRPr="000A7C1E">
        <w:rPr>
          <w:rFonts w:ascii="Arial" w:eastAsia="Times New Roman" w:hAnsi="Arial" w:cs="Arial"/>
          <w:color w:val="000000"/>
          <w:sz w:val="22"/>
          <w:szCs w:val="22"/>
        </w:rPr>
        <w:t xml:space="preserve"> Allen and Bryant (2012b)</w:t>
      </w:r>
    </w:p>
    <w:p w14:paraId="6F663D6C" w14:textId="508F38F1" w:rsidR="00DA7BE1" w:rsidRPr="000A7C1E" w:rsidRDefault="00DA7BE1">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Avoidable turnover occurs due to factors under </w:t>
      </w:r>
      <w:r w:rsidR="0026260A" w:rsidRPr="000A7C1E">
        <w:rPr>
          <w:rFonts w:ascii="Arial" w:eastAsia="Times New Roman" w:hAnsi="Arial" w:cs="Arial"/>
          <w:color w:val="000000"/>
          <w:sz w:val="22"/>
          <w:szCs w:val="22"/>
        </w:rPr>
        <w:t>organisational</w:t>
      </w:r>
      <w:r w:rsidRPr="000A7C1E">
        <w:rPr>
          <w:rFonts w:ascii="Arial" w:eastAsia="Times New Roman" w:hAnsi="Arial" w:cs="Arial"/>
          <w:color w:val="000000"/>
          <w:sz w:val="22"/>
          <w:szCs w:val="22"/>
        </w:rPr>
        <w:t xml:space="preserve"> control, such as job dissatisfaction, poor supervision, inadequate growth opportunities, or negative </w:t>
      </w:r>
      <w:r w:rsidR="0026260A" w:rsidRPr="000A7C1E">
        <w:rPr>
          <w:rFonts w:ascii="Arial" w:eastAsia="Times New Roman" w:hAnsi="Arial" w:cs="Arial"/>
          <w:color w:val="000000"/>
          <w:sz w:val="22"/>
          <w:szCs w:val="22"/>
        </w:rPr>
        <w:t>organisational</w:t>
      </w:r>
      <w:r w:rsidRPr="000A7C1E">
        <w:rPr>
          <w:rFonts w:ascii="Arial" w:eastAsia="Times New Roman" w:hAnsi="Arial" w:cs="Arial"/>
          <w:color w:val="000000"/>
          <w:sz w:val="22"/>
          <w:szCs w:val="22"/>
        </w:rPr>
        <w:t xml:space="preserve"> culture, even if the </w:t>
      </w:r>
      <w:r w:rsidR="0026260A"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xml:space="preserve"> does everything right</w:t>
      </w:r>
      <w:r w:rsidR="00E31AD5" w:rsidRPr="000A7C1E">
        <w:rPr>
          <w:rFonts w:ascii="Arial" w:eastAsia="Times New Roman" w:hAnsi="Arial" w:cs="Arial"/>
          <w:color w:val="000000"/>
          <w:sz w:val="22"/>
          <w:szCs w:val="22"/>
        </w:rPr>
        <w:t xml:space="preserve"> Allen and Bryant (2012)</w:t>
      </w:r>
      <w:r w:rsidRPr="000A7C1E">
        <w:rPr>
          <w:rFonts w:ascii="Arial" w:eastAsia="Times New Roman" w:hAnsi="Arial" w:cs="Arial"/>
          <w:color w:val="000000"/>
          <w:sz w:val="22"/>
          <w:szCs w:val="22"/>
        </w:rPr>
        <w:t>.</w:t>
      </w:r>
    </w:p>
    <w:p w14:paraId="1784ED4E" w14:textId="106D2149" w:rsidR="003C3A1F" w:rsidRPr="000A7C1E" w:rsidRDefault="00B04551">
      <w:pPr>
        <w:rPr>
          <w:rFonts w:ascii="Arial" w:hAnsi="Arial" w:cs="Arial"/>
          <w:color w:val="215E99" w:themeColor="text2" w:themeTint="BF"/>
          <w:sz w:val="22"/>
          <w:szCs w:val="22"/>
        </w:rPr>
      </w:pPr>
      <w:r w:rsidRPr="000A7C1E">
        <w:rPr>
          <w:rFonts w:ascii="Arial" w:eastAsia="Times New Roman" w:hAnsi="Arial" w:cs="Arial"/>
          <w:color w:val="000000"/>
          <w:sz w:val="22"/>
          <w:szCs w:val="22"/>
        </w:rPr>
        <w:t xml:space="preserve">Around 90% of employee departures are voluntary, and identifying the reasons behind these departures is crucial for implementing appropriate </w:t>
      </w:r>
      <w:r w:rsidR="002A6D52" w:rsidRPr="000A7C1E">
        <w:rPr>
          <w:rFonts w:ascii="Arial" w:eastAsia="Times New Roman" w:hAnsi="Arial" w:cs="Arial"/>
          <w:color w:val="000000"/>
          <w:sz w:val="22"/>
          <w:szCs w:val="22"/>
        </w:rPr>
        <w:t>organisational</w:t>
      </w:r>
      <w:r w:rsidRPr="000A7C1E">
        <w:rPr>
          <w:rFonts w:ascii="Arial" w:eastAsia="Times New Roman" w:hAnsi="Arial" w:cs="Arial"/>
          <w:color w:val="000000"/>
          <w:sz w:val="22"/>
          <w:szCs w:val="22"/>
        </w:rPr>
        <w:t xml:space="preserve"> interventions. Qualitative data sources like exit interviews and staff satisfaction surveys can help identify the real reasons for turnover. Around 90% of organisations use exit interview mechanisms, which involve discussions between the departing employee and a company representative, focusing on reasons for leaving and potential improvements.</w:t>
      </w:r>
      <w:r w:rsidR="000A242C" w:rsidRPr="000A7C1E">
        <w:rPr>
          <w:rFonts w:ascii="Arial" w:eastAsia="Times New Roman" w:hAnsi="Arial" w:cs="Arial"/>
          <w:color w:val="000000"/>
          <w:sz w:val="22"/>
          <w:szCs w:val="22"/>
        </w:rPr>
        <w:t xml:space="preserve"> Taylor and </w:t>
      </w:r>
      <w:proofErr w:type="spellStart"/>
      <w:r w:rsidR="000A242C" w:rsidRPr="000A7C1E">
        <w:rPr>
          <w:rFonts w:ascii="Arial" w:eastAsia="Times New Roman" w:hAnsi="Arial" w:cs="Arial"/>
          <w:color w:val="000000"/>
          <w:sz w:val="22"/>
          <w:szCs w:val="22"/>
        </w:rPr>
        <w:t>Woodhams</w:t>
      </w:r>
      <w:proofErr w:type="spellEnd"/>
      <w:r w:rsidR="000A242C" w:rsidRPr="000A7C1E">
        <w:rPr>
          <w:rFonts w:ascii="Arial" w:eastAsia="Times New Roman" w:hAnsi="Arial" w:cs="Arial"/>
          <w:color w:val="000000"/>
          <w:sz w:val="22"/>
          <w:szCs w:val="22"/>
        </w:rPr>
        <w:t xml:space="preserve"> (2016m)</w:t>
      </w:r>
    </w:p>
    <w:p w14:paraId="796F4247" w14:textId="77777777" w:rsidR="00063716" w:rsidRPr="000A7C1E" w:rsidRDefault="00D44043">
      <w:pPr>
        <w:rPr>
          <w:rFonts w:ascii="Arial" w:eastAsia="Times New Roman" w:hAnsi="Arial" w:cs="Arial"/>
          <w:color w:val="000000"/>
          <w:sz w:val="22"/>
          <w:szCs w:val="22"/>
        </w:rPr>
      </w:pPr>
      <w:r w:rsidRPr="000A7C1E">
        <w:rPr>
          <w:rFonts w:ascii="Arial" w:eastAsia="Times New Roman" w:hAnsi="Arial" w:cs="Arial"/>
          <w:color w:val="000000"/>
          <w:sz w:val="22"/>
          <w:szCs w:val="22"/>
        </w:rPr>
        <w:t>Organisational</w:t>
      </w:r>
      <w:r w:rsidR="00180ACC" w:rsidRPr="000A7C1E">
        <w:rPr>
          <w:rFonts w:ascii="Arial" w:eastAsia="Times New Roman" w:hAnsi="Arial" w:cs="Arial"/>
          <w:color w:val="000000"/>
          <w:sz w:val="22"/>
          <w:szCs w:val="22"/>
        </w:rPr>
        <w:t xml:space="preserve"> turnover can be driven by 'pull' factors like job attraction or 'push' factors like </w:t>
      </w:r>
      <w:r w:rsidRPr="000A7C1E">
        <w:rPr>
          <w:rFonts w:ascii="Arial" w:eastAsia="Times New Roman" w:hAnsi="Arial" w:cs="Arial"/>
          <w:color w:val="000000"/>
          <w:sz w:val="22"/>
          <w:szCs w:val="22"/>
        </w:rPr>
        <w:t>organisational</w:t>
      </w:r>
      <w:r w:rsidR="00180ACC" w:rsidRPr="000A7C1E">
        <w:rPr>
          <w:rFonts w:ascii="Arial" w:eastAsia="Times New Roman" w:hAnsi="Arial" w:cs="Arial"/>
          <w:color w:val="000000"/>
          <w:sz w:val="22"/>
          <w:szCs w:val="22"/>
        </w:rPr>
        <w:t xml:space="preserve"> change or lack of career development opportunities. Monitoring turnover can identify trends and issues to ensure employee satisfaction.</w:t>
      </w:r>
      <w:r w:rsidR="003F0B85" w:rsidRPr="000A7C1E">
        <w:rPr>
          <w:rFonts w:ascii="Arial" w:eastAsia="Times New Roman" w:hAnsi="Arial" w:cs="Arial"/>
          <w:color w:val="000000"/>
          <w:sz w:val="22"/>
          <w:szCs w:val="22"/>
        </w:rPr>
        <w:t xml:space="preserve"> </w:t>
      </w:r>
      <w:proofErr w:type="spellStart"/>
      <w:r w:rsidR="003F0B85" w:rsidRPr="000A7C1E">
        <w:rPr>
          <w:rFonts w:ascii="Arial" w:eastAsia="Times New Roman" w:hAnsi="Arial" w:cs="Arial"/>
          <w:color w:val="000000"/>
          <w:sz w:val="22"/>
          <w:szCs w:val="22"/>
        </w:rPr>
        <w:t>Cockett</w:t>
      </w:r>
      <w:proofErr w:type="spellEnd"/>
      <w:r w:rsidR="003F0B85" w:rsidRPr="000A7C1E">
        <w:rPr>
          <w:rFonts w:ascii="Arial" w:eastAsia="Times New Roman" w:hAnsi="Arial" w:cs="Arial"/>
          <w:color w:val="000000"/>
          <w:sz w:val="22"/>
          <w:szCs w:val="22"/>
        </w:rPr>
        <w:t xml:space="preserve"> (2024)</w:t>
      </w:r>
      <w:r w:rsidR="00557A4B" w:rsidRPr="000A7C1E">
        <w:rPr>
          <w:rFonts w:ascii="Arial" w:eastAsia="Times New Roman" w:hAnsi="Arial" w:cs="Arial"/>
          <w:color w:val="000000"/>
          <w:sz w:val="22"/>
          <w:szCs w:val="22"/>
        </w:rPr>
        <w:t xml:space="preserve"> </w:t>
      </w:r>
    </w:p>
    <w:p w14:paraId="27E75E13" w14:textId="77777777" w:rsidR="00D52FFC" w:rsidRPr="000A7C1E" w:rsidRDefault="00D52FFC">
      <w:pPr>
        <w:rPr>
          <w:rFonts w:ascii="Arial" w:eastAsia="Times New Roman" w:hAnsi="Arial" w:cs="Arial"/>
          <w:color w:val="000000"/>
          <w:sz w:val="22"/>
          <w:szCs w:val="22"/>
        </w:rPr>
      </w:pPr>
    </w:p>
    <w:p w14:paraId="7DFF7015" w14:textId="2FA5A68B" w:rsidR="00833D4A" w:rsidRPr="000A7C1E" w:rsidRDefault="00557A4B">
      <w:pPr>
        <w:rPr>
          <w:rFonts w:ascii="Arial" w:eastAsia="Times New Roman" w:hAnsi="Arial" w:cs="Arial"/>
          <w:color w:val="000000"/>
          <w:sz w:val="22"/>
          <w:szCs w:val="22"/>
        </w:rPr>
      </w:pPr>
      <w:r w:rsidRPr="000A7C1E">
        <w:rPr>
          <w:rFonts w:ascii="Arial" w:eastAsia="Times New Roman" w:hAnsi="Arial" w:cs="Arial"/>
          <w:color w:val="000000"/>
          <w:sz w:val="22"/>
          <w:szCs w:val="22"/>
        </w:rPr>
        <w:t>Employees often leave companies due to lack of development opportunities, poor relationships with supervisors, and poor communication</w:t>
      </w:r>
      <w:r w:rsidR="00063716" w:rsidRPr="000A7C1E">
        <w:rPr>
          <w:rFonts w:ascii="Arial" w:eastAsia="Times New Roman" w:hAnsi="Arial" w:cs="Arial"/>
          <w:color w:val="000000"/>
          <w:sz w:val="22"/>
          <w:szCs w:val="22"/>
        </w:rPr>
        <w:t xml:space="preserve"> ‘push’ factors</w:t>
      </w:r>
      <w:r w:rsidRPr="000A7C1E">
        <w:rPr>
          <w:rFonts w:ascii="Arial" w:eastAsia="Times New Roman" w:hAnsi="Arial" w:cs="Arial"/>
          <w:color w:val="000000"/>
          <w:sz w:val="22"/>
          <w:szCs w:val="22"/>
        </w:rPr>
        <w:t xml:space="preserve">. To address this, companies should invest in training, communication, and </w:t>
      </w:r>
      <w:r w:rsidR="00021C3C" w:rsidRPr="000A7C1E">
        <w:rPr>
          <w:rFonts w:ascii="Arial" w:eastAsia="Times New Roman" w:hAnsi="Arial" w:cs="Arial"/>
          <w:color w:val="000000"/>
          <w:sz w:val="22"/>
          <w:szCs w:val="22"/>
        </w:rPr>
        <w:t>team-building</w:t>
      </w:r>
      <w:r w:rsidRPr="000A7C1E">
        <w:rPr>
          <w:rFonts w:ascii="Arial" w:eastAsia="Times New Roman" w:hAnsi="Arial" w:cs="Arial"/>
          <w:color w:val="000000"/>
          <w:sz w:val="22"/>
          <w:szCs w:val="22"/>
        </w:rPr>
        <w:t xml:space="preserve"> activities. They should also focus on equal opportunities, diversity, ethics, and CSR initiatives. Additionally, companies should consider flexible working arrangements, support for working mothers, and invest in maintenance and equipment.</w:t>
      </w:r>
      <w:r w:rsidR="00BE161F" w:rsidRPr="000A7C1E">
        <w:rPr>
          <w:rFonts w:ascii="Arial" w:eastAsia="Times New Roman" w:hAnsi="Arial" w:cs="Arial"/>
          <w:color w:val="000000"/>
          <w:sz w:val="22"/>
          <w:szCs w:val="22"/>
        </w:rPr>
        <w:t xml:space="preserve"> Taylor and </w:t>
      </w:r>
      <w:proofErr w:type="spellStart"/>
      <w:r w:rsidR="00BE161F" w:rsidRPr="000A7C1E">
        <w:rPr>
          <w:rFonts w:ascii="Arial" w:eastAsia="Times New Roman" w:hAnsi="Arial" w:cs="Arial"/>
          <w:color w:val="000000"/>
          <w:sz w:val="22"/>
          <w:szCs w:val="22"/>
        </w:rPr>
        <w:t>Woodhams</w:t>
      </w:r>
      <w:proofErr w:type="spellEnd"/>
      <w:r w:rsidR="00BE161F" w:rsidRPr="000A7C1E">
        <w:rPr>
          <w:rFonts w:ascii="Arial" w:eastAsia="Times New Roman" w:hAnsi="Arial" w:cs="Arial"/>
          <w:color w:val="000000"/>
          <w:sz w:val="22"/>
          <w:szCs w:val="22"/>
        </w:rPr>
        <w:t xml:space="preserve"> (2016n)</w:t>
      </w:r>
    </w:p>
    <w:p w14:paraId="70966569" w14:textId="2BC21B11" w:rsidR="00D44043" w:rsidRPr="000A7C1E" w:rsidRDefault="00432C8D">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The ‘pull’ factors influencing job switch decisions include compensation packages offered by other companies, designation offered by other companies, and the goodwill of the company from where the offer is made. Males are more responsive to designation, and those with </w:t>
      </w:r>
      <w:r w:rsidRPr="000A7C1E">
        <w:rPr>
          <w:rFonts w:ascii="Arial" w:eastAsia="Times New Roman" w:hAnsi="Arial" w:cs="Arial"/>
          <w:color w:val="000000"/>
          <w:sz w:val="22"/>
          <w:szCs w:val="22"/>
        </w:rPr>
        <w:lastRenderedPageBreak/>
        <w:t>higher dependency burden and experience are more likely to consider it. Overall, these factors significantly influence employee decisions.</w:t>
      </w:r>
      <w:r w:rsidR="009D1702" w:rsidRPr="000A7C1E">
        <w:rPr>
          <w:rFonts w:ascii="Arial" w:eastAsia="Times New Roman" w:hAnsi="Arial" w:cs="Arial"/>
          <w:color w:val="000000"/>
          <w:sz w:val="22"/>
          <w:szCs w:val="22"/>
        </w:rPr>
        <w:t xml:space="preserve"> </w:t>
      </w:r>
      <w:proofErr w:type="spellStart"/>
      <w:r w:rsidR="009D1702" w:rsidRPr="000A7C1E">
        <w:rPr>
          <w:rFonts w:ascii="Arial" w:eastAsia="Times New Roman" w:hAnsi="Arial" w:cs="Arial"/>
          <w:color w:val="000000"/>
          <w:sz w:val="22"/>
          <w:szCs w:val="22"/>
        </w:rPr>
        <w:t>Sufyan</w:t>
      </w:r>
      <w:proofErr w:type="spellEnd"/>
      <w:r w:rsidR="009D1702" w:rsidRPr="000A7C1E">
        <w:rPr>
          <w:rFonts w:ascii="Arial" w:eastAsia="Times New Roman" w:hAnsi="Arial" w:cs="Arial"/>
          <w:color w:val="000000"/>
          <w:sz w:val="22"/>
          <w:szCs w:val="22"/>
        </w:rPr>
        <w:t xml:space="preserve"> (2010)</w:t>
      </w:r>
    </w:p>
    <w:p w14:paraId="50C79B85" w14:textId="6CE07724" w:rsidR="00A7187F" w:rsidRPr="000A7C1E" w:rsidRDefault="00091CD4">
      <w:pPr>
        <w:rPr>
          <w:rStyle w:val="ui-provider"/>
          <w:rFonts w:ascii="Arial" w:hAnsi="Arial" w:cs="Arial"/>
          <w:color w:val="215E99" w:themeColor="text2" w:themeTint="BF"/>
          <w:sz w:val="22"/>
          <w:szCs w:val="22"/>
        </w:rPr>
      </w:pPr>
      <w:r w:rsidRPr="000A7C1E">
        <w:rPr>
          <w:rStyle w:val="ui-provider"/>
          <w:rFonts w:ascii="Arial" w:hAnsi="Arial" w:cs="Arial"/>
          <w:color w:val="215E99" w:themeColor="text2" w:themeTint="BF"/>
          <w:sz w:val="22"/>
          <w:szCs w:val="22"/>
        </w:rPr>
        <w:t>7.</w:t>
      </w:r>
      <w:r w:rsidR="00A7187F" w:rsidRPr="000A7C1E">
        <w:rPr>
          <w:rStyle w:val="ui-provider"/>
          <w:rFonts w:ascii="Arial" w:hAnsi="Arial" w:cs="Arial"/>
          <w:color w:val="215E99" w:themeColor="text2" w:themeTint="BF"/>
          <w:sz w:val="22"/>
          <w:szCs w:val="22"/>
        </w:rPr>
        <w:t>Retention of warehouse staff is an issue, as there are many labour market competitors. Compare the following retention approaches: realistic job previews; induction; job enrichment; and reward. (AC 3.2)</w:t>
      </w:r>
    </w:p>
    <w:p w14:paraId="383546AF" w14:textId="38B99F9A" w:rsidR="005335CF" w:rsidRPr="000A7C1E" w:rsidRDefault="0057043D">
      <w:pPr>
        <w:rPr>
          <w:rStyle w:val="ui-provider"/>
          <w:rFonts w:ascii="Arial" w:hAnsi="Arial" w:cs="Arial"/>
          <w:color w:val="215E99" w:themeColor="text2" w:themeTint="BF"/>
          <w:sz w:val="22"/>
          <w:szCs w:val="22"/>
        </w:rPr>
      </w:pPr>
      <w:r w:rsidRPr="000A7C1E">
        <w:rPr>
          <w:rFonts w:ascii="Arial" w:eastAsia="Times New Roman" w:hAnsi="Arial" w:cs="Arial"/>
          <w:color w:val="000000"/>
          <w:sz w:val="22"/>
          <w:szCs w:val="22"/>
        </w:rPr>
        <w:t xml:space="preserve">Job design is a crucial process that </w:t>
      </w:r>
      <w:r w:rsidR="000F546C" w:rsidRPr="000A7C1E">
        <w:rPr>
          <w:rFonts w:ascii="Arial" w:eastAsia="Times New Roman" w:hAnsi="Arial" w:cs="Arial"/>
          <w:color w:val="000000"/>
          <w:sz w:val="22"/>
          <w:szCs w:val="22"/>
        </w:rPr>
        <w:t>improves</w:t>
      </w:r>
      <w:r w:rsidRPr="000A7C1E">
        <w:rPr>
          <w:rFonts w:ascii="Arial" w:eastAsia="Times New Roman" w:hAnsi="Arial" w:cs="Arial"/>
          <w:color w:val="000000"/>
          <w:sz w:val="22"/>
          <w:szCs w:val="22"/>
        </w:rPr>
        <w:t xml:space="preserve"> work processes, improves productivity, and enhances employee attitudes and behaviours. It considers external and human factors, motivational and growth factors, and aims to support the </w:t>
      </w:r>
      <w:r w:rsidR="000F546C"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purpose, health, safety, and productivity.</w:t>
      </w:r>
      <w:r w:rsidR="005335CF" w:rsidRPr="000A7C1E">
        <w:rPr>
          <w:rFonts w:ascii="Arial" w:eastAsia="Times New Roman" w:hAnsi="Arial" w:cs="Arial"/>
          <w:color w:val="000000"/>
          <w:sz w:val="22"/>
          <w:szCs w:val="22"/>
        </w:rPr>
        <w:t>CIPD (2024a)</w:t>
      </w:r>
    </w:p>
    <w:p w14:paraId="1B63F60D" w14:textId="62A2F025" w:rsidR="00C67FE2" w:rsidRPr="000A7C1E" w:rsidRDefault="00C67FE2">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Realistic job profiles are crucial tools in early personnel selection, providing accurate information about a job, including experience-based aspects. These messages, monitored by the recruiting </w:t>
      </w:r>
      <w:r w:rsidR="009624E2"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xml:space="preserve">, help job seekers understand the </w:t>
      </w:r>
      <w:r w:rsidR="009624E2"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culture and expectations. The format of RJP messages, such as employer-sourced or staff-sourced, can influence content. Employee testimonials increase credibility.</w:t>
      </w:r>
      <w:r w:rsidR="0084766A" w:rsidRPr="000A7C1E">
        <w:rPr>
          <w:rFonts w:ascii="Arial" w:eastAsia="Times New Roman" w:hAnsi="Arial" w:cs="Arial"/>
          <w:color w:val="000000"/>
          <w:sz w:val="22"/>
          <w:szCs w:val="22"/>
        </w:rPr>
        <w:t xml:space="preserve"> (Liu, Keeling and </w:t>
      </w:r>
      <w:proofErr w:type="spellStart"/>
      <w:r w:rsidR="0084766A" w:rsidRPr="000A7C1E">
        <w:rPr>
          <w:rFonts w:ascii="Arial" w:eastAsia="Times New Roman" w:hAnsi="Arial" w:cs="Arial"/>
          <w:color w:val="000000"/>
          <w:sz w:val="22"/>
          <w:szCs w:val="22"/>
        </w:rPr>
        <w:t>Papamichail</w:t>
      </w:r>
      <w:proofErr w:type="spellEnd"/>
      <w:r w:rsidR="0084766A" w:rsidRPr="000A7C1E">
        <w:rPr>
          <w:rFonts w:ascii="Arial" w:eastAsia="Times New Roman" w:hAnsi="Arial" w:cs="Arial"/>
          <w:color w:val="000000"/>
          <w:sz w:val="22"/>
          <w:szCs w:val="22"/>
        </w:rPr>
        <w:t>, 2016)</w:t>
      </w:r>
    </w:p>
    <w:p w14:paraId="3F675632" w14:textId="2AF741D2" w:rsidR="004456CB" w:rsidRPr="000A7C1E" w:rsidRDefault="004C340C">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Scholars question the effectiveness of realistic job previews in hiring, citing potential biases and mixed results. Future research should focus on accuracy, specificity, breadth, credibility, and importance, and address methodological flaws. </w:t>
      </w:r>
      <w:r w:rsidR="009C05A5" w:rsidRPr="000A7C1E">
        <w:rPr>
          <w:rFonts w:ascii="Arial" w:eastAsia="Times New Roman" w:hAnsi="Arial" w:cs="Arial"/>
          <w:color w:val="000000"/>
          <w:sz w:val="22"/>
          <w:szCs w:val="22"/>
        </w:rPr>
        <w:t xml:space="preserve">(E. </w:t>
      </w:r>
      <w:proofErr w:type="spellStart"/>
      <w:r w:rsidR="009C05A5" w:rsidRPr="000A7C1E">
        <w:rPr>
          <w:rFonts w:ascii="Arial" w:eastAsia="Times New Roman" w:hAnsi="Arial" w:cs="Arial"/>
          <w:color w:val="000000"/>
          <w:sz w:val="22"/>
          <w:szCs w:val="22"/>
        </w:rPr>
        <w:t>Baur</w:t>
      </w:r>
      <w:proofErr w:type="spellEnd"/>
      <w:r w:rsidR="009C05A5" w:rsidRPr="000A7C1E">
        <w:rPr>
          <w:rFonts w:ascii="Arial" w:eastAsia="Times New Roman" w:hAnsi="Arial" w:cs="Arial"/>
          <w:color w:val="000000"/>
          <w:sz w:val="22"/>
          <w:szCs w:val="22"/>
        </w:rPr>
        <w:t xml:space="preserve"> et al., 2014)</w:t>
      </w:r>
    </w:p>
    <w:p w14:paraId="5273E819" w14:textId="67664FD3" w:rsidR="00301BB3" w:rsidRPr="000A7C1E" w:rsidRDefault="00AC77FC">
      <w:pPr>
        <w:rPr>
          <w:rFonts w:ascii="Arial" w:eastAsia="Times New Roman" w:hAnsi="Arial" w:cs="Arial"/>
          <w:color w:val="000000"/>
          <w:sz w:val="22"/>
          <w:szCs w:val="22"/>
        </w:rPr>
      </w:pPr>
      <w:r w:rsidRPr="000A7C1E">
        <w:rPr>
          <w:rFonts w:ascii="Arial" w:eastAsia="Times New Roman" w:hAnsi="Arial" w:cs="Arial"/>
          <w:color w:val="000000"/>
          <w:sz w:val="22"/>
          <w:szCs w:val="22"/>
        </w:rPr>
        <w:t>Induction programmes can reduce turnover, increase employee commitment, and boost job satisfaction. Formal courses can be effective, promoting positive communication and cross-functional relationships. However, avoid overwhelming inductees, overselling the job, and focusing solely on administration. The process should be evaluated for success and feedback from new employees.</w:t>
      </w:r>
      <w:r w:rsidR="002B3F76" w:rsidRPr="000A7C1E">
        <w:rPr>
          <w:rFonts w:ascii="Arial" w:eastAsia="Times New Roman" w:hAnsi="Arial" w:cs="Arial"/>
          <w:color w:val="000000"/>
          <w:sz w:val="22"/>
          <w:szCs w:val="22"/>
        </w:rPr>
        <w:t xml:space="preserve"> McCartney (2023a)</w:t>
      </w:r>
    </w:p>
    <w:p w14:paraId="13C49478" w14:textId="1C2F079B" w:rsidR="00F32AAA" w:rsidRPr="000A7C1E" w:rsidRDefault="00072671">
      <w:pPr>
        <w:rPr>
          <w:rStyle w:val="ui-provider"/>
          <w:rFonts w:ascii="Arial" w:hAnsi="Arial" w:cs="Arial"/>
          <w:color w:val="215E99" w:themeColor="text2" w:themeTint="BF"/>
          <w:sz w:val="22"/>
          <w:szCs w:val="22"/>
        </w:rPr>
      </w:pPr>
      <w:r w:rsidRPr="000A7C1E">
        <w:rPr>
          <w:rFonts w:ascii="Arial" w:eastAsia="Times New Roman" w:hAnsi="Arial" w:cs="Arial"/>
          <w:color w:val="000000"/>
          <w:sz w:val="22"/>
          <w:szCs w:val="22"/>
        </w:rPr>
        <w:t xml:space="preserve">A reward strategy is a formal plan that includes rewards, rationale, principles, and implementation. It includes total reward, which includes flexible benefits, professional development, and transparency. It attracts, retains, and motivates employees, meets </w:t>
      </w:r>
      <w:r w:rsidR="000F546C" w:rsidRPr="000A7C1E">
        <w:rPr>
          <w:rFonts w:ascii="Arial" w:eastAsia="Times New Roman" w:hAnsi="Arial" w:cs="Arial"/>
          <w:color w:val="000000"/>
          <w:sz w:val="22"/>
          <w:szCs w:val="22"/>
        </w:rPr>
        <w:t>organisational</w:t>
      </w:r>
      <w:r w:rsidRPr="000A7C1E">
        <w:rPr>
          <w:rFonts w:ascii="Arial" w:eastAsia="Times New Roman" w:hAnsi="Arial" w:cs="Arial"/>
          <w:color w:val="000000"/>
          <w:sz w:val="22"/>
          <w:szCs w:val="22"/>
        </w:rPr>
        <w:t xml:space="preserve"> priorities, and enhances an </w:t>
      </w:r>
      <w:r w:rsidR="000F546C"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reputation. Challenges include providing easy rewards, weighing rewards, educating employees, and defining rewards without considering staff needs.</w:t>
      </w:r>
      <w:r w:rsidR="00B3299C" w:rsidRPr="000A7C1E">
        <w:rPr>
          <w:rFonts w:ascii="Arial" w:eastAsia="Times New Roman" w:hAnsi="Arial" w:cs="Arial"/>
          <w:color w:val="000000"/>
          <w:sz w:val="22"/>
          <w:szCs w:val="22"/>
        </w:rPr>
        <w:t xml:space="preserve"> Cotton (2024)</w:t>
      </w:r>
    </w:p>
    <w:p w14:paraId="6C1B721C" w14:textId="52913A29" w:rsidR="00AB7A90" w:rsidRPr="000A7C1E" w:rsidRDefault="00650AB9">
      <w:pPr>
        <w:rPr>
          <w:rFonts w:ascii="Arial" w:eastAsia="Times New Roman" w:hAnsi="Arial" w:cs="Arial"/>
          <w:color w:val="000000" w:themeColor="text1"/>
          <w:sz w:val="22"/>
          <w:szCs w:val="22"/>
        </w:rPr>
      </w:pPr>
      <w:r w:rsidRPr="000A7C1E">
        <w:rPr>
          <w:rFonts w:ascii="Arial" w:eastAsia="Times New Roman" w:hAnsi="Arial" w:cs="Arial"/>
          <w:color w:val="000000"/>
          <w:sz w:val="22"/>
          <w:szCs w:val="22"/>
        </w:rPr>
        <w:t xml:space="preserve">Job enrichment vertically expands jobs by adding tasks and decisions typically performed by higher-ups, enhancing responsibility, accountability, and autonomy, and offering opportunities for personal growth and </w:t>
      </w:r>
      <w:r w:rsidR="000F546C" w:rsidRPr="000A7C1E">
        <w:rPr>
          <w:rFonts w:ascii="Arial" w:eastAsia="Times New Roman" w:hAnsi="Arial" w:cs="Arial"/>
          <w:color w:val="000000"/>
          <w:sz w:val="22"/>
          <w:szCs w:val="22"/>
        </w:rPr>
        <w:t>development.</w:t>
      </w:r>
      <w:r w:rsidR="000F546C" w:rsidRPr="000A7C1E">
        <w:rPr>
          <w:rFonts w:ascii="Arial" w:eastAsia="Times New Roman" w:hAnsi="Arial" w:cs="Arial"/>
          <w:color w:val="000000" w:themeColor="text1"/>
          <w:sz w:val="22"/>
          <w:szCs w:val="22"/>
        </w:rPr>
        <w:t xml:space="preserve"> </w:t>
      </w:r>
      <w:proofErr w:type="spellStart"/>
      <w:r w:rsidR="000F546C" w:rsidRPr="000A7C1E">
        <w:rPr>
          <w:rFonts w:ascii="Arial" w:eastAsia="Times New Roman" w:hAnsi="Arial" w:cs="Arial"/>
          <w:color w:val="000000" w:themeColor="text1"/>
          <w:sz w:val="22"/>
          <w:szCs w:val="22"/>
        </w:rPr>
        <w:t>Asuyama</w:t>
      </w:r>
      <w:proofErr w:type="spellEnd"/>
      <w:r w:rsidR="008B367E" w:rsidRPr="000A7C1E">
        <w:rPr>
          <w:rFonts w:ascii="Arial" w:eastAsia="Times New Roman" w:hAnsi="Arial" w:cs="Arial"/>
          <w:color w:val="000000" w:themeColor="text1"/>
          <w:sz w:val="22"/>
          <w:szCs w:val="22"/>
        </w:rPr>
        <w:t xml:space="preserve"> (2022)</w:t>
      </w:r>
    </w:p>
    <w:p w14:paraId="44239671" w14:textId="0AE3CF0E" w:rsidR="00D225C9" w:rsidRPr="000A7C1E" w:rsidRDefault="003877E1">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Job enrichment's impact on organisational commitment varies across employee career stages, as it must be adjusted to individual abilities, perseverance, and satisfaction levels. The linear inverted U-shaped relationship between job </w:t>
      </w:r>
      <w:proofErr w:type="spellStart"/>
      <w:r w:rsidRPr="000A7C1E">
        <w:rPr>
          <w:rFonts w:ascii="Arial" w:eastAsia="Times New Roman" w:hAnsi="Arial" w:cs="Arial"/>
          <w:color w:val="000000"/>
          <w:sz w:val="22"/>
          <w:szCs w:val="22"/>
        </w:rPr>
        <w:t>enri</w:t>
      </w:r>
      <w:r w:rsidR="00AE3A9B" w:rsidRPr="000A7C1E">
        <w:rPr>
          <w:rFonts w:ascii="Arial" w:eastAsia="Times New Roman" w:hAnsi="Arial" w:cs="Arial"/>
          <w:color w:val="000000"/>
          <w:sz w:val="22"/>
          <w:szCs w:val="22"/>
        </w:rPr>
        <w:t>z`ÅZ`</w:t>
      </w:r>
      <w:r w:rsidRPr="000A7C1E">
        <w:rPr>
          <w:rFonts w:ascii="Arial" w:eastAsia="Times New Roman" w:hAnsi="Arial" w:cs="Arial"/>
          <w:color w:val="000000"/>
          <w:sz w:val="22"/>
          <w:szCs w:val="22"/>
        </w:rPr>
        <w:t>chment</w:t>
      </w:r>
      <w:proofErr w:type="spellEnd"/>
      <w:r w:rsidRPr="000A7C1E">
        <w:rPr>
          <w:rFonts w:ascii="Arial" w:eastAsia="Times New Roman" w:hAnsi="Arial" w:cs="Arial"/>
          <w:color w:val="000000"/>
          <w:sz w:val="22"/>
          <w:szCs w:val="22"/>
        </w:rPr>
        <w:t xml:space="preserve"> and organisational commitment suggests that the effect varies across different stages of an employee's career.</w:t>
      </w:r>
      <w:r w:rsidR="00BB0441" w:rsidRPr="000A7C1E">
        <w:rPr>
          <w:rFonts w:ascii="Arial" w:eastAsia="Times New Roman" w:hAnsi="Arial" w:cs="Arial"/>
          <w:color w:val="000000"/>
          <w:sz w:val="22"/>
          <w:szCs w:val="22"/>
        </w:rPr>
        <w:t xml:space="preserve"> (Marta et al., 2021)</w:t>
      </w:r>
    </w:p>
    <w:p w14:paraId="58BB28FB" w14:textId="2E86EDF1" w:rsidR="00C477AD" w:rsidRPr="000A7C1E" w:rsidRDefault="00693B31">
      <w:pPr>
        <w:rPr>
          <w:rStyle w:val="ui-provider"/>
          <w:rFonts w:ascii="Arial" w:hAnsi="Arial" w:cs="Arial"/>
          <w:color w:val="215E99" w:themeColor="text2" w:themeTint="BF"/>
          <w:sz w:val="22"/>
          <w:szCs w:val="22"/>
        </w:rPr>
      </w:pPr>
      <w:r w:rsidRPr="000A7C1E">
        <w:rPr>
          <w:rStyle w:val="ui-provider"/>
          <w:rFonts w:ascii="Arial" w:hAnsi="Arial" w:cs="Arial"/>
          <w:color w:val="215E99" w:themeColor="text2" w:themeTint="BF"/>
          <w:sz w:val="22"/>
          <w:szCs w:val="22"/>
        </w:rPr>
        <w:t>8.To influence the senior leadership team to accept that employee turnover should be addressed, explain the impact of dysfunctional employee turnover. (AC 3.3)</w:t>
      </w:r>
    </w:p>
    <w:p w14:paraId="5E44B753" w14:textId="77777777" w:rsidR="00D33B6E" w:rsidRPr="000A7C1E" w:rsidRDefault="00D33B6E">
      <w:pPr>
        <w:rPr>
          <w:rStyle w:val="ui-provider"/>
          <w:rFonts w:ascii="Arial" w:hAnsi="Arial" w:cs="Arial"/>
          <w:color w:val="215E99" w:themeColor="text2" w:themeTint="BF"/>
          <w:sz w:val="22"/>
          <w:szCs w:val="22"/>
        </w:rPr>
      </w:pPr>
    </w:p>
    <w:p w14:paraId="0063269E" w14:textId="77777777" w:rsidR="00D33B6E" w:rsidRPr="000A7C1E" w:rsidRDefault="00D33B6E">
      <w:pPr>
        <w:rPr>
          <w:rStyle w:val="ui-provider"/>
          <w:rFonts w:ascii="Arial" w:hAnsi="Arial" w:cs="Arial"/>
          <w:color w:val="215E99" w:themeColor="text2" w:themeTint="BF"/>
          <w:sz w:val="22"/>
          <w:szCs w:val="22"/>
        </w:rPr>
      </w:pPr>
    </w:p>
    <w:p w14:paraId="7763DE7A" w14:textId="08279E23" w:rsidR="00516C17" w:rsidRPr="000A7C1E" w:rsidRDefault="00516C17">
      <w:pPr>
        <w:rPr>
          <w:rFonts w:ascii="Arial" w:eastAsia="Times New Roman" w:hAnsi="Arial" w:cs="Arial"/>
          <w:color w:val="FF0000"/>
          <w:sz w:val="22"/>
          <w:szCs w:val="22"/>
        </w:rPr>
      </w:pPr>
      <w:r w:rsidRPr="000A7C1E">
        <w:rPr>
          <w:rFonts w:ascii="Arial" w:eastAsia="Times New Roman" w:hAnsi="Arial" w:cs="Arial"/>
          <w:color w:val="FF0000"/>
          <w:sz w:val="22"/>
          <w:szCs w:val="22"/>
        </w:rPr>
        <w:lastRenderedPageBreak/>
        <w:t>Dysfunctional turnover refers to employee departures that negatively impact a company, including significant costs, loss of skills, and negative effects on remaining colleagues.</w:t>
      </w:r>
      <w:r w:rsidR="00266FB1" w:rsidRPr="000A7C1E">
        <w:rPr>
          <w:rFonts w:ascii="Arial" w:eastAsia="Times New Roman" w:hAnsi="Arial" w:cs="Arial"/>
          <w:color w:val="FF0000"/>
          <w:sz w:val="22"/>
          <w:szCs w:val="22"/>
        </w:rPr>
        <w:t xml:space="preserve"> Taylor and </w:t>
      </w:r>
      <w:proofErr w:type="spellStart"/>
      <w:r w:rsidR="00266FB1" w:rsidRPr="000A7C1E">
        <w:rPr>
          <w:rFonts w:ascii="Arial" w:eastAsia="Times New Roman" w:hAnsi="Arial" w:cs="Arial"/>
          <w:color w:val="FF0000"/>
          <w:sz w:val="22"/>
          <w:szCs w:val="22"/>
        </w:rPr>
        <w:t>Woodhams</w:t>
      </w:r>
      <w:proofErr w:type="spellEnd"/>
      <w:r w:rsidR="00266FB1" w:rsidRPr="000A7C1E">
        <w:rPr>
          <w:rFonts w:ascii="Arial" w:eastAsia="Times New Roman" w:hAnsi="Arial" w:cs="Arial"/>
          <w:color w:val="FF0000"/>
          <w:sz w:val="22"/>
          <w:szCs w:val="22"/>
        </w:rPr>
        <w:t xml:space="preserve"> (2016u)</w:t>
      </w:r>
    </w:p>
    <w:p w14:paraId="7CA6DE83" w14:textId="17CC9871" w:rsidR="00CF42B5" w:rsidRPr="000A7C1E" w:rsidRDefault="00CF42B5">
      <w:pPr>
        <w:rPr>
          <w:rFonts w:ascii="Arial" w:eastAsia="Times New Roman" w:hAnsi="Arial" w:cs="Arial"/>
          <w:color w:val="000000"/>
          <w:sz w:val="22"/>
          <w:szCs w:val="22"/>
        </w:rPr>
      </w:pPr>
      <w:r w:rsidRPr="000A7C1E">
        <w:rPr>
          <w:rFonts w:ascii="Arial" w:eastAsia="Times New Roman" w:hAnsi="Arial" w:cs="Arial"/>
          <w:color w:val="FF0000"/>
          <w:sz w:val="22"/>
          <w:szCs w:val="22"/>
        </w:rPr>
        <w:t xml:space="preserve">Dysfunctional turnover is a significant cost for businesses, causing direct and indirect costs. HR practitioners must calculate these costs to gain senior management commitment. However, only 15% of organisations calculate labor turnover due to difficulties. Taylor and </w:t>
      </w:r>
      <w:proofErr w:type="spellStart"/>
      <w:r w:rsidRPr="000A7C1E">
        <w:rPr>
          <w:rFonts w:ascii="Arial" w:eastAsia="Times New Roman" w:hAnsi="Arial" w:cs="Arial"/>
          <w:color w:val="FF0000"/>
          <w:sz w:val="22"/>
          <w:szCs w:val="22"/>
        </w:rPr>
        <w:t>Woodhams</w:t>
      </w:r>
      <w:proofErr w:type="spellEnd"/>
      <w:r w:rsidRPr="000A7C1E">
        <w:rPr>
          <w:rFonts w:ascii="Arial" w:eastAsia="Times New Roman" w:hAnsi="Arial" w:cs="Arial"/>
          <w:color w:val="FF0000"/>
          <w:sz w:val="22"/>
          <w:szCs w:val="22"/>
        </w:rPr>
        <w:t xml:space="preserve"> (2016o)</w:t>
      </w:r>
    </w:p>
    <w:p w14:paraId="3F739EAA" w14:textId="78192315" w:rsidR="006B11FC" w:rsidRPr="000A7C1E" w:rsidRDefault="006B11FC">
      <w:pPr>
        <w:rPr>
          <w:rFonts w:ascii="Arial" w:eastAsia="Times New Roman" w:hAnsi="Arial" w:cs="Arial"/>
          <w:color w:val="000000"/>
          <w:sz w:val="22"/>
          <w:szCs w:val="22"/>
        </w:rPr>
      </w:pPr>
      <w:r w:rsidRPr="000A7C1E">
        <w:rPr>
          <w:rFonts w:ascii="Arial" w:eastAsia="Times New Roman" w:hAnsi="Arial" w:cs="Arial"/>
          <w:color w:val="000000"/>
          <w:sz w:val="22"/>
          <w:szCs w:val="22"/>
        </w:rPr>
        <w:t>Dysfunctional turnover can be costly for businesses, causing both direct and indirect costs. HR practitioners must calculate these costs to understand the problem and gain commitment from senior management. However, only 15% of organisations are currently calculating the cost of labo</w:t>
      </w:r>
      <w:r w:rsidR="00CF0DF1" w:rsidRPr="000A7C1E">
        <w:rPr>
          <w:rFonts w:ascii="Arial" w:eastAsia="Times New Roman" w:hAnsi="Arial" w:cs="Arial"/>
          <w:color w:val="000000"/>
          <w:sz w:val="22"/>
          <w:szCs w:val="22"/>
        </w:rPr>
        <w:t>u</w:t>
      </w:r>
      <w:r w:rsidRPr="000A7C1E">
        <w:rPr>
          <w:rFonts w:ascii="Arial" w:eastAsia="Times New Roman" w:hAnsi="Arial" w:cs="Arial"/>
          <w:color w:val="000000"/>
          <w:sz w:val="22"/>
          <w:szCs w:val="22"/>
        </w:rPr>
        <w:t>r turnover, according to the CIPD's 2015 survey. This is due to the difficulty in quantifying indirect costs, lack of necessary records, difficulty distinguishing between functional and dysfunctional turnover, and the time-consuming process. Dysfunctional turnover can result in external vacancy filling, making it crucial for HR practitioners to address this issue.</w:t>
      </w:r>
      <w:r w:rsidR="005E0102" w:rsidRPr="000A7C1E">
        <w:rPr>
          <w:rFonts w:ascii="Arial" w:eastAsia="Times New Roman" w:hAnsi="Arial" w:cs="Arial"/>
          <w:color w:val="000000"/>
          <w:sz w:val="22"/>
          <w:szCs w:val="22"/>
        </w:rPr>
        <w:t xml:space="preserve"> Taylor and </w:t>
      </w:r>
      <w:proofErr w:type="spellStart"/>
      <w:r w:rsidR="005E0102" w:rsidRPr="000A7C1E">
        <w:rPr>
          <w:rFonts w:ascii="Arial" w:eastAsia="Times New Roman" w:hAnsi="Arial" w:cs="Arial"/>
          <w:color w:val="000000"/>
          <w:sz w:val="22"/>
          <w:szCs w:val="22"/>
        </w:rPr>
        <w:t>Woodhams</w:t>
      </w:r>
      <w:proofErr w:type="spellEnd"/>
      <w:r w:rsidR="005E0102" w:rsidRPr="000A7C1E">
        <w:rPr>
          <w:rFonts w:ascii="Arial" w:eastAsia="Times New Roman" w:hAnsi="Arial" w:cs="Arial"/>
          <w:color w:val="000000"/>
          <w:sz w:val="22"/>
          <w:szCs w:val="22"/>
        </w:rPr>
        <w:t xml:space="preserve"> (2016o)</w:t>
      </w:r>
    </w:p>
    <w:p w14:paraId="2574038F" w14:textId="0B09376E" w:rsidR="00F23E1D" w:rsidRPr="000A7C1E" w:rsidRDefault="00F23E1D">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The </w:t>
      </w:r>
      <w:r w:rsidR="00D439A8"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xml:space="preserve"> incurs direct costs such as HR administration time for the leaver, recruitment and selection processes, selection expenses, vacant roles, new starter costs, and induction and basic training.</w:t>
      </w:r>
      <w:r w:rsidR="006A64E1" w:rsidRPr="000A7C1E">
        <w:rPr>
          <w:rFonts w:ascii="Arial" w:eastAsia="Times New Roman" w:hAnsi="Arial" w:cs="Arial"/>
          <w:color w:val="000000"/>
          <w:sz w:val="22"/>
          <w:szCs w:val="22"/>
        </w:rPr>
        <w:t xml:space="preserve"> The indirect costs are the negative effects of leaving and hiring employees, including decreased productivity, loss of morale, potential damage to client relationships, lack of return on investment in training and development, potential use of company information for competitor advantage, and damage to company reputation if an employee leaves on bad terms or has high turnover levels.</w:t>
      </w:r>
      <w:r w:rsidR="0080494D" w:rsidRPr="000A7C1E">
        <w:rPr>
          <w:rFonts w:ascii="Arial" w:eastAsia="Times New Roman" w:hAnsi="Arial" w:cs="Arial"/>
          <w:color w:val="000000"/>
          <w:sz w:val="22"/>
          <w:szCs w:val="22"/>
        </w:rPr>
        <w:t xml:space="preserve"> Taylor and </w:t>
      </w:r>
      <w:proofErr w:type="spellStart"/>
      <w:r w:rsidR="0080494D" w:rsidRPr="000A7C1E">
        <w:rPr>
          <w:rFonts w:ascii="Arial" w:eastAsia="Times New Roman" w:hAnsi="Arial" w:cs="Arial"/>
          <w:color w:val="000000"/>
          <w:sz w:val="22"/>
          <w:szCs w:val="22"/>
        </w:rPr>
        <w:t>Woodhams</w:t>
      </w:r>
      <w:proofErr w:type="spellEnd"/>
      <w:r w:rsidR="0080494D" w:rsidRPr="000A7C1E">
        <w:rPr>
          <w:rFonts w:ascii="Arial" w:eastAsia="Times New Roman" w:hAnsi="Arial" w:cs="Arial"/>
          <w:color w:val="000000"/>
          <w:sz w:val="22"/>
          <w:szCs w:val="22"/>
        </w:rPr>
        <w:t xml:space="preserve"> (2016p)</w:t>
      </w:r>
    </w:p>
    <w:p w14:paraId="2876C267" w14:textId="77777777" w:rsidR="003B2E0F" w:rsidRPr="000A7C1E" w:rsidRDefault="00CF06D4">
      <w:pPr>
        <w:rPr>
          <w:rFonts w:ascii="Arial" w:eastAsia="Times New Roman" w:hAnsi="Arial" w:cs="Arial"/>
          <w:color w:val="000000"/>
          <w:sz w:val="22"/>
          <w:szCs w:val="22"/>
        </w:rPr>
      </w:pPr>
      <w:r w:rsidRPr="000A7C1E">
        <w:rPr>
          <w:rFonts w:ascii="Arial" w:eastAsia="Times New Roman" w:hAnsi="Arial" w:cs="Arial"/>
          <w:color w:val="000000"/>
          <w:sz w:val="22"/>
          <w:szCs w:val="22"/>
        </w:rPr>
        <w:t>To reduce dysfunctional turnover, it's crucial to understand the reasons behind employee departures. Unavoidable turnover, such as ill health or domestic commitments, is out of management's control. Avoidable turnover, caused by dissatisfaction, is potentially within management's control. Qualitative data sources like exit interviews and staff satisfaction surveys can help identify the real reasons for departures.</w:t>
      </w:r>
      <w:r w:rsidR="00B2362B" w:rsidRPr="000A7C1E">
        <w:rPr>
          <w:rFonts w:ascii="Arial" w:eastAsia="Times New Roman" w:hAnsi="Arial" w:cs="Arial"/>
          <w:color w:val="000000"/>
          <w:sz w:val="22"/>
          <w:szCs w:val="22"/>
        </w:rPr>
        <w:t xml:space="preserve"> Taylor and </w:t>
      </w:r>
      <w:proofErr w:type="spellStart"/>
      <w:r w:rsidR="00B2362B" w:rsidRPr="000A7C1E">
        <w:rPr>
          <w:rFonts w:ascii="Arial" w:eastAsia="Times New Roman" w:hAnsi="Arial" w:cs="Arial"/>
          <w:color w:val="000000"/>
          <w:sz w:val="22"/>
          <w:szCs w:val="22"/>
        </w:rPr>
        <w:t>Woodhams</w:t>
      </w:r>
      <w:proofErr w:type="spellEnd"/>
      <w:r w:rsidR="00B2362B" w:rsidRPr="000A7C1E">
        <w:rPr>
          <w:rFonts w:ascii="Arial" w:eastAsia="Times New Roman" w:hAnsi="Arial" w:cs="Arial"/>
          <w:color w:val="000000"/>
          <w:sz w:val="22"/>
          <w:szCs w:val="22"/>
        </w:rPr>
        <w:t xml:space="preserve"> (2016q)</w:t>
      </w:r>
    </w:p>
    <w:p w14:paraId="4238F39C" w14:textId="17253236" w:rsidR="00EA5633" w:rsidRPr="000A7C1E" w:rsidRDefault="00DA4C9D">
      <w:pPr>
        <w:rPr>
          <w:rStyle w:val="ui-provider"/>
          <w:rFonts w:ascii="Arial" w:hAnsi="Arial" w:cs="Arial"/>
          <w:color w:val="215E99" w:themeColor="text2" w:themeTint="BF"/>
          <w:sz w:val="22"/>
          <w:szCs w:val="22"/>
        </w:rPr>
      </w:pPr>
      <w:r w:rsidRPr="000A7C1E">
        <w:rPr>
          <w:rStyle w:val="ui-provider"/>
          <w:rFonts w:ascii="Arial" w:hAnsi="Arial" w:cs="Arial"/>
          <w:color w:val="215E99" w:themeColor="text2" w:themeTint="BF"/>
          <w:sz w:val="22"/>
          <w:szCs w:val="22"/>
        </w:rPr>
        <w:t>9.</w:t>
      </w:r>
      <w:r w:rsidR="00BF192A" w:rsidRPr="000A7C1E">
        <w:rPr>
          <w:rStyle w:val="ui-provider"/>
          <w:rFonts w:ascii="Arial" w:hAnsi="Arial" w:cs="Arial"/>
          <w:color w:val="215E99" w:themeColor="text2" w:themeTint="BF"/>
          <w:sz w:val="22"/>
          <w:szCs w:val="22"/>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37712A91" w14:textId="1B1E87B1" w:rsidR="00507096" w:rsidRPr="000A7C1E" w:rsidRDefault="00507096">
      <w:pPr>
        <w:rPr>
          <w:rFonts w:ascii="Arial" w:eastAsia="Times New Roman" w:hAnsi="Arial" w:cs="Arial"/>
          <w:color w:val="000000"/>
          <w:sz w:val="22"/>
          <w:szCs w:val="22"/>
        </w:rPr>
      </w:pPr>
      <w:r w:rsidRPr="000A7C1E">
        <w:rPr>
          <w:rFonts w:ascii="Arial" w:eastAsia="Times New Roman" w:hAnsi="Arial" w:cs="Arial"/>
          <w:color w:val="000000"/>
          <w:sz w:val="22"/>
          <w:szCs w:val="22"/>
        </w:rPr>
        <w:t>Offering permanent contracts can significantly improve employee loyalty and retention, fostering a sense of commitment and commitment. This can lead to higher job satisfaction and lower turnover rates. Permanent contracts also ensure consistency and productivity, reducing the need for onboarding and training. They also offer legal and financial stability, allowing employers to better predict labor costs and manage financial planning. Additionally, permanent employees are more likely to be covered by the company's insurance and benefits programs.</w:t>
      </w:r>
      <w:r w:rsidR="00970287" w:rsidRPr="000A7C1E">
        <w:rPr>
          <w:rFonts w:ascii="Arial" w:eastAsia="Times New Roman" w:hAnsi="Arial" w:cs="Arial"/>
          <w:color w:val="000000"/>
          <w:sz w:val="22"/>
          <w:szCs w:val="22"/>
        </w:rPr>
        <w:t xml:space="preserve"> Morris (2024a)</w:t>
      </w:r>
    </w:p>
    <w:p w14:paraId="2812B78F" w14:textId="0903FB04" w:rsidR="007960A8" w:rsidRPr="000A7C1E" w:rsidRDefault="006B1519">
      <w:pPr>
        <w:rPr>
          <w:rStyle w:val="ui-provider"/>
          <w:rFonts w:ascii="Arial" w:hAnsi="Arial" w:cs="Arial"/>
          <w:color w:val="215E99" w:themeColor="text2" w:themeTint="BF"/>
          <w:sz w:val="22"/>
          <w:szCs w:val="22"/>
        </w:rPr>
      </w:pPr>
      <w:r w:rsidRPr="000A7C1E">
        <w:rPr>
          <w:rFonts w:ascii="Arial" w:eastAsia="Times New Roman" w:hAnsi="Arial" w:cs="Arial"/>
          <w:color w:val="000000"/>
          <w:sz w:val="22"/>
          <w:szCs w:val="22"/>
        </w:rPr>
        <w:t xml:space="preserve">Permanent contracts present significant financial commitments, including salaries, benefits, and potential redundancy payments. Employers must balance these costs to maintain productivity and sustainability. Flexibility issues arise due to set working hours and job roles, which can limit adaptability to changing business needs. The long-term nature of permanent </w:t>
      </w:r>
      <w:r w:rsidRPr="000A7C1E">
        <w:rPr>
          <w:rFonts w:ascii="Arial" w:eastAsia="Times New Roman" w:hAnsi="Arial" w:cs="Arial"/>
          <w:color w:val="000000"/>
          <w:sz w:val="22"/>
          <w:szCs w:val="22"/>
        </w:rPr>
        <w:lastRenderedPageBreak/>
        <w:t>contracts can also make it difficult to retrain or redeploy staff. Managing underperformance is a challenge, as permanent employees have greater job security and legal rights. Regular performance reviews, feedback, and implementing Performance Improvement Plans can help address underperformance.</w:t>
      </w:r>
      <w:r w:rsidR="00970287" w:rsidRPr="000A7C1E">
        <w:rPr>
          <w:rFonts w:ascii="Arial" w:eastAsia="Times New Roman" w:hAnsi="Arial" w:cs="Arial"/>
          <w:color w:val="000000"/>
          <w:sz w:val="22"/>
          <w:szCs w:val="22"/>
        </w:rPr>
        <w:t xml:space="preserve"> Morris (2024</w:t>
      </w:r>
      <w:r w:rsidR="002E6702" w:rsidRPr="000A7C1E">
        <w:rPr>
          <w:rFonts w:ascii="Arial" w:eastAsia="Times New Roman" w:hAnsi="Arial" w:cs="Arial"/>
          <w:color w:val="000000"/>
          <w:sz w:val="22"/>
          <w:szCs w:val="22"/>
        </w:rPr>
        <w:t>b</w:t>
      </w:r>
      <w:r w:rsidR="00970287" w:rsidRPr="000A7C1E">
        <w:rPr>
          <w:rFonts w:ascii="Arial" w:eastAsia="Times New Roman" w:hAnsi="Arial" w:cs="Arial"/>
          <w:color w:val="000000"/>
          <w:sz w:val="22"/>
          <w:szCs w:val="22"/>
        </w:rPr>
        <w:t>)</w:t>
      </w:r>
    </w:p>
    <w:p w14:paraId="09270A6E" w14:textId="27A2F52D" w:rsidR="007960A8" w:rsidRPr="000A7C1E" w:rsidRDefault="00044CCB">
      <w:pPr>
        <w:rPr>
          <w:rFonts w:ascii="Arial" w:eastAsia="Times New Roman" w:hAnsi="Arial" w:cs="Arial"/>
          <w:color w:val="000000"/>
          <w:sz w:val="22"/>
          <w:szCs w:val="22"/>
        </w:rPr>
      </w:pPr>
      <w:r w:rsidRPr="000A7C1E">
        <w:rPr>
          <w:rFonts w:ascii="Arial" w:eastAsia="Times New Roman" w:hAnsi="Arial" w:cs="Arial"/>
          <w:color w:val="000000"/>
          <w:sz w:val="22"/>
          <w:szCs w:val="22"/>
        </w:rPr>
        <w:t>The term 'agency worker' refers to individuals supplied by a temporary work agency to work under the supervision of a hirer. Under the Agency Workers Regulations 2010, these workers have a contract with the agency and are paid by it, not the hirer.</w:t>
      </w:r>
      <w:r w:rsidR="006112A8" w:rsidRPr="000A7C1E">
        <w:rPr>
          <w:rFonts w:ascii="Arial" w:eastAsia="Times New Roman" w:hAnsi="Arial" w:cs="Arial"/>
          <w:color w:val="000000"/>
          <w:sz w:val="22"/>
          <w:szCs w:val="22"/>
        </w:rPr>
        <w:t xml:space="preserve"> </w:t>
      </w:r>
      <w:proofErr w:type="spellStart"/>
      <w:r w:rsidR="006112A8" w:rsidRPr="000A7C1E">
        <w:rPr>
          <w:rFonts w:ascii="Arial" w:eastAsia="Times New Roman" w:hAnsi="Arial" w:cs="Arial"/>
          <w:color w:val="000000"/>
          <w:sz w:val="22"/>
          <w:szCs w:val="22"/>
        </w:rPr>
        <w:t>Silkin</w:t>
      </w:r>
      <w:proofErr w:type="spellEnd"/>
      <w:r w:rsidR="006112A8" w:rsidRPr="000A7C1E">
        <w:rPr>
          <w:rFonts w:ascii="Arial" w:eastAsia="Times New Roman" w:hAnsi="Arial" w:cs="Arial"/>
          <w:color w:val="000000"/>
          <w:sz w:val="22"/>
          <w:szCs w:val="22"/>
        </w:rPr>
        <w:t xml:space="preserve"> (2024)</w:t>
      </w:r>
    </w:p>
    <w:p w14:paraId="5AED8FA1" w14:textId="24D6F4BB" w:rsidR="00FF7183" w:rsidRPr="000A7C1E" w:rsidRDefault="00FE09D3">
      <w:pPr>
        <w:rPr>
          <w:rStyle w:val="ui-provider"/>
          <w:rFonts w:ascii="Arial" w:hAnsi="Arial" w:cs="Arial"/>
          <w:color w:val="215E99" w:themeColor="text2" w:themeTint="BF"/>
          <w:sz w:val="22"/>
          <w:szCs w:val="22"/>
        </w:rPr>
      </w:pPr>
      <w:r w:rsidRPr="000A7C1E">
        <w:rPr>
          <w:rFonts w:ascii="Arial" w:eastAsia="Times New Roman" w:hAnsi="Arial" w:cs="Arial"/>
          <w:color w:val="000000"/>
          <w:sz w:val="22"/>
          <w:szCs w:val="22"/>
        </w:rPr>
        <w:t xml:space="preserve">Companies use agency workers for temporary workplace cover, headcount restraints, flexibility, ease of hiring or termination, and low-cost cover. However, there are disadvantages to using agency workers over permanent employees, such as compliance with regulations, additional costs, disciplinary issues, and less employee loyalty. Compliance with regulations can be administratively burdensome, and non-compliance can lead to liability risks. Additionally, agency workers may not adhere to company policies, making it difficult for hirers to address unacceptable </w:t>
      </w:r>
      <w:r w:rsidR="00CA279B" w:rsidRPr="000A7C1E">
        <w:rPr>
          <w:rFonts w:ascii="Arial" w:eastAsia="Times New Roman" w:hAnsi="Arial" w:cs="Arial"/>
          <w:color w:val="000000"/>
          <w:sz w:val="22"/>
          <w:szCs w:val="22"/>
        </w:rPr>
        <w:t>behaviour</w:t>
      </w:r>
      <w:r w:rsidRPr="000A7C1E">
        <w:rPr>
          <w:rFonts w:ascii="Arial" w:eastAsia="Times New Roman" w:hAnsi="Arial" w:cs="Arial"/>
          <w:color w:val="000000"/>
          <w:sz w:val="22"/>
          <w:szCs w:val="22"/>
        </w:rPr>
        <w:t xml:space="preserve">. Additionally, agency workers may be less committed to their work than permanent employees, limiting their opportunities for progression and </w:t>
      </w:r>
      <w:r w:rsidR="005172EF" w:rsidRPr="000A7C1E">
        <w:rPr>
          <w:rFonts w:ascii="Arial" w:eastAsia="Times New Roman" w:hAnsi="Arial" w:cs="Arial"/>
          <w:color w:val="000000"/>
          <w:sz w:val="22"/>
          <w:szCs w:val="22"/>
        </w:rPr>
        <w:t>promotion.</w:t>
      </w:r>
      <w:r w:rsidR="00522D93" w:rsidRPr="000A7C1E">
        <w:rPr>
          <w:rFonts w:ascii="Arial" w:eastAsia="Times New Roman" w:hAnsi="Arial" w:cs="Arial"/>
          <w:color w:val="000000"/>
          <w:sz w:val="22"/>
          <w:szCs w:val="22"/>
        </w:rPr>
        <w:t xml:space="preserve"> (</w:t>
      </w:r>
      <w:proofErr w:type="spellStart"/>
      <w:r w:rsidR="00522D93" w:rsidRPr="000A7C1E">
        <w:rPr>
          <w:rFonts w:ascii="Arial" w:eastAsia="Times New Roman" w:hAnsi="Arial" w:cs="Arial"/>
          <w:color w:val="000000"/>
          <w:sz w:val="22"/>
          <w:szCs w:val="22"/>
        </w:rPr>
        <w:t>Silkin</w:t>
      </w:r>
      <w:proofErr w:type="spellEnd"/>
      <w:r w:rsidR="00522D93" w:rsidRPr="000A7C1E">
        <w:rPr>
          <w:rFonts w:ascii="Arial" w:eastAsia="Times New Roman" w:hAnsi="Arial" w:cs="Arial"/>
          <w:color w:val="000000"/>
          <w:sz w:val="22"/>
          <w:szCs w:val="22"/>
        </w:rPr>
        <w:t xml:space="preserve">, 2024b) </w:t>
      </w:r>
    </w:p>
    <w:p w14:paraId="50B21EA9" w14:textId="68D259DE" w:rsidR="00245B93" w:rsidRPr="000A7C1E" w:rsidRDefault="00131664">
      <w:pPr>
        <w:rPr>
          <w:rStyle w:val="ui-provider"/>
          <w:rFonts w:ascii="Arial" w:hAnsi="Arial" w:cs="Arial"/>
          <w:color w:val="215E99" w:themeColor="text2" w:themeTint="BF"/>
          <w:sz w:val="22"/>
          <w:szCs w:val="22"/>
        </w:rPr>
      </w:pPr>
      <w:r w:rsidRPr="000A7C1E">
        <w:rPr>
          <w:rFonts w:ascii="Arial" w:eastAsia="Times New Roman" w:hAnsi="Arial" w:cs="Arial"/>
          <w:color w:val="000000"/>
          <w:sz w:val="22"/>
          <w:szCs w:val="22"/>
        </w:rPr>
        <w:t xml:space="preserve">Over the past decade, a clear approach has been followed, concluding that agency workers are rarely employees of the agency or </w:t>
      </w:r>
      <w:r w:rsidR="0098615F"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xml:space="preserve"> where they are placed. Workers provided by an agency do not have a clearly defined employment relationship, and the agency may argue they have no control over their daily work. Over the past decade, a clear approach has been followed, concluding that agency workers are rarely employees of the agency or </w:t>
      </w:r>
      <w:r w:rsidR="0098615F" w:rsidRPr="000A7C1E">
        <w:rPr>
          <w:rFonts w:ascii="Arial" w:eastAsia="Times New Roman" w:hAnsi="Arial" w:cs="Arial"/>
          <w:color w:val="000000"/>
          <w:sz w:val="22"/>
          <w:szCs w:val="22"/>
        </w:rPr>
        <w:t>organisation</w:t>
      </w:r>
      <w:r w:rsidRPr="000A7C1E">
        <w:rPr>
          <w:rFonts w:ascii="Arial" w:eastAsia="Times New Roman" w:hAnsi="Arial" w:cs="Arial"/>
          <w:color w:val="000000"/>
          <w:sz w:val="22"/>
          <w:szCs w:val="22"/>
        </w:rPr>
        <w:t xml:space="preserve"> where they are placed. Workers provided by an agency do not have a clearly defined employment relationship, and the agency may argue they have no control over their daily work.</w:t>
      </w:r>
      <w:r w:rsidR="00A27963" w:rsidRPr="000A7C1E">
        <w:rPr>
          <w:rFonts w:ascii="Arial" w:eastAsia="Times New Roman" w:hAnsi="Arial" w:cs="Arial"/>
          <w:color w:val="000000"/>
          <w:sz w:val="22"/>
          <w:szCs w:val="22"/>
        </w:rPr>
        <w:t xml:space="preserve"> Daniels (2022) </w:t>
      </w:r>
    </w:p>
    <w:p w14:paraId="28EE3AB5" w14:textId="14BCB1C2" w:rsidR="0005645A" w:rsidRPr="000A7C1E" w:rsidRDefault="00A3630A">
      <w:pPr>
        <w:rPr>
          <w:rFonts w:ascii="Arial" w:hAnsi="Arial" w:cs="Arial"/>
          <w:color w:val="215E99" w:themeColor="text2" w:themeTint="BF"/>
          <w:sz w:val="22"/>
          <w:szCs w:val="22"/>
        </w:rPr>
      </w:pPr>
      <w:r w:rsidRPr="000A7C1E">
        <w:rPr>
          <w:rFonts w:ascii="Arial" w:eastAsia="Times New Roman" w:hAnsi="Arial" w:cs="Arial"/>
          <w:color w:val="000000"/>
          <w:sz w:val="22"/>
          <w:szCs w:val="22"/>
        </w:rPr>
        <w:t xml:space="preserve">The Agency Workers Regulations 2010 granted agency workers similar terms and conditions as similar employees after 12 continuous weeks of service, negotiated by the UK Government, TUC, and CBI. They have rights to 12-week continuous periods, access to facilities, training opportunities, and compensation at the Employment Tribunal. They are not </w:t>
      </w:r>
      <w:r w:rsidR="00582D03" w:rsidRPr="000A7C1E">
        <w:rPr>
          <w:rFonts w:ascii="Arial" w:eastAsia="Times New Roman" w:hAnsi="Arial" w:cs="Arial"/>
          <w:color w:val="000000"/>
          <w:sz w:val="22"/>
          <w:szCs w:val="22"/>
        </w:rPr>
        <w:t>prioritised</w:t>
      </w:r>
      <w:r w:rsidRPr="000A7C1E">
        <w:rPr>
          <w:rFonts w:ascii="Arial" w:eastAsia="Times New Roman" w:hAnsi="Arial" w:cs="Arial"/>
          <w:color w:val="000000"/>
          <w:sz w:val="22"/>
          <w:szCs w:val="22"/>
        </w:rPr>
        <w:t xml:space="preserve"> over other workers. </w:t>
      </w:r>
      <w:r w:rsidR="000F4D19" w:rsidRPr="000A7C1E">
        <w:rPr>
          <w:rFonts w:ascii="Arial" w:eastAsia="Times New Roman" w:hAnsi="Arial" w:cs="Arial"/>
          <w:color w:val="000000"/>
          <w:sz w:val="22"/>
          <w:szCs w:val="22"/>
        </w:rPr>
        <w:t>(Daniels, 2022b)</w:t>
      </w:r>
    </w:p>
    <w:p w14:paraId="58E606A6" w14:textId="29577FC9" w:rsidR="00F466E0" w:rsidRPr="000A7C1E" w:rsidRDefault="005172EF">
      <w:pPr>
        <w:rPr>
          <w:rFonts w:ascii="Arial" w:hAnsi="Arial" w:cs="Arial"/>
          <w:sz w:val="22"/>
          <w:szCs w:val="22"/>
        </w:rPr>
      </w:pPr>
      <w:r w:rsidRPr="000A7C1E">
        <w:rPr>
          <w:rFonts w:ascii="Arial" w:eastAsia="Times New Roman" w:hAnsi="Arial" w:cs="Arial"/>
          <w:color w:val="000000"/>
          <w:sz w:val="22"/>
          <w:szCs w:val="22"/>
        </w:rPr>
        <w:t>Zero-hour</w:t>
      </w:r>
      <w:r w:rsidR="00450192" w:rsidRPr="000A7C1E">
        <w:rPr>
          <w:rFonts w:ascii="Arial" w:eastAsia="Times New Roman" w:hAnsi="Arial" w:cs="Arial"/>
          <w:color w:val="000000"/>
          <w:sz w:val="22"/>
          <w:szCs w:val="22"/>
        </w:rPr>
        <w:t xml:space="preserve"> contracts offer control over work processes, stable workforce, longer employee relationships, longer notice periods, and post-termination restrictions. However, they require investment in career development, equipment, and workstations.</w:t>
      </w:r>
      <w:r w:rsidR="00EF2C53" w:rsidRPr="000A7C1E">
        <w:rPr>
          <w:rFonts w:ascii="Arial" w:eastAsia="Times New Roman" w:hAnsi="Arial" w:cs="Arial"/>
          <w:color w:val="000000"/>
          <w:sz w:val="22"/>
          <w:szCs w:val="22"/>
        </w:rPr>
        <w:t xml:space="preserve"> (CIPD, 2021b)</w:t>
      </w:r>
    </w:p>
    <w:p w14:paraId="625E2978" w14:textId="68F85079" w:rsidR="00BA5BC6" w:rsidRPr="000A7C1E" w:rsidRDefault="008E54B3">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Zero-hours contracts are used by </w:t>
      </w:r>
      <w:r w:rsidR="0000785C"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for flexibility and shift allocation without guaranteeing work, often in seasonal industries. However, they have faced criticism for not providing certainty of work and income. The Small Business Enterprise and Employment Act 2015 prohibits exclusivity clauses in zero-hours contracts, making dismissals unfair if the individual worked for another employer. The Exclusivity Terms in Zero-Hour Contracts (Redress) Regulations 2015 prohibit submitting zero-hour workers to a detriment.</w:t>
      </w:r>
      <w:r w:rsidR="00A56B78" w:rsidRPr="000A7C1E">
        <w:rPr>
          <w:rFonts w:ascii="Arial" w:eastAsia="Times New Roman" w:hAnsi="Arial" w:cs="Arial"/>
          <w:color w:val="000000"/>
          <w:sz w:val="22"/>
          <w:szCs w:val="22"/>
        </w:rPr>
        <w:t xml:space="preserve"> (Daniels, 2022</w:t>
      </w:r>
      <w:r w:rsidR="00803BAD" w:rsidRPr="000A7C1E">
        <w:rPr>
          <w:rFonts w:ascii="Arial" w:eastAsia="Times New Roman" w:hAnsi="Arial" w:cs="Arial"/>
          <w:color w:val="000000"/>
          <w:sz w:val="22"/>
          <w:szCs w:val="22"/>
        </w:rPr>
        <w:t>c</w:t>
      </w:r>
      <w:r w:rsidR="00A56B78" w:rsidRPr="000A7C1E">
        <w:rPr>
          <w:rFonts w:ascii="Arial" w:eastAsia="Times New Roman" w:hAnsi="Arial" w:cs="Arial"/>
          <w:color w:val="000000"/>
          <w:sz w:val="22"/>
          <w:szCs w:val="22"/>
        </w:rPr>
        <w:t>)</w:t>
      </w:r>
    </w:p>
    <w:p w14:paraId="4CD4DE6E" w14:textId="79166C3C" w:rsidR="00EC2540" w:rsidRPr="000A7C1E" w:rsidRDefault="00E068F9">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Advantages and </w:t>
      </w:r>
      <w:r w:rsidR="0000785C" w:rsidRPr="000A7C1E">
        <w:rPr>
          <w:rFonts w:ascii="Arial" w:eastAsia="Times New Roman" w:hAnsi="Arial" w:cs="Arial"/>
          <w:color w:val="000000"/>
          <w:sz w:val="22"/>
          <w:szCs w:val="22"/>
        </w:rPr>
        <w:t>disadvantages</w:t>
      </w:r>
      <w:r w:rsidRPr="000A7C1E">
        <w:rPr>
          <w:rFonts w:ascii="Arial" w:eastAsia="Times New Roman" w:hAnsi="Arial" w:cs="Arial"/>
          <w:color w:val="000000"/>
          <w:sz w:val="22"/>
          <w:szCs w:val="22"/>
        </w:rPr>
        <w:t xml:space="preserve"> for</w:t>
      </w:r>
      <w:r w:rsidR="00A541C0" w:rsidRPr="000A7C1E">
        <w:rPr>
          <w:rFonts w:ascii="Arial" w:eastAsia="Times New Roman" w:hAnsi="Arial" w:cs="Arial"/>
          <w:color w:val="000000"/>
          <w:sz w:val="22"/>
          <w:szCs w:val="22"/>
        </w:rPr>
        <w:t xml:space="preserve"> employer - </w:t>
      </w:r>
      <w:r w:rsidR="00A3227B" w:rsidRPr="000A7C1E">
        <w:rPr>
          <w:rFonts w:ascii="Arial" w:eastAsia="Times New Roman" w:hAnsi="Arial" w:cs="Arial"/>
          <w:color w:val="000000"/>
          <w:sz w:val="22"/>
          <w:szCs w:val="22"/>
        </w:rPr>
        <w:t xml:space="preserve">Workers receive lower pay and fewer benefits than employees, making them cheaper to engage with. Employers invest less time and resources in workers, often not offering career development or equipment. They can respond quickly and cost-effectively to increased demand and dismiss workers more quickly </w:t>
      </w:r>
      <w:r w:rsidR="00A3227B" w:rsidRPr="000A7C1E">
        <w:rPr>
          <w:rFonts w:ascii="Arial" w:eastAsia="Times New Roman" w:hAnsi="Arial" w:cs="Arial"/>
          <w:color w:val="000000"/>
          <w:sz w:val="22"/>
          <w:szCs w:val="22"/>
        </w:rPr>
        <w:lastRenderedPageBreak/>
        <w:t>than employees. However, the workforce is less stable, leading to higher staff turnover rates. Workers may be less productive due to lack of long-term career development prospects and fewer rewards. Disengagement can result in higher absenteeism and sickness rates. Administrative burdens, post-termination restrictions, and less certainty over employment status are also challenges.</w:t>
      </w:r>
      <w:r w:rsidR="00A541C0" w:rsidRPr="000A7C1E">
        <w:rPr>
          <w:rFonts w:ascii="Arial" w:eastAsia="Times New Roman" w:hAnsi="Arial" w:cs="Arial"/>
          <w:color w:val="000000"/>
          <w:sz w:val="22"/>
          <w:szCs w:val="22"/>
        </w:rPr>
        <w:t xml:space="preserve"> CIPD (2021c)</w:t>
      </w:r>
    </w:p>
    <w:p w14:paraId="57B93324" w14:textId="6FD7888C" w:rsidR="00A3227B" w:rsidRPr="000A7C1E" w:rsidRDefault="00A541C0">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Pros and cons for </w:t>
      </w:r>
      <w:r w:rsidR="00AC1CC5" w:rsidRPr="000A7C1E">
        <w:rPr>
          <w:rFonts w:ascii="Arial" w:eastAsia="Times New Roman" w:hAnsi="Arial" w:cs="Arial"/>
          <w:color w:val="000000"/>
          <w:sz w:val="22"/>
          <w:szCs w:val="22"/>
        </w:rPr>
        <w:t xml:space="preserve">employee - </w:t>
      </w:r>
      <w:r w:rsidR="00155B5F" w:rsidRPr="000A7C1E">
        <w:rPr>
          <w:rFonts w:ascii="Arial" w:eastAsia="Times New Roman" w:hAnsi="Arial" w:cs="Arial"/>
          <w:color w:val="000000"/>
          <w:sz w:val="22"/>
          <w:szCs w:val="22"/>
        </w:rPr>
        <w:t xml:space="preserve">Employee status provides stability and permanency, as employees are part of the employer's core workforce and are fully integrated into the </w:t>
      </w:r>
      <w:r w:rsidR="00AC1CC5" w:rsidRPr="000A7C1E">
        <w:rPr>
          <w:rFonts w:ascii="Arial" w:eastAsia="Times New Roman" w:hAnsi="Arial" w:cs="Arial"/>
          <w:color w:val="000000"/>
          <w:sz w:val="22"/>
          <w:szCs w:val="22"/>
        </w:rPr>
        <w:t>organisation</w:t>
      </w:r>
      <w:r w:rsidR="00155B5F" w:rsidRPr="000A7C1E">
        <w:rPr>
          <w:rFonts w:ascii="Arial" w:eastAsia="Times New Roman" w:hAnsi="Arial" w:cs="Arial"/>
          <w:color w:val="000000"/>
          <w:sz w:val="22"/>
          <w:szCs w:val="22"/>
        </w:rPr>
        <w:t xml:space="preserve">. They are subject to and benefit from the employer's policies and </w:t>
      </w:r>
      <w:r w:rsidR="00E71DE1" w:rsidRPr="000A7C1E">
        <w:rPr>
          <w:rFonts w:ascii="Arial" w:eastAsia="Times New Roman" w:hAnsi="Arial" w:cs="Arial"/>
          <w:color w:val="000000"/>
          <w:sz w:val="22"/>
          <w:szCs w:val="22"/>
        </w:rPr>
        <w:t>procedures and</w:t>
      </w:r>
      <w:r w:rsidR="00155B5F" w:rsidRPr="000A7C1E">
        <w:rPr>
          <w:rFonts w:ascii="Arial" w:eastAsia="Times New Roman" w:hAnsi="Arial" w:cs="Arial"/>
          <w:color w:val="000000"/>
          <w:sz w:val="22"/>
          <w:szCs w:val="22"/>
        </w:rPr>
        <w:t xml:space="preserve"> receive a wide range of benefits such as bonuses, insurances, and enhanced sick pay. If you wish to leave, you may have a notice period and may be subject to post-termination restrictions. However, there may be limited flexibility in work schedules, no option to refuse work, and it may be challenging to balance professional and work-related interests.</w:t>
      </w:r>
      <w:r w:rsidR="00AF7E51" w:rsidRPr="000A7C1E">
        <w:rPr>
          <w:rFonts w:ascii="Arial" w:eastAsia="Times New Roman" w:hAnsi="Arial" w:cs="Arial"/>
          <w:color w:val="000000"/>
          <w:sz w:val="22"/>
          <w:szCs w:val="22"/>
        </w:rPr>
        <w:t xml:space="preserve"> CIPD (2021</w:t>
      </w:r>
      <w:r w:rsidRPr="000A7C1E">
        <w:rPr>
          <w:rFonts w:ascii="Arial" w:eastAsia="Times New Roman" w:hAnsi="Arial" w:cs="Arial"/>
          <w:color w:val="000000"/>
          <w:sz w:val="22"/>
          <w:szCs w:val="22"/>
        </w:rPr>
        <w:t>d)</w:t>
      </w:r>
    </w:p>
    <w:p w14:paraId="5412791B" w14:textId="27B71F99" w:rsidR="00B24995" w:rsidRPr="000A7C1E" w:rsidRDefault="00280F1F">
      <w:pPr>
        <w:rPr>
          <w:rStyle w:val="ui-provider"/>
          <w:rFonts w:ascii="Arial" w:hAnsi="Arial" w:cs="Arial"/>
          <w:color w:val="215E99" w:themeColor="text2" w:themeTint="BF"/>
          <w:sz w:val="22"/>
          <w:szCs w:val="22"/>
        </w:rPr>
      </w:pPr>
      <w:r w:rsidRPr="000A7C1E">
        <w:rPr>
          <w:rStyle w:val="ui-provider"/>
          <w:rFonts w:ascii="Arial" w:hAnsi="Arial" w:cs="Arial"/>
          <w:color w:val="215E99" w:themeColor="text2" w:themeTint="BF"/>
          <w:sz w:val="22"/>
          <w:szCs w:val="22"/>
        </w:rPr>
        <w:t>10.</w:t>
      </w:r>
      <w:r w:rsidR="00B24995" w:rsidRPr="000A7C1E">
        <w:rPr>
          <w:rStyle w:val="ui-provider"/>
          <w:rFonts w:ascii="Arial" w:hAnsi="Arial" w:cs="Arial"/>
          <w:color w:val="215E99" w:themeColor="text2" w:themeTint="BF"/>
          <w:sz w:val="22"/>
          <w:szCs w:val="22"/>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524C6863" w14:textId="715562B0" w:rsidR="006B67DE" w:rsidRPr="000A7C1E" w:rsidRDefault="00137096">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On-boarding is crucial for employee retention, as it positively impacts engagement, morale, productivity, and retention. </w:t>
      </w:r>
      <w:r w:rsidR="006B67DE"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should invest in on-boarding programs, which should include a weekly schedule, names of interacting people, and company procedures. Intangible factors like workload and time spent training new employees can also be alleviated through an on-boarding program, making retention more important.</w:t>
      </w:r>
      <w:r w:rsidR="006B6330" w:rsidRPr="000A7C1E">
        <w:rPr>
          <w:rFonts w:ascii="Arial" w:eastAsia="Times New Roman" w:hAnsi="Arial" w:cs="Arial"/>
          <w:color w:val="000000"/>
          <w:sz w:val="22"/>
          <w:szCs w:val="22"/>
        </w:rPr>
        <w:t xml:space="preserve"> (</w:t>
      </w:r>
      <w:proofErr w:type="spellStart"/>
      <w:r w:rsidR="006B6330" w:rsidRPr="000A7C1E">
        <w:rPr>
          <w:rFonts w:ascii="Arial" w:eastAsia="Times New Roman" w:hAnsi="Arial" w:cs="Arial"/>
          <w:color w:val="000000"/>
          <w:sz w:val="22"/>
          <w:szCs w:val="22"/>
        </w:rPr>
        <w:t>proquest</w:t>
      </w:r>
      <w:proofErr w:type="spellEnd"/>
      <w:r w:rsidR="006B6330" w:rsidRPr="000A7C1E">
        <w:rPr>
          <w:rFonts w:ascii="Arial" w:eastAsia="Times New Roman" w:hAnsi="Arial" w:cs="Arial"/>
          <w:color w:val="000000"/>
          <w:sz w:val="22"/>
          <w:szCs w:val="22"/>
        </w:rPr>
        <w:t>, 2024)</w:t>
      </w:r>
    </w:p>
    <w:p w14:paraId="31F68CE0" w14:textId="0C4440D6" w:rsidR="002B3244" w:rsidRPr="000A7C1E" w:rsidRDefault="00B52B24">
      <w:pPr>
        <w:rPr>
          <w:rFonts w:ascii="Arial" w:eastAsia="Times New Roman" w:hAnsi="Arial" w:cs="Arial"/>
          <w:color w:val="000000"/>
          <w:sz w:val="22"/>
          <w:szCs w:val="22"/>
        </w:rPr>
      </w:pPr>
      <w:r w:rsidRPr="000A7C1E">
        <w:rPr>
          <w:rFonts w:ascii="Arial" w:eastAsia="Times New Roman" w:hAnsi="Arial" w:cs="Arial"/>
          <w:color w:val="000000"/>
          <w:sz w:val="22"/>
          <w:szCs w:val="22"/>
        </w:rPr>
        <w:t>Onboarding is crucial for businesses, but many external hires leave within two years and less than one-third of executives are positive about their experience. Formal onboarding increases the chances of keeping a new employee for at least three years by 69%. Effective onboarding programs offer benefits like a comprehensive application process and resources.</w:t>
      </w:r>
      <w:r w:rsidR="00A270B9" w:rsidRPr="000A7C1E">
        <w:rPr>
          <w:rFonts w:ascii="Arial" w:eastAsia="Times New Roman" w:hAnsi="Arial" w:cs="Arial"/>
          <w:color w:val="000000"/>
          <w:sz w:val="22"/>
          <w:szCs w:val="22"/>
        </w:rPr>
        <w:t xml:space="preserve"> Davila and Pina-Ramirez (2018a)</w:t>
      </w:r>
    </w:p>
    <w:p w14:paraId="02523CA0" w14:textId="6A4A2ED8" w:rsidR="001A7937" w:rsidRPr="000A7C1E" w:rsidRDefault="00B50040">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Employee onboarding sets the foundation for engagement beyond the initial honeymoon period, resulting in higher levels of engagement and understanding of the company's value proposition and brand. These programs also help </w:t>
      </w:r>
      <w:r w:rsidR="001A7937" w:rsidRPr="000A7C1E">
        <w:rPr>
          <w:rFonts w:ascii="Arial" w:eastAsia="Times New Roman" w:hAnsi="Arial" w:cs="Arial"/>
          <w:color w:val="000000"/>
          <w:sz w:val="22"/>
          <w:szCs w:val="22"/>
        </w:rPr>
        <w:t>organisations</w:t>
      </w:r>
      <w:r w:rsidRPr="000A7C1E">
        <w:rPr>
          <w:rFonts w:ascii="Arial" w:eastAsia="Times New Roman" w:hAnsi="Arial" w:cs="Arial"/>
          <w:color w:val="000000"/>
          <w:sz w:val="22"/>
          <w:szCs w:val="22"/>
        </w:rPr>
        <w:t xml:space="preserve"> strengthen their brand and attract top talent for future roles</w:t>
      </w:r>
      <w:r w:rsidR="004D1529" w:rsidRPr="000A7C1E">
        <w:rPr>
          <w:rFonts w:ascii="Arial" w:eastAsia="Times New Roman" w:hAnsi="Arial" w:cs="Arial"/>
          <w:color w:val="000000"/>
          <w:sz w:val="22"/>
          <w:szCs w:val="22"/>
        </w:rPr>
        <w:t xml:space="preserve"> Davila and Pina-Ramirez (2018b)</w:t>
      </w:r>
    </w:p>
    <w:p w14:paraId="5B59158C" w14:textId="51D40A84" w:rsidR="00045C74" w:rsidRPr="000A7C1E" w:rsidRDefault="00284A39">
      <w:pPr>
        <w:rPr>
          <w:rFonts w:ascii="Arial" w:eastAsia="Times New Roman" w:hAnsi="Arial" w:cs="Arial"/>
          <w:color w:val="000000"/>
          <w:sz w:val="22"/>
          <w:szCs w:val="22"/>
        </w:rPr>
      </w:pPr>
      <w:r w:rsidRPr="000A7C1E">
        <w:rPr>
          <w:rFonts w:ascii="Arial" w:eastAsia="Times New Roman" w:hAnsi="Arial" w:cs="Arial"/>
          <w:color w:val="000000"/>
          <w:sz w:val="22"/>
          <w:szCs w:val="22"/>
        </w:rPr>
        <w:t>Onboarding programs can significantly benefit businesses by fostering a sense of welcome and value for employees, leading to lower turnover rates, cost savings in recruitment, selection, and training, and workforce stability, reducing productivity losses and absenteeism rates.</w:t>
      </w:r>
      <w:r w:rsidR="004D1529" w:rsidRPr="000A7C1E">
        <w:rPr>
          <w:rFonts w:ascii="Arial" w:eastAsia="Times New Roman" w:hAnsi="Arial" w:cs="Arial"/>
          <w:color w:val="000000"/>
          <w:sz w:val="22"/>
          <w:szCs w:val="22"/>
        </w:rPr>
        <w:t xml:space="preserve"> Davila and Pina-Ramirez (2018c)</w:t>
      </w:r>
    </w:p>
    <w:p w14:paraId="2A699594" w14:textId="3EA784FC" w:rsidR="006E58AC" w:rsidRPr="000A7C1E" w:rsidRDefault="00093121">
      <w:pPr>
        <w:rPr>
          <w:rFonts w:ascii="Arial" w:eastAsia="Times New Roman" w:hAnsi="Arial" w:cs="Arial"/>
          <w:color w:val="000000"/>
          <w:sz w:val="22"/>
          <w:szCs w:val="22"/>
        </w:rPr>
      </w:pPr>
      <w:r w:rsidRPr="000A7C1E">
        <w:rPr>
          <w:rFonts w:ascii="Arial" w:eastAsia="Times New Roman" w:hAnsi="Arial" w:cs="Arial"/>
          <w:color w:val="000000"/>
          <w:sz w:val="22"/>
          <w:szCs w:val="22"/>
        </w:rPr>
        <w:t>Onboarding programs can provide a competitive advantage for top talent, offering global mobility and technology-enhanced job flexibility. Companies investing in employee development from hiring can attract top candidates, resulting in a more qualified workforce. These programs foster valuable relationships, collaboration, and communication, reducing integration time.</w:t>
      </w:r>
      <w:r w:rsidR="004D1529" w:rsidRPr="000A7C1E">
        <w:rPr>
          <w:rFonts w:ascii="Arial" w:eastAsia="Times New Roman" w:hAnsi="Arial" w:cs="Arial"/>
          <w:color w:val="000000"/>
          <w:sz w:val="22"/>
          <w:szCs w:val="22"/>
        </w:rPr>
        <w:t xml:space="preserve"> Davila and Pina-Ramirez (2018d)</w:t>
      </w:r>
    </w:p>
    <w:p w14:paraId="3DF1A572" w14:textId="61F81472" w:rsidR="00573A6E" w:rsidRPr="000A7C1E" w:rsidRDefault="00D07DE2" w:rsidP="001E1906">
      <w:pPr>
        <w:rPr>
          <w:rFonts w:ascii="Arial" w:eastAsia="Times New Roman" w:hAnsi="Arial" w:cs="Arial"/>
          <w:color w:val="000000"/>
          <w:sz w:val="22"/>
          <w:szCs w:val="22"/>
        </w:rPr>
      </w:pPr>
      <w:r w:rsidRPr="000A7C1E">
        <w:rPr>
          <w:rFonts w:ascii="Arial" w:eastAsia="Times New Roman" w:hAnsi="Arial" w:cs="Arial"/>
          <w:color w:val="000000"/>
          <w:sz w:val="22"/>
          <w:szCs w:val="22"/>
        </w:rPr>
        <w:t xml:space="preserve">To create a successful and engaged workforce, it is essential to share the company's vision, mission, and core values with new employees. This helps them align with the company's </w:t>
      </w:r>
      <w:r w:rsidRPr="000A7C1E">
        <w:rPr>
          <w:rFonts w:ascii="Arial" w:eastAsia="Times New Roman" w:hAnsi="Arial" w:cs="Arial"/>
          <w:color w:val="000000"/>
          <w:sz w:val="22"/>
          <w:szCs w:val="22"/>
        </w:rPr>
        <w:lastRenderedPageBreak/>
        <w:t>values and contribute to the overall purpose. Providing model employees to mentor and discuss success in their new roles can also help. Setting short-term goals and offering feedback on performance can foster a culture of innovation and continuous improvement. Regular check-ins with managers and succession lines can help new employees feel connected and integrated into the company. Implementing a buddy or mentor program can also help foster culture immersion. A yearlong strategy is crucial for fostering a happy, engaged, and inspired workforce.</w:t>
      </w:r>
      <w:r w:rsidR="008A7C02" w:rsidRPr="000A7C1E">
        <w:rPr>
          <w:rFonts w:ascii="Arial" w:eastAsia="Times New Roman" w:hAnsi="Arial" w:cs="Arial"/>
          <w:color w:val="000000"/>
          <w:sz w:val="22"/>
          <w:szCs w:val="22"/>
        </w:rPr>
        <w:t xml:space="preserve"> Newhouse (2020)</w:t>
      </w:r>
    </w:p>
    <w:p w14:paraId="63F6C14E" w14:textId="19499EB0" w:rsidR="001E1906" w:rsidRPr="000A7C1E" w:rsidRDefault="006224B8" w:rsidP="001E1906">
      <w:pPr>
        <w:rPr>
          <w:rFonts w:ascii="Arial" w:eastAsia="Times New Roman" w:hAnsi="Arial" w:cs="Arial"/>
          <w:color w:val="000000"/>
          <w:sz w:val="22"/>
          <w:szCs w:val="22"/>
        </w:rPr>
      </w:pPr>
      <w:r w:rsidRPr="000A7C1E">
        <w:rPr>
          <w:rFonts w:ascii="Arial" w:eastAsia="Times New Roman" w:hAnsi="Arial" w:cs="Arial"/>
          <w:b/>
          <w:bCs/>
          <w:color w:val="000000"/>
          <w:kern w:val="0"/>
          <w:sz w:val="22"/>
          <w:szCs w:val="22"/>
          <w:u w:val="single"/>
          <w14:ligatures w14:val="none"/>
        </w:rPr>
        <w:t>Bibliography</w:t>
      </w:r>
    </w:p>
    <w:p w14:paraId="7A64DD54"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Allen, D.G. and Bryant, P.C. (2012a). Managing Employee Turnover : Dispelling Myths and Fostering evidence-based Retention Strategies. New York: Business Expert Press.</w:t>
      </w:r>
    </w:p>
    <w:p w14:paraId="0A8BD455"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Allen, D.G. and Bryant, P.C. (2012b). Managing Employee Turnover : Dispelling Myths and Fostering evidence-based Retention Strategies. New York: Business Expert Press.</w:t>
      </w:r>
    </w:p>
    <w:p w14:paraId="315D7B40"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Armstrong, M. (2007). A Handbook of Employee Reward Management and Practice. 2nd ed. Philadelphia: Kogan Page.</w:t>
      </w:r>
    </w:p>
    <w:p w14:paraId="6A4E0CD5"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Asuyama</w:t>
      </w:r>
      <w:proofErr w:type="spellEnd"/>
      <w:r w:rsidRPr="000A7C1E">
        <w:rPr>
          <w:rFonts w:ascii="Arial" w:hAnsi="Arial" w:cs="Arial"/>
          <w:color w:val="000000"/>
          <w:kern w:val="0"/>
          <w:sz w:val="22"/>
          <w:szCs w:val="22"/>
          <w14:ligatures w14:val="none"/>
        </w:rPr>
        <w:t>, Y. (2022). Doing Boss</w:t>
      </w:r>
      <w:r w:rsidRPr="000A7C1E">
        <w:rPr>
          <w:rFonts w:ascii="Cambria Math" w:hAnsi="Cambria Math" w:cs="Cambria Math"/>
          <w:color w:val="000000"/>
          <w:kern w:val="0"/>
          <w:sz w:val="22"/>
          <w:szCs w:val="22"/>
          <w14:ligatures w14:val="none"/>
        </w:rPr>
        <w:t>‐</w:t>
      </w:r>
      <w:r w:rsidRPr="000A7C1E">
        <w:rPr>
          <w:rFonts w:ascii="Arial" w:hAnsi="Arial" w:cs="Arial"/>
          <w:color w:val="000000"/>
          <w:kern w:val="0"/>
          <w:sz w:val="22"/>
          <w:szCs w:val="22"/>
          <w14:ligatures w14:val="none"/>
        </w:rPr>
        <w:t>like Tasks and Worker well</w:t>
      </w:r>
      <w:r w:rsidRPr="000A7C1E">
        <w:rPr>
          <w:rFonts w:ascii="Cambria Math" w:hAnsi="Cambria Math" w:cs="Cambria Math"/>
          <w:color w:val="000000"/>
          <w:kern w:val="0"/>
          <w:sz w:val="22"/>
          <w:szCs w:val="22"/>
          <w14:ligatures w14:val="none"/>
        </w:rPr>
        <w:t>‐</w:t>
      </w:r>
      <w:r w:rsidRPr="000A7C1E">
        <w:rPr>
          <w:rFonts w:ascii="Arial" w:hAnsi="Arial" w:cs="Arial"/>
          <w:color w:val="000000"/>
          <w:kern w:val="0"/>
          <w:sz w:val="22"/>
          <w:szCs w:val="22"/>
          <w14:ligatures w14:val="none"/>
        </w:rPr>
        <w:t xml:space="preserve">being: Job Enrichment Revisited. LABOUR, 36(2). </w:t>
      </w:r>
      <w:proofErr w:type="spellStart"/>
      <w:r w:rsidRPr="000A7C1E">
        <w:rPr>
          <w:rFonts w:ascii="Arial" w:hAnsi="Arial" w:cs="Arial"/>
          <w:color w:val="000000"/>
          <w:kern w:val="0"/>
          <w:sz w:val="22"/>
          <w:szCs w:val="22"/>
          <w14:ligatures w14:val="none"/>
        </w:rPr>
        <w:t>doi:https</w:t>
      </w:r>
      <w:proofErr w:type="spellEnd"/>
      <w:r w:rsidRPr="000A7C1E">
        <w:rPr>
          <w:rFonts w:ascii="Arial" w:hAnsi="Arial" w:cs="Arial"/>
          <w:color w:val="000000"/>
          <w:kern w:val="0"/>
          <w:sz w:val="22"/>
          <w:szCs w:val="22"/>
          <w14:ligatures w14:val="none"/>
        </w:rPr>
        <w:t>://doi.org/10.1111/labr.12217.</w:t>
      </w:r>
    </w:p>
    <w:p w14:paraId="4F4F2543"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BBC (2022). The Advantages and Disadvantages of Different Methods of Recruitment - Recruitment - </w:t>
      </w:r>
      <w:proofErr w:type="spellStart"/>
      <w:r w:rsidRPr="000A7C1E">
        <w:rPr>
          <w:rFonts w:ascii="Arial" w:hAnsi="Arial" w:cs="Arial"/>
          <w:color w:val="000000"/>
          <w:kern w:val="0"/>
          <w:sz w:val="22"/>
          <w:szCs w:val="22"/>
          <w14:ligatures w14:val="none"/>
        </w:rPr>
        <w:t>Eduqas</w:t>
      </w:r>
      <w:proofErr w:type="spellEnd"/>
      <w:r w:rsidRPr="000A7C1E">
        <w:rPr>
          <w:rFonts w:ascii="Arial" w:hAnsi="Arial" w:cs="Arial"/>
          <w:color w:val="000000"/>
          <w:kern w:val="0"/>
          <w:sz w:val="22"/>
          <w:szCs w:val="22"/>
          <w14:ligatures w14:val="none"/>
        </w:rPr>
        <w:t xml:space="preserve"> - GCSE Business Revision - </w:t>
      </w:r>
      <w:proofErr w:type="spellStart"/>
      <w:r w:rsidRPr="000A7C1E">
        <w:rPr>
          <w:rFonts w:ascii="Arial" w:hAnsi="Arial" w:cs="Arial"/>
          <w:color w:val="000000"/>
          <w:kern w:val="0"/>
          <w:sz w:val="22"/>
          <w:szCs w:val="22"/>
          <w14:ligatures w14:val="none"/>
        </w:rPr>
        <w:t>Eduqas</w:t>
      </w:r>
      <w:proofErr w:type="spellEnd"/>
      <w:r w:rsidRPr="000A7C1E">
        <w:rPr>
          <w:rFonts w:ascii="Arial" w:hAnsi="Arial" w:cs="Arial"/>
          <w:color w:val="000000"/>
          <w:kern w:val="0"/>
          <w:sz w:val="22"/>
          <w:szCs w:val="22"/>
          <w14:ligatures w14:val="none"/>
        </w:rPr>
        <w:t>. [online] BBC Bitesize. Available at: https://www.bbc.co.uk/bitesize/guides/zm3jjhv/revision/3 [Accessed 25 Oct. 2024].</w:t>
      </w:r>
    </w:p>
    <w:p w14:paraId="2A556C09"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Boxall</w:t>
      </w:r>
      <w:proofErr w:type="spellEnd"/>
      <w:r w:rsidRPr="000A7C1E">
        <w:rPr>
          <w:rFonts w:ascii="Arial" w:hAnsi="Arial" w:cs="Arial"/>
          <w:color w:val="000000"/>
          <w:kern w:val="0"/>
          <w:sz w:val="22"/>
          <w:szCs w:val="22"/>
          <w14:ligatures w14:val="none"/>
        </w:rPr>
        <w:t>, P.F., Purcell, J. and Wright, P. (2008). The Oxford Handbook of Human Resource Management. Oxford: Oxford University Press.</w:t>
      </w:r>
    </w:p>
    <w:p w14:paraId="2A1E4FF1"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(2019). CIPD | Flexible working: New cross-sector Guidance and Toolkits. [online] CIPD. Available at: https://www.cipd.org/uk/views-and-insights/thought-leadership/cipd-voice/flexible-working-guidance-toolkits/ [Accessed 22 Oct. 2024].</w:t>
      </w:r>
    </w:p>
    <w:p w14:paraId="67ED8CA4"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(2021a). CIPD | Technology and the Future of Work | Factsheets. [online] CIPD. Available at: https://www.cipd.org/uk/knowledge/factsheets/emerging-future-work-factsheet/ [Accessed 21 Oct. 2024].</w:t>
      </w:r>
    </w:p>
    <w:p w14:paraId="1F396358"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(2021b). ZERO-HOURS CONTRACTS Understanding the law in partnership with Guide. [online] Available at: https://www.cipd.org/globalassets/media/knowledge/knowledge-hub/guides/zero-hours-contracts-guide-web-2021_tcm18-10706.pdf [Accessed 27 Oct. 2024].</w:t>
      </w:r>
    </w:p>
    <w:p w14:paraId="77A4F2CB"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(2021c). ZERO-HOURS CONTRACTS Understanding the law in partnership with Guide. [online] Available at: https://www.cipd.org/globalassets/media/knowledge/knowledge-</w:t>
      </w:r>
      <w:r w:rsidRPr="000A7C1E">
        <w:rPr>
          <w:rFonts w:ascii="Arial" w:hAnsi="Arial" w:cs="Arial"/>
          <w:color w:val="000000"/>
          <w:kern w:val="0"/>
          <w:sz w:val="22"/>
          <w:szCs w:val="22"/>
          <w14:ligatures w14:val="none"/>
        </w:rPr>
        <w:lastRenderedPageBreak/>
        <w:t>hub/guides/zero-hours-contracts-guide-web-2021_tcm18-10706.pdf [Accessed 27 Oct. 2024].</w:t>
      </w:r>
    </w:p>
    <w:p w14:paraId="0E034F0F"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(2021d). ZERO-HOURS CONTRACTS Understanding the law in partnership with Guide. [online] Available at: https://www.cipd.org/globalassets/media/knowledge/knowledge-hub/guides/zero-hours-contracts-guide-web-2021_tcm18-10706.pdf [Accessed 27 Oct. 2024].</w:t>
      </w:r>
    </w:p>
    <w:p w14:paraId="2FFCA8E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(2022). Survey Report Financial Wellbeing and Organisational Support REWARD MANAGEMENT SURVEY. [online] Available at: https://www.cipd.org/globalassets/media/knowledge/knowledge-hub/reports/2023-pdfs/financial-wellbeing-organisational-support_tcm18-108774.pdf [Accessed 22 Oct. 2024].</w:t>
      </w:r>
    </w:p>
    <w:p w14:paraId="0AE9419A"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(2023a). CIPD - Wellbeing. [online] www.cipd.org. Available at: https://www.cipd.org/uk/the-people-profession/the-profession-map/explore-the-profession-map/specialist-knowledge/wellbeing/ [Accessed 21 Oct. 2024].</w:t>
      </w:r>
    </w:p>
    <w:p w14:paraId="31865895"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(2023b). CIPD | PESTLE Analysis. [online] CIPD. Available at: https://www.cipd.org/uk/knowledge/factsheets/pestle-analysis-factsheet/#what-is-a-pestle-analysis [Accessed 18 Oct. 2024].</w:t>
      </w:r>
    </w:p>
    <w:p w14:paraId="0A012958"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(2023c). CIPD | Selection Methods. [online] CIPD. Available at: https://www.cipd.org/uk/knowledge/factsheets/selection-factsheet/#candidatesselected [Accessed 24 Oct. 2024].</w:t>
      </w:r>
    </w:p>
    <w:p w14:paraId="699BC6F2"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(2023d). CIPD | Selection Methods. [online] CIPD. Available at: https://www.cipd.org/uk/knowledge/factsheets/selection-factsheet/#interviewing [Accessed 25 Oct. 2024].</w:t>
      </w:r>
    </w:p>
    <w:p w14:paraId="182C11AD"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(2023e). CIPD | Workforce Planning | Factsheets. [online] CIPD. Available at: https://www.cipd.org/uk/knowledge/factsheets/workforce-planning-factsheet/#what-is-workforce-planning.</w:t>
      </w:r>
    </w:p>
    <w:p w14:paraId="6DAED291"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(2023f). Organisational Culture. [online] CIPD. Available at: https://www.cipd.org/uk/views-and-insights/cipd-viewpoint/organisational-culture/ [Accessed 18 Oct. 2024].</w:t>
      </w:r>
    </w:p>
    <w:p w14:paraId="66D0F1C5"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(2023g). Strategic Workforce Planning. [online] CIPD. Available at: https://www.cipd.org/uk/knowledge/guides/strategic-workforce-planning/ [Accessed 24 Oct. 2024].</w:t>
      </w:r>
    </w:p>
    <w:p w14:paraId="78D7FE63"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lastRenderedPageBreak/>
        <w:t>CIPD (2023h). Strategic Workforce Planning. [online] CIPD. Available at: https://www.cipd.org/uk/knowledge/guides/strategic-workforce-planning/ [Accessed 17 Jan. 2025].</w:t>
      </w:r>
    </w:p>
    <w:p w14:paraId="1147046B"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(2024a). CIPD | Job Design | Factsheets. [online] CIPD. Available at: https://www.cipd.org/uk/knowledge/factsheets/job-design-factsheet/#what-is-job-design.</w:t>
      </w:r>
    </w:p>
    <w:p w14:paraId="6C813849"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(2024b). CIPD | SWOT Analysis | Factsheets. [online] CIPD. Available at: https://www.cipd.org/uk/knowledge/factsheets/swot-analysis-factsheet/#when-to-use-a-swot-analysis [Accessed 17 Oct. 2024].</w:t>
      </w:r>
    </w:p>
    <w:p w14:paraId="34594A4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(2024c). CIPD | SWOT Analysis | Factsheets. [online] CIPD. Available at: https://www.cipd.org/uk/knowledge/factsheets/swot-analysis-factsheet/#when-to-use-a-swot-analysis [Accessed 17 Oct. 2024].</w:t>
      </w:r>
    </w:p>
    <w:p w14:paraId="60841029"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(2024d). LABOUR MARKET. [online] Available at: https://www.cipd.org/globalassets/media/knowledge/knowledge-hub/reports/2024-pdfs/2024-labour-market-outlook-winter-2024-8552.pdf.</w:t>
      </w:r>
    </w:p>
    <w:p w14:paraId="456CEAD5"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CIPD (2024e). Resourcing and Talent Planning Report 2024. [online] Available at: https://www.cipd.org/globalassets/media/knowledge/knowledge-hub/reports/2024-pdfs/8662-resource-and-talent-planning-2024-report-web.pdf [Accessed 2 Nov. 2024].</w:t>
      </w:r>
    </w:p>
    <w:p w14:paraId="7E79C378"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Clutterbuck</w:t>
      </w:r>
      <w:proofErr w:type="spellEnd"/>
      <w:r w:rsidRPr="000A7C1E">
        <w:rPr>
          <w:rFonts w:ascii="Arial" w:hAnsi="Arial" w:cs="Arial"/>
          <w:color w:val="000000"/>
          <w:kern w:val="0"/>
          <w:sz w:val="22"/>
          <w:szCs w:val="22"/>
          <w14:ligatures w14:val="none"/>
        </w:rPr>
        <w:t>, D. (2013). The Talent Wave : Why Succession Planning Fails and What to Do about It. London: Kogan Page.</w:t>
      </w:r>
    </w:p>
    <w:p w14:paraId="204CC77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Cockett</w:t>
      </w:r>
      <w:proofErr w:type="spellEnd"/>
      <w:r w:rsidRPr="000A7C1E">
        <w:rPr>
          <w:rFonts w:ascii="Arial" w:hAnsi="Arial" w:cs="Arial"/>
          <w:color w:val="000000"/>
          <w:kern w:val="0"/>
          <w:sz w:val="22"/>
          <w:szCs w:val="22"/>
          <w14:ligatures w14:val="none"/>
        </w:rPr>
        <w:t>, J. (2024). CIPD | Benchmarking employee turnover: What are the latest trends and insights? [online] CIPD. Available at: https://www.cipd.org/uk/views-and-insights/thought-leadership/cipd-voice/benchmarking-employee-turnover/ [Accessed 26 Oct. 2024].</w:t>
      </w:r>
    </w:p>
    <w:p w14:paraId="3C8DA14F"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Cotton, C. (2024). Strategic &amp; Total Reward | Factsheets. [online] CIPD. Available at: https://www.cipd.org/uk/knowledge/factsheets/strategic-total-factsheet/ [Accessed 27 Oct. 2024].</w:t>
      </w:r>
    </w:p>
    <w:p w14:paraId="2072358F"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Daniels, K. (2022a). Introduction to Employment Law: Fundamentals for HR and Business Students. Chartered Institute of Personnel &amp; Development.</w:t>
      </w:r>
    </w:p>
    <w:p w14:paraId="587D6AF7"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Daniels, K. (2022b). Introduction to Employment Law: Fundamentals for HR and Business Students. Chartered Institute of Personnel &amp; Development.</w:t>
      </w:r>
    </w:p>
    <w:p w14:paraId="5E7D7286"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Daniels, K. (2022c). Introduction to Employment Law: Fundamentals for HR and Business Students. Chartered Institute of Personnel &amp; Development.</w:t>
      </w:r>
    </w:p>
    <w:p w14:paraId="0D9F74FF"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lastRenderedPageBreak/>
        <w:t>Daniels, K. (2022d). Introduction to Employment Law: Fundamentals for HR and Business Students. Chartered Institute of Personnel &amp; Development.</w:t>
      </w:r>
    </w:p>
    <w:p w14:paraId="395806D8"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Davila, N. and Pina-Ramirez, W. (2018a). Effective Onboarding. American Society for Training and Development.</w:t>
      </w:r>
    </w:p>
    <w:p w14:paraId="010B6CC1"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Davila, N. and Pina-Ramirez, W. (2018b). Effective Onboarding. American Society for Training and Development.</w:t>
      </w:r>
    </w:p>
    <w:p w14:paraId="2E57EB40"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Davila, N. and Pina-Ramirez, W. (2018c). Effective Onboarding. American Society for Training and Development.</w:t>
      </w:r>
    </w:p>
    <w:p w14:paraId="7DE8C67F"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Davila, N. and Pina-Ramirez, W. (2018d). Effective Onboarding. American Society for Training and Development.</w:t>
      </w:r>
    </w:p>
    <w:p w14:paraId="6613F015"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Dr Elouise Leonard-Cross (2021). CIPD | What Will the Future of Work and Skills Look like. [online] CIPD. Available at: https://www.cipd.org/uk/about/news/future-of-work-and-skills/ [Accessed 23 Oct. 2024].</w:t>
      </w:r>
    </w:p>
    <w:p w14:paraId="25EE341E"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E. </w:t>
      </w:r>
      <w:proofErr w:type="spellStart"/>
      <w:r w:rsidRPr="000A7C1E">
        <w:rPr>
          <w:rFonts w:ascii="Arial" w:hAnsi="Arial" w:cs="Arial"/>
          <w:color w:val="000000"/>
          <w:kern w:val="0"/>
          <w:sz w:val="22"/>
          <w:szCs w:val="22"/>
          <w14:ligatures w14:val="none"/>
        </w:rPr>
        <w:t>Baur</w:t>
      </w:r>
      <w:proofErr w:type="spellEnd"/>
      <w:r w:rsidRPr="000A7C1E">
        <w:rPr>
          <w:rFonts w:ascii="Arial" w:hAnsi="Arial" w:cs="Arial"/>
          <w:color w:val="000000"/>
          <w:kern w:val="0"/>
          <w:sz w:val="22"/>
          <w:szCs w:val="22"/>
          <w14:ligatures w14:val="none"/>
        </w:rPr>
        <w:t xml:space="preserve">, J., Ronald Buckley, M., </w:t>
      </w:r>
      <w:proofErr w:type="spellStart"/>
      <w:r w:rsidRPr="000A7C1E">
        <w:rPr>
          <w:rFonts w:ascii="Arial" w:hAnsi="Arial" w:cs="Arial"/>
          <w:color w:val="000000"/>
          <w:kern w:val="0"/>
          <w:sz w:val="22"/>
          <w:szCs w:val="22"/>
          <w14:ligatures w14:val="none"/>
        </w:rPr>
        <w:t>Bagdasarov</w:t>
      </w:r>
      <w:proofErr w:type="spellEnd"/>
      <w:r w:rsidRPr="000A7C1E">
        <w:rPr>
          <w:rFonts w:ascii="Arial" w:hAnsi="Arial" w:cs="Arial"/>
          <w:color w:val="000000"/>
          <w:kern w:val="0"/>
          <w:sz w:val="22"/>
          <w:szCs w:val="22"/>
          <w14:ligatures w14:val="none"/>
        </w:rPr>
        <w:t xml:space="preserve">, Z. and S. </w:t>
      </w:r>
      <w:proofErr w:type="spellStart"/>
      <w:r w:rsidRPr="000A7C1E">
        <w:rPr>
          <w:rFonts w:ascii="Arial" w:hAnsi="Arial" w:cs="Arial"/>
          <w:color w:val="000000"/>
          <w:kern w:val="0"/>
          <w:sz w:val="22"/>
          <w:szCs w:val="22"/>
          <w14:ligatures w14:val="none"/>
        </w:rPr>
        <w:t>Dharmasiri</w:t>
      </w:r>
      <w:proofErr w:type="spellEnd"/>
      <w:r w:rsidRPr="000A7C1E">
        <w:rPr>
          <w:rFonts w:ascii="Arial" w:hAnsi="Arial" w:cs="Arial"/>
          <w:color w:val="000000"/>
          <w:kern w:val="0"/>
          <w:sz w:val="22"/>
          <w:szCs w:val="22"/>
          <w14:ligatures w14:val="none"/>
        </w:rPr>
        <w:t xml:space="preserve">, A. (2014). A Historical Approach to Realistic Job Previews. Journal of Management History, 20(2), pp.200–223. </w:t>
      </w:r>
      <w:proofErr w:type="spellStart"/>
      <w:r w:rsidRPr="000A7C1E">
        <w:rPr>
          <w:rFonts w:ascii="Arial" w:hAnsi="Arial" w:cs="Arial"/>
          <w:color w:val="000000"/>
          <w:kern w:val="0"/>
          <w:sz w:val="22"/>
          <w:szCs w:val="22"/>
          <w14:ligatures w14:val="none"/>
        </w:rPr>
        <w:t>doi:https</w:t>
      </w:r>
      <w:proofErr w:type="spellEnd"/>
      <w:r w:rsidRPr="000A7C1E">
        <w:rPr>
          <w:rFonts w:ascii="Arial" w:hAnsi="Arial" w:cs="Arial"/>
          <w:color w:val="000000"/>
          <w:kern w:val="0"/>
          <w:sz w:val="22"/>
          <w:szCs w:val="22"/>
          <w14:ligatures w14:val="none"/>
        </w:rPr>
        <w:t>://doi.org/10.1108/jmh-06-2012-0046.</w:t>
      </w:r>
    </w:p>
    <w:p w14:paraId="3E52183F"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Expert Panel (2024). 18 Major Succession Planning Mistakes </w:t>
      </w:r>
      <w:proofErr w:type="spellStart"/>
      <w:r w:rsidRPr="000A7C1E">
        <w:rPr>
          <w:rFonts w:ascii="Arial" w:hAnsi="Arial" w:cs="Arial"/>
          <w:color w:val="000000"/>
          <w:kern w:val="0"/>
          <w:sz w:val="22"/>
          <w:szCs w:val="22"/>
          <w14:ligatures w14:val="none"/>
        </w:rPr>
        <w:t>Organizations</w:t>
      </w:r>
      <w:proofErr w:type="spellEnd"/>
      <w:r w:rsidRPr="000A7C1E">
        <w:rPr>
          <w:rFonts w:ascii="Arial" w:hAnsi="Arial" w:cs="Arial"/>
          <w:color w:val="000000"/>
          <w:kern w:val="0"/>
          <w:sz w:val="22"/>
          <w:szCs w:val="22"/>
          <w14:ligatures w14:val="none"/>
        </w:rPr>
        <w:t xml:space="preserve"> Make. Forbes. [online] 11 Jun. Available at: https://www.forbes.com/councils/forbescoachescouncil/2024/06/11/18-major-succession-planning-mistakes-organizations-make/ [Accessed 9 Nov. 2024].</w:t>
      </w:r>
    </w:p>
    <w:p w14:paraId="6E790F50"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Gibson, A. (2021a). Agile Workforce Planning : How to Align People with </w:t>
      </w:r>
      <w:proofErr w:type="spellStart"/>
      <w:r w:rsidRPr="000A7C1E">
        <w:rPr>
          <w:rFonts w:ascii="Arial" w:hAnsi="Arial" w:cs="Arial"/>
          <w:color w:val="000000"/>
          <w:kern w:val="0"/>
          <w:sz w:val="22"/>
          <w:szCs w:val="22"/>
          <w14:ligatures w14:val="none"/>
        </w:rPr>
        <w:t>Organizational</w:t>
      </w:r>
      <w:proofErr w:type="spellEnd"/>
      <w:r w:rsidRPr="000A7C1E">
        <w:rPr>
          <w:rFonts w:ascii="Arial" w:hAnsi="Arial" w:cs="Arial"/>
          <w:color w:val="000000"/>
          <w:kern w:val="0"/>
          <w:sz w:val="22"/>
          <w:szCs w:val="22"/>
          <w14:ligatures w14:val="none"/>
        </w:rPr>
        <w:t xml:space="preserve"> Strategy for Improved Performance. London: Kogan Page.</w:t>
      </w:r>
    </w:p>
    <w:p w14:paraId="354D5584"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Gibson, A. (2021b). Agile Workforce Planning : How to Align People with </w:t>
      </w:r>
      <w:proofErr w:type="spellStart"/>
      <w:r w:rsidRPr="000A7C1E">
        <w:rPr>
          <w:rFonts w:ascii="Arial" w:hAnsi="Arial" w:cs="Arial"/>
          <w:color w:val="000000"/>
          <w:kern w:val="0"/>
          <w:sz w:val="22"/>
          <w:szCs w:val="22"/>
          <w14:ligatures w14:val="none"/>
        </w:rPr>
        <w:t>Organizational</w:t>
      </w:r>
      <w:proofErr w:type="spellEnd"/>
      <w:r w:rsidRPr="000A7C1E">
        <w:rPr>
          <w:rFonts w:ascii="Arial" w:hAnsi="Arial" w:cs="Arial"/>
          <w:color w:val="000000"/>
          <w:kern w:val="0"/>
          <w:sz w:val="22"/>
          <w:szCs w:val="22"/>
          <w14:ligatures w14:val="none"/>
        </w:rPr>
        <w:t xml:space="preserve"> Strategy for Improved Performance. London: Kogan Page.</w:t>
      </w:r>
    </w:p>
    <w:p w14:paraId="72D6808B"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Gibson, A. (2021c). Agile Workforce Planning : How to Align People with </w:t>
      </w:r>
      <w:proofErr w:type="spellStart"/>
      <w:r w:rsidRPr="000A7C1E">
        <w:rPr>
          <w:rFonts w:ascii="Arial" w:hAnsi="Arial" w:cs="Arial"/>
          <w:color w:val="000000"/>
          <w:kern w:val="0"/>
          <w:sz w:val="22"/>
          <w:szCs w:val="22"/>
          <w14:ligatures w14:val="none"/>
        </w:rPr>
        <w:t>Organizational</w:t>
      </w:r>
      <w:proofErr w:type="spellEnd"/>
      <w:r w:rsidRPr="000A7C1E">
        <w:rPr>
          <w:rFonts w:ascii="Arial" w:hAnsi="Arial" w:cs="Arial"/>
          <w:color w:val="000000"/>
          <w:kern w:val="0"/>
          <w:sz w:val="22"/>
          <w:szCs w:val="22"/>
          <w14:ligatures w14:val="none"/>
        </w:rPr>
        <w:t xml:space="preserve"> Strategy for Improved Performance. London: Kogan Page.</w:t>
      </w:r>
    </w:p>
    <w:p w14:paraId="2A0E3B4D"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Gibson, A. (2021d). Agile Workforce Planning : How to Align People with </w:t>
      </w:r>
      <w:proofErr w:type="spellStart"/>
      <w:r w:rsidRPr="000A7C1E">
        <w:rPr>
          <w:rFonts w:ascii="Arial" w:hAnsi="Arial" w:cs="Arial"/>
          <w:color w:val="000000"/>
          <w:kern w:val="0"/>
          <w:sz w:val="22"/>
          <w:szCs w:val="22"/>
          <w14:ligatures w14:val="none"/>
        </w:rPr>
        <w:t>Organizational</w:t>
      </w:r>
      <w:proofErr w:type="spellEnd"/>
      <w:r w:rsidRPr="000A7C1E">
        <w:rPr>
          <w:rFonts w:ascii="Arial" w:hAnsi="Arial" w:cs="Arial"/>
          <w:color w:val="000000"/>
          <w:kern w:val="0"/>
          <w:sz w:val="22"/>
          <w:szCs w:val="22"/>
          <w14:ligatures w14:val="none"/>
        </w:rPr>
        <w:t xml:space="preserve"> Strategy for Improved Performance. London: Kogan Page.</w:t>
      </w:r>
    </w:p>
    <w:p w14:paraId="7F05B48A"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lastRenderedPageBreak/>
        <w:t>Leonard, K. (2023). 10 Effective Recruitment Strategies in 2023. [online] Forbes. Available at: https://www.forbes.com/advisor/business/recruitment-strategies/ [Accessed 21 Oct. 2024].</w:t>
      </w:r>
    </w:p>
    <w:p w14:paraId="18EBFB7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Liu, Y.-L., Keeling, K.A. and </w:t>
      </w:r>
      <w:proofErr w:type="spellStart"/>
      <w:r w:rsidRPr="000A7C1E">
        <w:rPr>
          <w:rFonts w:ascii="Arial" w:hAnsi="Arial" w:cs="Arial"/>
          <w:color w:val="000000"/>
          <w:kern w:val="0"/>
          <w:sz w:val="22"/>
          <w:szCs w:val="22"/>
          <w14:ligatures w14:val="none"/>
        </w:rPr>
        <w:t>Papamichail</w:t>
      </w:r>
      <w:proofErr w:type="spellEnd"/>
      <w:r w:rsidRPr="000A7C1E">
        <w:rPr>
          <w:rFonts w:ascii="Arial" w:hAnsi="Arial" w:cs="Arial"/>
          <w:color w:val="000000"/>
          <w:kern w:val="0"/>
          <w:sz w:val="22"/>
          <w:szCs w:val="22"/>
          <w14:ligatures w14:val="none"/>
        </w:rPr>
        <w:t xml:space="preserve">, K.N. (2016). Maximising the Credibility of Realistic Job Preview messages: the Effect of Jobseekers’ decision-making Style on Recruitment Information Credibility. The International Journal of Human Resource Management, 29(7), pp.1330–1364. </w:t>
      </w:r>
      <w:proofErr w:type="spellStart"/>
      <w:r w:rsidRPr="000A7C1E">
        <w:rPr>
          <w:rFonts w:ascii="Arial" w:hAnsi="Arial" w:cs="Arial"/>
          <w:color w:val="000000"/>
          <w:kern w:val="0"/>
          <w:sz w:val="22"/>
          <w:szCs w:val="22"/>
          <w14:ligatures w14:val="none"/>
        </w:rPr>
        <w:t>doi:https</w:t>
      </w:r>
      <w:proofErr w:type="spellEnd"/>
      <w:r w:rsidRPr="000A7C1E">
        <w:rPr>
          <w:rFonts w:ascii="Arial" w:hAnsi="Arial" w:cs="Arial"/>
          <w:color w:val="000000"/>
          <w:kern w:val="0"/>
          <w:sz w:val="22"/>
          <w:szCs w:val="22"/>
          <w14:ligatures w14:val="none"/>
        </w:rPr>
        <w:t>://doi.org/10.1080/09585192.2016.1203347.</w:t>
      </w:r>
    </w:p>
    <w:p w14:paraId="301B865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Lupena</w:t>
      </w:r>
      <w:proofErr w:type="spellEnd"/>
      <w:r w:rsidRPr="000A7C1E">
        <w:rPr>
          <w:rFonts w:ascii="Arial" w:hAnsi="Arial" w:cs="Arial"/>
          <w:color w:val="000000"/>
          <w:kern w:val="0"/>
          <w:sz w:val="22"/>
          <w:szCs w:val="22"/>
          <w14:ligatures w14:val="none"/>
        </w:rPr>
        <w:t xml:space="preserve">, L. (2024). The Pitfalls of Poor Workforce Planning. [online] </w:t>
      </w:r>
      <w:proofErr w:type="spellStart"/>
      <w:r w:rsidRPr="000A7C1E">
        <w:rPr>
          <w:rFonts w:ascii="Arial" w:hAnsi="Arial" w:cs="Arial"/>
          <w:color w:val="000000"/>
          <w:kern w:val="0"/>
          <w:sz w:val="22"/>
          <w:szCs w:val="22"/>
          <w14:ligatures w14:val="none"/>
        </w:rPr>
        <w:t>Thinkdev</w:t>
      </w:r>
      <w:proofErr w:type="spellEnd"/>
      <w:r w:rsidRPr="000A7C1E">
        <w:rPr>
          <w:rFonts w:ascii="Arial" w:hAnsi="Arial" w:cs="Arial"/>
          <w:color w:val="000000"/>
          <w:kern w:val="0"/>
          <w:sz w:val="22"/>
          <w:szCs w:val="22"/>
          <w14:ligatures w14:val="none"/>
        </w:rPr>
        <w:t>. Available at: https://thinkdev.org/blog/the-pitfalls-of-poor-workforce-planning [Accessed 23 Oct. 2024].</w:t>
      </w:r>
    </w:p>
    <w:p w14:paraId="2AFE47BF"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Marta, I.A., </w:t>
      </w:r>
      <w:proofErr w:type="spellStart"/>
      <w:r w:rsidRPr="000A7C1E">
        <w:rPr>
          <w:rFonts w:ascii="Arial" w:hAnsi="Arial" w:cs="Arial"/>
          <w:color w:val="000000"/>
          <w:kern w:val="0"/>
          <w:sz w:val="22"/>
          <w:szCs w:val="22"/>
          <w14:ligatures w14:val="none"/>
        </w:rPr>
        <w:t>Supartha</w:t>
      </w:r>
      <w:proofErr w:type="spellEnd"/>
      <w:r w:rsidRPr="000A7C1E">
        <w:rPr>
          <w:rFonts w:ascii="Arial" w:hAnsi="Arial" w:cs="Arial"/>
          <w:color w:val="000000"/>
          <w:kern w:val="0"/>
          <w:sz w:val="22"/>
          <w:szCs w:val="22"/>
          <w14:ligatures w14:val="none"/>
        </w:rPr>
        <w:t xml:space="preserve">, I.W.G., </w:t>
      </w:r>
      <w:proofErr w:type="spellStart"/>
      <w:r w:rsidRPr="000A7C1E">
        <w:rPr>
          <w:rFonts w:ascii="Arial" w:hAnsi="Arial" w:cs="Arial"/>
          <w:color w:val="000000"/>
          <w:kern w:val="0"/>
          <w:sz w:val="22"/>
          <w:szCs w:val="22"/>
          <w14:ligatures w14:val="none"/>
        </w:rPr>
        <w:t>Dewi</w:t>
      </w:r>
      <w:proofErr w:type="spellEnd"/>
      <w:r w:rsidRPr="000A7C1E">
        <w:rPr>
          <w:rFonts w:ascii="Arial" w:hAnsi="Arial" w:cs="Arial"/>
          <w:color w:val="000000"/>
          <w:kern w:val="0"/>
          <w:sz w:val="22"/>
          <w:szCs w:val="22"/>
          <w14:ligatures w14:val="none"/>
        </w:rPr>
        <w:t xml:space="preserve">, I.G.A.M. and </w:t>
      </w:r>
      <w:proofErr w:type="spellStart"/>
      <w:r w:rsidRPr="000A7C1E">
        <w:rPr>
          <w:rFonts w:ascii="Arial" w:hAnsi="Arial" w:cs="Arial"/>
          <w:color w:val="000000"/>
          <w:kern w:val="0"/>
          <w:sz w:val="22"/>
          <w:szCs w:val="22"/>
          <w14:ligatures w14:val="none"/>
        </w:rPr>
        <w:t>Wibawa</w:t>
      </w:r>
      <w:proofErr w:type="spellEnd"/>
      <w:r w:rsidRPr="000A7C1E">
        <w:rPr>
          <w:rFonts w:ascii="Arial" w:hAnsi="Arial" w:cs="Arial"/>
          <w:color w:val="000000"/>
          <w:kern w:val="0"/>
          <w:sz w:val="22"/>
          <w:szCs w:val="22"/>
          <w14:ligatures w14:val="none"/>
        </w:rPr>
        <w:t xml:space="preserve">, I.M.A. (2021). Job Enrichment, Empowerment, and </w:t>
      </w:r>
      <w:proofErr w:type="spellStart"/>
      <w:r w:rsidRPr="000A7C1E">
        <w:rPr>
          <w:rFonts w:ascii="Arial" w:hAnsi="Arial" w:cs="Arial"/>
          <w:color w:val="000000"/>
          <w:kern w:val="0"/>
          <w:sz w:val="22"/>
          <w:szCs w:val="22"/>
          <w14:ligatures w14:val="none"/>
        </w:rPr>
        <w:t>Organizational</w:t>
      </w:r>
      <w:proofErr w:type="spellEnd"/>
      <w:r w:rsidRPr="000A7C1E">
        <w:rPr>
          <w:rFonts w:ascii="Arial" w:hAnsi="Arial" w:cs="Arial"/>
          <w:color w:val="000000"/>
          <w:kern w:val="0"/>
          <w:sz w:val="22"/>
          <w:szCs w:val="22"/>
          <w14:ligatures w14:val="none"/>
        </w:rPr>
        <w:t xml:space="preserve"> Commitment: the Mediating Role of Work Motivation and Job Satisfaction. The Journal of Asian Finance, Economics, and Business, [online] 8(1), pp.1031–1040. </w:t>
      </w:r>
      <w:proofErr w:type="spellStart"/>
      <w:r w:rsidRPr="000A7C1E">
        <w:rPr>
          <w:rFonts w:ascii="Arial" w:hAnsi="Arial" w:cs="Arial"/>
          <w:color w:val="000000"/>
          <w:kern w:val="0"/>
          <w:sz w:val="22"/>
          <w:szCs w:val="22"/>
          <w14:ligatures w14:val="none"/>
        </w:rPr>
        <w:t>doi:https</w:t>
      </w:r>
      <w:proofErr w:type="spellEnd"/>
      <w:r w:rsidRPr="000A7C1E">
        <w:rPr>
          <w:rFonts w:ascii="Arial" w:hAnsi="Arial" w:cs="Arial"/>
          <w:color w:val="000000"/>
          <w:kern w:val="0"/>
          <w:sz w:val="22"/>
          <w:szCs w:val="22"/>
          <w14:ligatures w14:val="none"/>
        </w:rPr>
        <w:t>://doi.org/10.13106/jafeb.2021.vol8.no1.1031.</w:t>
      </w:r>
    </w:p>
    <w:p w14:paraId="7813396F"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McCartney, C. (2023a). CIPD | Induction | Factsheets. [online] CIPD. Available at: https://www.cipd.org/uk/knowledge/factsheets/induction-factsheet/#benefitseffectiveinduction [Accessed 27 Oct. 2024].</w:t>
      </w:r>
    </w:p>
    <w:p w14:paraId="148F495E"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McCartney, C. (2023b). CIPD | Recruitment Process Overview | Factsheets. [online] CIPD. Available at: https://www.cipd.org/uk/knowledge/factsheets/recruitment-factsheet/ [Accessed 24 Oct. 2024].</w:t>
      </w:r>
    </w:p>
    <w:p w14:paraId="57FE6028"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Morris, A. (2024a). Understanding the Permanent Contract for Employers | DavidsonMorris. [online] DavidsonMorris | Solicitors. Available at: https://www.davidsonmorris.com/permanent-contract/ [Accessed 28 Oct. 2024].</w:t>
      </w:r>
    </w:p>
    <w:p w14:paraId="54BBC389"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Morris, A. (2024b). Understanding the Permanent Contract for Employers | DavidsonMorris. [online] DavidsonMorris | Solicitors. Available at: https://www.davidsonmorris.com/permanent-contract/ [Accessed 28 Oct. 2024].</w:t>
      </w:r>
    </w:p>
    <w:p w14:paraId="424932EA"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Newhouse, M. (2020). Why Effective Onboarding Is More Important Than Ever. Forbes. [online] 2 Dec. Available at: https://www.forbes.com/councils/forbeshumanresourcescouncil/2020/12/02/why-effective-onboarding-is-more-important-than-ever/ [Accessed 9 Nov. 2024].</w:t>
      </w:r>
    </w:p>
    <w:p w14:paraId="0D33142D"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People Management (2022). How to </w:t>
      </w:r>
      <w:proofErr w:type="spellStart"/>
      <w:r w:rsidRPr="000A7C1E">
        <w:rPr>
          <w:rFonts w:ascii="Arial" w:hAnsi="Arial" w:cs="Arial"/>
          <w:color w:val="000000"/>
          <w:kern w:val="0"/>
          <w:sz w:val="22"/>
          <w:szCs w:val="22"/>
          <w14:ligatures w14:val="none"/>
        </w:rPr>
        <w:t>Futureproof</w:t>
      </w:r>
      <w:proofErr w:type="spellEnd"/>
      <w:r w:rsidRPr="000A7C1E">
        <w:rPr>
          <w:rFonts w:ascii="Arial" w:hAnsi="Arial" w:cs="Arial"/>
          <w:color w:val="000000"/>
          <w:kern w:val="0"/>
          <w:sz w:val="22"/>
          <w:szCs w:val="22"/>
          <w14:ligatures w14:val="none"/>
        </w:rPr>
        <w:t xml:space="preserve"> Your Business with Effective Workforce Planning. [online] www.peoplemanagement.co.uk. Available at: </w:t>
      </w:r>
      <w:r w:rsidRPr="000A7C1E">
        <w:rPr>
          <w:rFonts w:ascii="Arial" w:hAnsi="Arial" w:cs="Arial"/>
          <w:color w:val="000000"/>
          <w:kern w:val="0"/>
          <w:sz w:val="22"/>
          <w:szCs w:val="22"/>
          <w14:ligatures w14:val="none"/>
        </w:rPr>
        <w:lastRenderedPageBreak/>
        <w:t>https://www.peoplemanagement.co.uk/article/1795549/futureproof-business-effective-workforce-planning [Accessed 9 Nov. 2024].</w:t>
      </w:r>
    </w:p>
    <w:p w14:paraId="7B99BBAA"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Peters, R. (2024). People Profession 2023 International Survey Report. [online] Available at: https://www.cipd.org/globalassets/media/knowledge/knowledge-hub/reports/2023-pdfs/2023-people-profession-report-international.pdf.</w:t>
      </w:r>
    </w:p>
    <w:p w14:paraId="53C1673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Picardi</w:t>
      </w:r>
      <w:proofErr w:type="spellEnd"/>
      <w:r w:rsidRPr="000A7C1E">
        <w:rPr>
          <w:rFonts w:ascii="Arial" w:hAnsi="Arial" w:cs="Arial"/>
          <w:color w:val="000000"/>
          <w:kern w:val="0"/>
          <w:sz w:val="22"/>
          <w:szCs w:val="22"/>
          <w14:ligatures w14:val="none"/>
        </w:rPr>
        <w:t>, C.A. (2020). Recruitment and Selection : Strategies for Workforce Planning and Assessment. Los Angeles ; London Sage.</w:t>
      </w:r>
    </w:p>
    <w:p w14:paraId="3DA25A04"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Porter, M.E. (1985). Competitive Advantage. Micheal Porter.</w:t>
      </w:r>
    </w:p>
    <w:p w14:paraId="1864108A"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proquest</w:t>
      </w:r>
      <w:proofErr w:type="spellEnd"/>
      <w:r w:rsidRPr="000A7C1E">
        <w:rPr>
          <w:rFonts w:ascii="Arial" w:hAnsi="Arial" w:cs="Arial"/>
          <w:color w:val="000000"/>
          <w:kern w:val="0"/>
          <w:sz w:val="22"/>
          <w:szCs w:val="22"/>
          <w14:ligatures w14:val="none"/>
        </w:rPr>
        <w:t xml:space="preserve"> (2024). Part One in a Series: RETENTION THROUGH ON-BOARDING - ProQuest. [online] Proquest.com. Available at: https://www.proquest.com/trade-journals/part-one-series-retention-through-on-boarding/docview/214010113/se-2?accountid=130472 [Accessed 2 Nov. 2024].</w:t>
      </w:r>
    </w:p>
    <w:p w14:paraId="51DB43BE"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Russell, T. and Weeks, A. (2024). Ethics at work: an Employer’s Guide. [online] CIPD. Available at: https://www.cipd.org/uk/knowledge/guides/ethics-work-guide/ [Accessed 21 Oct. 2024].</w:t>
      </w:r>
    </w:p>
    <w:p w14:paraId="63C2A00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Silkin</w:t>
      </w:r>
      <w:proofErr w:type="spellEnd"/>
      <w:r w:rsidRPr="000A7C1E">
        <w:rPr>
          <w:rFonts w:ascii="Arial" w:hAnsi="Arial" w:cs="Arial"/>
          <w:color w:val="000000"/>
          <w:kern w:val="0"/>
          <w:sz w:val="22"/>
          <w:szCs w:val="22"/>
          <w14:ligatures w14:val="none"/>
        </w:rPr>
        <w:t>, L. (2024a). CIPD | How to manage an increase in flexible working requests. [online] CIPD. Available at: https://www.cipd.org/uk/knowledge/guides/agency-workers-guide/#agency-workers-and-an-overview-of-the-law [Accessed 27 Oct. 2024].</w:t>
      </w:r>
    </w:p>
    <w:p w14:paraId="3C82C5E6"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Silkin</w:t>
      </w:r>
      <w:proofErr w:type="spellEnd"/>
      <w:r w:rsidRPr="000A7C1E">
        <w:rPr>
          <w:rFonts w:ascii="Arial" w:hAnsi="Arial" w:cs="Arial"/>
          <w:color w:val="000000"/>
          <w:kern w:val="0"/>
          <w:sz w:val="22"/>
          <w:szCs w:val="22"/>
          <w14:ligatures w14:val="none"/>
        </w:rPr>
        <w:t>, L. (2024b). CIPD | How to manage an increase in flexible working requests. [online] CIPD. Available at: https://www.cipd.org/uk/knowledge/guides/agency-workers-guide/#agency-workers-and-an-overview-of-the-law [Accessed 27 Oct. 2024].</w:t>
      </w:r>
    </w:p>
    <w:p w14:paraId="7FEEE4B7"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Stephen Taylor and Chartered Institute Of Personnel And Development (2018a). Resourcing and talent management. Editorial: London: </w:t>
      </w:r>
      <w:proofErr w:type="spellStart"/>
      <w:r w:rsidRPr="000A7C1E">
        <w:rPr>
          <w:rFonts w:ascii="Arial" w:hAnsi="Arial" w:cs="Arial"/>
          <w:color w:val="000000"/>
          <w:kern w:val="0"/>
          <w:sz w:val="22"/>
          <w:szCs w:val="22"/>
          <w14:ligatures w14:val="none"/>
        </w:rPr>
        <w:t>Koganpage</w:t>
      </w:r>
      <w:proofErr w:type="spellEnd"/>
      <w:r w:rsidRPr="000A7C1E">
        <w:rPr>
          <w:rFonts w:ascii="Arial" w:hAnsi="Arial" w:cs="Arial"/>
          <w:color w:val="000000"/>
          <w:kern w:val="0"/>
          <w:sz w:val="22"/>
          <w:szCs w:val="22"/>
          <w14:ligatures w14:val="none"/>
        </w:rPr>
        <w:t>.</w:t>
      </w:r>
    </w:p>
    <w:p w14:paraId="0AC92A5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Stephen Taylor and Chartered Institute Of Personnel And Development (2018b). Resourcing and talent management. Editorial: London: </w:t>
      </w:r>
      <w:proofErr w:type="spellStart"/>
      <w:r w:rsidRPr="000A7C1E">
        <w:rPr>
          <w:rFonts w:ascii="Arial" w:hAnsi="Arial" w:cs="Arial"/>
          <w:color w:val="000000"/>
          <w:kern w:val="0"/>
          <w:sz w:val="22"/>
          <w:szCs w:val="22"/>
          <w14:ligatures w14:val="none"/>
        </w:rPr>
        <w:t>Koganpage</w:t>
      </w:r>
      <w:proofErr w:type="spellEnd"/>
      <w:r w:rsidRPr="000A7C1E">
        <w:rPr>
          <w:rFonts w:ascii="Arial" w:hAnsi="Arial" w:cs="Arial"/>
          <w:color w:val="000000"/>
          <w:kern w:val="0"/>
          <w:sz w:val="22"/>
          <w:szCs w:val="22"/>
          <w14:ligatures w14:val="none"/>
        </w:rPr>
        <w:t>.</w:t>
      </w:r>
    </w:p>
    <w:p w14:paraId="626AB1D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Stredwick</w:t>
      </w:r>
      <w:proofErr w:type="spellEnd"/>
      <w:r w:rsidRPr="000A7C1E">
        <w:rPr>
          <w:rFonts w:ascii="Arial" w:hAnsi="Arial" w:cs="Arial"/>
          <w:color w:val="000000"/>
          <w:kern w:val="0"/>
          <w:sz w:val="22"/>
          <w:szCs w:val="22"/>
          <w14:ligatures w14:val="none"/>
        </w:rPr>
        <w:t>, J. (2005a). An Introduction to Human Resource Management. Great Britain: Butterworth-Heinemann.</w:t>
      </w:r>
    </w:p>
    <w:p w14:paraId="323625BB"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Stredwick</w:t>
      </w:r>
      <w:proofErr w:type="spellEnd"/>
      <w:r w:rsidRPr="000A7C1E">
        <w:rPr>
          <w:rFonts w:ascii="Arial" w:hAnsi="Arial" w:cs="Arial"/>
          <w:color w:val="000000"/>
          <w:kern w:val="0"/>
          <w:sz w:val="22"/>
          <w:szCs w:val="22"/>
          <w14:ligatures w14:val="none"/>
        </w:rPr>
        <w:t>, J. (2005b). An Introduction to Human Resource Management. Great Britain: Butterworth-Heinemann.</w:t>
      </w:r>
    </w:p>
    <w:p w14:paraId="6252447C"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lastRenderedPageBreak/>
        <w:t>Stredwick</w:t>
      </w:r>
      <w:proofErr w:type="spellEnd"/>
      <w:r w:rsidRPr="000A7C1E">
        <w:rPr>
          <w:rFonts w:ascii="Arial" w:hAnsi="Arial" w:cs="Arial"/>
          <w:color w:val="000000"/>
          <w:kern w:val="0"/>
          <w:sz w:val="22"/>
          <w:szCs w:val="22"/>
          <w14:ligatures w14:val="none"/>
        </w:rPr>
        <w:t>, J. (2005c). An Introduction to Human Resource Management. Great Britain: Butterworth-Heinemann.</w:t>
      </w:r>
    </w:p>
    <w:p w14:paraId="091A22D1"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proofErr w:type="spellStart"/>
      <w:r w:rsidRPr="000A7C1E">
        <w:rPr>
          <w:rFonts w:ascii="Arial" w:hAnsi="Arial" w:cs="Arial"/>
          <w:color w:val="000000"/>
          <w:kern w:val="0"/>
          <w:sz w:val="22"/>
          <w:szCs w:val="22"/>
          <w14:ligatures w14:val="none"/>
        </w:rPr>
        <w:t>Sufyan</w:t>
      </w:r>
      <w:proofErr w:type="spellEnd"/>
      <w:r w:rsidRPr="000A7C1E">
        <w:rPr>
          <w:rFonts w:ascii="Arial" w:hAnsi="Arial" w:cs="Arial"/>
          <w:color w:val="000000"/>
          <w:kern w:val="0"/>
          <w:sz w:val="22"/>
          <w:szCs w:val="22"/>
          <w14:ligatures w14:val="none"/>
        </w:rPr>
        <w:t xml:space="preserve">, M.Z. (2010). Role of Push Vs Pull Factors in Employee Job Switch Decision. Journal of Independent Studies and Research-Management, Social Sciences and Economics, 8(1), pp.95–105. </w:t>
      </w:r>
      <w:proofErr w:type="spellStart"/>
      <w:r w:rsidRPr="000A7C1E">
        <w:rPr>
          <w:rFonts w:ascii="Arial" w:hAnsi="Arial" w:cs="Arial"/>
          <w:color w:val="000000"/>
          <w:kern w:val="0"/>
          <w:sz w:val="22"/>
          <w:szCs w:val="22"/>
          <w14:ligatures w14:val="none"/>
        </w:rPr>
        <w:t>doi:https</w:t>
      </w:r>
      <w:proofErr w:type="spellEnd"/>
      <w:r w:rsidRPr="000A7C1E">
        <w:rPr>
          <w:rFonts w:ascii="Arial" w:hAnsi="Arial" w:cs="Arial"/>
          <w:color w:val="000000"/>
          <w:kern w:val="0"/>
          <w:sz w:val="22"/>
          <w:szCs w:val="22"/>
          <w14:ligatures w14:val="none"/>
        </w:rPr>
        <w:t>://doi.org/10.31384/jisrmsse/2010.08.1.8.</w:t>
      </w:r>
    </w:p>
    <w:p w14:paraId="4AB65044"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(2016a). Studying Human Resource Management. 2nd ed. Kogan Page Publishers.</w:t>
      </w:r>
    </w:p>
    <w:p w14:paraId="4F321E37"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(2016b). Studying Human Resource Management. 2nd ed. Kogan Page Publishers.</w:t>
      </w:r>
    </w:p>
    <w:p w14:paraId="50BDF1D5"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(2016c). Studying Human Resource Management. 2nd ed. Kogan Page Publishers.</w:t>
      </w:r>
    </w:p>
    <w:p w14:paraId="21F347A8"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(2016d). Studying Human Resource Management. 2nd ed. Kogan Page Publishers.</w:t>
      </w:r>
    </w:p>
    <w:p w14:paraId="0D10B241"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(2016e). Studying Human Resource Management. 2nd ed. Kogan Page Publishers.</w:t>
      </w:r>
    </w:p>
    <w:p w14:paraId="54932042"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(2016f). Studying Human Resource Management. 2nd ed. Kogan Page Publishers.</w:t>
      </w:r>
    </w:p>
    <w:p w14:paraId="2B496A1B"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(2016g). Studying Human Resource Management. 2nd ed. Kogan Page Publishers.</w:t>
      </w:r>
    </w:p>
    <w:p w14:paraId="3A785764"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(2016h). Studying Human Resource Management. 2nd ed. Kogan Page Publishers.</w:t>
      </w:r>
    </w:p>
    <w:p w14:paraId="35BD590B"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(2016i). Studying Human Resource Management. 2nd ed. Kogan Page Publishers.</w:t>
      </w:r>
    </w:p>
    <w:p w14:paraId="3C0DB9F0"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(2016j). Studying Human Resource Management. 2nd ed. Kogan Page Publishers.</w:t>
      </w:r>
    </w:p>
    <w:p w14:paraId="75A2F5D7"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(2016k). Studying Human Resource Management. 2nd ed. Kogan Page Publishers.</w:t>
      </w:r>
    </w:p>
    <w:p w14:paraId="07BE2827"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(2016l). Studying Human Resource Management. 2nd ed. Kogan Page Publishers.</w:t>
      </w:r>
    </w:p>
    <w:p w14:paraId="25171AFD"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lastRenderedPageBreak/>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(2016m). Studying Human Resource Management. 2nd ed. Kogan Page Publishers.</w:t>
      </w:r>
    </w:p>
    <w:p w14:paraId="027325F2"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(2016n). Studying Human Resource Management. 2nd ed. Kogan Page Publishers.</w:t>
      </w:r>
    </w:p>
    <w:p w14:paraId="168353B6"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(2016o). Studying Human Resource Management. 2nd ed. Kogan Page Publishers.</w:t>
      </w:r>
    </w:p>
    <w:p w14:paraId="472F39B2"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(2016p). Studying Human Resource Management. 2nd ed. Kogan Page Publishers.</w:t>
      </w:r>
    </w:p>
    <w:p w14:paraId="79C54491"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(2016q). Studying Human Resource Management. 2nd ed. Kogan Page Publishers.</w:t>
      </w:r>
    </w:p>
    <w:p w14:paraId="1FE465E4"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(2016r). Studying Human Resource Management. 2nd ed. Kogan Page Publishers.</w:t>
      </w:r>
    </w:p>
    <w:p w14:paraId="18258F02"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(2016s). Studying Human Resource Management. 2nd ed. Kogan Page Publishers.</w:t>
      </w:r>
    </w:p>
    <w:p w14:paraId="73EBF586" w14:textId="77777777" w:rsidR="00573A6E" w:rsidRPr="000A7C1E" w:rsidRDefault="00573A6E" w:rsidP="00573A6E">
      <w:pPr>
        <w:spacing w:after="240" w:line="360" w:lineRule="atLeast"/>
        <w:divId w:val="1216234122"/>
        <w:rPr>
          <w:rFonts w:ascii="Arial" w:hAnsi="Arial" w:cs="Arial"/>
          <w:color w:val="000000"/>
          <w:kern w:val="0"/>
          <w:sz w:val="22"/>
          <w:szCs w:val="22"/>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(2016t). Studying Human Resource Management. 2nd ed. Kogan Page Publishers.</w:t>
      </w:r>
    </w:p>
    <w:p w14:paraId="3E36FF8E" w14:textId="77777777" w:rsidR="00573A6E" w:rsidRPr="00573A6E" w:rsidRDefault="00573A6E" w:rsidP="00573A6E">
      <w:pPr>
        <w:spacing w:after="240" w:line="360" w:lineRule="atLeast"/>
        <w:divId w:val="1216234122"/>
        <w:rPr>
          <w:rFonts w:ascii="Arial" w:hAnsi="Arial" w:cs="Arial"/>
          <w:color w:val="000000"/>
          <w:kern w:val="0"/>
          <w14:ligatures w14:val="none"/>
        </w:rPr>
      </w:pPr>
      <w:r w:rsidRPr="000A7C1E">
        <w:rPr>
          <w:rFonts w:ascii="Arial" w:hAnsi="Arial" w:cs="Arial"/>
          <w:color w:val="000000"/>
          <w:kern w:val="0"/>
          <w:sz w:val="22"/>
          <w:szCs w:val="22"/>
          <w14:ligatures w14:val="none"/>
        </w:rPr>
        <w:t xml:space="preserve">Taylor, S. and </w:t>
      </w:r>
      <w:proofErr w:type="spellStart"/>
      <w:r w:rsidRPr="000A7C1E">
        <w:rPr>
          <w:rFonts w:ascii="Arial" w:hAnsi="Arial" w:cs="Arial"/>
          <w:color w:val="000000"/>
          <w:kern w:val="0"/>
          <w:sz w:val="22"/>
          <w:szCs w:val="22"/>
          <w14:ligatures w14:val="none"/>
        </w:rPr>
        <w:t>Woodhams</w:t>
      </w:r>
      <w:proofErr w:type="spellEnd"/>
      <w:r w:rsidRPr="000A7C1E">
        <w:rPr>
          <w:rFonts w:ascii="Arial" w:hAnsi="Arial" w:cs="Arial"/>
          <w:color w:val="000000"/>
          <w:kern w:val="0"/>
          <w:sz w:val="22"/>
          <w:szCs w:val="22"/>
          <w14:ligatures w14:val="none"/>
        </w:rPr>
        <w:t>, C. (2016u). Studying Human Resource Management. 2nd ed. Kogan Page Publishers.</w:t>
      </w:r>
    </w:p>
    <w:p w14:paraId="77D9FA41" w14:textId="77777777" w:rsidR="00AC1C13" w:rsidRPr="00D4214B" w:rsidRDefault="00AC1C13" w:rsidP="00D4214B">
      <w:pPr>
        <w:rPr>
          <w:rFonts w:ascii="Arial" w:hAnsi="Arial" w:cs="Arial"/>
          <w:color w:val="215E99" w:themeColor="text2" w:themeTint="BF"/>
          <w:sz w:val="22"/>
          <w:szCs w:val="22"/>
        </w:rPr>
      </w:pPr>
    </w:p>
    <w:sectPr w:rsidR="00AC1C13" w:rsidRPr="00D421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ifVT1EIA" int2:invalidationBookmarkName="" int2:hashCode="LKKPgOwzGSnxNB" int2:id="z87rrgyl">
      <int2:state int2:value="Rejected" int2:type="AugLoop_Text_Critique"/>
    </int2:bookmark>
    <int2:bookmark int2:bookmarkName="_Int_fj6S5H3J" int2:invalidationBookmarkName="" int2:hashCode="ISQDfKZqM8FMSE" int2:id="L3RrBQf1">
      <int2:state int2:value="Rejected" int2:type="AugLoop_Text_Critique"/>
    </int2:bookmark>
    <int2:bookmark int2:bookmarkName="_Int_vVWcaIBi" int2:invalidationBookmarkName="" int2:hashCode="2uW32/K8uBDHiu" int2:id="6kXCBHCg">
      <int2:state int2:value="Rejected" int2:type="AugLoop_Text_Critique"/>
    </int2:bookmark>
    <int2:bookmark int2:bookmarkName="_Int_Uj6NMXEq" int2:invalidationBookmarkName="" int2:hashCode="N6w+ZVWwv33fAV" int2:id="kkJhxKe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C0060"/>
    <w:multiLevelType w:val="hybridMultilevel"/>
    <w:tmpl w:val="28665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4F3232"/>
    <w:multiLevelType w:val="hybridMultilevel"/>
    <w:tmpl w:val="FFFFFFFF"/>
    <w:numStyleLink w:val="ImportedStyle5"/>
  </w:abstractNum>
  <w:abstractNum w:abstractNumId="2" w15:restartNumberingAfterBreak="0">
    <w:nsid w:val="3F3A45B8"/>
    <w:multiLevelType w:val="hybridMultilevel"/>
    <w:tmpl w:val="FFFFFFFF"/>
    <w:numStyleLink w:val="ImportedStyle5"/>
  </w:abstractNum>
  <w:abstractNum w:abstractNumId="3" w15:restartNumberingAfterBreak="0">
    <w:nsid w:val="44A3591F"/>
    <w:multiLevelType w:val="hybridMultilevel"/>
    <w:tmpl w:val="FFFFFFFF"/>
    <w:styleLink w:val="ImportedStyle5"/>
    <w:lvl w:ilvl="0" w:tplc="76121274">
      <w:start w:val="1"/>
      <w:numFmt w:val="decimal"/>
      <w:lvlText w:val="%1."/>
      <w:lvlJc w:val="left"/>
      <w:pPr>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4FEEF57C">
      <w:start w:val="1"/>
      <w:numFmt w:val="lowerLetter"/>
      <w:lvlText w:val="%2."/>
      <w:lvlJc w:val="left"/>
      <w:pPr>
        <w:ind w:left="14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257A1418">
      <w:start w:val="1"/>
      <w:numFmt w:val="lowerRoman"/>
      <w:lvlText w:val="%3."/>
      <w:lvlJc w:val="left"/>
      <w:pPr>
        <w:ind w:left="216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568463CA">
      <w:start w:val="1"/>
      <w:numFmt w:val="decimal"/>
      <w:lvlText w:val="%4."/>
      <w:lvlJc w:val="left"/>
      <w:pPr>
        <w:ind w:left="288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B346F38A">
      <w:start w:val="1"/>
      <w:numFmt w:val="lowerLetter"/>
      <w:lvlText w:val="%5."/>
      <w:lvlJc w:val="left"/>
      <w:pPr>
        <w:ind w:left="360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8D24001A">
      <w:start w:val="1"/>
      <w:numFmt w:val="lowerRoman"/>
      <w:lvlText w:val="%6."/>
      <w:lvlJc w:val="left"/>
      <w:pPr>
        <w:ind w:left="432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5AF2838A">
      <w:start w:val="1"/>
      <w:numFmt w:val="decimal"/>
      <w:lvlText w:val="%7."/>
      <w:lvlJc w:val="left"/>
      <w:pPr>
        <w:ind w:left="504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E042DF2E">
      <w:start w:val="1"/>
      <w:numFmt w:val="lowerLetter"/>
      <w:lvlText w:val="%8."/>
      <w:lvlJc w:val="left"/>
      <w:pPr>
        <w:ind w:left="576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99F00C5C">
      <w:start w:val="1"/>
      <w:numFmt w:val="lowerRoman"/>
      <w:lvlText w:val="%9."/>
      <w:lvlJc w:val="left"/>
      <w:pPr>
        <w:ind w:left="6480" w:hanging="29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4" w15:restartNumberingAfterBreak="0">
    <w:nsid w:val="6A301479"/>
    <w:multiLevelType w:val="hybridMultilevel"/>
    <w:tmpl w:val="FFFFFFFF"/>
    <w:lvl w:ilvl="0" w:tplc="3A0AE7FC">
      <w:start w:val="1"/>
      <w:numFmt w:val="decimal"/>
      <w:lvlText w:val="%1)"/>
      <w:lvlJc w:val="left"/>
      <w:pPr>
        <w:ind w:left="327" w:hanging="327"/>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500A1564">
      <w:start w:val="1"/>
      <w:numFmt w:val="decimal"/>
      <w:lvlText w:val="%2)"/>
      <w:lvlJc w:val="left"/>
      <w:pPr>
        <w:ind w:left="75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06649786">
      <w:start w:val="1"/>
      <w:numFmt w:val="decimal"/>
      <w:lvlText w:val="%3)"/>
      <w:lvlJc w:val="left"/>
      <w:pPr>
        <w:ind w:left="111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65887EF4">
      <w:start w:val="1"/>
      <w:numFmt w:val="decimal"/>
      <w:lvlText w:val="%4)"/>
      <w:lvlJc w:val="left"/>
      <w:pPr>
        <w:ind w:left="147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EB2EF88A">
      <w:start w:val="1"/>
      <w:numFmt w:val="decimal"/>
      <w:lvlText w:val="%5)"/>
      <w:lvlJc w:val="left"/>
      <w:pPr>
        <w:ind w:left="183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7D2A2166">
      <w:start w:val="1"/>
      <w:numFmt w:val="decimal"/>
      <w:lvlText w:val="%6)"/>
      <w:lvlJc w:val="left"/>
      <w:pPr>
        <w:ind w:left="219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B78C29C2">
      <w:start w:val="1"/>
      <w:numFmt w:val="decimal"/>
      <w:lvlText w:val="%7)"/>
      <w:lvlJc w:val="left"/>
      <w:pPr>
        <w:ind w:left="255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4B9E5900">
      <w:start w:val="1"/>
      <w:numFmt w:val="decimal"/>
      <w:lvlText w:val="%8)"/>
      <w:lvlJc w:val="left"/>
      <w:pPr>
        <w:ind w:left="291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EF949B4C">
      <w:start w:val="1"/>
      <w:numFmt w:val="decimal"/>
      <w:lvlText w:val="%9)"/>
      <w:lvlJc w:val="left"/>
      <w:pPr>
        <w:ind w:left="3273" w:hanging="393"/>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num w:numId="1" w16cid:durableId="1001353867">
    <w:abstractNumId w:val="0"/>
  </w:num>
  <w:num w:numId="2" w16cid:durableId="49344996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43874657">
    <w:abstractNumId w:val="3"/>
  </w:num>
  <w:num w:numId="4" w16cid:durableId="195659537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92776029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062"/>
    <w:rsid w:val="0000207C"/>
    <w:rsid w:val="00004A40"/>
    <w:rsid w:val="0000785C"/>
    <w:rsid w:val="0001236D"/>
    <w:rsid w:val="000167F5"/>
    <w:rsid w:val="00021C3C"/>
    <w:rsid w:val="0002208A"/>
    <w:rsid w:val="00025169"/>
    <w:rsid w:val="00026BAB"/>
    <w:rsid w:val="00030BA3"/>
    <w:rsid w:val="00044CCB"/>
    <w:rsid w:val="000452B0"/>
    <w:rsid w:val="00045C74"/>
    <w:rsid w:val="000506A9"/>
    <w:rsid w:val="00050A11"/>
    <w:rsid w:val="000529C8"/>
    <w:rsid w:val="000551FC"/>
    <w:rsid w:val="0005645A"/>
    <w:rsid w:val="000616F3"/>
    <w:rsid w:val="00063716"/>
    <w:rsid w:val="00072671"/>
    <w:rsid w:val="00077E4D"/>
    <w:rsid w:val="00085071"/>
    <w:rsid w:val="000865EC"/>
    <w:rsid w:val="000879CE"/>
    <w:rsid w:val="00091CD4"/>
    <w:rsid w:val="00093121"/>
    <w:rsid w:val="000941BB"/>
    <w:rsid w:val="000A242C"/>
    <w:rsid w:val="000A41EA"/>
    <w:rsid w:val="000A7C1E"/>
    <w:rsid w:val="000B24A9"/>
    <w:rsid w:val="000B5154"/>
    <w:rsid w:val="000C217A"/>
    <w:rsid w:val="000C75AF"/>
    <w:rsid w:val="000E00A6"/>
    <w:rsid w:val="000E1DB0"/>
    <w:rsid w:val="000E2321"/>
    <w:rsid w:val="000E56A8"/>
    <w:rsid w:val="000F14C8"/>
    <w:rsid w:val="000F4D19"/>
    <w:rsid w:val="000F546C"/>
    <w:rsid w:val="000F718B"/>
    <w:rsid w:val="001034C5"/>
    <w:rsid w:val="0010399B"/>
    <w:rsid w:val="001061AC"/>
    <w:rsid w:val="00117F4D"/>
    <w:rsid w:val="00120957"/>
    <w:rsid w:val="00125AD7"/>
    <w:rsid w:val="001279C5"/>
    <w:rsid w:val="00130B5F"/>
    <w:rsid w:val="00131664"/>
    <w:rsid w:val="00137096"/>
    <w:rsid w:val="0014016F"/>
    <w:rsid w:val="0014060B"/>
    <w:rsid w:val="00142F20"/>
    <w:rsid w:val="00143804"/>
    <w:rsid w:val="00144F55"/>
    <w:rsid w:val="00146448"/>
    <w:rsid w:val="001472BE"/>
    <w:rsid w:val="00150D13"/>
    <w:rsid w:val="001528D8"/>
    <w:rsid w:val="00154D55"/>
    <w:rsid w:val="00155A1B"/>
    <w:rsid w:val="00155B5F"/>
    <w:rsid w:val="001577B8"/>
    <w:rsid w:val="00166837"/>
    <w:rsid w:val="00180ACC"/>
    <w:rsid w:val="001841F3"/>
    <w:rsid w:val="001850EB"/>
    <w:rsid w:val="0019253F"/>
    <w:rsid w:val="00195AB0"/>
    <w:rsid w:val="00196638"/>
    <w:rsid w:val="001A1E2F"/>
    <w:rsid w:val="001A7937"/>
    <w:rsid w:val="001B49C9"/>
    <w:rsid w:val="001B645D"/>
    <w:rsid w:val="001C6267"/>
    <w:rsid w:val="001D2880"/>
    <w:rsid w:val="001D7AC4"/>
    <w:rsid w:val="001E0BD5"/>
    <w:rsid w:val="001E1906"/>
    <w:rsid w:val="001E7BB4"/>
    <w:rsid w:val="001F058A"/>
    <w:rsid w:val="001F7C30"/>
    <w:rsid w:val="00206912"/>
    <w:rsid w:val="00207AE7"/>
    <w:rsid w:val="00207E76"/>
    <w:rsid w:val="002134B2"/>
    <w:rsid w:val="00217649"/>
    <w:rsid w:val="00223F14"/>
    <w:rsid w:val="002346E7"/>
    <w:rsid w:val="002449DB"/>
    <w:rsid w:val="00245B93"/>
    <w:rsid w:val="00250911"/>
    <w:rsid w:val="00252F2F"/>
    <w:rsid w:val="00256CC9"/>
    <w:rsid w:val="00261599"/>
    <w:rsid w:val="0026260A"/>
    <w:rsid w:val="00263567"/>
    <w:rsid w:val="002666D0"/>
    <w:rsid w:val="00266FB1"/>
    <w:rsid w:val="0027567C"/>
    <w:rsid w:val="00280F1F"/>
    <w:rsid w:val="00284A39"/>
    <w:rsid w:val="00290CE5"/>
    <w:rsid w:val="00292595"/>
    <w:rsid w:val="002A2C5E"/>
    <w:rsid w:val="002A6D52"/>
    <w:rsid w:val="002B0FA8"/>
    <w:rsid w:val="002B305B"/>
    <w:rsid w:val="002B3244"/>
    <w:rsid w:val="002B3F76"/>
    <w:rsid w:val="002C09A0"/>
    <w:rsid w:val="002C5567"/>
    <w:rsid w:val="002D20E3"/>
    <w:rsid w:val="002D36DF"/>
    <w:rsid w:val="002D7676"/>
    <w:rsid w:val="002E6702"/>
    <w:rsid w:val="002F4312"/>
    <w:rsid w:val="00301BB3"/>
    <w:rsid w:val="00305FE6"/>
    <w:rsid w:val="00306E8B"/>
    <w:rsid w:val="003139FF"/>
    <w:rsid w:val="00317B20"/>
    <w:rsid w:val="00320BFE"/>
    <w:rsid w:val="00321195"/>
    <w:rsid w:val="00322303"/>
    <w:rsid w:val="0032390F"/>
    <w:rsid w:val="00347C3E"/>
    <w:rsid w:val="00351CAC"/>
    <w:rsid w:val="003749A9"/>
    <w:rsid w:val="00377BEA"/>
    <w:rsid w:val="003877E1"/>
    <w:rsid w:val="00390CD9"/>
    <w:rsid w:val="00395EBE"/>
    <w:rsid w:val="003B2E0F"/>
    <w:rsid w:val="003B4731"/>
    <w:rsid w:val="003C128D"/>
    <w:rsid w:val="003C2E85"/>
    <w:rsid w:val="003C3A1F"/>
    <w:rsid w:val="003C4F80"/>
    <w:rsid w:val="003C58FD"/>
    <w:rsid w:val="003C7841"/>
    <w:rsid w:val="003D040A"/>
    <w:rsid w:val="003D1C1A"/>
    <w:rsid w:val="003D6206"/>
    <w:rsid w:val="003E4885"/>
    <w:rsid w:val="003F0867"/>
    <w:rsid w:val="003F0B85"/>
    <w:rsid w:val="003F4378"/>
    <w:rsid w:val="003F7204"/>
    <w:rsid w:val="004015D7"/>
    <w:rsid w:val="00410975"/>
    <w:rsid w:val="00415DBF"/>
    <w:rsid w:val="004231F8"/>
    <w:rsid w:val="004236AA"/>
    <w:rsid w:val="00424EF2"/>
    <w:rsid w:val="00432C8D"/>
    <w:rsid w:val="00434816"/>
    <w:rsid w:val="00437341"/>
    <w:rsid w:val="004456CB"/>
    <w:rsid w:val="00450192"/>
    <w:rsid w:val="00450C0D"/>
    <w:rsid w:val="00451808"/>
    <w:rsid w:val="0045557C"/>
    <w:rsid w:val="00456983"/>
    <w:rsid w:val="00465984"/>
    <w:rsid w:val="0047024D"/>
    <w:rsid w:val="004855C8"/>
    <w:rsid w:val="00486D32"/>
    <w:rsid w:val="00492C92"/>
    <w:rsid w:val="004939E9"/>
    <w:rsid w:val="00496BCA"/>
    <w:rsid w:val="004A643E"/>
    <w:rsid w:val="004A6B14"/>
    <w:rsid w:val="004B0927"/>
    <w:rsid w:val="004B250B"/>
    <w:rsid w:val="004B3ACA"/>
    <w:rsid w:val="004C340C"/>
    <w:rsid w:val="004C47CD"/>
    <w:rsid w:val="004C76BE"/>
    <w:rsid w:val="004D01BE"/>
    <w:rsid w:val="004D0217"/>
    <w:rsid w:val="004D1529"/>
    <w:rsid w:val="004E350C"/>
    <w:rsid w:val="004F0595"/>
    <w:rsid w:val="004F0608"/>
    <w:rsid w:val="004F36C8"/>
    <w:rsid w:val="004F4074"/>
    <w:rsid w:val="004F64ED"/>
    <w:rsid w:val="00507096"/>
    <w:rsid w:val="005100B3"/>
    <w:rsid w:val="00516C17"/>
    <w:rsid w:val="005172EF"/>
    <w:rsid w:val="00522D93"/>
    <w:rsid w:val="005235A2"/>
    <w:rsid w:val="005241FA"/>
    <w:rsid w:val="005255D0"/>
    <w:rsid w:val="00532245"/>
    <w:rsid w:val="005335CF"/>
    <w:rsid w:val="00534D98"/>
    <w:rsid w:val="00536928"/>
    <w:rsid w:val="00537A10"/>
    <w:rsid w:val="00542213"/>
    <w:rsid w:val="0054277C"/>
    <w:rsid w:val="00552224"/>
    <w:rsid w:val="00557A4B"/>
    <w:rsid w:val="005600FD"/>
    <w:rsid w:val="0057043D"/>
    <w:rsid w:val="005709CD"/>
    <w:rsid w:val="00573A6E"/>
    <w:rsid w:val="005741BD"/>
    <w:rsid w:val="005752D9"/>
    <w:rsid w:val="00580736"/>
    <w:rsid w:val="00582D03"/>
    <w:rsid w:val="005838BE"/>
    <w:rsid w:val="00584E71"/>
    <w:rsid w:val="00593693"/>
    <w:rsid w:val="005A34C6"/>
    <w:rsid w:val="005B7265"/>
    <w:rsid w:val="005C1843"/>
    <w:rsid w:val="005D6D7B"/>
    <w:rsid w:val="005E0102"/>
    <w:rsid w:val="005E0FD5"/>
    <w:rsid w:val="005F2F1B"/>
    <w:rsid w:val="006019DD"/>
    <w:rsid w:val="00602736"/>
    <w:rsid w:val="00604A54"/>
    <w:rsid w:val="00604B0A"/>
    <w:rsid w:val="006112A8"/>
    <w:rsid w:val="00614D8D"/>
    <w:rsid w:val="0062146A"/>
    <w:rsid w:val="0062169C"/>
    <w:rsid w:val="00622105"/>
    <w:rsid w:val="006224B8"/>
    <w:rsid w:val="00646EBC"/>
    <w:rsid w:val="00650AB9"/>
    <w:rsid w:val="006522FB"/>
    <w:rsid w:val="00665CB8"/>
    <w:rsid w:val="00671DAF"/>
    <w:rsid w:val="0067581C"/>
    <w:rsid w:val="00680140"/>
    <w:rsid w:val="00682AA8"/>
    <w:rsid w:val="0069005C"/>
    <w:rsid w:val="006929C3"/>
    <w:rsid w:val="00693B31"/>
    <w:rsid w:val="00697A98"/>
    <w:rsid w:val="00697BF7"/>
    <w:rsid w:val="006A44A6"/>
    <w:rsid w:val="006A64E1"/>
    <w:rsid w:val="006A7831"/>
    <w:rsid w:val="006B1104"/>
    <w:rsid w:val="006B11FC"/>
    <w:rsid w:val="006B1519"/>
    <w:rsid w:val="006B5D86"/>
    <w:rsid w:val="006B6330"/>
    <w:rsid w:val="006B67DE"/>
    <w:rsid w:val="006C0740"/>
    <w:rsid w:val="006D0738"/>
    <w:rsid w:val="006D4F73"/>
    <w:rsid w:val="006D6734"/>
    <w:rsid w:val="006E342B"/>
    <w:rsid w:val="006E58AC"/>
    <w:rsid w:val="006E6DCF"/>
    <w:rsid w:val="006E763E"/>
    <w:rsid w:val="006F1FCE"/>
    <w:rsid w:val="006F5511"/>
    <w:rsid w:val="007043A2"/>
    <w:rsid w:val="007065BE"/>
    <w:rsid w:val="0071480E"/>
    <w:rsid w:val="00723D4C"/>
    <w:rsid w:val="00726E95"/>
    <w:rsid w:val="0075504D"/>
    <w:rsid w:val="007651D6"/>
    <w:rsid w:val="007669C4"/>
    <w:rsid w:val="007765DC"/>
    <w:rsid w:val="007814E0"/>
    <w:rsid w:val="007834F2"/>
    <w:rsid w:val="0078503A"/>
    <w:rsid w:val="0078624B"/>
    <w:rsid w:val="007879F5"/>
    <w:rsid w:val="007914D2"/>
    <w:rsid w:val="00791FBA"/>
    <w:rsid w:val="00793DB1"/>
    <w:rsid w:val="00795BD4"/>
    <w:rsid w:val="007960A8"/>
    <w:rsid w:val="007A6989"/>
    <w:rsid w:val="007B501D"/>
    <w:rsid w:val="007B553F"/>
    <w:rsid w:val="007C4640"/>
    <w:rsid w:val="007C5A7E"/>
    <w:rsid w:val="007C67F6"/>
    <w:rsid w:val="007D2F1A"/>
    <w:rsid w:val="007D4BFD"/>
    <w:rsid w:val="007E327A"/>
    <w:rsid w:val="007E603F"/>
    <w:rsid w:val="007F2AA4"/>
    <w:rsid w:val="00803BAD"/>
    <w:rsid w:val="0080494D"/>
    <w:rsid w:val="00805A74"/>
    <w:rsid w:val="0080642C"/>
    <w:rsid w:val="00816525"/>
    <w:rsid w:val="00817A22"/>
    <w:rsid w:val="008219A8"/>
    <w:rsid w:val="0082259B"/>
    <w:rsid w:val="008271A4"/>
    <w:rsid w:val="008321A7"/>
    <w:rsid w:val="008333C1"/>
    <w:rsid w:val="00833919"/>
    <w:rsid w:val="00833D4A"/>
    <w:rsid w:val="00834780"/>
    <w:rsid w:val="008404A0"/>
    <w:rsid w:val="00841C7E"/>
    <w:rsid w:val="008420A7"/>
    <w:rsid w:val="00842797"/>
    <w:rsid w:val="00845232"/>
    <w:rsid w:val="0084766A"/>
    <w:rsid w:val="00857D5E"/>
    <w:rsid w:val="008645AC"/>
    <w:rsid w:val="008707C8"/>
    <w:rsid w:val="00871E88"/>
    <w:rsid w:val="008764E7"/>
    <w:rsid w:val="00887C5A"/>
    <w:rsid w:val="00893EF4"/>
    <w:rsid w:val="008A0E7F"/>
    <w:rsid w:val="008A62C9"/>
    <w:rsid w:val="008A65B2"/>
    <w:rsid w:val="008A7C02"/>
    <w:rsid w:val="008B2B63"/>
    <w:rsid w:val="008B367E"/>
    <w:rsid w:val="008C4933"/>
    <w:rsid w:val="008C7B5B"/>
    <w:rsid w:val="008D0EB5"/>
    <w:rsid w:val="008D6357"/>
    <w:rsid w:val="008E34BA"/>
    <w:rsid w:val="008E4C94"/>
    <w:rsid w:val="008E5415"/>
    <w:rsid w:val="008E54B3"/>
    <w:rsid w:val="008F2524"/>
    <w:rsid w:val="008F48C2"/>
    <w:rsid w:val="008F78B1"/>
    <w:rsid w:val="0090050D"/>
    <w:rsid w:val="009165BD"/>
    <w:rsid w:val="0093205A"/>
    <w:rsid w:val="00937661"/>
    <w:rsid w:val="00942D85"/>
    <w:rsid w:val="00943B3A"/>
    <w:rsid w:val="00947747"/>
    <w:rsid w:val="00952452"/>
    <w:rsid w:val="009610FE"/>
    <w:rsid w:val="009624E2"/>
    <w:rsid w:val="0096308E"/>
    <w:rsid w:val="00967E1E"/>
    <w:rsid w:val="00970287"/>
    <w:rsid w:val="00980278"/>
    <w:rsid w:val="009830D5"/>
    <w:rsid w:val="00983545"/>
    <w:rsid w:val="00983CF2"/>
    <w:rsid w:val="00984CCE"/>
    <w:rsid w:val="00984D26"/>
    <w:rsid w:val="0098615F"/>
    <w:rsid w:val="00987377"/>
    <w:rsid w:val="00994D47"/>
    <w:rsid w:val="009A551F"/>
    <w:rsid w:val="009B4FE8"/>
    <w:rsid w:val="009C05A5"/>
    <w:rsid w:val="009C6947"/>
    <w:rsid w:val="009D1702"/>
    <w:rsid w:val="009D1D20"/>
    <w:rsid w:val="009D57DD"/>
    <w:rsid w:val="009D63D1"/>
    <w:rsid w:val="009E610D"/>
    <w:rsid w:val="009E6E45"/>
    <w:rsid w:val="009F28A7"/>
    <w:rsid w:val="009F2AE0"/>
    <w:rsid w:val="009F7DDB"/>
    <w:rsid w:val="00A122E1"/>
    <w:rsid w:val="00A16F93"/>
    <w:rsid w:val="00A25C92"/>
    <w:rsid w:val="00A270B9"/>
    <w:rsid w:val="00A27963"/>
    <w:rsid w:val="00A3227B"/>
    <w:rsid w:val="00A358A1"/>
    <w:rsid w:val="00A35FBF"/>
    <w:rsid w:val="00A3630A"/>
    <w:rsid w:val="00A36E32"/>
    <w:rsid w:val="00A403C5"/>
    <w:rsid w:val="00A50207"/>
    <w:rsid w:val="00A50402"/>
    <w:rsid w:val="00A52B2C"/>
    <w:rsid w:val="00A541C0"/>
    <w:rsid w:val="00A564A5"/>
    <w:rsid w:val="00A5659C"/>
    <w:rsid w:val="00A56B78"/>
    <w:rsid w:val="00A60CAB"/>
    <w:rsid w:val="00A61CC9"/>
    <w:rsid w:val="00A62EFC"/>
    <w:rsid w:val="00A65FAD"/>
    <w:rsid w:val="00A67E61"/>
    <w:rsid w:val="00A7187F"/>
    <w:rsid w:val="00A7280D"/>
    <w:rsid w:val="00A808DE"/>
    <w:rsid w:val="00A82EAD"/>
    <w:rsid w:val="00A85693"/>
    <w:rsid w:val="00AB0C2C"/>
    <w:rsid w:val="00AB3A5F"/>
    <w:rsid w:val="00AB4909"/>
    <w:rsid w:val="00AB7A90"/>
    <w:rsid w:val="00AC1C13"/>
    <w:rsid w:val="00AC1CC5"/>
    <w:rsid w:val="00AC6864"/>
    <w:rsid w:val="00AC696F"/>
    <w:rsid w:val="00AC76EB"/>
    <w:rsid w:val="00AC77FC"/>
    <w:rsid w:val="00AD1396"/>
    <w:rsid w:val="00AD6886"/>
    <w:rsid w:val="00AE3A9B"/>
    <w:rsid w:val="00AE5062"/>
    <w:rsid w:val="00AF176C"/>
    <w:rsid w:val="00AF1924"/>
    <w:rsid w:val="00AF7E51"/>
    <w:rsid w:val="00B04551"/>
    <w:rsid w:val="00B0798B"/>
    <w:rsid w:val="00B12DDA"/>
    <w:rsid w:val="00B133D4"/>
    <w:rsid w:val="00B13550"/>
    <w:rsid w:val="00B1420A"/>
    <w:rsid w:val="00B2362B"/>
    <w:rsid w:val="00B24995"/>
    <w:rsid w:val="00B2545B"/>
    <w:rsid w:val="00B31825"/>
    <w:rsid w:val="00B3192D"/>
    <w:rsid w:val="00B3299C"/>
    <w:rsid w:val="00B45664"/>
    <w:rsid w:val="00B50040"/>
    <w:rsid w:val="00B52B24"/>
    <w:rsid w:val="00B61C57"/>
    <w:rsid w:val="00B71D1F"/>
    <w:rsid w:val="00B8083F"/>
    <w:rsid w:val="00B816A2"/>
    <w:rsid w:val="00B82944"/>
    <w:rsid w:val="00B85F12"/>
    <w:rsid w:val="00BA229E"/>
    <w:rsid w:val="00BA256D"/>
    <w:rsid w:val="00BA2F3B"/>
    <w:rsid w:val="00BA5BC6"/>
    <w:rsid w:val="00BA6D02"/>
    <w:rsid w:val="00BB015A"/>
    <w:rsid w:val="00BB0441"/>
    <w:rsid w:val="00BB4401"/>
    <w:rsid w:val="00BB4532"/>
    <w:rsid w:val="00BD2F99"/>
    <w:rsid w:val="00BD4416"/>
    <w:rsid w:val="00BD5BA1"/>
    <w:rsid w:val="00BE161F"/>
    <w:rsid w:val="00BE5CB6"/>
    <w:rsid w:val="00BF1171"/>
    <w:rsid w:val="00BF192A"/>
    <w:rsid w:val="00BF2A5B"/>
    <w:rsid w:val="00BF4280"/>
    <w:rsid w:val="00C02775"/>
    <w:rsid w:val="00C05B33"/>
    <w:rsid w:val="00C0634D"/>
    <w:rsid w:val="00C07B84"/>
    <w:rsid w:val="00C14EF0"/>
    <w:rsid w:val="00C158D1"/>
    <w:rsid w:val="00C165FE"/>
    <w:rsid w:val="00C16691"/>
    <w:rsid w:val="00C30026"/>
    <w:rsid w:val="00C3013B"/>
    <w:rsid w:val="00C32CD3"/>
    <w:rsid w:val="00C343FD"/>
    <w:rsid w:val="00C4040B"/>
    <w:rsid w:val="00C422BC"/>
    <w:rsid w:val="00C477AD"/>
    <w:rsid w:val="00C52325"/>
    <w:rsid w:val="00C541D1"/>
    <w:rsid w:val="00C55A7E"/>
    <w:rsid w:val="00C566B7"/>
    <w:rsid w:val="00C6118F"/>
    <w:rsid w:val="00C64E87"/>
    <w:rsid w:val="00C66F63"/>
    <w:rsid w:val="00C67FE2"/>
    <w:rsid w:val="00C7176A"/>
    <w:rsid w:val="00C77918"/>
    <w:rsid w:val="00C8572D"/>
    <w:rsid w:val="00C87F09"/>
    <w:rsid w:val="00C96A56"/>
    <w:rsid w:val="00CA279B"/>
    <w:rsid w:val="00CA5D82"/>
    <w:rsid w:val="00CA7ED2"/>
    <w:rsid w:val="00CB128D"/>
    <w:rsid w:val="00CB2028"/>
    <w:rsid w:val="00CB3F59"/>
    <w:rsid w:val="00CB45EC"/>
    <w:rsid w:val="00CB6041"/>
    <w:rsid w:val="00CB7F8B"/>
    <w:rsid w:val="00CC1BAE"/>
    <w:rsid w:val="00CC5FA9"/>
    <w:rsid w:val="00CD16C9"/>
    <w:rsid w:val="00CD26CB"/>
    <w:rsid w:val="00CD50ED"/>
    <w:rsid w:val="00CD71B8"/>
    <w:rsid w:val="00CD7F21"/>
    <w:rsid w:val="00CE49E2"/>
    <w:rsid w:val="00CE68F5"/>
    <w:rsid w:val="00CF06D4"/>
    <w:rsid w:val="00CF07A2"/>
    <w:rsid w:val="00CF0DF1"/>
    <w:rsid w:val="00CF2B2A"/>
    <w:rsid w:val="00CF427B"/>
    <w:rsid w:val="00CF42B5"/>
    <w:rsid w:val="00D02B8F"/>
    <w:rsid w:val="00D06F68"/>
    <w:rsid w:val="00D07DE2"/>
    <w:rsid w:val="00D11F95"/>
    <w:rsid w:val="00D214F9"/>
    <w:rsid w:val="00D225C9"/>
    <w:rsid w:val="00D23641"/>
    <w:rsid w:val="00D33AF6"/>
    <w:rsid w:val="00D33B6E"/>
    <w:rsid w:val="00D3469D"/>
    <w:rsid w:val="00D3609C"/>
    <w:rsid w:val="00D36917"/>
    <w:rsid w:val="00D37C36"/>
    <w:rsid w:val="00D403EF"/>
    <w:rsid w:val="00D40456"/>
    <w:rsid w:val="00D4214B"/>
    <w:rsid w:val="00D439A8"/>
    <w:rsid w:val="00D44043"/>
    <w:rsid w:val="00D51BB8"/>
    <w:rsid w:val="00D52FFC"/>
    <w:rsid w:val="00D640DF"/>
    <w:rsid w:val="00D674AD"/>
    <w:rsid w:val="00D71773"/>
    <w:rsid w:val="00D76F78"/>
    <w:rsid w:val="00D834A7"/>
    <w:rsid w:val="00D86DEF"/>
    <w:rsid w:val="00D9253B"/>
    <w:rsid w:val="00D92B13"/>
    <w:rsid w:val="00D94989"/>
    <w:rsid w:val="00D9794E"/>
    <w:rsid w:val="00DA1DDF"/>
    <w:rsid w:val="00DA4C9D"/>
    <w:rsid w:val="00DA61CD"/>
    <w:rsid w:val="00DA7BE1"/>
    <w:rsid w:val="00DA7FEF"/>
    <w:rsid w:val="00DB6C27"/>
    <w:rsid w:val="00DC7120"/>
    <w:rsid w:val="00DE483D"/>
    <w:rsid w:val="00DF40BA"/>
    <w:rsid w:val="00E0234D"/>
    <w:rsid w:val="00E038AF"/>
    <w:rsid w:val="00E068F9"/>
    <w:rsid w:val="00E26376"/>
    <w:rsid w:val="00E31AD5"/>
    <w:rsid w:val="00E32971"/>
    <w:rsid w:val="00E334FC"/>
    <w:rsid w:val="00E359BB"/>
    <w:rsid w:val="00E36B07"/>
    <w:rsid w:val="00E3796A"/>
    <w:rsid w:val="00E425B9"/>
    <w:rsid w:val="00E461C2"/>
    <w:rsid w:val="00E60DFE"/>
    <w:rsid w:val="00E650BC"/>
    <w:rsid w:val="00E66DA0"/>
    <w:rsid w:val="00E71DE1"/>
    <w:rsid w:val="00E73979"/>
    <w:rsid w:val="00E950D3"/>
    <w:rsid w:val="00E978E7"/>
    <w:rsid w:val="00EA5633"/>
    <w:rsid w:val="00EA68FD"/>
    <w:rsid w:val="00EB29D6"/>
    <w:rsid w:val="00EB2A10"/>
    <w:rsid w:val="00EB2D29"/>
    <w:rsid w:val="00EB5729"/>
    <w:rsid w:val="00EB7BF0"/>
    <w:rsid w:val="00EC2540"/>
    <w:rsid w:val="00ED093E"/>
    <w:rsid w:val="00ED65C9"/>
    <w:rsid w:val="00ED7008"/>
    <w:rsid w:val="00EE089C"/>
    <w:rsid w:val="00EE137B"/>
    <w:rsid w:val="00EE29F9"/>
    <w:rsid w:val="00EF2C53"/>
    <w:rsid w:val="00EF5DA7"/>
    <w:rsid w:val="00EF7977"/>
    <w:rsid w:val="00F12727"/>
    <w:rsid w:val="00F2242F"/>
    <w:rsid w:val="00F22F9D"/>
    <w:rsid w:val="00F23E1D"/>
    <w:rsid w:val="00F324BE"/>
    <w:rsid w:val="00F32AAA"/>
    <w:rsid w:val="00F4527A"/>
    <w:rsid w:val="00F466E0"/>
    <w:rsid w:val="00F47920"/>
    <w:rsid w:val="00F56830"/>
    <w:rsid w:val="00F61508"/>
    <w:rsid w:val="00F66024"/>
    <w:rsid w:val="00F66EA1"/>
    <w:rsid w:val="00F72463"/>
    <w:rsid w:val="00F7258C"/>
    <w:rsid w:val="00F74E28"/>
    <w:rsid w:val="00F8239C"/>
    <w:rsid w:val="00F847B8"/>
    <w:rsid w:val="00F84949"/>
    <w:rsid w:val="00F857F8"/>
    <w:rsid w:val="00F905DD"/>
    <w:rsid w:val="00F917FB"/>
    <w:rsid w:val="00F96D28"/>
    <w:rsid w:val="00FA1FAA"/>
    <w:rsid w:val="00FA2C82"/>
    <w:rsid w:val="00FA5398"/>
    <w:rsid w:val="00FB2C8F"/>
    <w:rsid w:val="00FB3CFC"/>
    <w:rsid w:val="00FC7AE7"/>
    <w:rsid w:val="00FD1065"/>
    <w:rsid w:val="00FD216C"/>
    <w:rsid w:val="00FD4CC0"/>
    <w:rsid w:val="00FE09D3"/>
    <w:rsid w:val="00FE10BA"/>
    <w:rsid w:val="00FE1BCC"/>
    <w:rsid w:val="00FE23ED"/>
    <w:rsid w:val="00FF10A7"/>
    <w:rsid w:val="00FF3DE0"/>
    <w:rsid w:val="00FF7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C22873"/>
  <w15:chartTrackingRefBased/>
  <w15:docId w15:val="{505C32C0-CDEB-E143-85D2-CA9BE80E3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0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0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0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0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0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0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0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0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0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0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0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0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0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0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0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0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0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062"/>
    <w:rPr>
      <w:rFonts w:eastAsiaTheme="majorEastAsia" w:cstheme="majorBidi"/>
      <w:color w:val="272727" w:themeColor="text1" w:themeTint="D8"/>
    </w:rPr>
  </w:style>
  <w:style w:type="paragraph" w:styleId="Title">
    <w:name w:val="Title"/>
    <w:basedOn w:val="Normal"/>
    <w:next w:val="Normal"/>
    <w:link w:val="TitleChar"/>
    <w:uiPriority w:val="10"/>
    <w:qFormat/>
    <w:rsid w:val="00AE50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0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0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0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062"/>
    <w:pPr>
      <w:spacing w:before="160"/>
      <w:jc w:val="center"/>
    </w:pPr>
    <w:rPr>
      <w:i/>
      <w:iCs/>
      <w:color w:val="404040" w:themeColor="text1" w:themeTint="BF"/>
    </w:rPr>
  </w:style>
  <w:style w:type="character" w:customStyle="1" w:styleId="QuoteChar">
    <w:name w:val="Quote Char"/>
    <w:basedOn w:val="DefaultParagraphFont"/>
    <w:link w:val="Quote"/>
    <w:uiPriority w:val="29"/>
    <w:rsid w:val="00AE5062"/>
    <w:rPr>
      <w:i/>
      <w:iCs/>
      <w:color w:val="404040" w:themeColor="text1" w:themeTint="BF"/>
    </w:rPr>
  </w:style>
  <w:style w:type="paragraph" w:styleId="ListParagraph">
    <w:name w:val="List Paragraph"/>
    <w:basedOn w:val="Normal"/>
    <w:uiPriority w:val="34"/>
    <w:qFormat/>
    <w:rsid w:val="00AE5062"/>
    <w:pPr>
      <w:ind w:left="720"/>
      <w:contextualSpacing/>
    </w:pPr>
  </w:style>
  <w:style w:type="character" w:styleId="IntenseEmphasis">
    <w:name w:val="Intense Emphasis"/>
    <w:basedOn w:val="DefaultParagraphFont"/>
    <w:uiPriority w:val="21"/>
    <w:qFormat/>
    <w:rsid w:val="00AE5062"/>
    <w:rPr>
      <w:i/>
      <w:iCs/>
      <w:color w:val="0F4761" w:themeColor="accent1" w:themeShade="BF"/>
    </w:rPr>
  </w:style>
  <w:style w:type="paragraph" w:styleId="IntenseQuote">
    <w:name w:val="Intense Quote"/>
    <w:basedOn w:val="Normal"/>
    <w:next w:val="Normal"/>
    <w:link w:val="IntenseQuoteChar"/>
    <w:uiPriority w:val="30"/>
    <w:qFormat/>
    <w:rsid w:val="00AE50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062"/>
    <w:rPr>
      <w:i/>
      <w:iCs/>
      <w:color w:val="0F4761" w:themeColor="accent1" w:themeShade="BF"/>
    </w:rPr>
  </w:style>
  <w:style w:type="character" w:styleId="IntenseReference">
    <w:name w:val="Intense Reference"/>
    <w:basedOn w:val="DefaultParagraphFont"/>
    <w:uiPriority w:val="32"/>
    <w:qFormat/>
    <w:rsid w:val="00AE5062"/>
    <w:rPr>
      <w:b/>
      <w:bCs/>
      <w:smallCaps/>
      <w:color w:val="0F4761" w:themeColor="accent1" w:themeShade="BF"/>
      <w:spacing w:val="5"/>
    </w:rPr>
  </w:style>
  <w:style w:type="character" w:customStyle="1" w:styleId="ui-provider">
    <w:name w:val="ui-provider"/>
    <w:rsid w:val="00AE5062"/>
  </w:style>
  <w:style w:type="character" w:customStyle="1" w:styleId="apple-converted-space">
    <w:name w:val="apple-converted-space"/>
    <w:basedOn w:val="DefaultParagraphFont"/>
    <w:rsid w:val="0010399B"/>
  </w:style>
  <w:style w:type="paragraph" w:customStyle="1" w:styleId="Nornal">
    <w:name w:val="Nornal"/>
    <w:rsid w:val="00EB7BF0"/>
    <w:pPr>
      <w:spacing w:line="264" w:lineRule="auto"/>
    </w:pPr>
    <w:rPr>
      <w:rFonts w:ascii="Arial" w:eastAsia="Arial" w:hAnsi="Arial" w:cs="Arial"/>
      <w:color w:val="000000"/>
      <w:kern w:val="0"/>
      <w:sz w:val="22"/>
      <w:szCs w:val="22"/>
      <w:u w:color="000000"/>
      <w:lang w:val="en-US"/>
      <w14:ligatures w14:val="none"/>
    </w:rPr>
  </w:style>
  <w:style w:type="numbering" w:customStyle="1" w:styleId="ImportedStyle5">
    <w:name w:val="Imported Style 5"/>
    <w:rsid w:val="00EB7BF0"/>
    <w:pPr>
      <w:numPr>
        <w:numId w:val="3"/>
      </w:numPr>
    </w:pPr>
  </w:style>
  <w:style w:type="paragraph" w:customStyle="1" w:styleId="TableStyle2">
    <w:name w:val="Table Style 2"/>
    <w:rsid w:val="004B3ACA"/>
    <w:pPr>
      <w:spacing w:after="0" w:line="240" w:lineRule="auto"/>
    </w:pPr>
    <w:rPr>
      <w:rFonts w:ascii="Helvetica Neue" w:eastAsia="Arial Unicode MS" w:hAnsi="Helvetica Neue" w:cs="Arial Unicode MS"/>
      <w:color w:val="000000"/>
      <w:kern w:val="0"/>
      <w:sz w:val="20"/>
      <w:szCs w:val="20"/>
      <w:u w:color="000000"/>
      <w:lang w:val="en-US"/>
      <w14:textOutline w14:w="12700" w14:cap="flat" w14:cmpd="sng" w14:algn="ctr">
        <w14:noFill/>
        <w14:prstDash w14:val="solid"/>
        <w14:miter w14:lim="100000"/>
      </w14:textOutline>
      <w14:ligatures w14:val="none"/>
    </w:rPr>
  </w:style>
  <w:style w:type="character" w:customStyle="1" w:styleId="None">
    <w:name w:val="None"/>
    <w:rsid w:val="004B3ACA"/>
  </w:style>
  <w:style w:type="paragraph" w:styleId="NormalWeb">
    <w:name w:val="Normal (Web)"/>
    <w:basedOn w:val="Normal"/>
    <w:uiPriority w:val="99"/>
    <w:semiHidden/>
    <w:unhideWhenUsed/>
    <w:rsid w:val="0019253F"/>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5F2F1B"/>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5F2F1B"/>
    <w:rPr>
      <w:rFonts w:ascii="UICTFontTextStyleEmphasizedBody" w:hAnsi="UICTFontTextStyleEmphasizedBody" w:hint="default"/>
      <w:b/>
      <w:bCs/>
      <w:i w:val="0"/>
      <w:iCs w:val="0"/>
      <w:sz w:val="25"/>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594066">
      <w:bodyDiv w:val="1"/>
      <w:marLeft w:val="0"/>
      <w:marRight w:val="0"/>
      <w:marTop w:val="0"/>
      <w:marBottom w:val="0"/>
      <w:divBdr>
        <w:top w:val="none" w:sz="0" w:space="0" w:color="auto"/>
        <w:left w:val="none" w:sz="0" w:space="0" w:color="auto"/>
        <w:bottom w:val="none" w:sz="0" w:space="0" w:color="auto"/>
        <w:right w:val="none" w:sz="0" w:space="0" w:color="auto"/>
      </w:divBdr>
    </w:div>
    <w:div w:id="112018729">
      <w:bodyDiv w:val="1"/>
      <w:marLeft w:val="0"/>
      <w:marRight w:val="0"/>
      <w:marTop w:val="0"/>
      <w:marBottom w:val="0"/>
      <w:divBdr>
        <w:top w:val="none" w:sz="0" w:space="0" w:color="auto"/>
        <w:left w:val="none" w:sz="0" w:space="0" w:color="auto"/>
        <w:bottom w:val="none" w:sz="0" w:space="0" w:color="auto"/>
        <w:right w:val="none" w:sz="0" w:space="0" w:color="auto"/>
      </w:divBdr>
    </w:div>
    <w:div w:id="201016118">
      <w:bodyDiv w:val="1"/>
      <w:marLeft w:val="0"/>
      <w:marRight w:val="0"/>
      <w:marTop w:val="0"/>
      <w:marBottom w:val="0"/>
      <w:divBdr>
        <w:top w:val="none" w:sz="0" w:space="0" w:color="auto"/>
        <w:left w:val="none" w:sz="0" w:space="0" w:color="auto"/>
        <w:bottom w:val="none" w:sz="0" w:space="0" w:color="auto"/>
        <w:right w:val="none" w:sz="0" w:space="0" w:color="auto"/>
      </w:divBdr>
    </w:div>
    <w:div w:id="305207436">
      <w:bodyDiv w:val="1"/>
      <w:marLeft w:val="0"/>
      <w:marRight w:val="0"/>
      <w:marTop w:val="0"/>
      <w:marBottom w:val="0"/>
      <w:divBdr>
        <w:top w:val="none" w:sz="0" w:space="0" w:color="auto"/>
        <w:left w:val="none" w:sz="0" w:space="0" w:color="auto"/>
        <w:bottom w:val="none" w:sz="0" w:space="0" w:color="auto"/>
        <w:right w:val="none" w:sz="0" w:space="0" w:color="auto"/>
      </w:divBdr>
    </w:div>
    <w:div w:id="715550582">
      <w:bodyDiv w:val="1"/>
      <w:marLeft w:val="0"/>
      <w:marRight w:val="0"/>
      <w:marTop w:val="0"/>
      <w:marBottom w:val="0"/>
      <w:divBdr>
        <w:top w:val="none" w:sz="0" w:space="0" w:color="auto"/>
        <w:left w:val="none" w:sz="0" w:space="0" w:color="auto"/>
        <w:bottom w:val="none" w:sz="0" w:space="0" w:color="auto"/>
        <w:right w:val="none" w:sz="0" w:space="0" w:color="auto"/>
      </w:divBdr>
    </w:div>
    <w:div w:id="1212578185">
      <w:bodyDiv w:val="1"/>
      <w:marLeft w:val="0"/>
      <w:marRight w:val="0"/>
      <w:marTop w:val="0"/>
      <w:marBottom w:val="0"/>
      <w:divBdr>
        <w:top w:val="none" w:sz="0" w:space="0" w:color="auto"/>
        <w:left w:val="none" w:sz="0" w:space="0" w:color="auto"/>
        <w:bottom w:val="none" w:sz="0" w:space="0" w:color="auto"/>
        <w:right w:val="none" w:sz="0" w:space="0" w:color="auto"/>
      </w:divBdr>
      <w:divsChild>
        <w:div w:id="1216234122">
          <w:marLeft w:val="0"/>
          <w:marRight w:val="0"/>
          <w:marTop w:val="0"/>
          <w:marBottom w:val="0"/>
          <w:divBdr>
            <w:top w:val="none" w:sz="0" w:space="0" w:color="auto"/>
            <w:left w:val="none" w:sz="0" w:space="0" w:color="auto"/>
            <w:bottom w:val="none" w:sz="0" w:space="0" w:color="auto"/>
            <w:right w:val="none" w:sz="0" w:space="0" w:color="auto"/>
          </w:divBdr>
        </w:div>
      </w:divsChild>
    </w:div>
    <w:div w:id="1325474556">
      <w:bodyDiv w:val="1"/>
      <w:marLeft w:val="0"/>
      <w:marRight w:val="0"/>
      <w:marTop w:val="0"/>
      <w:marBottom w:val="0"/>
      <w:divBdr>
        <w:top w:val="none" w:sz="0" w:space="0" w:color="auto"/>
        <w:left w:val="none" w:sz="0" w:space="0" w:color="auto"/>
        <w:bottom w:val="none" w:sz="0" w:space="0" w:color="auto"/>
        <w:right w:val="none" w:sz="0" w:space="0" w:color="auto"/>
      </w:divBdr>
    </w:div>
    <w:div w:id="1379403613">
      <w:bodyDiv w:val="1"/>
      <w:marLeft w:val="0"/>
      <w:marRight w:val="0"/>
      <w:marTop w:val="0"/>
      <w:marBottom w:val="0"/>
      <w:divBdr>
        <w:top w:val="none" w:sz="0" w:space="0" w:color="auto"/>
        <w:left w:val="none" w:sz="0" w:space="0" w:color="auto"/>
        <w:bottom w:val="none" w:sz="0" w:space="0" w:color="auto"/>
        <w:right w:val="none" w:sz="0" w:space="0" w:color="auto"/>
      </w:divBdr>
      <w:divsChild>
        <w:div w:id="242185310">
          <w:marLeft w:val="0"/>
          <w:marRight w:val="0"/>
          <w:marTop w:val="0"/>
          <w:marBottom w:val="0"/>
          <w:divBdr>
            <w:top w:val="none" w:sz="0" w:space="0" w:color="auto"/>
            <w:left w:val="none" w:sz="0" w:space="0" w:color="auto"/>
            <w:bottom w:val="none" w:sz="0" w:space="0" w:color="auto"/>
            <w:right w:val="none" w:sz="0" w:space="0" w:color="auto"/>
          </w:divBdr>
        </w:div>
      </w:divsChild>
    </w:div>
    <w:div w:id="1432509396">
      <w:bodyDiv w:val="1"/>
      <w:marLeft w:val="0"/>
      <w:marRight w:val="0"/>
      <w:marTop w:val="0"/>
      <w:marBottom w:val="0"/>
      <w:divBdr>
        <w:top w:val="none" w:sz="0" w:space="0" w:color="auto"/>
        <w:left w:val="none" w:sz="0" w:space="0" w:color="auto"/>
        <w:bottom w:val="none" w:sz="0" w:space="0" w:color="auto"/>
        <w:right w:val="none" w:sz="0" w:space="0" w:color="auto"/>
      </w:divBdr>
    </w:div>
    <w:div w:id="1730108492">
      <w:bodyDiv w:val="1"/>
      <w:marLeft w:val="0"/>
      <w:marRight w:val="0"/>
      <w:marTop w:val="0"/>
      <w:marBottom w:val="0"/>
      <w:divBdr>
        <w:top w:val="none" w:sz="0" w:space="0" w:color="auto"/>
        <w:left w:val="none" w:sz="0" w:space="0" w:color="auto"/>
        <w:bottom w:val="none" w:sz="0" w:space="0" w:color="auto"/>
        <w:right w:val="none" w:sz="0" w:space="0" w:color="auto"/>
      </w:divBdr>
      <w:divsChild>
        <w:div w:id="572813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7205</Words>
  <Characters>41072</Characters>
  <Application>Microsoft Office Word</Application>
  <DocSecurity>0</DocSecurity>
  <Lines>342</Lines>
  <Paragraphs>96</Paragraphs>
  <ScaleCrop>false</ScaleCrop>
  <Company/>
  <LinksUpToDate>false</LinksUpToDate>
  <CharactersWithSpaces>48181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2</cp:revision>
  <dcterms:created xsi:type="dcterms:W3CDTF">2025-01-22T18:31:00Z</dcterms:created>
  <dcterms:modified xsi:type="dcterms:W3CDTF">2025-01-22T18:31:00Z</dcterms:modified>
</cp:coreProperties>
</file>