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spacing w:before="0" w:line="360" w:lineRule="auto"/>
        <w:rPr>
          <w:rFonts w:ascii="Times Roman" w:cs="Times Roman" w:hAnsi="Times Roman" w:eastAsia="Times Roman"/>
          <w:sz w:val="20"/>
          <w:szCs w:val="20"/>
        </w:rPr>
      </w:pPr>
      <w:r>
        <w:rPr>
          <w:rFonts w:ascii="Arial" w:hAnsi="Arial"/>
          <w:sz w:val="20"/>
          <w:szCs w:val="20"/>
          <w:rtl w:val="0"/>
          <w:lang w:val="en-US"/>
        </w:rPr>
        <w:t>Judges are servants of the public and are entrusted to ensure that the law is transparent and intelligible. To what extent do you agree with the statement?</w:t>
      </w: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r>
        <w:rPr>
          <w:rFonts w:ascii="Arial" w:hAnsi="Arial"/>
          <w:sz w:val="20"/>
          <w:szCs w:val="20"/>
          <w:rtl w:val="0"/>
          <w:lang w:val="en-US"/>
        </w:rPr>
        <w:t>Judges are in the position where they have the power to affect the lives of people from the public. The responsibility that is bestowed upon them is that of great importance as they must follow the law and ensure that everyone has a fair trial, in accordance with article 6 of the European Convention on Human Rights act (Spurrier 2022). As judges make decisions that can either be to the benefit or consequence to the public then they can be seen as public servants which in turn makes them responsible for ensuring the law is clear and understood by the parties present in front of them. The courts have many different levels with all the presiding judges having an impact on the public, however some judges make decisions that affect a greater portion of the public which demonstrates that they are servants of the public as they can have a direct impact on society. The role of a judge can change depending on if a jury is present or not as if there is no jury then the judge becomes the trier of law and fact within the courtroom (Thomas 2020) which means that they must ensure that the law is transparent and intelligible as they are the ones who must make sure that the law is followed.</w:t>
      </w:r>
      <w:r>
        <w:rPr>
          <w:rFonts w:ascii="Arial" w:hAnsi="Arial" w:hint="default"/>
          <w:sz w:val="20"/>
          <w:szCs w:val="20"/>
          <w:rtl w:val="0"/>
          <w:lang w:val="en-US"/>
        </w:rPr>
        <w:t> </w:t>
      </w: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r>
        <w:rPr>
          <w:rFonts w:ascii="Arial" w:hAnsi="Arial" w:hint="default"/>
          <w:sz w:val="20"/>
          <w:szCs w:val="20"/>
          <w:rtl w:val="0"/>
          <w:lang w:val="en-US"/>
        </w:rPr>
        <w:t>          </w:t>
      </w:r>
      <w:r>
        <w:rPr>
          <w:rFonts w:ascii="Arial" w:hAnsi="Arial"/>
          <w:sz w:val="20"/>
          <w:szCs w:val="20"/>
          <w:rtl w:val="0"/>
          <w:lang w:val="en-US"/>
        </w:rPr>
        <w:t>The role of a judge is to apply the law where appropriate and make sure that it is followed in the courtroom and to control the way the case is conducted with relevance to the law (Francis 2020). The right to a fair trial is a right that everyone has as stated in article 6 of the European Convention on Human Rights act but it is the responsibility of the judge to make sure that this is the case for everyone who comes through the courtroom. The right to a fair trial allows for an honest proceeding to take place and for each represented party to make their own case in order to achieve a fair ruling (Varle 2018). The judge is responsible for upholding this act and ensuring that it is followed which in turn builds more trust between the courts and the public as the trials are tried in a fair manner, allowing for all parties to receive the most fair outcome from the courtroom. The law should always be clear and intelligible as everyone should be able to have their trial without worrying about understanding the law and its meaning. When people do not understand the law there is room for them to understand what has happened incorrectly which was the case in Vinter v UK 2013 (Overman 2013). Once the ruling had been made, the three men were given life sentences and thought that there was no chance for a review or release once the sentence was completed. However, this was not the case as they had misunderstood English and Welsh law which does provide the chance of release and review via act 30 of the crime act 1997 (Gee 2022). Cases such as these clearly show how the law should be intelligible and easy to understand so that everyone can understand it and not misinterpret it. The law being clear and intelligible also builds trust between the public and the courtroom as more people can understand what is happening and can form their own opinion about the rulings in the case (Johnstone 2020). Judges hold the trust of the public and in all cases they are relied upon to be the impartial party and deal with matters according to the law. Judges can be seen to be in a position of trust as many defendants rely on them in a trial for their unbiased view points, for example people with a long criminal history are more likely to want a trial without a jury and only a judge as by human nature the jury may have bias against them even though they are not allowed to show bias, it is a subconscious thought people have against former criminals (O</w:t>
      </w:r>
      <w:r>
        <w:rPr>
          <w:rFonts w:ascii="Arial Unicode MS" w:hAnsi="Arial Unicode MS" w:hint="default"/>
          <w:sz w:val="20"/>
          <w:szCs w:val="20"/>
          <w:rtl w:val="0"/>
          <w:lang w:val="en-US"/>
        </w:rPr>
        <w:t>’</w:t>
      </w:r>
      <w:r>
        <w:rPr>
          <w:rFonts w:ascii="Arial" w:hAnsi="Arial"/>
          <w:sz w:val="20"/>
          <w:szCs w:val="20"/>
          <w:rtl w:val="0"/>
          <w:lang w:val="en-US"/>
        </w:rPr>
        <w:t>Neill 2017). This clearly shows the position of trust that judges are in as they are there to fairly assess the trials against the law without bias and any thoughts or feelings against the defendant. As judges are in a position of trust, they can be shown to be servants of the public as they have an effect on what happens in the outside world and the impact it could have on the public. Magistrates court deals with most criminals cases as they handle summary offences and many either way offences which means that there is no jury and it is only the judge who will decide the sentencing for the person. Jury trials amount for less than 1% of all criminal trials due to many of them being in magistrates court (Trevelyan 2021), demonstrating the power that judges hold and also the trust they have with the public because they are the barrier between putting criminals away and keeping innocent people out if they have been represented well. The cases that proceed to the crown court are not left up to the jury in most cases as defendants plead guilty in two thirds of cases (Trevelyan 2021), showing how many people do not want to leave their trial up to a jury and have better trust in the judge. This demonstrates how judges are servants of the public as they have the trust between the parties and are relied upon by the public to serve justice thus allowing for a safer and better society, which shows that they serve the public in this way. Many defendants that plead guilty in court are offered a reduced sentence by the judge as they have taken accountability for their actions and are rewarded with a lesser sentence (Morris 2019). This clearly shows that judges are servants of the public and have a bridge of trust with them as they can give reduced sentences if the defendant helps the court by pleading guilty. Although judges are seen to be servants of the public, they are not always there to act in the best interest of the public as they are there to follow the law, however the case in their courtroom needs to be represented well enough for them to give a fair ruling. In 2017, 139 cases were overturned from the judges first sentencing (Palfrey 2018) which demonstrates how they may not always be seen as servants of the public because the rulings can be wrong and therefore not always in the best interest of the public.</w:t>
      </w:r>
      <w:r>
        <w:rPr>
          <w:rFonts w:ascii="Arial" w:hAnsi="Arial" w:hint="default"/>
          <w:sz w:val="20"/>
          <w:szCs w:val="20"/>
          <w:rtl w:val="0"/>
          <w:lang w:val="en-US"/>
        </w:rPr>
        <w:t> </w:t>
      </w: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r>
        <w:rPr>
          <w:rFonts w:ascii="Arial" w:hAnsi="Arial" w:hint="default"/>
          <w:sz w:val="20"/>
          <w:szCs w:val="20"/>
          <w:rtl w:val="0"/>
          <w:lang w:val="en-US"/>
        </w:rPr>
        <w:t>          </w:t>
      </w:r>
      <w:r>
        <w:rPr>
          <w:rFonts w:ascii="Arial" w:hAnsi="Arial"/>
          <w:sz w:val="20"/>
          <w:szCs w:val="20"/>
          <w:rtl w:val="0"/>
          <w:lang w:val="en-US"/>
        </w:rPr>
        <w:t>To conclude, judges are seen to be servants of the public for various reasons and are put into a position where they have the trust of the public to make a fair ruling that sentences the correct people in a just manner. Judges are entrusted to make sure everyone has a fair trial so that the justice system is impartial and the sentencing of people is correct. Furthermore, judges must make sure that the law is clear and intelligible so that errors in the courtroom are few and all people in the courtroom understand the procedure that is taking place. The position of trust that judges are in demonstrates the relationship between them and the public as they have the responsibility to carry out justice and make sure that every trial in their courtroom is carried out in accordance with the law and that all parties follow the judges orders to ensure a fair trial is conducted. The statement of judges being servants of the public is one that can be agreed with to a certain extent as there are many instances of judges being in a position to serve the public and make a decision that benefits the them but there are still arguments for both sides as they must follow the law which may not always have the best interest of the pubic in mind.</w:t>
      </w:r>
      <w:r>
        <w:rPr>
          <w:rFonts w:ascii="Arial" w:hAnsi="Arial" w:hint="default"/>
          <w:sz w:val="20"/>
          <w:szCs w:val="20"/>
          <w:rtl w:val="0"/>
          <w:lang w:val="en-US"/>
        </w:rPr>
        <w:t>  </w:t>
      </w: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rPr>
          <w:rFonts w:ascii="Times Roman" w:cs="Times Roman" w:hAnsi="Times Roman" w:eastAsia="Times Roman"/>
          <w:sz w:val="20"/>
          <w:szCs w:val="20"/>
        </w:rPr>
      </w:pPr>
    </w:p>
    <w:p>
      <w:pPr>
        <w:pStyle w:val="Default"/>
        <w:spacing w:before="0" w:line="360" w:lineRule="auto"/>
        <w:jc w:val="center"/>
        <w:rPr>
          <w:rFonts w:ascii="Times Roman" w:cs="Times Roman" w:hAnsi="Times Roman" w:eastAsia="Times Roman"/>
          <w:sz w:val="20"/>
          <w:szCs w:val="20"/>
        </w:rPr>
      </w:pPr>
      <w:r>
        <w:rPr>
          <w:rFonts w:ascii="Arial" w:hAnsi="Arial"/>
          <w:sz w:val="20"/>
          <w:szCs w:val="20"/>
          <w:rtl w:val="0"/>
          <w:lang w:val="fr-FR"/>
        </w:rPr>
        <w:t>Reference list</w:t>
      </w:r>
      <w:r>
        <w:rPr>
          <w:rFonts w:ascii="Arial" w:hAnsi="Arial" w:hint="default"/>
          <w:sz w:val="20"/>
          <w:szCs w:val="20"/>
          <w:rtl w:val="0"/>
          <w:lang w:val="en-US"/>
        </w:rPr>
        <w:t> </w:t>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Fonts w:ascii="Arial" w:hAnsi="Arial"/>
          <w:i w:val="1"/>
          <w:iCs w:val="1"/>
          <w:outline w:val="0"/>
          <w:color w:val="000000"/>
          <w:sz w:val="20"/>
          <w:szCs w:val="20"/>
          <w:u w:val="none" w:color="000000"/>
          <w:rtl w:val="0"/>
          <w:lang w:val="en-US"/>
          <w14:textFill>
            <w14:solidFill>
              <w14:srgbClr w14:val="000000"/>
            </w14:solidFill>
          </w14:textFill>
        </w:rPr>
        <w:t>Become a judge</w:t>
      </w:r>
      <w:r>
        <w:rPr>
          <w:rFonts w:ascii="Arial" w:hAnsi="Arial"/>
          <w:outline w:val="0"/>
          <w:color w:val="000000"/>
          <w:sz w:val="20"/>
          <w:szCs w:val="20"/>
          <w:u w:val="none" w:color="000000"/>
          <w:rtl w:val="0"/>
          <w:lang w:val="it-IT"/>
          <w14:textFill>
            <w14:solidFill>
              <w14:srgbClr w14:val="000000"/>
            </w14:solidFill>
          </w14:textFill>
        </w:rPr>
        <w:t xml:space="preserve"> (no date) </w:t>
      </w:r>
      <w:r>
        <w:rPr>
          <w:rFonts w:ascii="Arial" w:hAnsi="Arial"/>
          <w:i w:val="1"/>
          <w:iCs w:val="1"/>
          <w:outline w:val="0"/>
          <w:color w:val="000000"/>
          <w:sz w:val="20"/>
          <w:szCs w:val="20"/>
          <w:u w:val="none" w:color="000000"/>
          <w:rtl w:val="0"/>
          <w:lang w:val="en-US"/>
          <w14:textFill>
            <w14:solidFill>
              <w14:srgbClr w14:val="000000"/>
            </w14:solidFill>
          </w14:textFill>
        </w:rPr>
        <w:t>The Law Society</w:t>
      </w:r>
      <w:r>
        <w:rPr>
          <w:rFonts w:ascii="Arial" w:hAnsi="Arial"/>
          <w:outline w:val="0"/>
          <w:color w:val="000000"/>
          <w:sz w:val="20"/>
          <w:szCs w:val="20"/>
          <w:u w:val="none" w:color="000000"/>
          <w:rtl w:val="0"/>
          <w:lang w:val="en-US"/>
          <w14:textFill>
            <w14:solidFill>
              <w14:srgbClr w14:val="000000"/>
            </w14:solidFill>
          </w14:textFill>
        </w:rPr>
        <w:t xml:space="preserve">. Available at: </w: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begin" w:fldLock="0"/>
      </w:r>
      <w:r>
        <w:rPr>
          <w:rStyle w:val="Hyperlink.0"/>
          <w:rFonts w:ascii="Arial" w:cs="Arial" w:hAnsi="Arial" w:eastAsia="Arial"/>
          <w:outline w:val="0"/>
          <w:color w:val="1155cc"/>
          <w:sz w:val="20"/>
          <w:szCs w:val="20"/>
          <w:u w:val="single" w:color="1155cc"/>
          <w:lang w:val="en-US"/>
          <w14:textFill>
            <w14:solidFill>
              <w14:srgbClr w14:val="1155CC"/>
            </w14:solidFill>
          </w14:textFill>
        </w:rPr>
        <w:instrText xml:space="preserve"> HYPERLINK "https://www.lawsociety.org.uk/career-advice/career-development/judicial-careers/become-a-judge"</w:instrTex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separate" w:fldLock="0"/>
      </w:r>
      <w:r>
        <w:rPr>
          <w:rStyle w:val="Hyperlink.0"/>
          <w:rFonts w:ascii="Arial" w:hAnsi="Arial"/>
          <w:outline w:val="0"/>
          <w:color w:val="1155cc"/>
          <w:sz w:val="20"/>
          <w:szCs w:val="20"/>
          <w:u w:val="single" w:color="1155cc"/>
          <w:rtl w:val="0"/>
          <w:lang w:val="en-US"/>
          <w14:textFill>
            <w14:solidFill>
              <w14:srgbClr w14:val="1155CC"/>
            </w14:solidFill>
          </w14:textFill>
        </w:rPr>
        <w:t>https://www.lawsociety.org.uk/career-advice/career-development/judicial-careers/become-a-judge</w:t>
      </w:r>
      <w:r>
        <w:rPr/>
        <w:fldChar w:fldCharType="end" w:fldLock="0"/>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Style w:val="None"/>
          <w:rFonts w:ascii="Arial" w:hAnsi="Arial"/>
          <w:i w:val="1"/>
          <w:iCs w:val="1"/>
          <w:outline w:val="0"/>
          <w:color w:val="000000"/>
          <w:sz w:val="20"/>
          <w:szCs w:val="20"/>
          <w:u w:val="none" w:color="000000"/>
          <w:rtl w:val="0"/>
          <w:lang w:val="en-US"/>
          <w14:textFill>
            <w14:solidFill>
              <w14:srgbClr w14:val="000000"/>
            </w14:solidFill>
          </w14:textFill>
        </w:rPr>
        <w:t>Case of Hirst V. The United Kingdom (no. 2) - carter center</w:t>
      </w:r>
      <w:r>
        <w:rPr>
          <w:rStyle w:val="None"/>
          <w:rFonts w:ascii="Arial" w:hAnsi="Arial"/>
          <w:outline w:val="0"/>
          <w:color w:val="000000"/>
          <w:sz w:val="20"/>
          <w:szCs w:val="20"/>
          <w:u w:val="none" w:color="000000"/>
          <w:rtl w:val="0"/>
          <w:lang w:val="en-US"/>
          <w14:textFill>
            <w14:solidFill>
              <w14:srgbClr w14:val="000000"/>
            </w14:solidFill>
          </w14:textFill>
        </w:rPr>
        <w:t xml:space="preserve"> (no date). Available at: </w:t>
      </w:r>
      <w:r>
        <w:rPr>
          <w:rStyle w:val="Hyperlink.1"/>
        </w:rPr>
        <w:fldChar w:fldCharType="begin" w:fldLock="0"/>
      </w:r>
      <w:r>
        <w:rPr>
          <w:rStyle w:val="Hyperlink.1"/>
        </w:rPr>
        <w:instrText xml:space="preserve"> HYPERLINK "https://eos.cartercenter.org/uploads/document_file/path/604/CASE_OF_HIRST_v._THE_UNITED_KINGDOM__No._2_.pdf"</w:instrText>
      </w:r>
      <w:r>
        <w:rPr>
          <w:rStyle w:val="Hyperlink.1"/>
        </w:rPr>
        <w:fldChar w:fldCharType="separate" w:fldLock="0"/>
      </w:r>
      <w:r>
        <w:rPr>
          <w:rStyle w:val="Hyperlink.1"/>
          <w:rtl w:val="0"/>
          <w:lang w:val="en-US"/>
        </w:rPr>
        <w:t>https://eos.cartercenter.org/uploads/document_file/path/604/CASE_OF_HIRST_v._THE_UNITED_KINGDOM__No._2_.pdf</w:t>
      </w:r>
      <w:r>
        <w:rPr/>
        <w:fldChar w:fldCharType="end" w:fldLock="0"/>
      </w:r>
    </w:p>
    <w:p>
      <w:pPr>
        <w:pStyle w:val="Default"/>
        <w:spacing w:before="0" w:after="320" w:line="360" w:lineRule="auto"/>
        <w:ind w:left="747" w:firstLine="0"/>
        <w:rPr>
          <w:rStyle w:val="None"/>
          <w:rFonts w:ascii="Times Roman" w:cs="Times Roman" w:hAnsi="Times Roman" w:eastAsia="Times Roman"/>
          <w:sz w:val="20"/>
          <w:szCs w:val="20"/>
        </w:rPr>
      </w:pPr>
      <w:r>
        <w:rPr>
          <w:rStyle w:val="None"/>
          <w:rFonts w:ascii="Arial" w:hAnsi="Arial"/>
          <w:sz w:val="20"/>
          <w:szCs w:val="20"/>
          <w:rtl w:val="0"/>
          <w:lang w:val="en-US"/>
        </w:rPr>
        <w:t xml:space="preserve">Court, T.S. (2021) </w:t>
      </w:r>
      <w:r>
        <w:rPr>
          <w:rStyle w:val="None"/>
          <w:rFonts w:ascii="Arial" w:hAnsi="Arial"/>
          <w:i w:val="1"/>
          <w:iCs w:val="1"/>
          <w:sz w:val="20"/>
          <w:szCs w:val="20"/>
          <w:rtl w:val="0"/>
          <w:lang w:val="en-US"/>
        </w:rPr>
        <w:t>The Supreme Court</w:t>
      </w:r>
      <w:r>
        <w:rPr>
          <w:rStyle w:val="None"/>
          <w:rFonts w:ascii="Arial" w:hAnsi="Arial"/>
          <w:sz w:val="20"/>
          <w:szCs w:val="20"/>
          <w:rtl w:val="0"/>
          <w:lang w:val="en-US"/>
        </w:rPr>
        <w:t xml:space="preserve">. Available at: </w:t>
      </w:r>
      <w:r>
        <w:rPr>
          <w:rStyle w:val="Hyperlink.1"/>
        </w:rPr>
        <w:fldChar w:fldCharType="begin" w:fldLock="0"/>
      </w:r>
      <w:r>
        <w:rPr>
          <w:rStyle w:val="Hyperlink.1"/>
        </w:rPr>
        <w:instrText xml:space="preserve"> HYPERLINK "https://www.supremecourt.uk/"</w:instrText>
      </w:r>
      <w:r>
        <w:rPr>
          <w:rStyle w:val="Hyperlink.1"/>
        </w:rPr>
        <w:fldChar w:fldCharType="separate" w:fldLock="0"/>
      </w:r>
      <w:r>
        <w:rPr>
          <w:rStyle w:val="Hyperlink.1"/>
          <w:rtl w:val="0"/>
          <w:lang w:val="en-US"/>
        </w:rPr>
        <w:t>https://www.supremecourt.uk/</w:t>
      </w:r>
      <w:r>
        <w:rPr/>
        <w:fldChar w:fldCharType="end" w:fldLock="0"/>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Style w:val="None"/>
          <w:rFonts w:ascii="Arial" w:hAnsi="Arial"/>
          <w:i w:val="1"/>
          <w:iCs w:val="1"/>
          <w:outline w:val="0"/>
          <w:color w:val="000000"/>
          <w:sz w:val="20"/>
          <w:szCs w:val="20"/>
          <w:u w:val="none" w:color="000000"/>
          <w:rtl w:val="0"/>
          <w:lang w:val="en-US"/>
          <w14:textFill>
            <w14:solidFill>
              <w14:srgbClr w14:val="000000"/>
            </w14:solidFill>
          </w14:textFill>
        </w:rPr>
        <w:t>Criminal</w:t>
      </w:r>
      <w:r>
        <w:rPr>
          <w:rStyle w:val="None"/>
          <w:rFonts w:ascii="Arial" w:hAnsi="Arial"/>
          <w:outline w:val="0"/>
          <w:color w:val="000000"/>
          <w:sz w:val="20"/>
          <w:szCs w:val="20"/>
          <w:u w:val="none" w:color="000000"/>
          <w:rtl w:val="0"/>
          <w:lang w:val="en-US"/>
          <w14:textFill>
            <w14:solidFill>
              <w14:srgbClr w14:val="000000"/>
            </w14:solidFill>
          </w14:textFill>
        </w:rPr>
        <w:t xml:space="preserve"> (2022) </w:t>
      </w:r>
      <w:r>
        <w:rPr>
          <w:rStyle w:val="None"/>
          <w:rFonts w:ascii="Arial" w:hAnsi="Arial"/>
          <w:i w:val="1"/>
          <w:iCs w:val="1"/>
          <w:outline w:val="0"/>
          <w:color w:val="000000"/>
          <w:sz w:val="20"/>
          <w:szCs w:val="20"/>
          <w:u w:val="none" w:color="000000"/>
          <w:rtl w:val="0"/>
          <w:lang w:val="en-US"/>
          <w14:textFill>
            <w14:solidFill>
              <w14:srgbClr w14:val="000000"/>
            </w14:solidFill>
          </w14:textFill>
        </w:rPr>
        <w:t>Courts and Tribunals Judiciary</w:t>
      </w:r>
      <w:r>
        <w:rPr>
          <w:rStyle w:val="None"/>
          <w:rFonts w:ascii="Arial" w:hAnsi="Arial"/>
          <w:outline w:val="0"/>
          <w:color w:val="000000"/>
          <w:sz w:val="20"/>
          <w:szCs w:val="20"/>
          <w:u w:val="none" w:color="000000"/>
          <w:rtl w:val="0"/>
          <w:lang w:val="en-US"/>
          <w14:textFill>
            <w14:solidFill>
              <w14:srgbClr w14:val="000000"/>
            </w14:solidFill>
          </w14:textFill>
        </w:rPr>
        <w:t xml:space="preserve">. Available at: </w:t>
      </w:r>
      <w:r>
        <w:rPr>
          <w:rStyle w:val="Hyperlink.1"/>
        </w:rPr>
        <w:fldChar w:fldCharType="begin" w:fldLock="0"/>
      </w:r>
      <w:r>
        <w:rPr>
          <w:rStyle w:val="Hyperlink.1"/>
        </w:rPr>
        <w:instrText xml:space="preserve"> HYPERLINK "https://www.judiciary.uk/about-the-judiciary/our-justice-system/jurisdictions/criminal-jurisdiction/"</w:instrText>
      </w:r>
      <w:r>
        <w:rPr>
          <w:rStyle w:val="Hyperlink.1"/>
        </w:rPr>
        <w:fldChar w:fldCharType="separate" w:fldLock="0"/>
      </w:r>
      <w:r>
        <w:rPr>
          <w:rStyle w:val="Hyperlink.1"/>
          <w:rtl w:val="0"/>
          <w:lang w:val="en-US"/>
        </w:rPr>
        <w:t>https://www.judiciary.uk/about-the-judiciary/our-justice-system/jurisdictions/criminal-jurisdiction/</w:t>
      </w:r>
      <w:r>
        <w:rPr/>
        <w:fldChar w:fldCharType="end" w:fldLock="0"/>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Style w:val="None"/>
          <w:rFonts w:ascii="Arial" w:hAnsi="Arial"/>
          <w:i w:val="1"/>
          <w:iCs w:val="1"/>
          <w:outline w:val="0"/>
          <w:color w:val="000000"/>
          <w:sz w:val="20"/>
          <w:szCs w:val="20"/>
          <w:u w:val="none" w:color="000000"/>
          <w:rtl w:val="0"/>
          <w:lang w:val="en-US"/>
          <w14:textFill>
            <w14:solidFill>
              <w14:srgbClr w14:val="000000"/>
            </w14:solidFill>
          </w14:textFill>
        </w:rPr>
        <w:t>Criminal procedure rules and practice directions 2020</w:t>
      </w:r>
      <w:r>
        <w:rPr>
          <w:rStyle w:val="None"/>
          <w:rFonts w:ascii="Arial" w:hAnsi="Arial"/>
          <w:outline w:val="0"/>
          <w:color w:val="000000"/>
          <w:sz w:val="20"/>
          <w:szCs w:val="20"/>
          <w:u w:val="none" w:color="000000"/>
          <w:rtl w:val="0"/>
          <w:lang w:val="en-US"/>
          <w14:textFill>
            <w14:solidFill>
              <w14:srgbClr w14:val="000000"/>
            </w14:solidFill>
          </w14:textFill>
        </w:rPr>
        <w:t xml:space="preserve"> (2020) </w:t>
      </w:r>
      <w:r>
        <w:rPr>
          <w:rStyle w:val="None"/>
          <w:rFonts w:ascii="Arial" w:hAnsi="Arial"/>
          <w:i w:val="1"/>
          <w:iCs w:val="1"/>
          <w:outline w:val="0"/>
          <w:color w:val="000000"/>
          <w:sz w:val="20"/>
          <w:szCs w:val="20"/>
          <w:u w:val="none" w:color="000000"/>
          <w:rtl w:val="0"/>
          <w:lang w:val="nl-NL"/>
          <w14:textFill>
            <w14:solidFill>
              <w14:srgbClr w14:val="000000"/>
            </w14:solidFill>
          </w14:textFill>
        </w:rPr>
        <w:t>GOV.UK</w:t>
      </w:r>
      <w:r>
        <w:rPr>
          <w:rStyle w:val="None"/>
          <w:rFonts w:ascii="Arial" w:hAnsi="Arial"/>
          <w:outline w:val="0"/>
          <w:color w:val="000000"/>
          <w:sz w:val="20"/>
          <w:szCs w:val="20"/>
          <w:u w:val="none" w:color="000000"/>
          <w:rtl w:val="0"/>
          <w:lang w:val="en-US"/>
          <w14:textFill>
            <w14:solidFill>
              <w14:srgbClr w14:val="000000"/>
            </w14:solidFill>
          </w14:textFill>
        </w:rPr>
        <w:t xml:space="preserve">. Available at: </w: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begin" w:fldLock="0"/>
      </w:r>
      <w:r>
        <w:rPr>
          <w:rStyle w:val="Hyperlink.0"/>
          <w:rFonts w:ascii="Arial" w:cs="Arial" w:hAnsi="Arial" w:eastAsia="Arial"/>
          <w:outline w:val="0"/>
          <w:color w:val="1155cc"/>
          <w:sz w:val="20"/>
          <w:szCs w:val="20"/>
          <w:u w:val="single" w:color="1155cc"/>
          <w:lang w:val="en-US"/>
          <w14:textFill>
            <w14:solidFill>
              <w14:srgbClr w14:val="1155CC"/>
            </w14:solidFill>
          </w14:textFill>
        </w:rPr>
        <w:instrText xml:space="preserve"> HYPERLINK "https://www.gov.uk/guidance/rules-and-practice-directions-2020%23rules-and-practice-directions-contents"</w:instrTex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separate" w:fldLock="0"/>
      </w:r>
      <w:r>
        <w:rPr>
          <w:rStyle w:val="Hyperlink.0"/>
          <w:rFonts w:ascii="Arial" w:hAnsi="Arial"/>
          <w:outline w:val="0"/>
          <w:color w:val="1155cc"/>
          <w:sz w:val="20"/>
          <w:szCs w:val="20"/>
          <w:u w:val="single" w:color="1155cc"/>
          <w:rtl w:val="0"/>
          <w:lang w:val="en-US"/>
          <w14:textFill>
            <w14:solidFill>
              <w14:srgbClr w14:val="1155CC"/>
            </w14:solidFill>
          </w14:textFill>
        </w:rPr>
        <w:t>https://www.gov.uk/guidance/rules-and-practice-directions-2020#rules-and-practice-directions-contents</w:t>
      </w:r>
      <w:r>
        <w:rPr/>
        <w:fldChar w:fldCharType="end" w:fldLock="0"/>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Style w:val="None"/>
          <w:rFonts w:ascii="Arial" w:hAnsi="Arial"/>
          <w:i w:val="1"/>
          <w:iCs w:val="1"/>
          <w:outline w:val="0"/>
          <w:color w:val="000000"/>
          <w:sz w:val="20"/>
          <w:szCs w:val="20"/>
          <w:u w:val="none" w:color="000000"/>
          <w:rtl w:val="0"/>
          <w:lang w:val="en-US"/>
          <w14:textFill>
            <w14:solidFill>
              <w14:srgbClr w14:val="000000"/>
            </w14:solidFill>
          </w14:textFill>
        </w:rPr>
        <w:t>Fair trials</w:t>
      </w:r>
      <w:r>
        <w:rPr>
          <w:rStyle w:val="None"/>
          <w:rFonts w:ascii="Arial" w:hAnsi="Arial"/>
          <w:outline w:val="0"/>
          <w:color w:val="000000"/>
          <w:sz w:val="20"/>
          <w:szCs w:val="20"/>
          <w:u w:val="none" w:color="000000"/>
          <w:rtl w:val="0"/>
          <w:lang w:val="en-US"/>
          <w14:textFill>
            <w14:solidFill>
              <w14:srgbClr w14:val="000000"/>
            </w14:solidFill>
          </w14:textFill>
        </w:rPr>
        <w:t xml:space="preserve"> (2020) </w:t>
      </w:r>
      <w:r>
        <w:rPr>
          <w:rStyle w:val="None"/>
          <w:rFonts w:ascii="Arial" w:hAnsi="Arial"/>
          <w:i w:val="1"/>
          <w:iCs w:val="1"/>
          <w:outline w:val="0"/>
          <w:color w:val="000000"/>
          <w:sz w:val="20"/>
          <w:szCs w:val="20"/>
          <w:u w:val="none" w:color="000000"/>
          <w:rtl w:val="0"/>
          <w:lang w:val="en-US"/>
          <w14:textFill>
            <w14:solidFill>
              <w14:srgbClr w14:val="000000"/>
            </w14:solidFill>
          </w14:textFill>
        </w:rPr>
        <w:t>Liberty</w:t>
      </w:r>
      <w:r>
        <w:rPr>
          <w:rStyle w:val="None"/>
          <w:rFonts w:ascii="Arial" w:hAnsi="Arial"/>
          <w:outline w:val="0"/>
          <w:color w:val="000000"/>
          <w:sz w:val="20"/>
          <w:szCs w:val="20"/>
          <w:u w:val="none" w:color="000000"/>
          <w:rtl w:val="0"/>
          <w:lang w:val="en-US"/>
          <w14:textFill>
            <w14:solidFill>
              <w14:srgbClr w14:val="000000"/>
            </w14:solidFill>
          </w14:textFill>
        </w:rPr>
        <w:t xml:space="preserve">. Available at: </w:t>
      </w:r>
      <w:r>
        <w:rPr>
          <w:rStyle w:val="Hyperlink.1"/>
        </w:rPr>
        <w:fldChar w:fldCharType="begin" w:fldLock="0"/>
      </w:r>
      <w:r>
        <w:rPr>
          <w:rStyle w:val="Hyperlink.1"/>
        </w:rPr>
        <w:instrText xml:space="preserve"> HYPERLINK "https://www.libertyhumanrights.org.uk/right/article-6-fair-trials/"</w:instrText>
      </w:r>
      <w:r>
        <w:rPr>
          <w:rStyle w:val="Hyperlink.1"/>
        </w:rPr>
        <w:fldChar w:fldCharType="separate" w:fldLock="0"/>
      </w:r>
      <w:r>
        <w:rPr>
          <w:rStyle w:val="Hyperlink.1"/>
          <w:rtl w:val="0"/>
          <w:lang w:val="en-US"/>
        </w:rPr>
        <w:t>https://www.libertyhumanrights.org.uk/right/article-6-fair-trials/</w:t>
      </w:r>
      <w:r>
        <w:rPr/>
        <w:fldChar w:fldCharType="end" w:fldLock="0"/>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Style w:val="None"/>
          <w:rFonts w:ascii="Arial" w:hAnsi="Arial"/>
          <w:i w:val="1"/>
          <w:iCs w:val="1"/>
          <w:outline w:val="0"/>
          <w:color w:val="000000"/>
          <w:sz w:val="20"/>
          <w:szCs w:val="20"/>
          <w:u w:val="none" w:color="000000"/>
          <w:rtl w:val="0"/>
          <w:lang w:val="en-US"/>
          <w14:textFill>
            <w14:solidFill>
              <w14:srgbClr w14:val="000000"/>
            </w14:solidFill>
          </w14:textFill>
        </w:rPr>
        <w:t xml:space="preserve">Freedom of expression in the United Kingdom </w:t>
      </w:r>
      <w:r>
        <w:rPr>
          <w:rStyle w:val="None"/>
          <w:rFonts w:ascii="Arial" w:hAnsi="Arial"/>
          <w:outline w:val="0"/>
          <w:color w:val="000000"/>
          <w:sz w:val="20"/>
          <w:szCs w:val="20"/>
          <w:u w:val="none" w:color="000000"/>
          <w:rtl w:val="0"/>
          <w:lang w:val="en-US"/>
          <w14:textFill>
            <w14:solidFill>
              <w14:srgbClr w14:val="000000"/>
            </w14:solidFill>
          </w14:textFill>
        </w:rPr>
        <w:t xml:space="preserve">(2021) </w:t>
      </w:r>
      <w:r>
        <w:rPr>
          <w:rStyle w:val="None"/>
          <w:rFonts w:ascii="Arial" w:hAnsi="Arial"/>
          <w:i w:val="1"/>
          <w:iCs w:val="1"/>
          <w:outline w:val="0"/>
          <w:color w:val="000000"/>
          <w:sz w:val="20"/>
          <w:szCs w:val="20"/>
          <w:u w:val="none" w:color="000000"/>
          <w:rtl w:val="0"/>
          <w:lang w:val="de-DE"/>
          <w14:textFill>
            <w14:solidFill>
              <w14:srgbClr w14:val="000000"/>
            </w14:solidFill>
          </w14:textFill>
        </w:rPr>
        <w:t>HeinOnline</w:t>
      </w:r>
      <w:r>
        <w:rPr>
          <w:rStyle w:val="None"/>
          <w:rFonts w:ascii="Arial" w:hAnsi="Arial"/>
          <w:outline w:val="0"/>
          <w:color w:val="000000"/>
          <w:sz w:val="20"/>
          <w:szCs w:val="20"/>
          <w:u w:val="none" w:color="000000"/>
          <w:rtl w:val="0"/>
          <w:lang w:val="en-US"/>
          <w14:textFill>
            <w14:solidFill>
              <w14:srgbClr w14:val="000000"/>
            </w14:solidFill>
          </w14:textFill>
        </w:rPr>
        <w:t xml:space="preserve">. Available at: </w:t>
      </w:r>
      <w:r>
        <w:rPr>
          <w:rStyle w:val="Hyperlink.2"/>
          <w:rFonts w:ascii="Arial" w:cs="Arial" w:hAnsi="Arial" w:eastAsia="Arial"/>
          <w:outline w:val="0"/>
          <w:color w:val="1155cc"/>
          <w:sz w:val="20"/>
          <w:szCs w:val="20"/>
          <w:u w:val="single" w:color="1155cc"/>
          <w:lang w:val="de-DE"/>
          <w14:textFill>
            <w14:solidFill>
              <w14:srgbClr w14:val="1155CC"/>
            </w14:solidFill>
          </w14:textFill>
        </w:rPr>
        <w:fldChar w:fldCharType="begin" w:fldLock="0"/>
      </w:r>
      <w:r>
        <w:rPr>
          <w:rStyle w:val="Hyperlink.2"/>
          <w:rFonts w:ascii="Arial" w:cs="Arial" w:hAnsi="Arial" w:eastAsia="Arial"/>
          <w:outline w:val="0"/>
          <w:color w:val="1155cc"/>
          <w:sz w:val="20"/>
          <w:szCs w:val="20"/>
          <w:u w:val="single" w:color="1155cc"/>
          <w:lang w:val="de-DE"/>
          <w14:textFill>
            <w14:solidFill>
              <w14:srgbClr w14:val="1155CC"/>
            </w14:solidFill>
          </w14:textFill>
        </w:rPr>
        <w:instrText xml:space="preserve"> HYPERLINK "https://heinonline.org/HOL/LandingPage?handle=hein.journals%252Findana84&amp;div=29&amp;id=&amp;page="</w:instrText>
      </w:r>
      <w:r>
        <w:rPr>
          <w:rStyle w:val="Hyperlink.2"/>
          <w:rFonts w:ascii="Arial" w:cs="Arial" w:hAnsi="Arial" w:eastAsia="Arial"/>
          <w:outline w:val="0"/>
          <w:color w:val="1155cc"/>
          <w:sz w:val="20"/>
          <w:szCs w:val="20"/>
          <w:u w:val="single" w:color="1155cc"/>
          <w:lang w:val="de-DE"/>
          <w14:textFill>
            <w14:solidFill>
              <w14:srgbClr w14:val="1155CC"/>
            </w14:solidFill>
          </w14:textFill>
        </w:rPr>
        <w:fldChar w:fldCharType="separate" w:fldLock="0"/>
      </w:r>
      <w:r>
        <w:rPr>
          <w:rStyle w:val="Hyperlink.2"/>
          <w:rFonts w:ascii="Arial" w:hAnsi="Arial"/>
          <w:outline w:val="0"/>
          <w:color w:val="1155cc"/>
          <w:sz w:val="20"/>
          <w:szCs w:val="20"/>
          <w:u w:val="single" w:color="1155cc"/>
          <w:rtl w:val="0"/>
          <w:lang w:val="de-DE"/>
          <w14:textFill>
            <w14:solidFill>
              <w14:srgbClr w14:val="1155CC"/>
            </w14:solidFill>
          </w14:textFill>
        </w:rPr>
        <w:t>https://heinonline.org/HOL/LandingPage?handle=hein.journals%2Findana84&amp;div=29&amp;id=&amp;page=</w:t>
      </w:r>
      <w:r>
        <w:rPr/>
        <w:fldChar w:fldCharType="end" w:fldLock="0"/>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Style w:val="None"/>
          <w:rFonts w:ascii="Arial" w:hAnsi="Arial"/>
          <w:outline w:val="0"/>
          <w:color w:val="000000"/>
          <w:sz w:val="20"/>
          <w:szCs w:val="20"/>
          <w:u w:val="none" w:color="000000"/>
          <w:rtl w:val="0"/>
          <w:lang w:val="nl-NL"/>
          <w14:textFill>
            <w14:solidFill>
              <w14:srgbClr w14:val="000000"/>
            </w14:solidFill>
          </w14:textFill>
        </w:rPr>
        <w:t xml:space="preserve">Green, L. (2014) </w:t>
      </w:r>
      <w:r>
        <w:rPr>
          <w:rStyle w:val="None"/>
          <w:rFonts w:ascii="Arial" w:hAnsi="Arial"/>
          <w:i w:val="1"/>
          <w:iCs w:val="1"/>
          <w:outline w:val="0"/>
          <w:color w:val="000000"/>
          <w:sz w:val="20"/>
          <w:szCs w:val="20"/>
          <w:u w:val="none" w:color="000000"/>
          <w:rtl w:val="0"/>
          <w:lang w:val="en-US"/>
          <w14:textFill>
            <w14:solidFill>
              <w14:srgbClr w14:val="000000"/>
            </w14:solidFill>
          </w14:textFill>
        </w:rPr>
        <w:t>Law and the role of a judge</w:t>
      </w:r>
      <w:r>
        <w:rPr>
          <w:rStyle w:val="None"/>
          <w:rFonts w:ascii="Arial" w:hAnsi="Arial"/>
          <w:outline w:val="0"/>
          <w:color w:val="000000"/>
          <w:sz w:val="20"/>
          <w:szCs w:val="20"/>
          <w:u w:val="none" w:color="000000"/>
          <w:rtl w:val="0"/>
          <w:lang w:val="en-US"/>
          <w14:textFill>
            <w14:solidFill>
              <w14:srgbClr w14:val="000000"/>
            </w14:solidFill>
          </w14:textFill>
        </w:rPr>
        <w:t xml:space="preserve">, </w:t>
      </w:r>
      <w:r>
        <w:rPr>
          <w:rStyle w:val="None"/>
          <w:rFonts w:ascii="Arial" w:hAnsi="Arial"/>
          <w:i w:val="1"/>
          <w:iCs w:val="1"/>
          <w:outline w:val="0"/>
          <w:color w:val="000000"/>
          <w:sz w:val="20"/>
          <w:szCs w:val="20"/>
          <w:u w:val="none" w:color="000000"/>
          <w:rtl w:val="0"/>
          <w:lang w:val="en-US"/>
          <w14:textFill>
            <w14:solidFill>
              <w14:srgbClr w14:val="000000"/>
            </w14:solidFill>
          </w14:textFill>
        </w:rPr>
        <w:t>SSRN</w:t>
      </w:r>
      <w:r>
        <w:rPr>
          <w:rStyle w:val="None"/>
          <w:rFonts w:ascii="Arial" w:hAnsi="Arial"/>
          <w:outline w:val="0"/>
          <w:color w:val="000000"/>
          <w:sz w:val="20"/>
          <w:szCs w:val="20"/>
          <w:u w:val="none" w:color="000000"/>
          <w:rtl w:val="0"/>
          <w:lang w:val="en-US"/>
          <w14:textFill>
            <w14:solidFill>
              <w14:srgbClr w14:val="000000"/>
            </w14:solidFill>
          </w14:textFill>
        </w:rPr>
        <w:t xml:space="preserve">. Available at: </w: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begin" w:fldLock="0"/>
      </w:r>
      <w:r>
        <w:rPr>
          <w:rStyle w:val="Hyperlink.0"/>
          <w:rFonts w:ascii="Arial" w:cs="Arial" w:hAnsi="Arial" w:eastAsia="Arial"/>
          <w:outline w:val="0"/>
          <w:color w:val="1155cc"/>
          <w:sz w:val="20"/>
          <w:szCs w:val="20"/>
          <w:u w:val="single" w:color="1155cc"/>
          <w:lang w:val="en-US"/>
          <w14:textFill>
            <w14:solidFill>
              <w14:srgbClr w14:val="1155CC"/>
            </w14:solidFill>
          </w14:textFill>
        </w:rPr>
        <w:instrText xml:space="preserve"> HYPERLINK "https://papers.ssrn.com/sol3/papers.cfm?abstract_id=2495953%23maincontent"</w:instrTex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separate" w:fldLock="0"/>
      </w:r>
      <w:r>
        <w:rPr>
          <w:rStyle w:val="Hyperlink.0"/>
          <w:rFonts w:ascii="Arial" w:hAnsi="Arial"/>
          <w:outline w:val="0"/>
          <w:color w:val="1155cc"/>
          <w:sz w:val="20"/>
          <w:szCs w:val="20"/>
          <w:u w:val="single" w:color="1155cc"/>
          <w:rtl w:val="0"/>
          <w:lang w:val="en-US"/>
          <w14:textFill>
            <w14:solidFill>
              <w14:srgbClr w14:val="1155CC"/>
            </w14:solidFill>
          </w14:textFill>
        </w:rPr>
        <w:t>https://papers.ssrn.com/sol3/papers.cfm?abstract_id=2495953#maincontent</w:t>
      </w:r>
      <w:r>
        <w:rPr/>
        <w:fldChar w:fldCharType="end" w:fldLock="0"/>
      </w:r>
    </w:p>
    <w:p>
      <w:pPr>
        <w:pStyle w:val="Default"/>
        <w:spacing w:before="0" w:after="320" w:line="360" w:lineRule="auto"/>
        <w:ind w:left="747" w:firstLine="0"/>
        <w:rPr>
          <w:rStyle w:val="None"/>
          <w:rFonts w:ascii="Times Roman" w:cs="Times Roman" w:hAnsi="Times Roman" w:eastAsia="Times Roman"/>
          <w:sz w:val="20"/>
          <w:szCs w:val="20"/>
        </w:rPr>
      </w:pPr>
      <w:r>
        <w:rPr>
          <w:rStyle w:val="None"/>
          <w:rFonts w:ascii="Arial" w:hAnsi="Arial"/>
          <w:i w:val="1"/>
          <w:iCs w:val="1"/>
          <w:sz w:val="20"/>
          <w:szCs w:val="20"/>
          <w:rtl w:val="0"/>
          <w:lang w:val="en-US"/>
        </w:rPr>
        <w:t>Judicial Review: Time for change? - House of Lords Library</w:t>
      </w:r>
      <w:r>
        <w:rPr>
          <w:rStyle w:val="None"/>
          <w:rFonts w:ascii="Arial" w:hAnsi="Arial"/>
          <w:sz w:val="20"/>
          <w:szCs w:val="20"/>
          <w:rtl w:val="0"/>
          <w:lang w:val="en-US"/>
        </w:rPr>
        <w:t xml:space="preserve"> (2017). Available at: </w:t>
      </w:r>
      <w:r>
        <w:rPr>
          <w:rStyle w:val="Hyperlink.1"/>
        </w:rPr>
        <w:fldChar w:fldCharType="begin" w:fldLock="0"/>
      </w:r>
      <w:r>
        <w:rPr>
          <w:rStyle w:val="Hyperlink.1"/>
        </w:rPr>
        <w:instrText xml:space="preserve"> HYPERLINK "https://lordslibrary.parliament.uk/judicial-review-time-for-change/"</w:instrText>
      </w:r>
      <w:r>
        <w:rPr>
          <w:rStyle w:val="Hyperlink.1"/>
        </w:rPr>
        <w:fldChar w:fldCharType="separate" w:fldLock="0"/>
      </w:r>
      <w:r>
        <w:rPr>
          <w:rStyle w:val="Hyperlink.1"/>
          <w:rtl w:val="0"/>
          <w:lang w:val="en-US"/>
        </w:rPr>
        <w:t>https://lordslibrary.parliament.uk/judicial-review-time-for-change/</w:t>
      </w:r>
      <w:r>
        <w:rPr/>
        <w:fldChar w:fldCharType="end" w:fldLock="0"/>
      </w:r>
    </w:p>
    <w:p>
      <w:pPr>
        <w:pStyle w:val="Default"/>
        <w:spacing w:before="0" w:after="320" w:line="360" w:lineRule="auto"/>
        <w:ind w:left="747" w:firstLine="0"/>
        <w:rPr>
          <w:rStyle w:val="None"/>
          <w:rFonts w:ascii="Times Roman" w:cs="Times Roman" w:hAnsi="Times Roman" w:eastAsia="Times Roman"/>
          <w:sz w:val="20"/>
          <w:szCs w:val="20"/>
        </w:rPr>
      </w:pPr>
      <w:r>
        <w:rPr>
          <w:rStyle w:val="None"/>
          <w:rFonts w:ascii="Arial" w:hAnsi="Arial"/>
          <w:i w:val="1"/>
          <w:iCs w:val="1"/>
          <w:sz w:val="20"/>
          <w:szCs w:val="20"/>
          <w:rtl w:val="0"/>
          <w:lang w:val="en-US"/>
        </w:rPr>
        <w:t>Non-jury trials</w:t>
      </w:r>
      <w:r>
        <w:rPr>
          <w:rStyle w:val="None"/>
          <w:rFonts w:ascii="Arial" w:hAnsi="Arial"/>
          <w:sz w:val="20"/>
          <w:szCs w:val="20"/>
          <w:rtl w:val="0"/>
          <w:lang w:val="it-IT"/>
        </w:rPr>
        <w:t xml:space="preserve"> (no date) </w:t>
      </w:r>
      <w:r>
        <w:rPr>
          <w:rStyle w:val="None"/>
          <w:rFonts w:ascii="Arial" w:hAnsi="Arial"/>
          <w:i w:val="1"/>
          <w:iCs w:val="1"/>
          <w:sz w:val="20"/>
          <w:szCs w:val="20"/>
          <w:rtl w:val="0"/>
          <w:lang w:val="en-US"/>
        </w:rPr>
        <w:t>Non-Jury Trials | The Crown Prosecution Service</w:t>
      </w:r>
      <w:r>
        <w:rPr>
          <w:rStyle w:val="None"/>
          <w:rFonts w:ascii="Arial" w:hAnsi="Arial"/>
          <w:sz w:val="20"/>
          <w:szCs w:val="20"/>
          <w:rtl w:val="0"/>
          <w:lang w:val="en-US"/>
        </w:rPr>
        <w:t xml:space="preserve">. Available at: </w: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begin" w:fldLock="0"/>
      </w:r>
      <w:r>
        <w:rPr>
          <w:rStyle w:val="Hyperlink.0"/>
          <w:rFonts w:ascii="Arial" w:cs="Arial" w:hAnsi="Arial" w:eastAsia="Arial"/>
          <w:outline w:val="0"/>
          <w:color w:val="1155cc"/>
          <w:sz w:val="20"/>
          <w:szCs w:val="20"/>
          <w:u w:val="single" w:color="1155cc"/>
          <w:lang w:val="en-US"/>
          <w14:textFill>
            <w14:solidFill>
              <w14:srgbClr w14:val="1155CC"/>
            </w14:solidFill>
          </w14:textFill>
        </w:rPr>
        <w:instrText xml:space="preserve"> HYPERLINK "https://www.cps.gov.uk/legal-guidance/non-jury-trials"</w:instrTex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separate" w:fldLock="0"/>
      </w:r>
      <w:r>
        <w:rPr>
          <w:rStyle w:val="Hyperlink.0"/>
          <w:rFonts w:ascii="Arial" w:hAnsi="Arial"/>
          <w:outline w:val="0"/>
          <w:color w:val="1155cc"/>
          <w:sz w:val="20"/>
          <w:szCs w:val="20"/>
          <w:u w:val="single" w:color="1155cc"/>
          <w:rtl w:val="0"/>
          <w:lang w:val="en-US"/>
          <w14:textFill>
            <w14:solidFill>
              <w14:srgbClr w14:val="1155CC"/>
            </w14:solidFill>
          </w14:textFill>
        </w:rPr>
        <w:t>https://www.cps.gov.uk/legal-guidance/non-jury-trials</w:t>
      </w:r>
      <w:r>
        <w:rPr/>
        <w:fldChar w:fldCharType="end" w:fldLock="0"/>
      </w:r>
    </w:p>
    <w:p>
      <w:pPr>
        <w:pStyle w:val="Default"/>
        <w:spacing w:before="0" w:after="320" w:line="360" w:lineRule="auto"/>
        <w:ind w:left="747" w:firstLine="0"/>
        <w:rPr>
          <w:rStyle w:val="None"/>
          <w:rFonts w:ascii="Times Roman" w:cs="Times Roman" w:hAnsi="Times Roman" w:eastAsia="Times Roman"/>
          <w:sz w:val="20"/>
          <w:szCs w:val="20"/>
        </w:rPr>
      </w:pPr>
      <w:r>
        <w:rPr>
          <w:rStyle w:val="None"/>
          <w:rFonts w:ascii="Arial" w:hAnsi="Arial"/>
          <w:i w:val="1"/>
          <w:iCs w:val="1"/>
          <w:sz w:val="20"/>
          <w:szCs w:val="20"/>
          <w:rtl w:val="0"/>
          <w:lang w:val="en-US"/>
        </w:rPr>
        <w:t>Prisoners</w:t>
      </w:r>
      <w:r>
        <w:rPr>
          <w:rStyle w:val="None"/>
          <w:rFonts w:ascii="Arial Unicode MS" w:hAnsi="Arial Unicode MS" w:hint="default"/>
          <w:sz w:val="20"/>
          <w:szCs w:val="20"/>
          <w:rtl w:val="0"/>
          <w:lang w:val="en-US"/>
        </w:rPr>
        <w:t xml:space="preserve">’ </w:t>
      </w:r>
      <w:r>
        <w:rPr>
          <w:rStyle w:val="None"/>
          <w:rFonts w:ascii="Arial" w:hAnsi="Arial"/>
          <w:i w:val="1"/>
          <w:iCs w:val="1"/>
          <w:sz w:val="20"/>
          <w:szCs w:val="20"/>
          <w:rtl w:val="0"/>
          <w:lang w:val="en-US"/>
        </w:rPr>
        <w:t>voting rights: Developments since May 2015</w:t>
      </w:r>
      <w:r>
        <w:rPr>
          <w:rStyle w:val="None"/>
          <w:rFonts w:ascii="Arial" w:hAnsi="Arial"/>
          <w:sz w:val="20"/>
          <w:szCs w:val="20"/>
          <w:rtl w:val="0"/>
          <w:lang w:val="en-US"/>
        </w:rPr>
        <w:t xml:space="preserve"> (2016). Available at: </w:t>
      </w:r>
      <w:r>
        <w:rPr>
          <w:rStyle w:val="Hyperlink.1"/>
        </w:rPr>
        <w:fldChar w:fldCharType="begin" w:fldLock="0"/>
      </w:r>
      <w:r>
        <w:rPr>
          <w:rStyle w:val="Hyperlink.1"/>
        </w:rPr>
        <w:instrText xml:space="preserve"> HYPERLINK "https://commonslibrary.parliament.uk/research-briefings/cbp-7461/"</w:instrText>
      </w:r>
      <w:r>
        <w:rPr>
          <w:rStyle w:val="Hyperlink.1"/>
        </w:rPr>
        <w:fldChar w:fldCharType="separate" w:fldLock="0"/>
      </w:r>
      <w:r>
        <w:rPr>
          <w:rStyle w:val="Hyperlink.1"/>
          <w:rtl w:val="0"/>
          <w:lang w:val="en-US"/>
        </w:rPr>
        <w:t>https://commonslibrary.parliament.uk/research-briefings/cbp-7461/</w:t>
      </w:r>
      <w:r>
        <w:rPr/>
        <w:fldChar w:fldCharType="end" w:fldLock="0"/>
      </w:r>
    </w:p>
    <w:p>
      <w:pPr>
        <w:pStyle w:val="Default"/>
        <w:spacing w:before="0" w:after="320" w:line="360" w:lineRule="auto"/>
        <w:ind w:left="747" w:firstLine="0"/>
        <w:rPr>
          <w:rStyle w:val="None"/>
          <w:rFonts w:ascii="Times Roman" w:cs="Times Roman" w:hAnsi="Times Roman" w:eastAsia="Times Roman"/>
          <w:sz w:val="20"/>
          <w:szCs w:val="20"/>
        </w:rPr>
      </w:pPr>
      <w:r>
        <w:rPr>
          <w:rStyle w:val="None"/>
          <w:rFonts w:ascii="Arial" w:hAnsi="Arial"/>
          <w:sz w:val="20"/>
          <w:szCs w:val="20"/>
          <w:rtl w:val="0"/>
          <w:lang w:val="en-US"/>
        </w:rPr>
        <w:t xml:space="preserve">Qredible (2020) </w:t>
      </w:r>
      <w:r>
        <w:rPr>
          <w:rStyle w:val="None"/>
          <w:rFonts w:ascii="Arial" w:hAnsi="Arial"/>
          <w:i w:val="1"/>
          <w:iCs w:val="1"/>
          <w:sz w:val="20"/>
          <w:szCs w:val="20"/>
          <w:rtl w:val="0"/>
          <w:lang w:val="en-US"/>
        </w:rPr>
        <w:t>miscarriage of justice</w:t>
      </w:r>
      <w:r>
        <w:rPr>
          <w:rStyle w:val="None"/>
          <w:rFonts w:ascii="Arial" w:hAnsi="Arial"/>
          <w:sz w:val="20"/>
          <w:szCs w:val="20"/>
          <w:rtl w:val="0"/>
          <w:lang w:val="en-US"/>
        </w:rPr>
        <w:t xml:space="preserve">, </w:t>
      </w:r>
      <w:r>
        <w:rPr>
          <w:rStyle w:val="None"/>
          <w:rFonts w:ascii="Arial" w:hAnsi="Arial"/>
          <w:i w:val="1"/>
          <w:iCs w:val="1"/>
          <w:sz w:val="20"/>
          <w:szCs w:val="20"/>
          <w:rtl w:val="0"/>
          <w:lang w:val="en-US"/>
        </w:rPr>
        <w:t>Qredible&lt;</w:t>
      </w:r>
      <w:r>
        <w:rPr>
          <w:rStyle w:val="None"/>
          <w:rFonts w:ascii="Arial" w:hAnsi="Arial"/>
          <w:sz w:val="20"/>
          <w:szCs w:val="20"/>
          <w:rtl w:val="0"/>
          <w:lang w:val="en-US"/>
        </w:rPr>
        <w:t xml:space="preserve">. Available at: </w:t>
      </w:r>
      <w:r>
        <w:rPr>
          <w:rStyle w:val="Hyperlink.1"/>
        </w:rPr>
        <w:fldChar w:fldCharType="begin" w:fldLock="0"/>
      </w:r>
      <w:r>
        <w:rPr>
          <w:rStyle w:val="Hyperlink.1"/>
        </w:rPr>
        <w:instrText xml:space="preserve"> HYPERLINK "https://www.qredible.co.uk/b/miscarriage-of-justice/"</w:instrText>
      </w:r>
      <w:r>
        <w:rPr>
          <w:rStyle w:val="Hyperlink.1"/>
        </w:rPr>
        <w:fldChar w:fldCharType="separate" w:fldLock="0"/>
      </w:r>
      <w:r>
        <w:rPr>
          <w:rStyle w:val="Hyperlink.1"/>
          <w:rtl w:val="0"/>
          <w:lang w:val="en-US"/>
        </w:rPr>
        <w:t>https://www.qredible.co.uk/b/miscarriage-of-justice/</w:t>
      </w:r>
      <w:r>
        <w:rPr/>
        <w:fldChar w:fldCharType="end" w:fldLock="0"/>
      </w:r>
    </w:p>
    <w:p>
      <w:pPr>
        <w:pStyle w:val="Default"/>
        <w:spacing w:before="0" w:after="320" w:line="360" w:lineRule="auto"/>
        <w:ind w:left="747" w:firstLine="0"/>
        <w:rPr>
          <w:rStyle w:val="None"/>
          <w:rFonts w:ascii="Times Roman" w:cs="Times Roman" w:hAnsi="Times Roman" w:eastAsia="Times Roman"/>
          <w:sz w:val="20"/>
          <w:szCs w:val="20"/>
        </w:rPr>
      </w:pPr>
      <w:r>
        <w:rPr>
          <w:rStyle w:val="None"/>
          <w:rFonts w:ascii="Arial" w:hAnsi="Arial"/>
          <w:i w:val="1"/>
          <w:iCs w:val="1"/>
          <w:sz w:val="20"/>
          <w:szCs w:val="20"/>
          <w:rtl w:val="0"/>
          <w:lang w:val="en-US"/>
        </w:rPr>
        <w:t>Vinter v UK and whether life should mean life</w:t>
      </w:r>
      <w:r>
        <w:rPr>
          <w:rStyle w:val="None"/>
          <w:rFonts w:ascii="Arial" w:hAnsi="Arial"/>
          <w:sz w:val="20"/>
          <w:szCs w:val="20"/>
          <w:rtl w:val="0"/>
          <w:lang w:val="it-IT"/>
        </w:rPr>
        <w:t xml:space="preserve"> (no date) </w:t>
      </w:r>
      <w:r>
        <w:rPr>
          <w:rStyle w:val="None"/>
          <w:rFonts w:ascii="Arial" w:hAnsi="Arial"/>
          <w:i w:val="1"/>
          <w:iCs w:val="1"/>
          <w:sz w:val="20"/>
          <w:szCs w:val="20"/>
          <w:rtl w:val="0"/>
          <w:lang w:val="en-US"/>
        </w:rPr>
        <w:t>OHRH</w:t>
      </w:r>
      <w:r>
        <w:rPr>
          <w:rStyle w:val="None"/>
          <w:rFonts w:ascii="Arial" w:hAnsi="Arial"/>
          <w:sz w:val="20"/>
          <w:szCs w:val="20"/>
          <w:rtl w:val="0"/>
          <w:lang w:val="en-US"/>
        </w:rPr>
        <w:t xml:space="preserve">. Available at: </w: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begin" w:fldLock="0"/>
      </w:r>
      <w:r>
        <w:rPr>
          <w:rStyle w:val="Hyperlink.0"/>
          <w:rFonts w:ascii="Arial" w:cs="Arial" w:hAnsi="Arial" w:eastAsia="Arial"/>
          <w:outline w:val="0"/>
          <w:color w:val="1155cc"/>
          <w:sz w:val="20"/>
          <w:szCs w:val="20"/>
          <w:u w:val="single" w:color="1155cc"/>
          <w:lang w:val="en-US"/>
          <w14:textFill>
            <w14:solidFill>
              <w14:srgbClr w14:val="1155CC"/>
            </w14:solidFill>
          </w14:textFill>
        </w:rPr>
        <w:instrText xml:space="preserve"> HYPERLINK "https://ohrh.law.ox.ac.uk/vinter-v-uk-and-whether-life-should-mean-life/"</w:instrText>
      </w:r>
      <w:r>
        <w:rPr>
          <w:rStyle w:val="Hyperlink.0"/>
          <w:rFonts w:ascii="Arial" w:cs="Arial" w:hAnsi="Arial" w:eastAsia="Arial"/>
          <w:outline w:val="0"/>
          <w:color w:val="1155cc"/>
          <w:sz w:val="20"/>
          <w:szCs w:val="20"/>
          <w:u w:val="single" w:color="1155cc"/>
          <w:lang w:val="en-US"/>
          <w14:textFill>
            <w14:solidFill>
              <w14:srgbClr w14:val="1155CC"/>
            </w14:solidFill>
          </w14:textFill>
        </w:rPr>
        <w:fldChar w:fldCharType="separate" w:fldLock="0"/>
      </w:r>
      <w:r>
        <w:rPr>
          <w:rStyle w:val="Hyperlink.0"/>
          <w:rFonts w:ascii="Arial" w:hAnsi="Arial"/>
          <w:outline w:val="0"/>
          <w:color w:val="1155cc"/>
          <w:sz w:val="20"/>
          <w:szCs w:val="20"/>
          <w:u w:val="single" w:color="1155cc"/>
          <w:rtl w:val="0"/>
          <w:lang w:val="en-US"/>
          <w14:textFill>
            <w14:solidFill>
              <w14:srgbClr w14:val="1155CC"/>
            </w14:solidFill>
          </w14:textFill>
        </w:rPr>
        <w:t>https://ohrh.law.ox.ac.uk/vinter-v-uk-and-whether-life-should-mean-life/</w:t>
      </w:r>
      <w:r>
        <w:rPr/>
        <w:fldChar w:fldCharType="end" w:fldLock="0"/>
      </w:r>
    </w:p>
    <w:p>
      <w:pPr>
        <w:pStyle w:val="Default"/>
        <w:spacing w:before="0" w:after="320" w:line="360" w:lineRule="auto"/>
        <w:ind w:left="747" w:firstLine="0"/>
        <w:rPr>
          <w:rStyle w:val="None"/>
          <w:rFonts w:ascii="Times Roman" w:cs="Times Roman" w:hAnsi="Times Roman" w:eastAsia="Times Roman"/>
          <w:outline w:val="0"/>
          <w:color w:val="000000"/>
          <w:sz w:val="20"/>
          <w:szCs w:val="20"/>
          <w:u w:val="none" w:color="000000"/>
          <w14:textFill>
            <w14:solidFill>
              <w14:srgbClr w14:val="000000"/>
            </w14:solidFill>
          </w14:textFill>
        </w:rPr>
      </w:pPr>
      <w:r>
        <w:rPr>
          <w:rStyle w:val="None"/>
          <w:rFonts w:ascii="Arial" w:hAnsi="Arial"/>
          <w:i w:val="1"/>
          <w:iCs w:val="1"/>
          <w:outline w:val="0"/>
          <w:color w:val="000000"/>
          <w:sz w:val="20"/>
          <w:szCs w:val="20"/>
          <w:u w:val="none" w:color="000000"/>
          <w:rtl w:val="0"/>
          <w:lang w:val="en-US"/>
          <w14:textFill>
            <w14:solidFill>
              <w14:srgbClr w14:val="000000"/>
            </w14:solidFill>
          </w14:textFill>
        </w:rPr>
        <w:t>Who's who in the Criminal Justice System</w:t>
      </w:r>
      <w:r>
        <w:rPr>
          <w:rStyle w:val="None"/>
          <w:rFonts w:ascii="Arial" w:hAnsi="Arial"/>
          <w:outline w:val="0"/>
          <w:color w:val="000000"/>
          <w:sz w:val="20"/>
          <w:szCs w:val="20"/>
          <w:u w:val="none" w:color="000000"/>
          <w:rtl w:val="0"/>
          <w:lang w:val="en-US"/>
          <w14:textFill>
            <w14:solidFill>
              <w14:srgbClr w14:val="000000"/>
            </w14:solidFill>
          </w14:textFill>
        </w:rPr>
        <w:t xml:space="preserve"> (2020) </w:t>
      </w:r>
      <w:r>
        <w:rPr>
          <w:rStyle w:val="None"/>
          <w:rFonts w:ascii="Arial" w:hAnsi="Arial"/>
          <w:i w:val="1"/>
          <w:iCs w:val="1"/>
          <w:outline w:val="0"/>
          <w:color w:val="000000"/>
          <w:sz w:val="20"/>
          <w:szCs w:val="20"/>
          <w:u w:val="none" w:color="000000"/>
          <w:rtl w:val="0"/>
          <w:lang w:val="en-US"/>
          <w14:textFill>
            <w14:solidFill>
              <w14:srgbClr w14:val="000000"/>
            </w14:solidFill>
          </w14:textFill>
        </w:rPr>
        <w:t>Victim Support</w:t>
      </w:r>
      <w:r>
        <w:rPr>
          <w:rStyle w:val="None"/>
          <w:rFonts w:ascii="Arial" w:hAnsi="Arial"/>
          <w:outline w:val="0"/>
          <w:color w:val="000000"/>
          <w:sz w:val="20"/>
          <w:szCs w:val="20"/>
          <w:u w:val="none" w:color="000000"/>
          <w:rtl w:val="0"/>
          <w:lang w:val="en-US"/>
          <w14:textFill>
            <w14:solidFill>
              <w14:srgbClr w14:val="000000"/>
            </w14:solidFill>
          </w14:textFill>
        </w:rPr>
        <w:t xml:space="preserve">. Available at: </w:t>
      </w:r>
      <w:r>
        <w:rPr>
          <w:rStyle w:val="Hyperlink.1"/>
        </w:rPr>
        <w:fldChar w:fldCharType="begin" w:fldLock="0"/>
      </w:r>
      <w:r>
        <w:rPr>
          <w:rStyle w:val="Hyperlink.1"/>
        </w:rPr>
        <w:instrText xml:space="preserve"> HYPERLINK "https://www.victimsupport.org.uk/going-court/whos-who-in-the-criminal-justice-system/"</w:instrText>
      </w:r>
      <w:r>
        <w:rPr>
          <w:rStyle w:val="Hyperlink.1"/>
        </w:rPr>
        <w:fldChar w:fldCharType="separate" w:fldLock="0"/>
      </w:r>
      <w:r>
        <w:rPr>
          <w:rStyle w:val="Hyperlink.1"/>
          <w:rtl w:val="0"/>
          <w:lang w:val="en-US"/>
        </w:rPr>
        <w:t>https://www.victimsupport.org.uk/going-court/whos-who-in-the-criminal-justice-system/</w:t>
      </w:r>
      <w:r>
        <w:rPr/>
        <w:fldChar w:fldCharType="end" w:fldLock="0"/>
      </w:r>
    </w:p>
    <w:p>
      <w:pPr>
        <w:pStyle w:val="Default"/>
        <w:spacing w:before="0" w:after="320" w:line="360" w:lineRule="auto"/>
        <w:ind w:left="747" w:firstLine="0"/>
      </w:pPr>
      <w:r>
        <w:rPr>
          <w:rStyle w:val="None"/>
          <w:rFonts w:ascii="Arial" w:hAnsi="Arial"/>
          <w:i w:val="1"/>
          <w:iCs w:val="1"/>
          <w:sz w:val="20"/>
          <w:szCs w:val="20"/>
          <w:rtl w:val="0"/>
          <w:lang w:val="en-US"/>
        </w:rPr>
        <w:t>50 problematic cases</w:t>
      </w:r>
      <w:r>
        <w:rPr>
          <w:rStyle w:val="None"/>
          <w:rFonts w:ascii="Arial" w:hAnsi="Arial"/>
          <w:sz w:val="20"/>
          <w:szCs w:val="20"/>
          <w:rtl w:val="0"/>
          <w:lang w:val="en-US"/>
        </w:rPr>
        <w:t xml:space="preserve"> (2018) </w:t>
      </w:r>
      <w:r>
        <w:rPr>
          <w:rStyle w:val="None"/>
          <w:rFonts w:ascii="Arial" w:hAnsi="Arial"/>
          <w:i w:val="1"/>
          <w:iCs w:val="1"/>
          <w:sz w:val="20"/>
          <w:szCs w:val="20"/>
          <w:rtl w:val="0"/>
          <w:lang w:val="en-US"/>
        </w:rPr>
        <w:t>Judicial Power Project</w:t>
      </w:r>
      <w:r>
        <w:rPr>
          <w:rStyle w:val="None"/>
          <w:rFonts w:ascii="Arial" w:hAnsi="Arial"/>
          <w:sz w:val="20"/>
          <w:szCs w:val="20"/>
          <w:rtl w:val="0"/>
          <w:lang w:val="en-US"/>
        </w:rPr>
        <w:t xml:space="preserve">. Available at: </w:t>
      </w:r>
      <w:r>
        <w:rPr>
          <w:rStyle w:val="Hyperlink.1"/>
        </w:rPr>
        <w:fldChar w:fldCharType="begin" w:fldLock="0"/>
      </w:r>
      <w:r>
        <w:rPr>
          <w:rStyle w:val="Hyperlink.1"/>
        </w:rPr>
        <w:instrText xml:space="preserve"> HYPERLINK "http://judicialpowerproject.org.uk/50-problematic-cases/"</w:instrText>
      </w:r>
      <w:r>
        <w:rPr>
          <w:rStyle w:val="Hyperlink.1"/>
        </w:rPr>
        <w:fldChar w:fldCharType="separate" w:fldLock="0"/>
      </w:r>
      <w:r>
        <w:rPr>
          <w:rStyle w:val="Hyperlink.1"/>
          <w:rtl w:val="0"/>
          <w:lang w:val="en-US"/>
        </w:rPr>
        <w:t>http://judicialpowerproject.org.uk/50-problematic-cases/</w:t>
      </w:r>
      <w:r>
        <w:rPr/>
        <w:fldChar w:fldCharType="end" w:fldLock="0"/>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Arial" w:cs="Arial" w:hAnsi="Arial" w:eastAsia="Arial"/>
      <w:outline w:val="0"/>
      <w:color w:val="1155cc"/>
      <w:sz w:val="20"/>
      <w:szCs w:val="20"/>
      <w:u w:val="single" w:color="1155cc"/>
      <w:lang w:val="en-US"/>
      <w14:textFill>
        <w14:solidFill>
          <w14:srgbClr w14:val="1155CC"/>
        </w14:solidFill>
      </w14:textFill>
    </w:rPr>
  </w:style>
  <w:style w:type="character" w:styleId="Hyperlink.1">
    <w:name w:val="Hyperlink.1"/>
    <w:basedOn w:val="None"/>
    <w:next w:val="Hyperlink.1"/>
    <w:rPr>
      <w:rFonts w:ascii="Arial" w:cs="Arial" w:hAnsi="Arial" w:eastAsia="Arial"/>
      <w:outline w:val="0"/>
      <w:color w:val="1155cc"/>
      <w:sz w:val="20"/>
      <w:szCs w:val="20"/>
      <w:u w:val="single" w:color="1155cc"/>
      <w14:textFill>
        <w14:solidFill>
          <w14:srgbClr w14:val="1155CC"/>
        </w14:solidFill>
      </w14:textFill>
    </w:rPr>
  </w:style>
  <w:style w:type="character" w:styleId="Hyperlink.2">
    <w:name w:val="Hyperlink.2"/>
    <w:basedOn w:val="None"/>
    <w:next w:val="Hyperlink.2"/>
    <w:rPr>
      <w:rFonts w:ascii="Arial" w:cs="Arial" w:hAnsi="Arial" w:eastAsia="Arial"/>
      <w:outline w:val="0"/>
      <w:color w:val="1155cc"/>
      <w:sz w:val="20"/>
      <w:szCs w:val="20"/>
      <w:u w:val="single" w:color="1155cc"/>
      <w:lang w:val="de-DE"/>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