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FAD13DC" w14:textId="77777777" w:rsidR="008D0633" w:rsidRDefault="008D0633" w:rsidP="008D0633">
      <w:pPr>
        <w:spacing w:before="1200" w:after="200"/>
        <w:jc w:val="center"/>
      </w:pPr>
      <w:r>
        <w:rPr>
          <w:b/>
          <w:bCs/>
          <w:sz w:val="36"/>
          <w:szCs w:val="36"/>
        </w:rPr>
        <w:t>Digital Forensics in the Modern Era:</w:t>
      </w:r>
    </w:p>
    <w:p w14:paraId="0DDFD995" w14:textId="77777777" w:rsidR="008D0633" w:rsidRDefault="008D0633" w:rsidP="008D0633">
      <w:pPr>
        <w:spacing w:after="240"/>
        <w:jc w:val="center"/>
      </w:pPr>
      <w:r>
        <w:rPr>
          <w:b/>
          <w:bCs/>
          <w:sz w:val="36"/>
          <w:szCs w:val="36"/>
        </w:rPr>
        <w:t>Tools, Trends, and Challenges in Corporate Investigations</w:t>
      </w:r>
    </w:p>
    <w:p w14:paraId="5FAAE9DE" w14:textId="77777777" w:rsidR="008D0633" w:rsidRDefault="008D0633" w:rsidP="008D0633">
      <w:pPr>
        <w:spacing w:after="120"/>
        <w:jc w:val="center"/>
      </w:pPr>
      <w:r>
        <w:rPr>
          <w:b/>
          <w:bCs/>
        </w:rPr>
        <w:t>Gabriel -- Student ID: s2405655</w:t>
      </w:r>
    </w:p>
    <w:p w14:paraId="3ADAC117" w14:textId="77777777" w:rsidR="008D0633" w:rsidRDefault="008D0633" w:rsidP="008D0633">
      <w:pPr>
        <w:spacing w:after="120"/>
        <w:jc w:val="center"/>
      </w:pPr>
      <w:r>
        <w:t>ACCA7031 -- Digital Forensics Analysis (Level 7)</w:t>
      </w:r>
    </w:p>
    <w:p w14:paraId="752E6838" w14:textId="77777777" w:rsidR="008D0633" w:rsidRDefault="008D0633" w:rsidP="008D0633">
      <w:pPr>
        <w:spacing w:after="120"/>
        <w:jc w:val="center"/>
      </w:pPr>
      <w:r>
        <w:t>Semester 3, July 2026</w:t>
      </w:r>
    </w:p>
    <w:p w14:paraId="10611685" w14:textId="77777777" w:rsidR="008D0633" w:rsidRDefault="008D0633" w:rsidP="008D0633">
      <w:pPr>
        <w:spacing w:after="60"/>
      </w:pPr>
    </w:p>
    <w:p w14:paraId="77A9AEA0" w14:textId="77777777" w:rsidR="008D0633" w:rsidRDefault="008D0633" w:rsidP="008D0633">
      <w:pPr>
        <w:spacing w:after="60"/>
      </w:pPr>
    </w:p>
    <w:p w14:paraId="439D26D0" w14:textId="77777777" w:rsidR="008D0633" w:rsidRDefault="008D0633" w:rsidP="008D0633">
      <w:pPr>
        <w:spacing w:after="80"/>
        <w:jc w:val="center"/>
      </w:pPr>
      <w:r>
        <w:rPr>
          <w:b/>
          <w:bCs/>
          <w:sz w:val="28"/>
          <w:szCs w:val="28"/>
        </w:rPr>
        <w:t>Table of Contents</w:t>
      </w:r>
    </w:p>
    <w:p w14:paraId="7EE6C89C" w14:textId="77777777" w:rsidR="008D0633" w:rsidRDefault="008D0633" w:rsidP="008D0633">
      <w:pPr>
        <w:tabs>
          <w:tab w:val="right" w:pos="8640"/>
        </w:tabs>
        <w:spacing w:after="80"/>
      </w:pPr>
      <w:r>
        <w:t>1. Introduction</w:t>
      </w:r>
      <w:r>
        <w:tab/>
        <w:t>2</w:t>
      </w:r>
    </w:p>
    <w:p w14:paraId="76AAFAB6" w14:textId="77777777" w:rsidR="008D0633" w:rsidRDefault="008D0633" w:rsidP="008D0633">
      <w:pPr>
        <w:tabs>
          <w:tab w:val="right" w:pos="8640"/>
        </w:tabs>
        <w:spacing w:after="80"/>
      </w:pPr>
      <w:r>
        <w:t>2. Current State of the Field and Tools</w:t>
      </w:r>
      <w:r>
        <w:tab/>
        <w:t>2</w:t>
      </w:r>
    </w:p>
    <w:p w14:paraId="1861037E" w14:textId="77777777" w:rsidR="008D0633" w:rsidRDefault="008D0633" w:rsidP="008D0633">
      <w:pPr>
        <w:tabs>
          <w:tab w:val="right" w:pos="8640"/>
        </w:tabs>
        <w:spacing w:after="80"/>
      </w:pPr>
      <w:r>
        <w:t>3. Intersection with Cybersecurity</w:t>
      </w:r>
      <w:r>
        <w:tab/>
        <w:t>3</w:t>
      </w:r>
    </w:p>
    <w:p w14:paraId="5CCFB77D" w14:textId="77777777" w:rsidR="008D0633" w:rsidRDefault="008D0633" w:rsidP="008D0633">
      <w:pPr>
        <w:tabs>
          <w:tab w:val="right" w:pos="8640"/>
        </w:tabs>
        <w:spacing w:after="80"/>
      </w:pPr>
      <w:r>
        <w:t>4. Emerging Trends</w:t>
      </w:r>
      <w:r>
        <w:tab/>
        <w:t>3</w:t>
      </w:r>
    </w:p>
    <w:p w14:paraId="27BF1186" w14:textId="77777777" w:rsidR="008D0633" w:rsidRDefault="008D0633" w:rsidP="008D0633">
      <w:pPr>
        <w:tabs>
          <w:tab w:val="right" w:pos="8640"/>
        </w:tabs>
        <w:spacing w:after="80"/>
      </w:pPr>
      <w:r>
        <w:t>5. Key Challenges</w:t>
      </w:r>
      <w:r>
        <w:tab/>
        <w:t>4</w:t>
      </w:r>
    </w:p>
    <w:p w14:paraId="681016B9" w14:textId="77777777" w:rsidR="008D0633" w:rsidRDefault="008D0633" w:rsidP="008D0633">
      <w:pPr>
        <w:tabs>
          <w:tab w:val="right" w:pos="8640"/>
        </w:tabs>
        <w:spacing w:after="80"/>
      </w:pPr>
      <w:r>
        <w:t>6. National and International Job Market</w:t>
      </w:r>
      <w:r>
        <w:tab/>
        <w:t>4</w:t>
      </w:r>
    </w:p>
    <w:p w14:paraId="4C449744" w14:textId="77777777" w:rsidR="008D0633" w:rsidRDefault="008D0633" w:rsidP="008D0633">
      <w:pPr>
        <w:tabs>
          <w:tab w:val="right" w:pos="8640"/>
        </w:tabs>
        <w:spacing w:after="80"/>
      </w:pPr>
      <w:r>
        <w:t>7. References</w:t>
      </w:r>
      <w:r>
        <w:tab/>
        <w:t>5</w:t>
      </w:r>
    </w:p>
    <w:p w14:paraId="7E6BE04B" w14:textId="77777777" w:rsidR="008D0633" w:rsidRDefault="008D0633" w:rsidP="008D0633">
      <w:pPr>
        <w:spacing w:after="60"/>
      </w:pPr>
    </w:p>
    <w:p w14:paraId="0B88A039" w14:textId="77777777" w:rsidR="008D0633" w:rsidRDefault="008D0633" w:rsidP="008D0633">
      <w:pPr>
        <w:spacing w:after="60"/>
      </w:pPr>
    </w:p>
    <w:p w14:paraId="172A6413" w14:textId="77777777" w:rsidR="00D615E5" w:rsidRDefault="00D615E5" w:rsidP="008D0633">
      <w:pPr>
        <w:spacing w:after="60"/>
      </w:pPr>
    </w:p>
    <w:p w14:paraId="5ACD4B0F" w14:textId="77777777" w:rsidR="00D615E5" w:rsidRDefault="00D615E5" w:rsidP="008D0633">
      <w:pPr>
        <w:spacing w:after="60"/>
      </w:pPr>
    </w:p>
    <w:p w14:paraId="7F3D5084" w14:textId="77777777" w:rsidR="00D615E5" w:rsidRDefault="00D615E5" w:rsidP="008D0633">
      <w:pPr>
        <w:spacing w:after="60"/>
      </w:pPr>
    </w:p>
    <w:p w14:paraId="2CF69E44" w14:textId="77777777" w:rsidR="00D615E5" w:rsidRDefault="00D615E5" w:rsidP="008D0633">
      <w:pPr>
        <w:spacing w:after="60"/>
      </w:pPr>
    </w:p>
    <w:p w14:paraId="1D02BBAD" w14:textId="77777777" w:rsidR="00D615E5" w:rsidRDefault="00D615E5" w:rsidP="008D0633">
      <w:pPr>
        <w:spacing w:after="60"/>
      </w:pPr>
    </w:p>
    <w:p w14:paraId="04E42B84" w14:textId="77777777" w:rsidR="00D615E5" w:rsidRDefault="00D615E5" w:rsidP="008D0633">
      <w:pPr>
        <w:spacing w:after="60"/>
      </w:pPr>
    </w:p>
    <w:p w14:paraId="137771AB" w14:textId="77777777" w:rsidR="008D0633" w:rsidRDefault="008D0633" w:rsidP="008D0633">
      <w:pPr>
        <w:pStyle w:val="Heading1"/>
        <w:spacing w:before="280" w:after="120"/>
      </w:pPr>
      <w:r>
        <w:rPr>
          <w:b/>
          <w:bCs/>
          <w:sz w:val="28"/>
          <w:szCs w:val="28"/>
        </w:rPr>
        <w:lastRenderedPageBreak/>
        <w:t>1. Introduction</w:t>
      </w:r>
    </w:p>
    <w:p w14:paraId="6850611F" w14:textId="676AEDBB" w:rsidR="008D0633" w:rsidRDefault="008D0633" w:rsidP="008D0633">
      <w:pPr>
        <w:spacing w:after="160"/>
        <w:jc w:val="both"/>
      </w:pPr>
      <w:r>
        <w:t xml:space="preserve">Corporate espionage cases have a habit of looking deceptively simple on the surface: an employee leaves, sensitive files go missing, and someone wants to know what happened. In reality, the evidence is rarely sitting in one place. It is spread across personal phones, USB drives, cloud accounts, and messaging applications, each with its own quirks, limitations, and legal considerations. Digital forensics is there to make sense of all of that. The discipline covers the lawful identification, acquisition, preservation, analysis, and presentation of digital evidence, and over the past two decades it has expanded well beyond traditional disk imaging to include mobile devices, cloud environments, and increasingly interconnected networks </w:t>
      </w:r>
      <w:sdt>
        <w:sdtPr>
          <w:rPr>
            <w:color w:val="000000"/>
            <w:highlight w:val="white"/>
          </w:rPr>
          <w:alias w:val="Citation"/>
          <w:tag w:val="{&quot;referencesIds&quot;:[&quot;doc:6a4ce9067848653ad6526210&quot;],&quot;referencesOptions&quot;:{&quot;doc:6a4ce9067848653ad65262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389919,&quot;citationText&quot;:&quot;&lt;span style=\&quot;font-family:Times New Roman;font-size:16px;color:#000000\&quot;&gt;[1]&lt;/span&gt;&quot;}"/>
          <w:id w:val="104389919"/>
          <w:placeholder>
            <w:docPart w:val="28FBACDE2B781B488D66CBDE534FFECE"/>
          </w:placeholder>
        </w:sdtPr>
        <w:sdtContent>
          <w:r w:rsidR="001C5ABC">
            <w:rPr>
              <w:color w:val="000000"/>
            </w:rPr>
            <w:t>[1]</w:t>
          </w:r>
        </w:sdtContent>
      </w:sdt>
      <w:r>
        <w:t>.</w:t>
      </w:r>
    </w:p>
    <w:p w14:paraId="6EAABE59" w14:textId="5B1473FC" w:rsidR="008D0633" w:rsidRDefault="008D0633" w:rsidP="008D0633">
      <w:pPr>
        <w:spacing w:after="160"/>
        <w:jc w:val="both"/>
      </w:pPr>
      <w:r>
        <w:t>Insider threats are a particular problem. Unlike an external attacker who has to break in, a malicious insider already has legitimate access to the systems they want to exploit, which means conventional perimeter security does little to stop them</w:t>
      </w:r>
      <w:sdt>
        <w:sdtPr>
          <w:rPr>
            <w:color w:val="000000"/>
            <w:highlight w:val="white"/>
          </w:rPr>
          <w:alias w:val="Citation"/>
          <w:tag w:val="{&quot;referencesIds&quot;:[&quot;doc:6a4ce91ee934bc744cbff0ee&quot;],&quot;referencesOptions&quot;:{&quot;doc:6a4ce91ee934bc744cbff0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65011656"/>
          <w:placeholder>
            <w:docPart w:val="AB9463BCEB991347B04ABB4497DE13D9"/>
          </w:placeholder>
        </w:sdtPr>
        <w:sdtContent>
          <w:r w:rsidR="001C5ABC">
            <w:rPr>
              <w:color w:val="000000"/>
            </w:rPr>
            <w:t>[2]</w:t>
          </w:r>
        </w:sdtContent>
      </w:sdt>
      <w:r>
        <w:t>. By the time someone notices data has leaked or has been tempered with, that data may be already fragmented across multiple devices, overwritten or encrypted. This is the type of environment that forensic analysts work in.</w:t>
      </w:r>
    </w:p>
    <w:p w14:paraId="27553F3D" w14:textId="77777777" w:rsidR="008D0633" w:rsidRDefault="008D0633" w:rsidP="008D0633">
      <w:pPr>
        <w:spacing w:after="60"/>
      </w:pPr>
    </w:p>
    <w:p w14:paraId="0C67D803" w14:textId="77777777" w:rsidR="008D0633" w:rsidRDefault="008D0633" w:rsidP="008D0633">
      <w:pPr>
        <w:pStyle w:val="Heading1"/>
        <w:spacing w:before="280" w:after="120"/>
      </w:pPr>
      <w:r>
        <w:rPr>
          <w:b/>
          <w:bCs/>
          <w:sz w:val="28"/>
          <w:szCs w:val="28"/>
        </w:rPr>
        <w:t>2. Current State of the Field and Tools</w:t>
      </w:r>
    </w:p>
    <w:p w14:paraId="06D69E32" w14:textId="1FCE8A05" w:rsidR="008D0633" w:rsidRDefault="008D0633" w:rsidP="008D0633">
      <w:pPr>
        <w:spacing w:after="160"/>
        <w:jc w:val="both"/>
      </w:pPr>
      <w:r>
        <w:t xml:space="preserve">With </w:t>
      </w:r>
      <w:r w:rsidR="00D615E5">
        <w:t xml:space="preserve">the advancement of </w:t>
      </w:r>
      <w:r>
        <w:t>technology</w:t>
      </w:r>
      <w:r w:rsidR="00197E25">
        <w:t>, mobile phones have essentially become portable computers</w:t>
      </w:r>
      <w:r>
        <w:t xml:space="preserve">, </w:t>
      </w:r>
      <w:r w:rsidR="00197E25">
        <w:t>and mobile forensics has followed accordingly</w:t>
      </w:r>
      <w:r>
        <w:t xml:space="preserve">. Al-Dhaqm et al. </w:t>
      </w:r>
      <w:sdt>
        <w:sdtPr>
          <w:rPr>
            <w:color w:val="000000"/>
            <w:highlight w:val="white"/>
          </w:rPr>
          <w:alias w:val="Citation"/>
          <w:tag w:val="{&quot;referencesIds&quot;:[&quot;doc:6a4ce92d2530730741dbea75&quot;],&quot;referencesOptions&quot;:{&quot;doc:6a4ce92d2530730741dbea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70481095"/>
          <w:placeholder>
            <w:docPart w:val="AD6C22A4547FA24DA35E16AC8438C13B"/>
          </w:placeholder>
        </w:sdtPr>
        <w:sdtContent>
          <w:r w:rsidR="001C5ABC">
            <w:rPr>
              <w:color w:val="000000"/>
            </w:rPr>
            <w:t>[3]</w:t>
          </w:r>
        </w:sdtContent>
      </w:sdt>
      <w:r>
        <w:t xml:space="preserve"> map out several mature subdomains within the field, including cloud, network, memory, and IoT forensics, but it is mobile work that fills most investigation logs. A modern smartphone can yield call records, messaging databases, location history, browser data, application usage patterns, and device configuration </w:t>
      </w:r>
      <w:r w:rsidR="005277BC">
        <w:t>artifacts</w:t>
      </w:r>
      <w:r>
        <w:t xml:space="preserve"> </w:t>
      </w:r>
      <w:sdt>
        <w:sdtPr>
          <w:rPr>
            <w:color w:val="000000"/>
            <w:highlight w:val="white"/>
          </w:rPr>
          <w:alias w:val="Citation"/>
          <w:tag w:val="{&quot;referencesIds&quot;:[&quot;doc:6a4ce93d754d0c6d355fe4b7&quot;],&quot;referencesOptions&quot;:{&quot;doc:6a4ce93d754d0c6d355fe4b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44836283"/>
          <w:placeholder>
            <w:docPart w:val="82603F42A31F284F96B118CE60E17821"/>
          </w:placeholder>
        </w:sdtPr>
        <w:sdtContent>
          <w:r w:rsidR="001C5ABC">
            <w:rPr>
              <w:color w:val="000000"/>
            </w:rPr>
            <w:t>[4]</w:t>
          </w:r>
        </w:sdtContent>
      </w:sdt>
      <w:r>
        <w:t>. The challenge is getting to them.</w:t>
      </w:r>
    </w:p>
    <w:p w14:paraId="727F92FE" w14:textId="369761B4" w:rsidR="008D0633" w:rsidRDefault="008D0633" w:rsidP="008D0633">
      <w:pPr>
        <w:spacing w:after="160"/>
        <w:jc w:val="both"/>
      </w:pPr>
      <w:r>
        <w:t xml:space="preserve">Extraction methods aren’t </w:t>
      </w:r>
      <w:r w:rsidR="00260CF7">
        <w:t>a sure thing</w:t>
      </w:r>
      <w:r>
        <w:t xml:space="preserve">. Logical extraction works through official vendor APIs and is the least invasive but also the least complex. Filesystem extraction captures the accessible file structure directly. Physical extraction goes deeper, producing a bit-for-bit image of the device memory and making deleted data recovery possible. The problem with modern Android and iOS devices is that full-disk </w:t>
      </w:r>
      <w:r>
        <w:lastRenderedPageBreak/>
        <w:t xml:space="preserve">encryption is now the default, and without physical access or root privileges, investigators are typically limited to external shared storage. </w:t>
      </w:r>
    </w:p>
    <w:p w14:paraId="23370845" w14:textId="7D6A7F59" w:rsidR="008D0633" w:rsidRDefault="008D0633" w:rsidP="008D0633">
      <w:pPr>
        <w:spacing w:after="160"/>
        <w:jc w:val="both"/>
      </w:pPr>
      <w:r>
        <w:t xml:space="preserve">Cellebrite UFED has become standard issue tool for mobile acquisition in professional and law enforcement </w:t>
      </w:r>
      <w:r w:rsidR="00200A0C">
        <w:t>environments</w:t>
      </w:r>
      <w:r>
        <w:t xml:space="preserve"> </w:t>
      </w:r>
      <w:sdt>
        <w:sdtPr>
          <w:rPr>
            <w:color w:val="000000"/>
            <w:highlight w:val="white"/>
          </w:rPr>
          <w:alias w:val="Citation"/>
          <w:tag w:val="{&quot;referencesIds&quot;:[&quot;doc:6a4ce986c8cab82e2f4cd144&quot;],&quot;referencesOptions&quot;:{&quot;doc:6a4ce986c8cab82e2f4cd1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1856707"/>
          <w:placeholder>
            <w:docPart w:val="FCD084F7FD694741B9995929C613BA03"/>
          </w:placeholder>
        </w:sdtPr>
        <w:sdtContent>
          <w:r w:rsidR="001C5ABC">
            <w:rPr>
              <w:color w:val="000000"/>
            </w:rPr>
            <w:t>[5]</w:t>
          </w:r>
        </w:sdtContent>
      </w:sdt>
      <w:r>
        <w:t xml:space="preserve">. Its </w:t>
      </w:r>
      <w:r w:rsidR="00E46DEC">
        <w:t>partner</w:t>
      </w:r>
      <w:r>
        <w:t xml:space="preserve"> platform, Physical Analyzer, handles the analysi</w:t>
      </w:r>
      <w:r w:rsidR="00E46DEC">
        <w:t>s</w:t>
      </w:r>
      <w:r>
        <w:t xml:space="preserve">: decoding application databases, </w:t>
      </w:r>
      <w:r w:rsidR="00200A0C">
        <w:t>restructuring</w:t>
      </w:r>
      <w:r>
        <w:t xml:space="preserve"> conversation timelines, and surfacing art</w:t>
      </w:r>
      <w:r w:rsidR="005277BC">
        <w:t>i</w:t>
      </w:r>
      <w:r>
        <w:t xml:space="preserve">facts that would take hours to find manually. For storage media, FTK Imager remains widely trusted for producing cryptographically verified forensic images. Hash checking is not optional. It is the mechanism by which an analyst can demonstrate in court that the evidence has not been altered since acquisition </w:t>
      </w:r>
      <w:sdt>
        <w:sdtPr>
          <w:rPr>
            <w:color w:val="000000"/>
            <w:highlight w:val="white"/>
          </w:rPr>
          <w:alias w:val="Citation"/>
          <w:tag w:val="{&quot;referencesIds&quot;:[&quot;doc:6a4ce9b9754d0c6d355fe4ba&quot;],&quot;referencesOptions&quot;:{&quot;doc:6a4ce9b9754d0c6d355fe4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15758705"/>
          <w:placeholder>
            <w:docPart w:val="D2B45A61F262564DA7BB92298DBAB70C"/>
          </w:placeholder>
        </w:sdtPr>
        <w:sdtContent>
          <w:r w:rsidR="001C5ABC">
            <w:rPr>
              <w:color w:val="000000"/>
            </w:rPr>
            <w:t>[6]</w:t>
          </w:r>
        </w:sdtContent>
      </w:sdt>
      <w:r>
        <w:t xml:space="preserve">. Luciano et al. </w:t>
      </w:r>
      <w:sdt>
        <w:sdtPr>
          <w:rPr>
            <w:color w:val="000000"/>
            <w:highlight w:val="white"/>
          </w:rPr>
          <w:alias w:val="Citation"/>
          <w:tag w:val="{&quot;referencesIds&quot;:[&quot;doc:6a4ce9067848653ad6526210&quot;],&quot;referencesOptions&quot;:{&quot;doc:6a4ce9067848653ad65262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58613913"/>
          <w:placeholder>
            <w:docPart w:val="D917894A5AFA4E45BCA89745A09392CE"/>
          </w:placeholder>
        </w:sdtPr>
        <w:sdtContent>
          <w:r w:rsidR="001C5ABC">
            <w:rPr>
              <w:color w:val="000000"/>
            </w:rPr>
            <w:t>[1]</w:t>
          </w:r>
        </w:sdtContent>
      </w:sdt>
      <w:r>
        <w:t xml:space="preserve"> note that automation and AI are being folded into these tools to handle volume, though encrypted volumes and constant OS updates remain persistent weak spots.</w:t>
      </w:r>
    </w:p>
    <w:p w14:paraId="11450B6C" w14:textId="77777777" w:rsidR="008D0633" w:rsidRDefault="008D0633" w:rsidP="008D0633">
      <w:pPr>
        <w:spacing w:after="60"/>
      </w:pPr>
    </w:p>
    <w:p w14:paraId="20D3E53C" w14:textId="77777777" w:rsidR="008D0633" w:rsidRDefault="008D0633" w:rsidP="008D0633">
      <w:pPr>
        <w:pStyle w:val="Heading1"/>
        <w:spacing w:before="280" w:after="120"/>
      </w:pPr>
      <w:r>
        <w:rPr>
          <w:b/>
          <w:bCs/>
          <w:sz w:val="28"/>
          <w:szCs w:val="28"/>
        </w:rPr>
        <w:t>3. Intersection with Cybersecurity</w:t>
      </w:r>
    </w:p>
    <w:p w14:paraId="7C0DEEB5" w14:textId="688BF4BB" w:rsidR="008D0633" w:rsidRDefault="00C3660D" w:rsidP="008D0633">
      <w:pPr>
        <w:spacing w:after="160"/>
        <w:jc w:val="both"/>
      </w:pPr>
      <w:r>
        <w:t xml:space="preserve">There is a fine line between digital forensics and cybersecurity, more than most textbooks suggest. Cybersecurity focuses more on preventing incidents while </w:t>
      </w:r>
      <w:r w:rsidR="00726424">
        <w:t>forensics</w:t>
      </w:r>
      <w:r>
        <w:t xml:space="preserve"> deals with the aftermath of a failed incident. In practice, the two are tightly coupled: Tsado and Osgood </w:t>
      </w:r>
      <w:sdt>
        <w:sdtPr>
          <w:rPr>
            <w:color w:val="000000"/>
            <w:highlight w:val="white"/>
          </w:rPr>
          <w:alias w:val="Citation"/>
          <w:tag w:val="{&quot;referencesIds&quot;:[&quot;doc:6a4ce9f5f267343f1a111d8a&quot;],&quot;referencesOptions&quot;:{&quot;doc:6a4ce9f5f267343f1a111d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74649913"/>
          <w:placeholder>
            <w:docPart w:val="6A31DFA6F0971342A5C04F4C87D4BAB6"/>
          </w:placeholder>
        </w:sdtPr>
        <w:sdtContent>
          <w:r w:rsidR="001C5ABC">
            <w:rPr>
              <w:color w:val="000000"/>
            </w:rPr>
            <w:t>[7]</w:t>
          </w:r>
        </w:sdtContent>
      </w:sdt>
      <w:r>
        <w:t xml:space="preserve"> </w:t>
      </w:r>
      <w:r w:rsidR="00785422">
        <w:t>notice</w:t>
      </w:r>
      <w:r>
        <w:t xml:space="preserve"> that forensic investigators now sit inside incident response teams as a matter of course, working alongside analysts who are focused on containment while the forensics </w:t>
      </w:r>
      <w:r w:rsidR="00785422">
        <w:t>side works on preserving the evidence in case containment fails</w:t>
      </w:r>
      <w:r>
        <w:t>.</w:t>
      </w:r>
    </w:p>
    <w:p w14:paraId="2EAB8DB0" w14:textId="0385BD7D" w:rsidR="008D0633" w:rsidRDefault="008D0633" w:rsidP="00785422">
      <w:pPr>
        <w:spacing w:after="160"/>
        <w:jc w:val="both"/>
      </w:pPr>
      <w:r>
        <w:t>Forensic readiness is where the disciplines overlap most clearly. Th</w:t>
      </w:r>
      <w:r w:rsidR="00CC0EC8">
        <w:t>is</w:t>
      </w:r>
      <w:r>
        <w:t xml:space="preserve"> concept, described by Luciano et al. </w:t>
      </w:r>
      <w:sdt>
        <w:sdtPr>
          <w:rPr>
            <w:color w:val="000000"/>
            <w:highlight w:val="white"/>
          </w:rPr>
          <w:alias w:val="Citation"/>
          <w:tag w:val="{&quot;referencesIds&quot;:[&quot;doc:6a4ce9067848653ad6526210&quot;],&quot;referencesOptions&quot;:{&quot;doc:6a4ce9067848653ad65262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2687578"/>
          <w:placeholder>
            <w:docPart w:val="2CEC5158EDA3A54494E4EEB23163F7A8"/>
          </w:placeholder>
        </w:sdtPr>
        <w:sdtContent>
          <w:r w:rsidR="001C5ABC">
            <w:rPr>
              <w:color w:val="000000"/>
            </w:rPr>
            <w:t>[1]</w:t>
          </w:r>
        </w:sdtContent>
      </w:sdt>
      <w:r>
        <w:t xml:space="preserve"> as the </w:t>
      </w:r>
      <w:r w:rsidR="005277BC">
        <w:t>organiza</w:t>
      </w:r>
      <w:r>
        <w:t xml:space="preserve">tional practice of configuring systems to </w:t>
      </w:r>
      <w:r w:rsidR="00CC0EC8">
        <w:t>collect</w:t>
      </w:r>
      <w:r>
        <w:t xml:space="preserve"> and preserve evidence before an incident occurs, sits in the cybersecurity domain but has direct forensic consequences. </w:t>
      </w:r>
      <w:r w:rsidR="005F3905" w:rsidRPr="005F3905">
        <w:t xml:space="preserve">An </w:t>
      </w:r>
      <w:r w:rsidR="005277BC">
        <w:t>organiza</w:t>
      </w:r>
      <w:r w:rsidR="005F3905" w:rsidRPr="005F3905">
        <w:t>tion without proper logging in place</w:t>
      </w:r>
      <w:r>
        <w:t xml:space="preserve">, for example, may find that the window between a data exfiltration event and its discovery is long enough for critical </w:t>
      </w:r>
      <w:r w:rsidR="005277BC">
        <w:t>artifacts</w:t>
      </w:r>
      <w:r>
        <w:t xml:space="preserve"> to have been overwritten. No forensic tool can recover evidence that never existed.</w:t>
      </w:r>
    </w:p>
    <w:p w14:paraId="329DB0B8" w14:textId="77777777" w:rsidR="00785422" w:rsidRDefault="00785422" w:rsidP="00785422">
      <w:pPr>
        <w:spacing w:after="160"/>
        <w:jc w:val="both"/>
      </w:pPr>
    </w:p>
    <w:p w14:paraId="066758A1" w14:textId="77777777" w:rsidR="008D0633" w:rsidRDefault="008D0633" w:rsidP="008D0633">
      <w:pPr>
        <w:pStyle w:val="Heading1"/>
        <w:spacing w:before="280" w:after="120"/>
      </w:pPr>
      <w:r>
        <w:rPr>
          <w:b/>
          <w:bCs/>
          <w:sz w:val="28"/>
          <w:szCs w:val="28"/>
        </w:rPr>
        <w:t>4. Emerging Trends</w:t>
      </w:r>
    </w:p>
    <w:p w14:paraId="45BFDB19" w14:textId="14E8390F" w:rsidR="008D0633" w:rsidRDefault="008D0633" w:rsidP="008D0633">
      <w:pPr>
        <w:spacing w:after="160"/>
        <w:jc w:val="both"/>
      </w:pPr>
      <w:r>
        <w:lastRenderedPageBreak/>
        <w:t xml:space="preserve">Cloud forensics has a huge gap in difficulty that has not been figured out yet. Evidence may be replicated on servers in multiple regions simultaneously, controlled by conflicting legal frameworks, and with no direct investigator access to the underlying infrastructure </w:t>
      </w:r>
      <w:sdt>
        <w:sdtPr>
          <w:rPr>
            <w:color w:val="000000"/>
            <w:highlight w:val="white"/>
          </w:rPr>
          <w:alias w:val="Citation"/>
          <w:tag w:val="{&quot;referencesIds&quot;:[&quot;doc:6a4ce92d2530730741dbea75&quot;],&quot;referencesOptions&quot;:{&quot;doc:6a4ce92d2530730741dbea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91138014"/>
          <w:placeholder>
            <w:docPart w:val="59DCF3F007083E4A892A8419BB87E7C4"/>
          </w:placeholder>
        </w:sdtPr>
        <w:sdtContent>
          <w:r w:rsidR="001C5ABC">
            <w:rPr>
              <w:color w:val="000000"/>
            </w:rPr>
            <w:t>[3]</w:t>
          </w:r>
        </w:sdtContent>
      </w:sdt>
      <w:r w:rsidR="001C5ABC">
        <w:rPr>
          <w:color w:val="000000"/>
        </w:rPr>
        <w:t>.</w:t>
      </w:r>
      <w:r>
        <w:t xml:space="preserve"> Mutual legal assistance treaty requests, which are the formal mechanism for cross-border evidence access, can take months. By then, retention windows may have closed. This is a structural problem, not a technical one, and the field has not found a clean answer to it.</w:t>
      </w:r>
    </w:p>
    <w:p w14:paraId="6C453A47" w14:textId="30DA4ABE" w:rsidR="008D0633" w:rsidRDefault="00482746" w:rsidP="008D0633">
      <w:pPr>
        <w:spacing w:after="160"/>
        <w:jc w:val="both"/>
      </w:pPr>
      <w:r>
        <w:t xml:space="preserve">With Internet of Things (IoT) growing, providing us with a variety of smart devices: wearables, appliances, and connected vehicles. Digital Forensics has to adapt with IoT and all generate data that is forensically relevant but stored in proprietary formats on hardware that was not designed with investigators in mind </w:t>
      </w:r>
      <w:sdt>
        <w:sdtPr>
          <w:rPr>
            <w:color w:val="000000"/>
            <w:highlight w:val="white"/>
          </w:rPr>
          <w:alias w:val="Citation"/>
          <w:tag w:val="{&quot;referencesIds&quot;:[&quot;doc:6a4cea0f7848653ad652621b&quot;],&quot;referencesOptions&quot;:{&quot;doc:6a4cea0f7848653ad65262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60540442"/>
          <w:placeholder>
            <w:docPart w:val="2CC5887B84FCDB41B7D37A1350DE3BB2"/>
          </w:placeholder>
        </w:sdtPr>
        <w:sdtContent>
          <w:r w:rsidR="001C5ABC">
            <w:rPr>
              <w:color w:val="000000"/>
            </w:rPr>
            <w:t>[8]</w:t>
          </w:r>
        </w:sdtContent>
      </w:sdt>
      <w:r>
        <w:t xml:space="preserve">. AI integration in forensic tooling is real and useful for classifying large evidence sets and detecting anomalies, but it introduces its own problem: courts expect investigators to explain how a conclusion was reached, and an algorithm that flags something without a transparent reasoning chain is hard to defend under cross-examination </w:t>
      </w:r>
      <w:sdt>
        <w:sdtPr>
          <w:rPr>
            <w:color w:val="000000"/>
            <w:highlight w:val="white"/>
          </w:rPr>
          <w:alias w:val="Citation"/>
          <w:tag w:val="{&quot;referencesIds&quot;:[&quot;doc:6a4ce9067848653ad6526210&quot;],&quot;referencesOptions&quot;:{&quot;doc:6a4ce9067848653ad65262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18424559"/>
          <w:placeholder>
            <w:docPart w:val="584593EEB003B344B7AA5084B9451495"/>
          </w:placeholder>
        </w:sdtPr>
        <w:sdtContent>
          <w:r w:rsidR="001C5ABC">
            <w:rPr>
              <w:color w:val="000000"/>
            </w:rPr>
            <w:t>[1]</w:t>
          </w:r>
        </w:sdtContent>
      </w:sdt>
      <w:r>
        <w:t>.</w:t>
      </w:r>
    </w:p>
    <w:p w14:paraId="36D99AB9" w14:textId="3CE75072" w:rsidR="008D0633" w:rsidRDefault="008D0633" w:rsidP="008D0633">
      <w:pPr>
        <w:spacing w:after="160"/>
        <w:jc w:val="both"/>
      </w:pPr>
      <w:r>
        <w:t xml:space="preserve">The deliberate use of encryption, secure deletion utilities, and application data clearing to obstruct investigation is well documented </w:t>
      </w:r>
      <w:sdt>
        <w:sdtPr>
          <w:rPr>
            <w:color w:val="000000"/>
            <w:highlight w:val="white"/>
          </w:rPr>
          <w:alias w:val="Citation"/>
          <w:tag w:val="{&quot;referencesIds&quot;:[&quot;doc:6a4cea1ef267343f1a111d8f&quot;],&quot;referencesOptions&quot;:{&quot;doc:6a4cea1ef267343f1a111d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34857929"/>
          <w:placeholder>
            <w:docPart w:val="B2CB0BE736D4B748A9ACFF23C1195F32"/>
          </w:placeholder>
        </w:sdtPr>
        <w:sdtContent>
          <w:r w:rsidR="001C5ABC">
            <w:rPr>
              <w:color w:val="000000"/>
            </w:rPr>
            <w:t>[9]</w:t>
          </w:r>
        </w:sdtContent>
      </w:sdt>
      <w:r>
        <w:t xml:space="preserve">, and it is getting easier to do. </w:t>
      </w:r>
      <w:r w:rsidR="00C77DAB">
        <w:t xml:space="preserve">This is when the cybersecurity and forensics worlds collide, on one side you make it hard for suspects to do malicious activities, but on the other side it also complicates the forensics procedure if the security fails. </w:t>
      </w:r>
      <w:r>
        <w:t>When an investigator encounters a device where application data is entirely absent despite evidence of prior installation, that absence is itself a finding. It should be documented and argued as one, not treated as a gap in the evidence.</w:t>
      </w:r>
    </w:p>
    <w:p w14:paraId="55117875" w14:textId="77777777" w:rsidR="008D0633" w:rsidRDefault="008D0633" w:rsidP="008D0633">
      <w:pPr>
        <w:spacing w:after="60"/>
      </w:pPr>
    </w:p>
    <w:p w14:paraId="1A4704C3" w14:textId="77777777" w:rsidR="008D0633" w:rsidRDefault="008D0633" w:rsidP="008D0633">
      <w:pPr>
        <w:pStyle w:val="Heading1"/>
        <w:spacing w:before="280" w:after="120"/>
      </w:pPr>
      <w:r>
        <w:rPr>
          <w:b/>
          <w:bCs/>
          <w:sz w:val="28"/>
          <w:szCs w:val="28"/>
        </w:rPr>
        <w:t>5. Key Challenges</w:t>
      </w:r>
    </w:p>
    <w:p w14:paraId="318E61AA" w14:textId="57ECB6DB" w:rsidR="008D0633" w:rsidRDefault="008D0633" w:rsidP="008D0633">
      <w:pPr>
        <w:spacing w:after="160"/>
        <w:jc w:val="both"/>
      </w:pPr>
      <w:r>
        <w:t xml:space="preserve">Volumes are the most obvious problem. Investigations that once involved a single hard drive </w:t>
      </w:r>
      <w:r w:rsidR="00D94776">
        <w:t>can</w:t>
      </w:r>
      <w:r>
        <w:t xml:space="preserve"> now </w:t>
      </w:r>
      <w:r w:rsidR="00D94776">
        <w:t xml:space="preserve">be </w:t>
      </w:r>
      <w:r>
        <w:t xml:space="preserve">spread across multiple smartphones, cloud </w:t>
      </w:r>
      <w:r w:rsidR="005F3905">
        <w:t>systems</w:t>
      </w:r>
      <w:r>
        <w:t xml:space="preserve">, and removable media, generating data that far exceed what any one analyst can review manually within a realistic timeframe </w:t>
      </w:r>
      <w:sdt>
        <w:sdtPr>
          <w:rPr>
            <w:color w:val="000000"/>
            <w:highlight w:val="white"/>
          </w:rPr>
          <w:alias w:val="Citation"/>
          <w:tag w:val="{&quot;referencesIds&quot;:[&quot;doc:6a4cea2aecee0d18f4cefa57&quot;],&quot;referencesOptions&quot;:{&quot;doc:6a4cea2aecee0d18f4cefa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59787715"/>
          <w:placeholder>
            <w:docPart w:val="EAF64C6FE376BA49A39FAE9528CE9E33"/>
          </w:placeholder>
        </w:sdtPr>
        <w:sdtContent>
          <w:r w:rsidR="001C5ABC">
            <w:rPr>
              <w:color w:val="000000"/>
            </w:rPr>
            <w:t>[10]</w:t>
          </w:r>
        </w:sdtContent>
      </w:sdt>
      <w:r>
        <w:t>. Triage decisions have to be made, which means some evidence will not be examined, which means the risk of missing something relevant is baked in from the start.</w:t>
      </w:r>
    </w:p>
    <w:p w14:paraId="3E4592C5" w14:textId="3DF92D0B" w:rsidR="008D0633" w:rsidRDefault="00785422" w:rsidP="008D0633">
      <w:pPr>
        <w:spacing w:after="160"/>
        <w:jc w:val="both"/>
      </w:pPr>
      <w:r w:rsidRPr="00785422">
        <w:lastRenderedPageBreak/>
        <w:t>Encryption compounds this further</w:t>
      </w:r>
      <w:r w:rsidR="008D0633">
        <w:t xml:space="preserve">. Many devices and messaging platforms now </w:t>
      </w:r>
      <w:r w:rsidR="00D94776">
        <w:t>contain</w:t>
      </w:r>
      <w:r w:rsidR="008D0633">
        <w:t xml:space="preserve"> strong encryption by default, </w:t>
      </w:r>
      <w:r w:rsidR="00260CF7" w:rsidRPr="00260CF7">
        <w:t>meaning legal authority to examine a device does not automatically translate into technical access to its contents</w:t>
      </w:r>
      <w:r w:rsidR="00260CF7" w:rsidRPr="00260CF7">
        <w:rPr>
          <w:highlight w:val="white"/>
        </w:rPr>
        <w:t xml:space="preserve"> </w:t>
      </w:r>
      <w:sdt>
        <w:sdtPr>
          <w:rPr>
            <w:color w:val="000000"/>
            <w:highlight w:val="white"/>
          </w:rPr>
          <w:alias w:val="Citation"/>
          <w:tag w:val="{&quot;referencesIds&quot;:[&quot;doc:6a4ce93d754d0c6d355fe4b7&quot;],&quot;referencesOptions&quot;:{&quot;doc:6a4ce93d754d0c6d355fe4b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69794669"/>
          <w:placeholder>
            <w:docPart w:val="43860B88A3CD1745A4D3430DF621B86D"/>
          </w:placeholder>
        </w:sdtPr>
        <w:sdtContent>
          <w:r w:rsidR="001C5ABC">
            <w:rPr>
              <w:color w:val="000000"/>
            </w:rPr>
            <w:t>[4]</w:t>
          </w:r>
        </w:sdtContent>
      </w:sdt>
      <w:r w:rsidR="008D0633">
        <w:t>. The</w:t>
      </w:r>
      <w:r w:rsidR="00791BB5">
        <w:t>re is a</w:t>
      </w:r>
      <w:r w:rsidR="008D0633">
        <w:t xml:space="preserve"> gap between what an investigator is permitted to do and what they are actually able to do has widened considerably over the past decade. </w:t>
      </w:r>
      <w:r w:rsidR="00457129">
        <w:t>The standardisation</w:t>
      </w:r>
      <w:r w:rsidR="008D0633">
        <w:t xml:space="preserve">, or the lack of it, creates separate problems: Karie and Venter </w:t>
      </w:r>
      <w:sdt>
        <w:sdtPr>
          <w:rPr>
            <w:color w:val="000000"/>
            <w:highlight w:val="white"/>
          </w:rPr>
          <w:alias w:val="Citation"/>
          <w:tag w:val="{&quot;referencesIds&quot;:[&quot;doc:6a4cea53e934bc744cbff0fc&quot;],&quot;referencesOptions&quot;:{&quot;doc:6a4cea53e934bc744cbff0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65564724"/>
          <w:placeholder>
            <w:docPart w:val="5B71E8D5DC44694C929ADB076D91251E"/>
          </w:placeholder>
        </w:sdtPr>
        <w:sdtContent>
          <w:r w:rsidR="001C5ABC">
            <w:rPr>
              <w:color w:val="000000"/>
            </w:rPr>
            <w:t>[11]</w:t>
          </w:r>
        </w:sdtContent>
      </w:sdt>
      <w:r w:rsidR="008D0633">
        <w:t xml:space="preserve"> </w:t>
      </w:r>
      <w:r w:rsidR="00D94776">
        <w:t>comment on</w:t>
      </w:r>
      <w:r w:rsidR="008D0633">
        <w:t xml:space="preserve"> how inconsistent forensic procedures across jurisdictions produce inconsistent</w:t>
      </w:r>
      <w:r w:rsidR="00D94776">
        <w:t xml:space="preserve"> </w:t>
      </w:r>
      <w:r w:rsidR="008D0633">
        <w:t>outcomes, which matters a great deal in corporate espionage cases that often have an international dimension. UK GDPR adds another layer, requiring that even lawfully authorised investigations stay proportionate and limit examination to what is strictly necessary.</w:t>
      </w:r>
    </w:p>
    <w:p w14:paraId="0E1C6B82" w14:textId="77777777" w:rsidR="008D0633" w:rsidRDefault="008D0633" w:rsidP="008D0633">
      <w:pPr>
        <w:spacing w:after="60"/>
      </w:pPr>
    </w:p>
    <w:p w14:paraId="735508D4" w14:textId="77777777" w:rsidR="008D0633" w:rsidRDefault="008D0633" w:rsidP="008D0633">
      <w:pPr>
        <w:pStyle w:val="Heading1"/>
        <w:spacing w:before="280" w:after="120"/>
      </w:pPr>
      <w:r>
        <w:rPr>
          <w:b/>
          <w:bCs/>
          <w:sz w:val="28"/>
          <w:szCs w:val="28"/>
        </w:rPr>
        <w:t>6. National and International Job Market</w:t>
      </w:r>
    </w:p>
    <w:p w14:paraId="2040AC79" w14:textId="59DCB2A0" w:rsidR="008D0633" w:rsidRDefault="008D0633" w:rsidP="008D0633">
      <w:pPr>
        <w:spacing w:after="160"/>
        <w:jc w:val="both"/>
      </w:pPr>
      <w:r>
        <w:t>The job market for</w:t>
      </w:r>
      <w:r w:rsidR="005F3905">
        <w:t xml:space="preserve"> everything cybersecurity related, including</w:t>
      </w:r>
      <w:r>
        <w:t xml:space="preserve"> digital forensics is strong and has been for several years. In the UK</w:t>
      </w:r>
      <w:r w:rsidR="00997931">
        <w:t xml:space="preserve"> for example</w:t>
      </w:r>
      <w:r>
        <w:t xml:space="preserve">, </w:t>
      </w:r>
      <w:r w:rsidR="00997931">
        <w:t xml:space="preserve">most of </w:t>
      </w:r>
      <w:r>
        <w:t>public sector demand</w:t>
      </w:r>
      <w:r w:rsidR="00997931">
        <w:t>s</w:t>
      </w:r>
      <w:r>
        <w:t xml:space="preserve"> come from the National Crime Agency, regional police digital investigation units, GCHQ, and the National Cyber Security Centre. </w:t>
      </w:r>
      <w:r w:rsidR="00997931">
        <w:t>Although p</w:t>
      </w:r>
      <w:r>
        <w:t>rivate sector demand ha</w:t>
      </w:r>
      <w:r w:rsidR="00997931">
        <w:t xml:space="preserve">ve also </w:t>
      </w:r>
      <w:r>
        <w:t xml:space="preserve">grown faster, driven by the expectation that </w:t>
      </w:r>
      <w:r w:rsidR="005277BC">
        <w:t>organiza</w:t>
      </w:r>
      <w:r>
        <w:t xml:space="preserve">tions will investigate and respond to breaches internally </w:t>
      </w:r>
      <w:r w:rsidR="00997931">
        <w:t>instead of</w:t>
      </w:r>
      <w:r>
        <w:t xml:space="preserve"> relying </w:t>
      </w:r>
      <w:r w:rsidR="00997931">
        <w:t xml:space="preserve">solely </w:t>
      </w:r>
      <w:r>
        <w:t xml:space="preserve">on law enforcement </w:t>
      </w:r>
      <w:sdt>
        <w:sdtPr>
          <w:rPr>
            <w:color w:val="000000"/>
            <w:highlight w:val="white"/>
          </w:rPr>
          <w:alias w:val="Citation"/>
          <w:tag w:val="{&quot;referencesIds&quot;:[&quot;doc:6a4ce9f5f267343f1a111d8a&quot;],&quot;referencesOptions&quot;:{&quot;doc:6a4ce9f5f267343f1a111d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00130339"/>
          <w:placeholder>
            <w:docPart w:val="5A383689E8ACF04AAE4BE7B06881FD7B"/>
          </w:placeholder>
        </w:sdtPr>
        <w:sdtContent>
          <w:r w:rsidR="001C5ABC">
            <w:rPr>
              <w:color w:val="000000"/>
            </w:rPr>
            <w:t>[7]</w:t>
          </w:r>
        </w:sdtContent>
      </w:sdt>
      <w:r>
        <w:t>. Specialist forensic consultancies have expanded significantly, and most large corporates now maintain some form of in-house digital forensics or incident response capability.</w:t>
      </w:r>
    </w:p>
    <w:p w14:paraId="6C255062" w14:textId="3598424D" w:rsidR="008D0633" w:rsidRDefault="00997931" w:rsidP="008D0633">
      <w:pPr>
        <w:spacing w:after="160"/>
        <w:jc w:val="both"/>
      </w:pPr>
      <w:r>
        <w:t>In a global scale</w:t>
      </w:r>
      <w:r w:rsidR="008D0633">
        <w:t xml:space="preserve">, Europol and Interpol both maintain dedicated forensics capabilities, and multinational firms regularly engage global consultancies for cross-border investigations. </w:t>
      </w:r>
      <w:r>
        <w:t>The more common roles</w:t>
      </w:r>
      <w:r w:rsidR="008D0633">
        <w:t xml:space="preserve"> include digital forensic analyst, incident responder, malware analyst, and expert witness. Salaries reflect the shortage of qualified practitioners. </w:t>
      </w:r>
      <w:r>
        <w:t>Same with many software and IT fields, p</w:t>
      </w:r>
      <w:r w:rsidR="008D0633">
        <w:t xml:space="preserve">rofessional certifications carry real weight in this field: the Cellebrite Certified Examiner credential and SANS Institute qualifications appear regularly in job specifications, which </w:t>
      </w:r>
      <w:r>
        <w:t>demonstrates</w:t>
      </w:r>
      <w:r w:rsidR="008D0633">
        <w:t xml:space="preserve"> </w:t>
      </w:r>
      <w:r>
        <w:t xml:space="preserve">that </w:t>
      </w:r>
      <w:r>
        <w:t>it doesn’t matter how professional the analyst is, the dependency on the tools</w:t>
      </w:r>
      <w:r>
        <w:t xml:space="preserve"> for this type of work is really there</w:t>
      </w:r>
      <w:r w:rsidR="008D0633">
        <w:t>. An academic qualification</w:t>
      </w:r>
      <w:r>
        <w:t xml:space="preserve"> gives someone some pointers, but </w:t>
      </w:r>
      <w:r w:rsidR="008D0633">
        <w:t>practical experience and vendor certification tend to determine career progression.</w:t>
      </w:r>
    </w:p>
    <w:p w14:paraId="6E89A2CE" w14:textId="77777777" w:rsidR="008D0633" w:rsidRDefault="008D0633" w:rsidP="008D0633">
      <w:pPr>
        <w:spacing w:after="60"/>
      </w:pPr>
    </w:p>
    <w:p w14:paraId="1183CC25" w14:textId="77777777" w:rsidR="008D0633" w:rsidRDefault="008D0633" w:rsidP="008D0633"/>
    <w:p w14:paraId="314C2913" w14:textId="77777777" w:rsidR="001C5ABC" w:rsidRDefault="001C5ABC" w:rsidP="008D0633"/>
    <w:p w14:paraId="45F91822" w14:textId="77777777" w:rsidR="001C5ABC" w:rsidRDefault="001C5ABC" w:rsidP="008D0633"/>
    <w:p w14:paraId="5924733B" w14:textId="77777777" w:rsidR="001C5ABC" w:rsidRDefault="001C5ABC" w:rsidP="008D0633"/>
    <w:p w14:paraId="604218C7" w14:textId="77777777" w:rsidR="001C5ABC" w:rsidRDefault="001C5ABC" w:rsidP="008D0633"/>
    <w:p w14:paraId="16CE3CFE" w14:textId="77777777" w:rsidR="001C5ABC" w:rsidRPr="00C40868" w:rsidRDefault="001C5ABC" w:rsidP="008D0633"/>
    <w:p w14:paraId="751F7429" w14:textId="77777777" w:rsidR="001C5ABC" w:rsidRDefault="001C5ABC">
      <w:pPr>
        <w:pStyle w:val="NormalWeb"/>
        <w:jc w:val="center"/>
      </w:pPr>
      <w:r>
        <w:br/>
      </w:r>
    </w:p>
    <w:sdt>
      <w:sdtPr>
        <w:tag w:val="rw.bWnCOutputStyleIdiblio"/>
        <w:id w:val="-1163457601"/>
        <w:placeholder>
          <w:docPart w:val="2CD02B8107752842ABFC4597473A070B"/>
        </w:placeholder>
      </w:sdtPr>
      <w:sdtEndPr>
        <w:rPr>
          <w:rFonts w:eastAsiaTheme="minorEastAsia"/>
          <w:color w:val="auto"/>
          <w:sz w:val="24"/>
          <w:szCs w:val="24"/>
        </w:rPr>
      </w:sdtEndPr>
      <w:sdtContent>
        <w:p w14:paraId="12AF66BB" w14:textId="77777777" w:rsidR="001C5ABC" w:rsidRDefault="001C5ABC" w:rsidP="001C5ABC">
          <w:pPr>
            <w:pStyle w:val="Heading1"/>
            <w:rPr>
              <w:sz w:val="24"/>
              <w:szCs w:val="24"/>
            </w:rPr>
          </w:pPr>
          <w:r>
            <w:t>References</w:t>
          </w:r>
        </w:p>
        <w:p w14:paraId="6E04BE1E" w14:textId="77777777" w:rsidR="001C5ABC" w:rsidRDefault="001C5ABC">
          <w:pPr>
            <w:pStyle w:val="NormalWeb"/>
            <w:ind w:left="450" w:hanging="450"/>
            <w:rPr>
              <w:color w:val="000000"/>
            </w:rPr>
          </w:pPr>
          <w:r>
            <w:rPr>
              <w:color w:val="000000"/>
            </w:rPr>
            <w:t>[1] L. Luciano, I. Baggili, M. Topor, P. Casey and F. Breitinger, "Digital forensics in the next five years", in</w:t>
          </w:r>
          <w:r>
            <w:rPr>
              <w:i/>
              <w:iCs/>
              <w:color w:val="000000"/>
            </w:rPr>
            <w:t xml:space="preserve"> Proceedings of the 13th International Conference on Availability, Reliability and Security, </w:t>
          </w:r>
          <w:r>
            <w:rPr>
              <w:color w:val="000000"/>
            </w:rPr>
            <w:t xml:space="preserve">pp. 1–14. </w:t>
          </w:r>
        </w:p>
        <w:p w14:paraId="46FE68DA" w14:textId="77777777" w:rsidR="001C5ABC" w:rsidRDefault="001C5ABC">
          <w:pPr>
            <w:pStyle w:val="NormalWeb"/>
            <w:ind w:left="450" w:hanging="450"/>
            <w:rPr>
              <w:color w:val="000000"/>
            </w:rPr>
          </w:pPr>
          <w:r>
            <w:rPr>
              <w:color w:val="000000"/>
            </w:rPr>
            <w:t>[2] L. Tsado and R. Osgood,</w:t>
          </w:r>
          <w:r>
            <w:rPr>
              <w:i/>
              <w:iCs/>
              <w:color w:val="000000"/>
            </w:rPr>
            <w:t xml:space="preserve">Exploring careers in cybersecurity and digital forensics, </w:t>
          </w:r>
          <w:r>
            <w:rPr>
              <w:color w:val="000000"/>
            </w:rPr>
            <w:t xml:space="preserve">Bloomsbury Publishing PLC, 2022. </w:t>
          </w:r>
        </w:p>
        <w:p w14:paraId="290958E0" w14:textId="77777777" w:rsidR="001C5ABC" w:rsidRDefault="001C5ABC">
          <w:pPr>
            <w:pStyle w:val="NormalWeb"/>
            <w:ind w:left="450" w:hanging="450"/>
            <w:rPr>
              <w:color w:val="000000"/>
            </w:rPr>
          </w:pPr>
          <w:r>
            <w:rPr>
              <w:color w:val="000000"/>
            </w:rPr>
            <w:t>[3] A. Al-Dhaqm</w:t>
          </w:r>
          <w:r>
            <w:rPr>
              <w:i/>
              <w:iCs/>
              <w:color w:val="000000"/>
            </w:rPr>
            <w:t xml:space="preserve"> et al., </w:t>
          </w:r>
          <w:r>
            <w:rPr>
              <w:color w:val="000000"/>
            </w:rPr>
            <w:t xml:space="preserve">, "Digital forensics subdomains: The state of the art and future directions," vol. 9, pp.152476–152502, 2021, </w:t>
          </w:r>
        </w:p>
        <w:p w14:paraId="66A34F81" w14:textId="77777777" w:rsidR="001C5ABC" w:rsidRDefault="001C5ABC">
          <w:pPr>
            <w:pStyle w:val="NormalWeb"/>
            <w:ind w:left="450" w:hanging="450"/>
            <w:rPr>
              <w:color w:val="000000"/>
            </w:rPr>
          </w:pPr>
          <w:r>
            <w:rPr>
              <w:color w:val="000000"/>
            </w:rPr>
            <w:t xml:space="preserve">[4] E. A. Vincze, "Challenges in digital forensics," vol. 17, no. 2, pp.183–194, 2016, </w:t>
          </w:r>
        </w:p>
        <w:p w14:paraId="222E08AB" w14:textId="77777777" w:rsidR="001C5ABC" w:rsidRDefault="001C5ABC">
          <w:pPr>
            <w:pStyle w:val="NormalWeb"/>
            <w:ind w:left="450" w:hanging="450"/>
            <w:rPr>
              <w:color w:val="000000"/>
            </w:rPr>
          </w:pPr>
          <w:r>
            <w:rPr>
              <w:color w:val="000000"/>
            </w:rPr>
            <w:t xml:space="preserve">[5] "Cellebrite UFED" </w:t>
          </w:r>
          <w:r>
            <w:rPr>
              <w:i/>
              <w:iCs/>
              <w:color w:val="000000"/>
            </w:rPr>
            <w:t xml:space="preserve">Cellebrite. </w:t>
          </w:r>
          <w:r>
            <w:rPr>
              <w:color w:val="000000"/>
            </w:rPr>
            <w:t xml:space="preserve">Accessed: Jul 7, 2026. [Blog]. Available at: </w:t>
          </w:r>
          <w:hyperlink r:id="rId7" w:tgtFrame="_blank" w:history="1">
            <w:r>
              <w:rPr>
                <w:rStyle w:val="Hyperlink"/>
              </w:rPr>
              <w:t>https://cellebrite.com/en/products/ufed/</w:t>
            </w:r>
          </w:hyperlink>
        </w:p>
        <w:p w14:paraId="5B0F44D0" w14:textId="77777777" w:rsidR="001C5ABC" w:rsidRDefault="001C5ABC">
          <w:pPr>
            <w:pStyle w:val="NormalWeb"/>
            <w:ind w:left="450" w:hanging="450"/>
            <w:rPr>
              <w:color w:val="000000"/>
            </w:rPr>
          </w:pPr>
          <w:r>
            <w:rPr>
              <w:color w:val="000000"/>
            </w:rPr>
            <w:t>[6] B. Nelson, A. Phillips and C. Steuart,</w:t>
          </w:r>
          <w:r>
            <w:rPr>
              <w:i/>
              <w:iCs/>
              <w:color w:val="000000"/>
            </w:rPr>
            <w:t xml:space="preserve">Guide to computer forensics and investigations, </w:t>
          </w:r>
          <w:r>
            <w:rPr>
              <w:color w:val="000000"/>
            </w:rPr>
            <w:t xml:space="preserve">Course Technology Press, 2009. </w:t>
          </w:r>
        </w:p>
        <w:p w14:paraId="73CFBE58" w14:textId="77777777" w:rsidR="001C5ABC" w:rsidRDefault="001C5ABC">
          <w:pPr>
            <w:pStyle w:val="NormalWeb"/>
            <w:ind w:left="450" w:hanging="450"/>
            <w:rPr>
              <w:color w:val="000000"/>
            </w:rPr>
          </w:pPr>
          <w:r>
            <w:rPr>
              <w:color w:val="000000"/>
            </w:rPr>
            <w:t>[7] L. Tsado and R. Osgood,</w:t>
          </w:r>
          <w:r>
            <w:rPr>
              <w:i/>
              <w:iCs/>
              <w:color w:val="000000"/>
            </w:rPr>
            <w:t xml:space="preserve">Exploring careers in cybersecurity and digital forensics, </w:t>
          </w:r>
          <w:r>
            <w:rPr>
              <w:color w:val="000000"/>
            </w:rPr>
            <w:t xml:space="preserve">Bloomsbury Publishing PLC, 2022. </w:t>
          </w:r>
        </w:p>
        <w:p w14:paraId="03C62D8F" w14:textId="77777777" w:rsidR="001C5ABC" w:rsidRDefault="001C5ABC">
          <w:pPr>
            <w:pStyle w:val="NormalWeb"/>
            <w:ind w:left="450" w:hanging="450"/>
            <w:rPr>
              <w:color w:val="000000"/>
            </w:rPr>
          </w:pPr>
          <w:r>
            <w:rPr>
              <w:color w:val="000000"/>
            </w:rPr>
            <w:t>[8] F. Casino</w:t>
          </w:r>
          <w:r>
            <w:rPr>
              <w:i/>
              <w:iCs/>
              <w:color w:val="000000"/>
            </w:rPr>
            <w:t xml:space="preserve"> et al., </w:t>
          </w:r>
          <w:r>
            <w:rPr>
              <w:color w:val="000000"/>
            </w:rPr>
            <w:t xml:space="preserve">, "Research trends, challenges, and emerging topics in digital forensics: A review of reviews," vol. 10, pp.25464–25493, 2022, </w:t>
          </w:r>
        </w:p>
        <w:p w14:paraId="64CE7687" w14:textId="77777777" w:rsidR="001C5ABC" w:rsidRDefault="001C5ABC">
          <w:pPr>
            <w:pStyle w:val="NormalWeb"/>
            <w:ind w:left="450" w:hanging="450"/>
            <w:rPr>
              <w:color w:val="000000"/>
            </w:rPr>
          </w:pPr>
          <w:r>
            <w:rPr>
              <w:color w:val="000000"/>
            </w:rPr>
            <w:t>[9] S. Garfinkel, "Anti-forensics: Techniques, detection and countermeasures", in</w:t>
          </w:r>
          <w:r>
            <w:rPr>
              <w:i/>
              <w:iCs/>
              <w:color w:val="000000"/>
            </w:rPr>
            <w:t xml:space="preserve"> 2nd International Conference on i-Warfare and Security, </w:t>
          </w:r>
          <w:r>
            <w:rPr>
              <w:color w:val="000000"/>
            </w:rPr>
            <w:t xml:space="preserve">pp. 77–84. </w:t>
          </w:r>
        </w:p>
        <w:p w14:paraId="5FA5FFFE" w14:textId="77777777" w:rsidR="001C5ABC" w:rsidRDefault="001C5ABC">
          <w:pPr>
            <w:pStyle w:val="NormalWeb"/>
            <w:ind w:left="450" w:hanging="450"/>
            <w:rPr>
              <w:color w:val="000000"/>
            </w:rPr>
          </w:pPr>
          <w:r>
            <w:rPr>
              <w:color w:val="000000"/>
            </w:rPr>
            <w:t>[10] H. N. Fakhouri, M. A. AlSharaiah, M. Alkalaileh and F. F. Dweikat, "Overview of challenges faced by digital forensic", in</w:t>
          </w:r>
          <w:r>
            <w:rPr>
              <w:i/>
              <w:iCs/>
              <w:color w:val="000000"/>
            </w:rPr>
            <w:t xml:space="preserve"> 2024 2nd international conference on Cyber resilience (ICCR), </w:t>
          </w:r>
          <w:r>
            <w:rPr>
              <w:color w:val="000000"/>
            </w:rPr>
            <w:t xml:space="preserve">pp. 1–8. </w:t>
          </w:r>
        </w:p>
        <w:p w14:paraId="307C1577" w14:textId="6EF26099" w:rsidR="00AD4023" w:rsidRPr="005F3905" w:rsidRDefault="001C5ABC" w:rsidP="005F3905">
          <w:pPr>
            <w:pStyle w:val="NormalWeb"/>
            <w:ind w:left="450" w:hanging="450"/>
            <w:rPr>
              <w:color w:val="000000"/>
            </w:rPr>
          </w:pPr>
          <w:r>
            <w:rPr>
              <w:color w:val="000000"/>
            </w:rPr>
            <w:lastRenderedPageBreak/>
            <w:t xml:space="preserve">[11] N. M. Karie and H. S. Venter, "Taxonomy of challenges for digital forensics," </w:t>
          </w:r>
          <w:r>
            <w:rPr>
              <w:i/>
              <w:iCs/>
              <w:color w:val="000000"/>
            </w:rPr>
            <w:t xml:space="preserve">J.Forensic Sci., </w:t>
          </w:r>
          <w:r>
            <w:rPr>
              <w:color w:val="000000"/>
            </w:rPr>
            <w:t xml:space="preserve">vol. 60, no. 4, pp.885–893, 2015, </w:t>
          </w:r>
        </w:p>
      </w:sdtContent>
    </w:sdt>
    <w:sectPr w:rsidR="00AD4023" w:rsidRPr="005F3905" w:rsidSect="008D0633">
      <w:pgSz w:w="11906" w:h="16838"/>
      <w:pgMar w:top="1440" w:right="1800" w:bottom="1440" w:left="180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4E4907A" w14:textId="77777777" w:rsidR="00C95B31" w:rsidRDefault="00C95B31" w:rsidP="008D0633">
      <w:pPr>
        <w:spacing w:line="240" w:lineRule="auto"/>
      </w:pPr>
      <w:r>
        <w:separator/>
      </w:r>
    </w:p>
  </w:endnote>
  <w:endnote w:type="continuationSeparator" w:id="0">
    <w:p w14:paraId="39A686E7" w14:textId="77777777" w:rsidR="00C95B31" w:rsidRDefault="00C95B31" w:rsidP="008D063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5066FA8" w14:textId="77777777" w:rsidR="00C95B31" w:rsidRDefault="00C95B31" w:rsidP="008D0633">
      <w:pPr>
        <w:spacing w:line="240" w:lineRule="auto"/>
      </w:pPr>
      <w:r>
        <w:separator/>
      </w:r>
    </w:p>
  </w:footnote>
  <w:footnote w:type="continuationSeparator" w:id="0">
    <w:p w14:paraId="4EC03EBF" w14:textId="77777777" w:rsidR="00C95B31" w:rsidRDefault="00C95B31" w:rsidP="008D063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05B70D7"/>
    <w:multiLevelType w:val="hybridMultilevel"/>
    <w:tmpl w:val="8ABCC67A"/>
    <w:lvl w:ilvl="0" w:tplc="B9989E5C">
      <w:start w:val="1"/>
      <w:numFmt w:val="bullet"/>
      <w:lvlText w:val="●"/>
      <w:lvlJc w:val="left"/>
      <w:pPr>
        <w:ind w:left="720" w:hanging="360"/>
      </w:pPr>
    </w:lvl>
    <w:lvl w:ilvl="1" w:tplc="D2E40056">
      <w:start w:val="1"/>
      <w:numFmt w:val="bullet"/>
      <w:lvlText w:val="○"/>
      <w:lvlJc w:val="left"/>
      <w:pPr>
        <w:ind w:left="1440" w:hanging="360"/>
      </w:pPr>
    </w:lvl>
    <w:lvl w:ilvl="2" w:tplc="5B2C2DBA">
      <w:start w:val="1"/>
      <w:numFmt w:val="bullet"/>
      <w:lvlText w:val="■"/>
      <w:lvlJc w:val="left"/>
      <w:pPr>
        <w:ind w:left="2160" w:hanging="360"/>
      </w:pPr>
    </w:lvl>
    <w:lvl w:ilvl="3" w:tplc="A364B6DE">
      <w:start w:val="1"/>
      <w:numFmt w:val="bullet"/>
      <w:lvlText w:val="●"/>
      <w:lvlJc w:val="left"/>
      <w:pPr>
        <w:ind w:left="2880" w:hanging="360"/>
      </w:pPr>
    </w:lvl>
    <w:lvl w:ilvl="4" w:tplc="D0B42258">
      <w:start w:val="1"/>
      <w:numFmt w:val="bullet"/>
      <w:lvlText w:val="○"/>
      <w:lvlJc w:val="left"/>
      <w:pPr>
        <w:ind w:left="3600" w:hanging="360"/>
      </w:pPr>
    </w:lvl>
    <w:lvl w:ilvl="5" w:tplc="E17C0250">
      <w:start w:val="1"/>
      <w:numFmt w:val="bullet"/>
      <w:lvlText w:val="■"/>
      <w:lvlJc w:val="left"/>
      <w:pPr>
        <w:ind w:left="4320" w:hanging="360"/>
      </w:pPr>
    </w:lvl>
    <w:lvl w:ilvl="6" w:tplc="F942FE7C">
      <w:start w:val="1"/>
      <w:numFmt w:val="bullet"/>
      <w:lvlText w:val="●"/>
      <w:lvlJc w:val="left"/>
      <w:pPr>
        <w:ind w:left="5040" w:hanging="360"/>
      </w:pPr>
    </w:lvl>
    <w:lvl w:ilvl="7" w:tplc="7242EFDE">
      <w:start w:val="1"/>
      <w:numFmt w:val="bullet"/>
      <w:lvlText w:val="●"/>
      <w:lvlJc w:val="left"/>
      <w:pPr>
        <w:ind w:left="5760" w:hanging="360"/>
      </w:pPr>
    </w:lvl>
    <w:lvl w:ilvl="8" w:tplc="C5EC8C90">
      <w:start w:val="1"/>
      <w:numFmt w:val="bullet"/>
      <w:lvlText w:val="●"/>
      <w:lvlJc w:val="left"/>
      <w:pPr>
        <w:ind w:left="6480" w:hanging="360"/>
      </w:pPr>
    </w:lvl>
  </w:abstractNum>
  <w:num w:numId="1" w16cid:durableId="2096245300">
    <w:abstractNumId w:val="0"/>
    <w:lvlOverride w:ilvl="0">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4023"/>
    <w:rsid w:val="0003322E"/>
    <w:rsid w:val="00057CF4"/>
    <w:rsid w:val="00076B44"/>
    <w:rsid w:val="00197E25"/>
    <w:rsid w:val="001C5ABC"/>
    <w:rsid w:val="00200A0C"/>
    <w:rsid w:val="00260CF7"/>
    <w:rsid w:val="00457129"/>
    <w:rsid w:val="00482746"/>
    <w:rsid w:val="005277BC"/>
    <w:rsid w:val="005F3905"/>
    <w:rsid w:val="00726424"/>
    <w:rsid w:val="00785422"/>
    <w:rsid w:val="00791BB5"/>
    <w:rsid w:val="008D0633"/>
    <w:rsid w:val="00997931"/>
    <w:rsid w:val="00AD4023"/>
    <w:rsid w:val="00C3660D"/>
    <w:rsid w:val="00C766B3"/>
    <w:rsid w:val="00C77DAB"/>
    <w:rsid w:val="00C95B31"/>
    <w:rsid w:val="00CC0EC8"/>
    <w:rsid w:val="00D60C67"/>
    <w:rsid w:val="00D615E5"/>
    <w:rsid w:val="00D626B5"/>
    <w:rsid w:val="00D94776"/>
    <w:rsid w:val="00E46DEC"/>
    <w:rsid w:val="00EB5CD5"/>
    <w:rsid w:val="00F82593"/>
  </w:rsids>
  <m:mathPr>
    <m:mathFont m:val="Cambria Math"/>
    <m:brkBin m:val="before"/>
    <m:brkBinSub m:val="--"/>
    <m:smallFrac m:val="0"/>
    <m:dispDef/>
    <m:lMargin m:val="0"/>
    <m:rMargin m:val="0"/>
    <m:defJc m:val="centerGroup"/>
    <m:wrapIndent m:val="1440"/>
    <m:intLim m:val="subSup"/>
    <m:naryLim m:val="undOvr"/>
  </m:mathPr>
  <w:themeFontLang w:val="en-BR"/>
  <w:clrSchemeMapping w:bg1="light1" w:t1="dark1" w:bg2="light2" w:t2="dark2" w:accent1="accent1" w:accent2="accent2" w:accent3="accent3" w:accent4="accent4" w:accent5="accent5" w:accent6="accent6" w:hyperlink="hyperlink" w:followedHyperlink="followedHyperlink"/>
  <w:decimalSymbol w:val=","/>
  <w:listSeparator w:val=","/>
  <w14:docId w14:val="7B4533D4"/>
  <w15:docId w15:val="{59E1E645-8AFE-AF44-8BBC-1EAFB648FE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sz w:val="24"/>
        <w:szCs w:val="24"/>
        <w:lang w:val="en-BR"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line="240" w:lineRule="auto"/>
    </w:pPr>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8D0633"/>
    <w:pPr>
      <w:tabs>
        <w:tab w:val="center" w:pos="4680"/>
        <w:tab w:val="right" w:pos="9360"/>
      </w:tabs>
      <w:spacing w:line="240" w:lineRule="auto"/>
    </w:pPr>
  </w:style>
  <w:style w:type="character" w:customStyle="1" w:styleId="HeaderChar">
    <w:name w:val="Header Char"/>
    <w:basedOn w:val="DefaultParagraphFont"/>
    <w:link w:val="Header"/>
    <w:uiPriority w:val="99"/>
    <w:rsid w:val="008D0633"/>
  </w:style>
  <w:style w:type="paragraph" w:styleId="Footer">
    <w:name w:val="footer"/>
    <w:basedOn w:val="Normal"/>
    <w:link w:val="FooterChar"/>
    <w:uiPriority w:val="99"/>
    <w:unhideWhenUsed/>
    <w:rsid w:val="008D0633"/>
    <w:pPr>
      <w:tabs>
        <w:tab w:val="center" w:pos="4680"/>
        <w:tab w:val="right" w:pos="9360"/>
      </w:tabs>
      <w:spacing w:line="240" w:lineRule="auto"/>
    </w:pPr>
  </w:style>
  <w:style w:type="character" w:customStyle="1" w:styleId="FooterChar">
    <w:name w:val="Footer Char"/>
    <w:basedOn w:val="DefaultParagraphFont"/>
    <w:link w:val="Footer"/>
    <w:uiPriority w:val="99"/>
    <w:rsid w:val="008D0633"/>
  </w:style>
  <w:style w:type="character" w:styleId="PlaceholderText">
    <w:name w:val="Placeholder Text"/>
    <w:basedOn w:val="DefaultParagraphFont"/>
    <w:uiPriority w:val="99"/>
    <w:semiHidden/>
    <w:rsid w:val="001C5ABC"/>
    <w:rPr>
      <w:color w:val="666666"/>
    </w:rPr>
  </w:style>
  <w:style w:type="paragraph" w:styleId="NormalWeb">
    <w:name w:val="Normal (Web)"/>
    <w:basedOn w:val="Normal"/>
    <w:uiPriority w:val="99"/>
    <w:unhideWhenUsed/>
    <w:rsid w:val="001C5ABC"/>
    <w:pPr>
      <w:spacing w:before="100" w:beforeAutospacing="1" w:after="100" w:afterAutospacing="1" w:line="240" w:lineRule="auto"/>
    </w:pPr>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cellebrite.com/en/products/ufe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docParts>
    <w:docPart>
      <w:docPartPr>
        <w:name w:val="28FBACDE2B781B488D66CBDE534FFECE"/>
        <w:category>
          <w:name w:val="General"/>
          <w:gallery w:val="placeholder"/>
        </w:category>
        <w:types>
          <w:type w:val="bbPlcHdr"/>
        </w:types>
        <w:behaviors>
          <w:behavior w:val="content"/>
        </w:behaviors>
        <w:guid w:val="{0480E538-2499-E346-BE30-91C92DF1A515}"/>
      </w:docPartPr>
      <w:docPartBody>
        <w:p w:rsidR="00000000" w:rsidRDefault="007779FF">
          <w:r w:rsidRPr="00485D41">
            <w:rPr>
              <w:rStyle w:val="PlaceholderText"/>
            </w:rPr>
            <w:t>Formatting...</w:t>
          </w:r>
        </w:p>
      </w:docPartBody>
    </w:docPart>
    <w:docPart>
      <w:docPartPr>
        <w:name w:val="2CD02B8107752842ABFC4597473A070B"/>
        <w:category>
          <w:name w:val="General"/>
          <w:gallery w:val="placeholder"/>
        </w:category>
        <w:types>
          <w:type w:val="bbPlcHdr"/>
        </w:types>
        <w:behaviors>
          <w:behavior w:val="content"/>
        </w:behaviors>
        <w:guid w:val="{69AE2AF7-494B-C14A-89E9-F71D5B310A0D}"/>
      </w:docPartPr>
      <w:docPartBody>
        <w:p w:rsidR="00000000" w:rsidRDefault="007779FF">
          <w:r w:rsidRPr="00485D41">
            <w:rPr>
              <w:rStyle w:val="PlaceholderText"/>
            </w:rPr>
            <w:t>Formatting Bibliography...</w:t>
          </w:r>
        </w:p>
      </w:docPartBody>
    </w:docPart>
    <w:docPart>
      <w:docPartPr>
        <w:name w:val="AB9463BCEB991347B04ABB4497DE13D9"/>
        <w:category>
          <w:name w:val="General"/>
          <w:gallery w:val="placeholder"/>
        </w:category>
        <w:types>
          <w:type w:val="bbPlcHdr"/>
        </w:types>
        <w:behaviors>
          <w:behavior w:val="content"/>
        </w:behaviors>
        <w:guid w:val="{077488B1-15EE-184A-8130-DA890FDD7003}"/>
      </w:docPartPr>
      <w:docPartBody>
        <w:p w:rsidR="00000000" w:rsidRDefault="007779FF">
          <w:r w:rsidRPr="00485D41">
            <w:rPr>
              <w:rStyle w:val="PlaceholderText"/>
            </w:rPr>
            <w:t>Formatting...</w:t>
          </w:r>
        </w:p>
      </w:docPartBody>
    </w:docPart>
    <w:docPart>
      <w:docPartPr>
        <w:name w:val="AD6C22A4547FA24DA35E16AC8438C13B"/>
        <w:category>
          <w:name w:val="General"/>
          <w:gallery w:val="placeholder"/>
        </w:category>
        <w:types>
          <w:type w:val="bbPlcHdr"/>
        </w:types>
        <w:behaviors>
          <w:behavior w:val="content"/>
        </w:behaviors>
        <w:guid w:val="{C5CEA338-8867-4E45-B542-507342B18F25}"/>
      </w:docPartPr>
      <w:docPartBody>
        <w:p w:rsidR="00000000" w:rsidRDefault="007779FF">
          <w:r w:rsidRPr="00485D41">
            <w:rPr>
              <w:rStyle w:val="PlaceholderText"/>
            </w:rPr>
            <w:t>Formatting...</w:t>
          </w:r>
        </w:p>
      </w:docPartBody>
    </w:docPart>
    <w:docPart>
      <w:docPartPr>
        <w:name w:val="82603F42A31F284F96B118CE60E17821"/>
        <w:category>
          <w:name w:val="General"/>
          <w:gallery w:val="placeholder"/>
        </w:category>
        <w:types>
          <w:type w:val="bbPlcHdr"/>
        </w:types>
        <w:behaviors>
          <w:behavior w:val="content"/>
        </w:behaviors>
        <w:guid w:val="{4A08A9D6-8046-F84A-85EE-25B0DA8CAB85}"/>
      </w:docPartPr>
      <w:docPartBody>
        <w:p w:rsidR="00000000" w:rsidRDefault="007779FF">
          <w:r w:rsidRPr="00485D41">
            <w:rPr>
              <w:rStyle w:val="PlaceholderText"/>
            </w:rPr>
            <w:t>Formatting...</w:t>
          </w:r>
        </w:p>
      </w:docPartBody>
    </w:docPart>
    <w:docPart>
      <w:docPartPr>
        <w:name w:val="FCD084F7FD694741B9995929C613BA03"/>
        <w:category>
          <w:name w:val="General"/>
          <w:gallery w:val="placeholder"/>
        </w:category>
        <w:types>
          <w:type w:val="bbPlcHdr"/>
        </w:types>
        <w:behaviors>
          <w:behavior w:val="content"/>
        </w:behaviors>
        <w:guid w:val="{15DB7429-4136-CC46-97BD-8770D6C3C307}"/>
      </w:docPartPr>
      <w:docPartBody>
        <w:p w:rsidR="00000000" w:rsidRDefault="007779FF">
          <w:r w:rsidRPr="00485D41">
            <w:rPr>
              <w:rStyle w:val="PlaceholderText"/>
            </w:rPr>
            <w:t>Formatting...</w:t>
          </w:r>
        </w:p>
      </w:docPartBody>
    </w:docPart>
    <w:docPart>
      <w:docPartPr>
        <w:name w:val="D2B45A61F262564DA7BB92298DBAB70C"/>
        <w:category>
          <w:name w:val="General"/>
          <w:gallery w:val="placeholder"/>
        </w:category>
        <w:types>
          <w:type w:val="bbPlcHdr"/>
        </w:types>
        <w:behaviors>
          <w:behavior w:val="content"/>
        </w:behaviors>
        <w:guid w:val="{EF783F5F-DDAD-0F44-983F-7A12BA29CCD4}"/>
      </w:docPartPr>
      <w:docPartBody>
        <w:p w:rsidR="00000000" w:rsidRDefault="007779FF">
          <w:r w:rsidRPr="00485D41">
            <w:rPr>
              <w:rStyle w:val="PlaceholderText"/>
            </w:rPr>
            <w:t>Formatting...</w:t>
          </w:r>
        </w:p>
      </w:docPartBody>
    </w:docPart>
    <w:docPart>
      <w:docPartPr>
        <w:name w:val="D917894A5AFA4E45BCA89745A09392CE"/>
        <w:category>
          <w:name w:val="General"/>
          <w:gallery w:val="placeholder"/>
        </w:category>
        <w:types>
          <w:type w:val="bbPlcHdr"/>
        </w:types>
        <w:behaviors>
          <w:behavior w:val="content"/>
        </w:behaviors>
        <w:guid w:val="{4F3C994A-4C79-4248-9976-E5535D42A29D}"/>
      </w:docPartPr>
      <w:docPartBody>
        <w:p w:rsidR="00000000" w:rsidRDefault="007779FF">
          <w:r w:rsidRPr="00485D41">
            <w:rPr>
              <w:rStyle w:val="PlaceholderText"/>
            </w:rPr>
            <w:t>Formatting...</w:t>
          </w:r>
        </w:p>
      </w:docPartBody>
    </w:docPart>
    <w:docPart>
      <w:docPartPr>
        <w:name w:val="6A31DFA6F0971342A5C04F4C87D4BAB6"/>
        <w:category>
          <w:name w:val="General"/>
          <w:gallery w:val="placeholder"/>
        </w:category>
        <w:types>
          <w:type w:val="bbPlcHdr"/>
        </w:types>
        <w:behaviors>
          <w:behavior w:val="content"/>
        </w:behaviors>
        <w:guid w:val="{59B67262-8A16-D54C-A04F-5D0ADF493962}"/>
      </w:docPartPr>
      <w:docPartBody>
        <w:p w:rsidR="00000000" w:rsidRDefault="007779FF">
          <w:r w:rsidRPr="00485D41">
            <w:rPr>
              <w:rStyle w:val="PlaceholderText"/>
            </w:rPr>
            <w:t>Formatting...</w:t>
          </w:r>
        </w:p>
      </w:docPartBody>
    </w:docPart>
    <w:docPart>
      <w:docPartPr>
        <w:name w:val="2CEC5158EDA3A54494E4EEB23163F7A8"/>
        <w:category>
          <w:name w:val="General"/>
          <w:gallery w:val="placeholder"/>
        </w:category>
        <w:types>
          <w:type w:val="bbPlcHdr"/>
        </w:types>
        <w:behaviors>
          <w:behavior w:val="content"/>
        </w:behaviors>
        <w:guid w:val="{EF262319-EA58-4B40-A3FD-80BA15C73978}"/>
      </w:docPartPr>
      <w:docPartBody>
        <w:p w:rsidR="00000000" w:rsidRDefault="007779FF">
          <w:r w:rsidRPr="00485D41">
            <w:rPr>
              <w:rStyle w:val="PlaceholderText"/>
            </w:rPr>
            <w:t>Formatting...</w:t>
          </w:r>
        </w:p>
      </w:docPartBody>
    </w:docPart>
    <w:docPart>
      <w:docPartPr>
        <w:name w:val="59DCF3F007083E4A892A8419BB87E7C4"/>
        <w:category>
          <w:name w:val="General"/>
          <w:gallery w:val="placeholder"/>
        </w:category>
        <w:types>
          <w:type w:val="bbPlcHdr"/>
        </w:types>
        <w:behaviors>
          <w:behavior w:val="content"/>
        </w:behaviors>
        <w:guid w:val="{745F0E39-843B-6D4F-9FFA-77B7CBFDF5E5}"/>
      </w:docPartPr>
      <w:docPartBody>
        <w:p w:rsidR="00000000" w:rsidRDefault="007779FF">
          <w:r w:rsidRPr="00485D41">
            <w:rPr>
              <w:rStyle w:val="PlaceholderText"/>
            </w:rPr>
            <w:t>Formatting...</w:t>
          </w:r>
        </w:p>
      </w:docPartBody>
    </w:docPart>
    <w:docPart>
      <w:docPartPr>
        <w:name w:val="2CC5887B84FCDB41B7D37A1350DE3BB2"/>
        <w:category>
          <w:name w:val="General"/>
          <w:gallery w:val="placeholder"/>
        </w:category>
        <w:types>
          <w:type w:val="bbPlcHdr"/>
        </w:types>
        <w:behaviors>
          <w:behavior w:val="content"/>
        </w:behaviors>
        <w:guid w:val="{1A5DC8F1-7DEE-B047-8286-DF8A16DCAE93}"/>
      </w:docPartPr>
      <w:docPartBody>
        <w:p w:rsidR="00000000" w:rsidRDefault="007779FF">
          <w:r w:rsidRPr="00485D41">
            <w:rPr>
              <w:rStyle w:val="PlaceholderText"/>
            </w:rPr>
            <w:t>Formatting...</w:t>
          </w:r>
        </w:p>
      </w:docPartBody>
    </w:docPart>
    <w:docPart>
      <w:docPartPr>
        <w:name w:val="584593EEB003B344B7AA5084B9451495"/>
        <w:category>
          <w:name w:val="General"/>
          <w:gallery w:val="placeholder"/>
        </w:category>
        <w:types>
          <w:type w:val="bbPlcHdr"/>
        </w:types>
        <w:behaviors>
          <w:behavior w:val="content"/>
        </w:behaviors>
        <w:guid w:val="{10D3C0BD-5570-744C-B81B-0ADE3FC1DE3A}"/>
      </w:docPartPr>
      <w:docPartBody>
        <w:p w:rsidR="00000000" w:rsidRDefault="007779FF">
          <w:r w:rsidRPr="00485D41">
            <w:rPr>
              <w:rStyle w:val="PlaceholderText"/>
            </w:rPr>
            <w:t>Formatting...</w:t>
          </w:r>
        </w:p>
      </w:docPartBody>
    </w:docPart>
    <w:docPart>
      <w:docPartPr>
        <w:name w:val="B2CB0BE736D4B748A9ACFF23C1195F32"/>
        <w:category>
          <w:name w:val="General"/>
          <w:gallery w:val="placeholder"/>
        </w:category>
        <w:types>
          <w:type w:val="bbPlcHdr"/>
        </w:types>
        <w:behaviors>
          <w:behavior w:val="content"/>
        </w:behaviors>
        <w:guid w:val="{EE38ACAC-AE60-0743-A987-26EA360C4AF7}"/>
      </w:docPartPr>
      <w:docPartBody>
        <w:p w:rsidR="00000000" w:rsidRDefault="007779FF">
          <w:r w:rsidRPr="00485D41">
            <w:rPr>
              <w:rStyle w:val="PlaceholderText"/>
            </w:rPr>
            <w:t>Formatting...</w:t>
          </w:r>
        </w:p>
      </w:docPartBody>
    </w:docPart>
    <w:docPart>
      <w:docPartPr>
        <w:name w:val="EAF64C6FE376BA49A39FAE9528CE9E33"/>
        <w:category>
          <w:name w:val="General"/>
          <w:gallery w:val="placeholder"/>
        </w:category>
        <w:types>
          <w:type w:val="bbPlcHdr"/>
        </w:types>
        <w:behaviors>
          <w:behavior w:val="content"/>
        </w:behaviors>
        <w:guid w:val="{D139143D-DF31-B94F-BF27-365D372CE41A}"/>
      </w:docPartPr>
      <w:docPartBody>
        <w:p w:rsidR="00000000" w:rsidRDefault="007779FF">
          <w:r w:rsidRPr="00485D41">
            <w:rPr>
              <w:rStyle w:val="PlaceholderText"/>
            </w:rPr>
            <w:t>Formatting...</w:t>
          </w:r>
        </w:p>
      </w:docPartBody>
    </w:docPart>
    <w:docPart>
      <w:docPartPr>
        <w:name w:val="43860B88A3CD1745A4D3430DF621B86D"/>
        <w:category>
          <w:name w:val="General"/>
          <w:gallery w:val="placeholder"/>
        </w:category>
        <w:types>
          <w:type w:val="bbPlcHdr"/>
        </w:types>
        <w:behaviors>
          <w:behavior w:val="content"/>
        </w:behaviors>
        <w:guid w:val="{E1022319-EAB6-6E46-8E87-9A749BC44AEC}"/>
      </w:docPartPr>
      <w:docPartBody>
        <w:p w:rsidR="00000000" w:rsidRDefault="007779FF">
          <w:r w:rsidRPr="00485D41">
            <w:rPr>
              <w:rStyle w:val="PlaceholderText"/>
            </w:rPr>
            <w:t>Formatting...</w:t>
          </w:r>
        </w:p>
      </w:docPartBody>
    </w:docPart>
    <w:docPart>
      <w:docPartPr>
        <w:name w:val="5B71E8D5DC44694C929ADB076D91251E"/>
        <w:category>
          <w:name w:val="General"/>
          <w:gallery w:val="placeholder"/>
        </w:category>
        <w:types>
          <w:type w:val="bbPlcHdr"/>
        </w:types>
        <w:behaviors>
          <w:behavior w:val="content"/>
        </w:behaviors>
        <w:guid w:val="{905473CC-E47D-8B42-A0C9-823FD0F13717}"/>
      </w:docPartPr>
      <w:docPartBody>
        <w:p w:rsidR="00000000" w:rsidRDefault="007779FF">
          <w:r w:rsidRPr="00485D41">
            <w:rPr>
              <w:rStyle w:val="PlaceholderText"/>
            </w:rPr>
            <w:t>Formatting...</w:t>
          </w:r>
        </w:p>
      </w:docPartBody>
    </w:docPart>
    <w:docPart>
      <w:docPartPr>
        <w:name w:val="5A383689E8ACF04AAE4BE7B06881FD7B"/>
        <w:category>
          <w:name w:val="General"/>
          <w:gallery w:val="placeholder"/>
        </w:category>
        <w:types>
          <w:type w:val="bbPlcHdr"/>
        </w:types>
        <w:behaviors>
          <w:behavior w:val="content"/>
        </w:behaviors>
        <w:guid w:val="{1522A449-5C88-B14D-98F1-F8303421ECB6}"/>
      </w:docPartPr>
      <w:docPartBody>
        <w:p w:rsidR="00000000" w:rsidRDefault="007779FF">
          <w:r w:rsidRPr="00485D41">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79FF"/>
    <w:rsid w:val="00057CF4"/>
    <w:rsid w:val="002C5319"/>
    <w:rsid w:val="007779FF"/>
  </w:rsids>
  <m:mathPr>
    <m:mathFont m:val="Cambria Math"/>
    <m:brkBin m:val="before"/>
    <m:brkBinSub m:val="--"/>
    <m:smallFrac m:val="0"/>
    <m:dispDef/>
    <m:lMargin m:val="0"/>
    <m:rMargin m:val="0"/>
    <m:defJc m:val="centerGroup"/>
    <m:wrapIndent m:val="1440"/>
    <m:intLim m:val="subSup"/>
    <m:naryLim m:val="undOvr"/>
  </m:mathPr>
  <w:themeFontLang w:val="en-BR"/>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BR"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779FF"/>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DDCA3DF-BB35-0A41-9006-249D9D0C091E}">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62687578&quot;:{&quot;referencesIds&quot;:[&quot;doc:6a4ce9067848653ad6526210&quot;],&quot;referencesOptions&quot;:{&quot;doc:6a4ce9067848653ad65262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687578,&quot;citationText&quot;:&quot;&lt;span style=\&quot;font-family:Times New Roman;font-size:16px;color:#000000\&quot;&gt;[1]&lt;/span&gt;&quot;},&quot;101856707&quot;:{&quot;referencesIds&quot;:[&quot;doc:6a4ce986c8cab82e2f4cd144&quot;],&quot;referencesOptions&quot;:{&quot;doc:6a4ce986c8cab82e2f4cd1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856707,&quot;citationText&quot;:&quot;&lt;span style=\&quot;font-family:Times New Roman;font-size:16px;color:#000000\&quot;&gt;[5]&lt;/span&gt;&quot;},&quot;104389919&quot;:{&quot;referencesIds&quot;:[&quot;doc:6a4ce9067848653ad6526210&quot;],&quot;referencesOptions&quot;:{&quot;doc:6a4ce9067848653ad65262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389919,&quot;citationText&quot;:&quot;&lt;span style=\&quot;font-family:Times New Roman;font-size:16px;color:#000000\&quot;&gt;[1]&lt;/span&gt;&quot;},&quot;865564724&quot;:{&quot;referencesIds&quot;:[&quot;doc:6a4cea53e934bc744cbff0fc&quot;],&quot;referencesOptions&quot;:{&quot;doc:6a4cea53e934bc744cbff0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5564724,&quot;citationText&quot;:&quot;&lt;span style=\&quot;font-family:Times New Roman;font-size:16px;color:#000000\&quot;&gt;[11]&lt;/span&gt;&quot;},&quot;960540442&quot;:{&quot;referencesIds&quot;:[&quot;doc:6a4cea0f7848653ad652621b&quot;],&quot;referencesOptions&quot;:{&quot;doc:6a4cea0f7848653ad65262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60540442,&quot;citationText&quot;:&quot;&lt;span style=\&quot;font-family:Times New Roman;font-size:16px;color:#000000\&quot;&gt;[8]&lt;/span&gt;&quot;},&quot;1018424559&quot;:{&quot;referencesIds&quot;:[&quot;doc:6a4ce9067848653ad6526210&quot;],&quot;referencesOptions&quot;:{&quot;doc:6a4ce9067848653ad65262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8424559,&quot;citationText&quot;:&quot;&lt;span style=\&quot;font-family:Times New Roman;font-size:16px;color:#000000\&quot;&gt;[1]&lt;/span&gt;&quot;},&quot;1759787715&quot;:{&quot;referencesIds&quot;:[&quot;doc:6a4cea2aecee0d18f4cefa57&quot;],&quot;referencesOptions&quot;:{&quot;doc:6a4cea2aecee0d18f4cefa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9787715,&quot;citationText&quot;:&quot;&lt;span style=\&quot;font-family:Times New Roman;font-size:16px;color:#000000\&quot;&gt;[10]&lt;/span&gt;&quot;},&quot;1815758705&quot;:{&quot;referencesIds&quot;:[&quot;doc:6a4ce9b9754d0c6d355fe4ba&quot;],&quot;referencesOptions&quot;:{&quot;doc:6a4ce9b9754d0c6d355fe4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5758705,&quot;citationText&quot;:&quot;&lt;span style=\&quot;font-family:Times New Roman;font-size:16px;color:#000000\&quot;&gt;[6]&lt;/span&gt;&quot;},&quot;2100130339&quot;:{&quot;referencesIds&quot;:[&quot;doc:6a4ce9f5f267343f1a111d8a&quot;],&quot;referencesOptions&quot;:{&quot;doc:6a4ce9f5f267343f1a111d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00130339,&quot;citationText&quot;:&quot;&lt;span style=\&quot;font-family:Times New Roman;font-size:16px;color:#000000\&quot;&gt;[7]&lt;/span&gt;&quot;},&quot;-2065011656&quot;:{&quot;referencesIds&quot;:[&quot;doc:6a4ce91ee934bc744cbff0ee&quot;],&quot;referencesOptions&quot;:{&quot;doc:6a4ce91ee934bc744cbff0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5011656,&quot;citationText&quot;:&quot;&lt;span style=\&quot;font-family:Times New Roman;font-size:16px;color:#000000\&quot;&gt;[2]&lt;/span&gt;&quot;},&quot;-270481095&quot;:{&quot;referencesIds&quot;:[&quot;doc:6a4ce92d2530730741dbea75&quot;],&quot;referencesOptions&quot;:{&quot;doc:6a4ce92d2530730741dbea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0481095,&quot;citationText&quot;:&quot;&lt;span style=\&quot;font-family:Times New Roman;font-size:16px;color:#000000\&quot;&gt;[3]&lt;/span&gt;&quot;},&quot;-1944836283&quot;:{&quot;referencesIds&quot;:[&quot;doc:6a4ce93d754d0c6d355fe4b7&quot;],&quot;referencesOptions&quot;:{&quot;doc:6a4ce93d754d0c6d355fe4b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4836283,&quot;citationText&quot;:&quot;&lt;span style=\&quot;font-family:Times New Roman;font-size:16px;color:#000000\&quot;&gt;[4]&lt;/span&gt;&quot;},&quot;-2058613913&quot;:{&quot;referencesIds&quot;:[&quot;doc:6a4ce9067848653ad6526210&quot;],&quot;referencesOptions&quot;:{&quot;doc:6a4ce9067848653ad65262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8613913,&quot;citationText&quot;:&quot;&lt;span style=\&quot;font-family:Times New Roman;font-size:16px;color:#000000\&quot;&gt;[1]&lt;/span&gt;&quot;},&quot;-2074649913&quot;:{&quot;referencesIds&quot;:[&quot;doc:6a4ce9f5f267343f1a111d8a&quot;],&quot;referencesOptions&quot;:{&quot;doc:6a4ce9f5f267343f1a111d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4649913,&quot;citationText&quot;:&quot;&lt;span style=\&quot;font-family:Times New Roman;font-size:16px;color:#000000\&quot;&gt;[7]&lt;/span&gt;&quot;},&quot;-1691138014&quot;:{&quot;referencesIds&quot;:[&quot;doc:6a4ce92d2530730741dbea75&quot;],&quot;referencesOptions&quot;:{&quot;doc:6a4ce92d2530730741dbea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1138014,&quot;citationText&quot;:&quot;&lt;span style=\&quot;font-family:Times New Roman;font-size:16px;color:#000000\&quot;&gt;[3]&lt;/span&gt;&quot;},&quot;-734857929&quot;:{&quot;referencesIds&quot;:[&quot;doc:6a4cea1ef267343f1a111d8f&quot;],&quot;referencesOptions&quot;:{&quot;doc:6a4cea1ef267343f1a111d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4857929,&quot;citationText&quot;:&quot;&lt;span style=\&quot;font-family:Times New Roman;font-size:16px;color:#000000\&quot;&gt;[9]&lt;/span&gt;&quot;},&quot;-669794669&quot;:{&quot;referencesIds&quot;:[&quot;doc:6a4ce93d754d0c6d355fe4b7&quot;],&quot;referencesOptions&quot;:{&quot;doc:6a4ce93d754d0c6d355fe4b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9794669,&quot;citationText&quot;:&quot;&lt;span style=\&quot;font-family:Times New Roman;font-size:16px;color:#000000\&quot;&gt;[4]&lt;/span&gt;&quot;}}"/>
    <we:property name="currentFolder" value="{&quot;id&quot;:&quot;project:6a4ce5dca54071785d125413&quot;,&quot;userId&quot;:&quot;user:69395a59470e8b6ab52fd897&quot;,&quot;projectId&quot;:&quot;ap:69395a59470e8b6ab52fd898&quot;,&quot;name&quot;:&quot;Digital Forensics&quot;,&quot;created&quot;:1783424476789,&quot;lastModified&quot;:1783424476789,&quot;position&quot;:4,&quot;isShared&quot;:false,&quot;isExampleCollection&quot;:false,&quot;isMyPublicationsCollection&quot;:false,&quot;notInFolder&quot;:false,&quot;isFavorite&quot;:true,&quot;totalReferences&quot;:11,&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rw.subscriberId" value="&quot;0&quot;"/>
    <we:property name="rw.userId" value="&quot;user:69395a59470e8b6ab52fd897&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146</TotalTime>
  <Pages>7</Pages>
  <Words>1651</Words>
  <Characters>9413</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Gabriel Aragão (2405655)</cp:lastModifiedBy>
  <cp:revision>17</cp:revision>
  <dcterms:created xsi:type="dcterms:W3CDTF">2026-07-06T21:09:00Z</dcterms:created>
  <dcterms:modified xsi:type="dcterms:W3CDTF">2026-07-07T13:21:00Z</dcterms:modified>
</cp:coreProperties>
</file>