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ajorEastAsia" w:hAnsi="Times New Roman" w:cs="Times New Roman"/>
          <w:sz w:val="24"/>
          <w:szCs w:val="24"/>
          <w:lang w:val="en-GB" w:eastAsia="en-US"/>
        </w:rPr>
        <w:id w:val="-961185492"/>
        <w:docPartObj>
          <w:docPartGallery w:val="Cover Pages"/>
          <w:docPartUnique/>
        </w:docPartObj>
      </w:sdtPr>
      <w:sdtEndPr>
        <w:rPr>
          <w:rFonts w:eastAsiaTheme="minorHAnsi"/>
        </w:rPr>
      </w:sdtEndPr>
      <w:sdtContent>
        <w:p w14:paraId="6522B1F9" w14:textId="55C2AACB" w:rsidR="004C6497" w:rsidRDefault="00576299" w:rsidP="00487D9B">
          <w:pPr>
            <w:pStyle w:val="NoSpacing"/>
            <w:spacing w:line="480" w:lineRule="auto"/>
            <w:rPr>
              <w:rFonts w:ascii="Times New Roman" w:eastAsiaTheme="majorEastAsia" w:hAnsi="Times New Roman" w:cs="Times New Roman"/>
              <w:sz w:val="24"/>
              <w:szCs w:val="24"/>
              <w:lang w:val="en-GB" w:eastAsia="en-US"/>
            </w:rPr>
          </w:pPr>
          <w:r>
            <w:rPr>
              <w:rFonts w:ascii="Times New Roman" w:eastAsiaTheme="majorEastAsia" w:hAnsi="Times New Roman" w:cs="Times New Roman"/>
              <w:sz w:val="24"/>
              <w:szCs w:val="24"/>
              <w:lang w:val="en-GB" w:eastAsia="en-US"/>
            </w:rPr>
            <w:t xml:space="preserve">Student </w:t>
          </w:r>
          <w:proofErr w:type="gramStart"/>
          <w:r>
            <w:rPr>
              <w:rFonts w:ascii="Times New Roman" w:eastAsiaTheme="majorEastAsia" w:hAnsi="Times New Roman" w:cs="Times New Roman"/>
              <w:sz w:val="24"/>
              <w:szCs w:val="24"/>
              <w:lang w:val="en-GB" w:eastAsia="en-US"/>
            </w:rPr>
            <w:t>Name :Richard</w:t>
          </w:r>
          <w:proofErr w:type="gramEnd"/>
          <w:r>
            <w:rPr>
              <w:rFonts w:ascii="Times New Roman" w:eastAsiaTheme="majorEastAsia" w:hAnsi="Times New Roman" w:cs="Times New Roman"/>
              <w:sz w:val="24"/>
              <w:szCs w:val="24"/>
              <w:lang w:val="en-GB" w:eastAsia="en-US"/>
            </w:rPr>
            <w:t xml:space="preserve"> </w:t>
          </w:r>
          <w:proofErr w:type="spellStart"/>
          <w:r>
            <w:rPr>
              <w:rFonts w:ascii="Times New Roman" w:eastAsiaTheme="majorEastAsia" w:hAnsi="Times New Roman" w:cs="Times New Roman"/>
              <w:sz w:val="24"/>
              <w:szCs w:val="24"/>
              <w:lang w:val="en-GB" w:eastAsia="en-US"/>
            </w:rPr>
            <w:t>Nganga</w:t>
          </w:r>
          <w:proofErr w:type="spellEnd"/>
          <w:r>
            <w:rPr>
              <w:rFonts w:ascii="Times New Roman" w:eastAsiaTheme="majorEastAsia" w:hAnsi="Times New Roman" w:cs="Times New Roman"/>
              <w:sz w:val="24"/>
              <w:szCs w:val="24"/>
              <w:lang w:val="en-GB" w:eastAsia="en-US"/>
            </w:rPr>
            <w:t xml:space="preserve"> Yembi </w:t>
          </w:r>
        </w:p>
        <w:p w14:paraId="281F15AC" w14:textId="4FF5BF0C" w:rsidR="00576299" w:rsidRDefault="00576299" w:rsidP="00487D9B">
          <w:pPr>
            <w:pStyle w:val="NoSpacing"/>
            <w:spacing w:line="480" w:lineRule="auto"/>
            <w:rPr>
              <w:rFonts w:ascii="Times New Roman" w:eastAsiaTheme="majorEastAsia" w:hAnsi="Times New Roman" w:cs="Times New Roman"/>
              <w:sz w:val="24"/>
              <w:szCs w:val="24"/>
              <w:lang w:val="en-GB" w:eastAsia="en-US"/>
            </w:rPr>
          </w:pPr>
          <w:r>
            <w:rPr>
              <w:rFonts w:ascii="Times New Roman" w:eastAsiaTheme="majorEastAsia" w:hAnsi="Times New Roman" w:cs="Times New Roman"/>
              <w:sz w:val="24"/>
              <w:szCs w:val="24"/>
              <w:lang w:val="en-GB" w:eastAsia="en-US"/>
            </w:rPr>
            <w:t xml:space="preserve">Student ID :1817242 </w:t>
          </w:r>
        </w:p>
        <w:p w14:paraId="21AF1E55" w14:textId="0A36B9FD" w:rsidR="00576299" w:rsidRDefault="00576299" w:rsidP="00487D9B">
          <w:pPr>
            <w:pStyle w:val="NoSpacing"/>
            <w:spacing w:line="480" w:lineRule="auto"/>
            <w:rPr>
              <w:rFonts w:ascii="Times New Roman" w:eastAsiaTheme="majorEastAsia" w:hAnsi="Times New Roman" w:cs="Times New Roman"/>
              <w:sz w:val="24"/>
              <w:szCs w:val="24"/>
              <w:lang w:val="en-GB" w:eastAsia="en-US"/>
            </w:rPr>
          </w:pPr>
          <w:r>
            <w:rPr>
              <w:rFonts w:ascii="Times New Roman" w:eastAsiaTheme="majorEastAsia" w:hAnsi="Times New Roman" w:cs="Times New Roman"/>
              <w:sz w:val="24"/>
              <w:szCs w:val="24"/>
              <w:lang w:val="en-GB" w:eastAsia="en-US"/>
            </w:rPr>
            <w:t xml:space="preserve">Module </w:t>
          </w:r>
          <w:proofErr w:type="gramStart"/>
          <w:r>
            <w:rPr>
              <w:rFonts w:ascii="Times New Roman" w:eastAsiaTheme="majorEastAsia" w:hAnsi="Times New Roman" w:cs="Times New Roman"/>
              <w:sz w:val="24"/>
              <w:szCs w:val="24"/>
              <w:lang w:val="en-GB" w:eastAsia="en-US"/>
            </w:rPr>
            <w:t>code :</w:t>
          </w:r>
          <w:proofErr w:type="gramEnd"/>
          <w:r>
            <w:rPr>
              <w:rFonts w:ascii="Times New Roman" w:eastAsiaTheme="majorEastAsia" w:hAnsi="Times New Roman" w:cs="Times New Roman"/>
              <w:sz w:val="24"/>
              <w:szCs w:val="24"/>
              <w:lang w:val="en-GB" w:eastAsia="en-US"/>
            </w:rPr>
            <w:t xml:space="preserve"> BMSW5105 </w:t>
          </w:r>
        </w:p>
        <w:p w14:paraId="7089C4C0" w14:textId="2E959885" w:rsidR="00576299" w:rsidRPr="001A62EA" w:rsidRDefault="00576299" w:rsidP="00487D9B">
          <w:pPr>
            <w:pStyle w:val="NoSpacing"/>
            <w:spacing w:line="480" w:lineRule="auto"/>
            <w:rPr>
              <w:rFonts w:ascii="Times New Roman" w:eastAsiaTheme="majorEastAsia" w:hAnsi="Times New Roman" w:cs="Times New Roman"/>
              <w:sz w:val="24"/>
              <w:szCs w:val="24"/>
              <w:lang w:val="en-GB" w:eastAsia="en-US"/>
            </w:rPr>
          </w:pPr>
          <w:proofErr w:type="spellStart"/>
          <w:r>
            <w:rPr>
              <w:rFonts w:ascii="Times New Roman" w:eastAsiaTheme="majorEastAsia" w:hAnsi="Times New Roman" w:cs="Times New Roman"/>
              <w:sz w:val="24"/>
              <w:szCs w:val="24"/>
              <w:lang w:val="en-GB" w:eastAsia="en-US"/>
            </w:rPr>
            <w:t>Moduke</w:t>
          </w:r>
          <w:proofErr w:type="spellEnd"/>
          <w:r>
            <w:rPr>
              <w:rFonts w:ascii="Times New Roman" w:eastAsiaTheme="majorEastAsia" w:hAnsi="Times New Roman" w:cs="Times New Roman"/>
              <w:sz w:val="24"/>
              <w:szCs w:val="24"/>
              <w:lang w:val="en-GB" w:eastAsia="en-US"/>
            </w:rPr>
            <w:t xml:space="preserve"> </w:t>
          </w:r>
          <w:proofErr w:type="gramStart"/>
          <w:r>
            <w:rPr>
              <w:rFonts w:ascii="Times New Roman" w:eastAsiaTheme="majorEastAsia" w:hAnsi="Times New Roman" w:cs="Times New Roman"/>
              <w:sz w:val="24"/>
              <w:szCs w:val="24"/>
              <w:lang w:val="en-GB" w:eastAsia="en-US"/>
            </w:rPr>
            <w:t>name :</w:t>
          </w:r>
          <w:proofErr w:type="gramEnd"/>
          <w:r>
            <w:rPr>
              <w:rFonts w:ascii="Times New Roman" w:eastAsiaTheme="majorEastAsia" w:hAnsi="Times New Roman" w:cs="Times New Roman"/>
              <w:sz w:val="24"/>
              <w:szCs w:val="24"/>
              <w:lang w:val="en-GB" w:eastAsia="en-US"/>
            </w:rPr>
            <w:t xml:space="preserve"> workplace culture and </w:t>
          </w:r>
          <w:proofErr w:type="spellStart"/>
          <w:r>
            <w:rPr>
              <w:rFonts w:ascii="Times New Roman" w:eastAsiaTheme="majorEastAsia" w:hAnsi="Times New Roman" w:cs="Times New Roman"/>
              <w:sz w:val="24"/>
              <w:szCs w:val="24"/>
              <w:lang w:val="en-GB" w:eastAsia="en-US"/>
            </w:rPr>
            <w:t>ots</w:t>
          </w:r>
          <w:proofErr w:type="spellEnd"/>
          <w:r>
            <w:rPr>
              <w:rFonts w:ascii="Times New Roman" w:eastAsiaTheme="majorEastAsia" w:hAnsi="Times New Roman" w:cs="Times New Roman"/>
              <w:sz w:val="24"/>
              <w:szCs w:val="24"/>
              <w:lang w:val="en-GB" w:eastAsia="en-US"/>
            </w:rPr>
            <w:t xml:space="preserve"> impact on organisational efficiency </w:t>
          </w:r>
        </w:p>
        <w:p w14:paraId="7F129257" w14:textId="77777777" w:rsidR="00757B19" w:rsidRPr="001A62EA" w:rsidRDefault="00757B19" w:rsidP="00487D9B">
          <w:pPr>
            <w:pStyle w:val="NoSpacing"/>
            <w:spacing w:line="480" w:lineRule="auto"/>
            <w:rPr>
              <w:rFonts w:ascii="Times New Roman" w:eastAsiaTheme="majorEastAsia" w:hAnsi="Times New Roman" w:cs="Times New Roman"/>
              <w:sz w:val="24"/>
              <w:szCs w:val="24"/>
              <w:lang w:val="en-GB" w:eastAsia="en-US"/>
            </w:rPr>
          </w:pPr>
        </w:p>
        <w:p w14:paraId="06852199" w14:textId="77777777" w:rsidR="00757B19" w:rsidRPr="001A62EA" w:rsidRDefault="00757B19" w:rsidP="00487D9B">
          <w:pPr>
            <w:pStyle w:val="NoSpacing"/>
            <w:spacing w:line="480" w:lineRule="auto"/>
            <w:rPr>
              <w:rFonts w:ascii="Times New Roman" w:eastAsiaTheme="majorEastAsia" w:hAnsi="Times New Roman" w:cs="Times New Roman"/>
              <w:sz w:val="24"/>
              <w:szCs w:val="24"/>
              <w:lang w:val="en-GB" w:eastAsia="en-US"/>
            </w:rPr>
          </w:pPr>
        </w:p>
        <w:p w14:paraId="3C66A627" w14:textId="77777777" w:rsidR="00757B19" w:rsidRPr="001A62EA" w:rsidRDefault="00757B19" w:rsidP="00487D9B">
          <w:pPr>
            <w:pStyle w:val="NoSpacing"/>
            <w:spacing w:line="480" w:lineRule="auto"/>
            <w:rPr>
              <w:rFonts w:ascii="Times New Roman" w:eastAsiaTheme="majorEastAsia" w:hAnsi="Times New Roman" w:cs="Times New Roman"/>
              <w:sz w:val="24"/>
              <w:szCs w:val="24"/>
              <w:lang w:val="en-GB" w:eastAsia="en-US"/>
            </w:rPr>
          </w:pPr>
        </w:p>
        <w:p w14:paraId="4900E927" w14:textId="77777777" w:rsidR="0054564C" w:rsidRPr="001A62EA" w:rsidRDefault="0054564C" w:rsidP="00487D9B">
          <w:pPr>
            <w:pStyle w:val="NoSpacing"/>
            <w:spacing w:line="480" w:lineRule="auto"/>
            <w:rPr>
              <w:rFonts w:ascii="Times New Roman" w:eastAsiaTheme="majorEastAsia" w:hAnsi="Times New Roman" w:cs="Times New Roman"/>
              <w:sz w:val="24"/>
              <w:szCs w:val="24"/>
              <w:lang w:val="en-GB" w:eastAsia="en-US"/>
            </w:rPr>
          </w:pPr>
        </w:p>
        <w:p w14:paraId="42FD65D8" w14:textId="77777777" w:rsidR="0054564C" w:rsidRPr="001A62EA" w:rsidRDefault="0054564C" w:rsidP="00487D9B">
          <w:pPr>
            <w:pStyle w:val="NoSpacing"/>
            <w:spacing w:line="480" w:lineRule="auto"/>
            <w:rPr>
              <w:rFonts w:ascii="Times New Roman" w:eastAsiaTheme="majorEastAsia" w:hAnsi="Times New Roman" w:cs="Times New Roman"/>
              <w:sz w:val="24"/>
              <w:szCs w:val="24"/>
              <w:lang w:val="en-GB" w:eastAsia="en-US"/>
            </w:rPr>
          </w:pPr>
        </w:p>
        <w:p w14:paraId="0E38DFCC" w14:textId="77777777" w:rsidR="0054564C" w:rsidRPr="001A62EA" w:rsidRDefault="0054564C" w:rsidP="00487D9B">
          <w:pPr>
            <w:pStyle w:val="NoSpacing"/>
            <w:spacing w:line="480" w:lineRule="auto"/>
            <w:rPr>
              <w:rFonts w:ascii="Times New Roman" w:eastAsiaTheme="majorEastAsia" w:hAnsi="Times New Roman" w:cs="Times New Roman"/>
              <w:sz w:val="24"/>
              <w:szCs w:val="24"/>
              <w:lang w:val="en-GB" w:eastAsia="en-US"/>
            </w:rPr>
          </w:pPr>
        </w:p>
        <w:p w14:paraId="36EE3DCC" w14:textId="77777777" w:rsidR="0054564C" w:rsidRPr="001A62EA" w:rsidRDefault="0054564C" w:rsidP="00487D9B">
          <w:pPr>
            <w:pStyle w:val="NoSpacing"/>
            <w:spacing w:line="480" w:lineRule="auto"/>
            <w:rPr>
              <w:rFonts w:ascii="Times New Roman" w:eastAsiaTheme="majorEastAsia" w:hAnsi="Times New Roman" w:cs="Times New Roman"/>
              <w:sz w:val="24"/>
              <w:szCs w:val="24"/>
              <w:lang w:val="en-GB" w:eastAsia="en-US"/>
            </w:rPr>
          </w:pPr>
        </w:p>
        <w:p w14:paraId="6CC586C9" w14:textId="77777777" w:rsidR="00757B19" w:rsidRPr="001A62EA" w:rsidRDefault="00757B19" w:rsidP="00487D9B">
          <w:pPr>
            <w:pStyle w:val="NoSpacing"/>
            <w:spacing w:line="480" w:lineRule="auto"/>
            <w:rPr>
              <w:rFonts w:ascii="Times New Roman" w:eastAsiaTheme="majorEastAsia" w:hAnsi="Times New Roman" w:cs="Times New Roman"/>
              <w:b/>
              <w:sz w:val="24"/>
              <w:szCs w:val="24"/>
              <w:lang w:val="en-GB"/>
            </w:rPr>
          </w:pPr>
        </w:p>
        <w:p w14:paraId="70D0B864" w14:textId="77777777" w:rsidR="0054564C" w:rsidRPr="001A62EA" w:rsidRDefault="005B4C59" w:rsidP="00487D9B">
          <w:pPr>
            <w:pStyle w:val="NoSpacing"/>
            <w:spacing w:line="480" w:lineRule="auto"/>
            <w:jc w:val="center"/>
            <w:rPr>
              <w:rFonts w:ascii="Times New Roman" w:hAnsi="Times New Roman" w:cs="Times New Roman"/>
              <w:sz w:val="24"/>
              <w:szCs w:val="24"/>
              <w:lang w:val="en-GB"/>
            </w:rPr>
          </w:pPr>
          <w:r w:rsidRPr="001A62EA">
            <w:rPr>
              <w:rFonts w:ascii="Times New Roman" w:hAnsi="Times New Roman" w:cs="Times New Roman"/>
              <w:sz w:val="24"/>
              <w:szCs w:val="24"/>
              <w:lang w:val="en-GB"/>
            </w:rPr>
            <w:t>“How do broader external environmental factors along with COVID-19 affect organizational culture and its performance?”</w:t>
          </w:r>
        </w:p>
        <w:p w14:paraId="123EB969" w14:textId="77777777" w:rsidR="004C6497" w:rsidRPr="001A62EA" w:rsidRDefault="005B4C59" w:rsidP="00487D9B">
          <w:pPr>
            <w:pStyle w:val="NoSpacing"/>
            <w:spacing w:line="480" w:lineRule="auto"/>
            <w:jc w:val="center"/>
            <w:rPr>
              <w:rFonts w:ascii="Times New Roman" w:hAnsi="Times New Roman" w:cs="Times New Roman"/>
              <w:sz w:val="24"/>
              <w:szCs w:val="24"/>
              <w:lang w:val="en-GB"/>
            </w:rPr>
          </w:pPr>
          <w:r w:rsidRPr="001A62EA">
            <w:rPr>
              <w:rFonts w:ascii="Times New Roman" w:hAnsi="Times New Roman" w:cs="Times New Roman"/>
              <w:sz w:val="24"/>
              <w:szCs w:val="24"/>
              <w:lang w:val="en-GB"/>
            </w:rPr>
            <w:t>[Name of the Writer]</w:t>
          </w:r>
        </w:p>
        <w:p w14:paraId="0B5BA5F9" w14:textId="77777777" w:rsidR="0054564C" w:rsidRPr="001A62EA" w:rsidRDefault="005B4C59" w:rsidP="00487D9B">
          <w:pPr>
            <w:pStyle w:val="NoSpacing"/>
            <w:spacing w:line="480" w:lineRule="auto"/>
            <w:jc w:val="center"/>
            <w:rPr>
              <w:rFonts w:ascii="Times New Roman" w:hAnsi="Times New Roman" w:cs="Times New Roman"/>
              <w:sz w:val="24"/>
              <w:szCs w:val="24"/>
              <w:lang w:val="en-GB"/>
            </w:rPr>
          </w:pPr>
          <w:r w:rsidRPr="001A62EA">
            <w:rPr>
              <w:rFonts w:ascii="Times New Roman" w:hAnsi="Times New Roman" w:cs="Times New Roman"/>
              <w:sz w:val="24"/>
              <w:szCs w:val="24"/>
              <w:lang w:val="en-GB"/>
            </w:rPr>
            <w:t>[Name of the Institution]</w:t>
          </w:r>
        </w:p>
        <w:p w14:paraId="55FAF71B" w14:textId="77777777" w:rsidR="004C6497" w:rsidRPr="001A62EA" w:rsidRDefault="005B4C59" w:rsidP="00487D9B">
          <w:pPr>
            <w:pStyle w:val="NoSpacing"/>
            <w:spacing w:line="480" w:lineRule="auto"/>
            <w:jc w:val="center"/>
            <w:rPr>
              <w:rFonts w:ascii="Times New Roman" w:hAnsi="Times New Roman" w:cs="Times New Roman"/>
              <w:sz w:val="24"/>
              <w:szCs w:val="24"/>
              <w:lang w:val="en-GB"/>
            </w:rPr>
          </w:pPr>
          <w:r w:rsidRPr="001A62EA">
            <w:rPr>
              <w:rFonts w:ascii="Times New Roman" w:hAnsi="Times New Roman" w:cs="Times New Roman"/>
              <w:sz w:val="24"/>
              <w:szCs w:val="24"/>
              <w:lang w:val="en-GB"/>
            </w:rPr>
            <w:t>[Date]</w:t>
          </w:r>
        </w:p>
        <w:p w14:paraId="17E6A2C0" w14:textId="77777777" w:rsidR="004C6497" w:rsidRPr="001A62EA" w:rsidRDefault="007439AC" w:rsidP="00487D9B">
          <w:pPr>
            <w:spacing w:after="0"/>
            <w:jc w:val="both"/>
            <w:rPr>
              <w:rFonts w:cs="Times New Roman"/>
              <w:szCs w:val="24"/>
              <w:lang w:val="en-GB"/>
            </w:rPr>
          </w:pPr>
        </w:p>
      </w:sdtContent>
    </w:sdt>
    <w:p w14:paraId="05FE4E5C" w14:textId="77777777" w:rsidR="0054564C" w:rsidRPr="001A62EA" w:rsidRDefault="005B4C59" w:rsidP="00487D9B">
      <w:pPr>
        <w:spacing w:after="0"/>
        <w:rPr>
          <w:rFonts w:eastAsia="Times New Roman" w:cs="Times New Roman"/>
          <w:bCs/>
          <w:kern w:val="32"/>
          <w:szCs w:val="24"/>
          <w:lang w:val="en-GB" w:eastAsia="zh-CN"/>
        </w:rPr>
      </w:pPr>
      <w:bookmarkStart w:id="0" w:name="_Toc38552402"/>
      <w:r w:rsidRPr="001A62EA">
        <w:rPr>
          <w:rFonts w:eastAsia="Times New Roman" w:cs="Times New Roman"/>
          <w:bCs/>
          <w:kern w:val="32"/>
          <w:szCs w:val="24"/>
          <w:lang w:val="en-GB" w:eastAsia="zh-CN"/>
        </w:rPr>
        <w:br w:type="page"/>
      </w:r>
    </w:p>
    <w:p w14:paraId="0810D227" w14:textId="77777777" w:rsidR="00DC4D4D" w:rsidRPr="001A62EA" w:rsidRDefault="005B4C59" w:rsidP="00930D75">
      <w:pPr>
        <w:pStyle w:val="Heading1"/>
        <w:spacing w:before="0"/>
        <w:jc w:val="center"/>
        <w:rPr>
          <w:rFonts w:eastAsia="Times New Roman" w:cs="Times New Roman"/>
          <w:i w:val="0"/>
          <w:color w:val="auto"/>
          <w:szCs w:val="24"/>
          <w:lang w:val="en-GB" w:eastAsia="zh-CN"/>
        </w:rPr>
      </w:pPr>
      <w:bookmarkStart w:id="1" w:name="_Toc60697861"/>
      <w:r w:rsidRPr="001A62EA">
        <w:rPr>
          <w:rFonts w:eastAsia="Times New Roman" w:cs="Times New Roman"/>
          <w:i w:val="0"/>
          <w:color w:val="auto"/>
          <w:szCs w:val="24"/>
          <w:lang w:val="en-GB" w:eastAsia="zh-CN"/>
        </w:rPr>
        <w:lastRenderedPageBreak/>
        <w:t>Executive Summary</w:t>
      </w:r>
      <w:bookmarkEnd w:id="0"/>
      <w:bookmarkEnd w:id="1"/>
    </w:p>
    <w:p w14:paraId="085AD486" w14:textId="77777777" w:rsidR="00DC4D4D" w:rsidRPr="001A62EA" w:rsidRDefault="005B4C59" w:rsidP="00487D9B">
      <w:pPr>
        <w:spacing w:after="0"/>
        <w:jc w:val="both"/>
        <w:rPr>
          <w:rFonts w:cs="Times New Roman"/>
          <w:szCs w:val="24"/>
          <w:lang w:val="en-GB"/>
        </w:rPr>
      </w:pPr>
      <w:r w:rsidRPr="001A62EA">
        <w:rPr>
          <w:rFonts w:eastAsia="SimSun" w:cs="Times New Roman"/>
          <w:szCs w:val="24"/>
          <w:lang w:val="en-GB" w:eastAsia="zh-CN"/>
        </w:rPr>
        <w:t xml:space="preserve">The research </w:t>
      </w:r>
      <w:r w:rsidR="004D5455" w:rsidRPr="001A62EA">
        <w:rPr>
          <w:rFonts w:eastAsia="SimSun" w:cs="Times New Roman"/>
          <w:szCs w:val="24"/>
          <w:lang w:val="en-GB" w:eastAsia="zh-CN"/>
        </w:rPr>
        <w:t>report critically discusses</w:t>
      </w:r>
      <w:r w:rsidRPr="001A62EA">
        <w:rPr>
          <w:rFonts w:eastAsia="SimSun" w:cs="Times New Roman"/>
          <w:szCs w:val="24"/>
          <w:lang w:val="en-GB" w:eastAsia="zh-CN"/>
        </w:rPr>
        <w:t xml:space="preserve"> Unilever’s workplace culture and its impact on organizational performance. The first section covers </w:t>
      </w:r>
      <w:r w:rsidRPr="001A62EA">
        <w:rPr>
          <w:rFonts w:cs="Times New Roman"/>
          <w:szCs w:val="24"/>
          <w:lang w:val="en-GB"/>
        </w:rPr>
        <w:t xml:space="preserve">key management </w:t>
      </w:r>
      <w:r w:rsidR="004D5455" w:rsidRPr="001A62EA">
        <w:rPr>
          <w:rFonts w:cs="Times New Roman"/>
          <w:szCs w:val="24"/>
          <w:lang w:val="en-GB"/>
        </w:rPr>
        <w:t xml:space="preserve">theories, models, methods or </w:t>
      </w:r>
      <w:r w:rsidRPr="001A62EA">
        <w:rPr>
          <w:rFonts w:cs="Times New Roman"/>
          <w:szCs w:val="24"/>
          <w:lang w:val="en-GB"/>
        </w:rPr>
        <w:t xml:space="preserve">environmental scanning tools </w:t>
      </w:r>
      <w:r w:rsidR="004D5455" w:rsidRPr="001A62EA">
        <w:rPr>
          <w:rFonts w:cs="Times New Roman"/>
          <w:szCs w:val="24"/>
          <w:lang w:val="en-GB"/>
        </w:rPr>
        <w:t xml:space="preserve">will also be evaluated. The second section covers environmental scanning tool such as PESTLE and SWOT analysis framework also provide a critical evaluation of the broader environment in which the organization </w:t>
      </w:r>
      <w:r w:rsidR="00E33F3D" w:rsidRPr="001A62EA">
        <w:rPr>
          <w:rFonts w:cs="Times New Roman"/>
          <w:szCs w:val="24"/>
          <w:lang w:val="en-GB"/>
        </w:rPr>
        <w:t>activities</w:t>
      </w:r>
      <w:r w:rsidR="004D5455" w:rsidRPr="001A62EA">
        <w:rPr>
          <w:rFonts w:cs="Times New Roman"/>
          <w:szCs w:val="24"/>
          <w:lang w:val="en-GB"/>
        </w:rPr>
        <w:t xml:space="preserve"> and its </w:t>
      </w:r>
      <w:r w:rsidR="00E33F3D" w:rsidRPr="001A62EA">
        <w:rPr>
          <w:rFonts w:cs="Times New Roman"/>
          <w:szCs w:val="24"/>
          <w:lang w:val="en-GB"/>
        </w:rPr>
        <w:t>influence</w:t>
      </w:r>
      <w:r w:rsidR="004D5455" w:rsidRPr="001A62EA">
        <w:rPr>
          <w:rFonts w:cs="Times New Roman"/>
          <w:szCs w:val="24"/>
          <w:lang w:val="en-GB"/>
        </w:rPr>
        <w:t xml:space="preserve"> on organizations performance</w:t>
      </w:r>
      <w:r w:rsidR="00E72A4C" w:rsidRPr="001A62EA">
        <w:rPr>
          <w:rFonts w:cs="Times New Roman"/>
          <w:szCs w:val="24"/>
          <w:lang w:val="en-GB"/>
        </w:rPr>
        <w:t xml:space="preserve"> culture</w:t>
      </w:r>
      <w:r w:rsidR="004D5455" w:rsidRPr="001A62EA">
        <w:rPr>
          <w:rFonts w:cs="Times New Roman"/>
          <w:szCs w:val="24"/>
          <w:lang w:val="en-GB"/>
        </w:rPr>
        <w:t xml:space="preserve">. Finally, </w:t>
      </w:r>
      <w:r w:rsidR="00DA3153" w:rsidRPr="001A62EA">
        <w:rPr>
          <w:rFonts w:cs="Times New Roman"/>
          <w:szCs w:val="24"/>
          <w:lang w:val="en-GB"/>
        </w:rPr>
        <w:t>current</w:t>
      </w:r>
      <w:r w:rsidR="004D5455" w:rsidRPr="001A62EA">
        <w:rPr>
          <w:rFonts w:cs="Times New Roman"/>
          <w:szCs w:val="24"/>
          <w:lang w:val="en-GB"/>
        </w:rPr>
        <w:t xml:space="preserve"> ethical </w:t>
      </w:r>
      <w:r w:rsidR="00DA3153" w:rsidRPr="001A62EA">
        <w:rPr>
          <w:rFonts w:cs="Times New Roman"/>
          <w:szCs w:val="24"/>
          <w:lang w:val="en-GB"/>
        </w:rPr>
        <w:t xml:space="preserve">and cultural </w:t>
      </w:r>
      <w:r w:rsidR="004D5455" w:rsidRPr="001A62EA">
        <w:rPr>
          <w:rFonts w:cs="Times New Roman"/>
          <w:szCs w:val="24"/>
          <w:lang w:val="en-GB"/>
        </w:rPr>
        <w:t xml:space="preserve">standards and the </w:t>
      </w:r>
      <w:r w:rsidR="00DA3153" w:rsidRPr="001A62EA">
        <w:rPr>
          <w:rFonts w:cs="Times New Roman"/>
          <w:szCs w:val="24"/>
          <w:lang w:val="en-GB"/>
        </w:rPr>
        <w:t xml:space="preserve">standards of </w:t>
      </w:r>
      <w:r w:rsidR="004D5455" w:rsidRPr="001A62EA">
        <w:rPr>
          <w:rFonts w:cs="Times New Roman"/>
          <w:szCs w:val="24"/>
          <w:lang w:val="en-GB"/>
        </w:rPr>
        <w:t xml:space="preserve">personal ethical, beliefs </w:t>
      </w:r>
      <w:r w:rsidR="00DA3153" w:rsidRPr="001A62EA">
        <w:rPr>
          <w:rFonts w:cs="Times New Roman"/>
          <w:szCs w:val="24"/>
          <w:lang w:val="en-GB"/>
        </w:rPr>
        <w:t xml:space="preserve">and values </w:t>
      </w:r>
      <w:r w:rsidR="004D5455" w:rsidRPr="001A62EA">
        <w:rPr>
          <w:rFonts w:cs="Times New Roman"/>
          <w:szCs w:val="24"/>
          <w:lang w:val="en-GB"/>
        </w:rPr>
        <w:t xml:space="preserve">of most employees are sustainable and </w:t>
      </w:r>
      <w:r w:rsidR="005B0BDD" w:rsidRPr="001A62EA">
        <w:rPr>
          <w:rFonts w:cs="Times New Roman"/>
          <w:szCs w:val="24"/>
          <w:lang w:val="en-GB"/>
        </w:rPr>
        <w:t>could support</w:t>
      </w:r>
      <w:r w:rsidR="004D5455" w:rsidRPr="001A62EA">
        <w:rPr>
          <w:rFonts w:cs="Times New Roman"/>
          <w:szCs w:val="24"/>
          <w:lang w:val="en-GB"/>
        </w:rPr>
        <w:t xml:space="preserve"> the organization to achieve its </w:t>
      </w:r>
      <w:r w:rsidR="004E0220" w:rsidRPr="001A62EA">
        <w:rPr>
          <w:rFonts w:cs="Times New Roman"/>
          <w:szCs w:val="24"/>
          <w:lang w:val="en-GB"/>
        </w:rPr>
        <w:t>organisation</w:t>
      </w:r>
      <w:r w:rsidR="004D5455" w:rsidRPr="001A62EA">
        <w:rPr>
          <w:rFonts w:cs="Times New Roman"/>
          <w:szCs w:val="24"/>
          <w:lang w:val="en-GB"/>
        </w:rPr>
        <w:t xml:space="preserve"> objectives and social </w:t>
      </w:r>
      <w:r w:rsidR="008D2C4C" w:rsidRPr="001A62EA">
        <w:rPr>
          <w:rFonts w:cs="Times New Roman"/>
          <w:szCs w:val="24"/>
          <w:lang w:val="en-GB"/>
        </w:rPr>
        <w:t>accountabilities</w:t>
      </w:r>
      <w:r w:rsidR="004D5455" w:rsidRPr="001A62EA">
        <w:rPr>
          <w:rFonts w:cs="Times New Roman"/>
          <w:szCs w:val="24"/>
          <w:lang w:val="en-GB"/>
        </w:rPr>
        <w:t xml:space="preserve"> also discussed.</w:t>
      </w:r>
    </w:p>
    <w:p w14:paraId="1F97CE8E" w14:textId="77777777" w:rsidR="00DC4D4D" w:rsidRPr="001A62EA" w:rsidRDefault="00DC4D4D" w:rsidP="00487D9B">
      <w:pPr>
        <w:spacing w:after="0"/>
        <w:jc w:val="both"/>
        <w:rPr>
          <w:rFonts w:eastAsia="SimSun" w:cs="Times New Roman"/>
          <w:szCs w:val="24"/>
          <w:lang w:val="en-GB" w:eastAsia="zh-CN"/>
        </w:rPr>
      </w:pPr>
    </w:p>
    <w:p w14:paraId="1DDBE811" w14:textId="77777777" w:rsidR="005F5ABA" w:rsidRPr="001A62EA" w:rsidRDefault="005F5ABA" w:rsidP="00487D9B">
      <w:pPr>
        <w:spacing w:after="0"/>
        <w:rPr>
          <w:rFonts w:cs="Times New Roman"/>
          <w:szCs w:val="24"/>
          <w:lang w:val="en-GB"/>
        </w:rPr>
      </w:pPr>
    </w:p>
    <w:p w14:paraId="18629CC9" w14:textId="77777777" w:rsidR="004D5455" w:rsidRPr="001A62EA" w:rsidRDefault="004D5455" w:rsidP="00487D9B">
      <w:pPr>
        <w:spacing w:after="0"/>
        <w:rPr>
          <w:rFonts w:cs="Times New Roman"/>
          <w:szCs w:val="24"/>
          <w:lang w:val="en-GB"/>
        </w:rPr>
      </w:pPr>
    </w:p>
    <w:p w14:paraId="1A257EDF" w14:textId="77777777" w:rsidR="004D5455" w:rsidRPr="001A62EA" w:rsidRDefault="004D5455" w:rsidP="00487D9B">
      <w:pPr>
        <w:spacing w:after="0"/>
        <w:rPr>
          <w:rFonts w:cs="Times New Roman"/>
          <w:szCs w:val="24"/>
          <w:lang w:val="en-GB"/>
        </w:rPr>
      </w:pPr>
    </w:p>
    <w:p w14:paraId="2B80FF2A" w14:textId="77777777" w:rsidR="004D5455" w:rsidRPr="001A62EA" w:rsidRDefault="004D5455" w:rsidP="00487D9B">
      <w:pPr>
        <w:spacing w:after="0"/>
        <w:rPr>
          <w:rFonts w:cs="Times New Roman"/>
          <w:szCs w:val="24"/>
          <w:lang w:val="en-GB"/>
        </w:rPr>
      </w:pPr>
    </w:p>
    <w:p w14:paraId="0EC9B30C" w14:textId="77777777" w:rsidR="004D5455" w:rsidRPr="001A62EA" w:rsidRDefault="004D5455" w:rsidP="00487D9B">
      <w:pPr>
        <w:spacing w:after="0"/>
        <w:rPr>
          <w:rFonts w:cs="Times New Roman"/>
          <w:szCs w:val="24"/>
          <w:lang w:val="en-GB"/>
        </w:rPr>
      </w:pPr>
    </w:p>
    <w:p w14:paraId="6AE67D18" w14:textId="77777777" w:rsidR="004D5455" w:rsidRPr="001A62EA" w:rsidRDefault="004D5455" w:rsidP="00487D9B">
      <w:pPr>
        <w:spacing w:after="0"/>
        <w:rPr>
          <w:rFonts w:cs="Times New Roman"/>
          <w:szCs w:val="24"/>
          <w:lang w:val="en-GB"/>
        </w:rPr>
      </w:pPr>
    </w:p>
    <w:p w14:paraId="2759E23A" w14:textId="77777777" w:rsidR="004D5455" w:rsidRPr="001A62EA" w:rsidRDefault="004D5455" w:rsidP="00487D9B">
      <w:pPr>
        <w:spacing w:after="0"/>
        <w:rPr>
          <w:rFonts w:cs="Times New Roman"/>
          <w:szCs w:val="24"/>
          <w:lang w:val="en-GB"/>
        </w:rPr>
      </w:pPr>
    </w:p>
    <w:p w14:paraId="3E48A31D" w14:textId="77777777" w:rsidR="004D5455" w:rsidRPr="001A62EA" w:rsidRDefault="004D5455" w:rsidP="00487D9B">
      <w:pPr>
        <w:spacing w:after="0"/>
        <w:rPr>
          <w:rFonts w:cs="Times New Roman"/>
          <w:szCs w:val="24"/>
          <w:lang w:val="en-GB"/>
        </w:rPr>
      </w:pPr>
    </w:p>
    <w:p w14:paraId="03A6536D" w14:textId="77777777" w:rsidR="004D5455" w:rsidRPr="001A62EA" w:rsidRDefault="004D5455" w:rsidP="00487D9B">
      <w:pPr>
        <w:spacing w:after="0"/>
        <w:rPr>
          <w:rFonts w:cs="Times New Roman"/>
          <w:szCs w:val="24"/>
          <w:lang w:val="en-GB"/>
        </w:rPr>
      </w:pPr>
    </w:p>
    <w:p w14:paraId="1EDB1F71" w14:textId="77777777" w:rsidR="004D5455" w:rsidRPr="001A62EA" w:rsidRDefault="004D5455" w:rsidP="00487D9B">
      <w:pPr>
        <w:spacing w:after="0"/>
        <w:rPr>
          <w:rFonts w:cs="Times New Roman"/>
          <w:szCs w:val="24"/>
          <w:lang w:val="en-GB"/>
        </w:rPr>
      </w:pPr>
    </w:p>
    <w:p w14:paraId="5751F749" w14:textId="77777777" w:rsidR="004D5455" w:rsidRPr="001A62EA" w:rsidRDefault="004D5455" w:rsidP="00487D9B">
      <w:pPr>
        <w:spacing w:after="0"/>
        <w:rPr>
          <w:rFonts w:cs="Times New Roman"/>
          <w:szCs w:val="24"/>
          <w:lang w:val="en-GB"/>
        </w:rPr>
      </w:pPr>
    </w:p>
    <w:p w14:paraId="7E887F10" w14:textId="77777777" w:rsidR="004D5455" w:rsidRPr="001A62EA" w:rsidRDefault="004D5455" w:rsidP="00487D9B">
      <w:pPr>
        <w:spacing w:after="0"/>
        <w:rPr>
          <w:rFonts w:cs="Times New Roman"/>
          <w:szCs w:val="24"/>
          <w:lang w:val="en-GB"/>
        </w:rPr>
      </w:pPr>
    </w:p>
    <w:p w14:paraId="557F76F5" w14:textId="77777777" w:rsidR="004D5455" w:rsidRPr="001A62EA" w:rsidRDefault="004D5455" w:rsidP="00487D9B">
      <w:pPr>
        <w:spacing w:after="0"/>
        <w:rPr>
          <w:rFonts w:cs="Times New Roman"/>
          <w:szCs w:val="24"/>
          <w:lang w:val="en-GB"/>
        </w:rPr>
      </w:pPr>
    </w:p>
    <w:sdt>
      <w:sdtPr>
        <w:rPr>
          <w:rFonts w:eastAsiaTheme="minorHAnsi" w:cs="Times New Roman"/>
          <w:b w:val="0"/>
          <w:bCs w:val="0"/>
          <w:i w:val="0"/>
          <w:color w:val="auto"/>
          <w:szCs w:val="24"/>
          <w:lang w:val="en-GB" w:eastAsia="en-US"/>
        </w:rPr>
        <w:id w:val="1020287470"/>
        <w:docPartObj>
          <w:docPartGallery w:val="Table of Contents"/>
          <w:docPartUnique/>
        </w:docPartObj>
      </w:sdtPr>
      <w:sdtEndPr/>
      <w:sdtContent>
        <w:p w14:paraId="16036F72" w14:textId="77777777" w:rsidR="00E873E6" w:rsidRPr="001A62EA" w:rsidRDefault="00930D75" w:rsidP="00B621FF">
          <w:pPr>
            <w:pStyle w:val="TOCHeading"/>
            <w:spacing w:before="0" w:line="360" w:lineRule="auto"/>
            <w:jc w:val="center"/>
            <w:rPr>
              <w:rFonts w:cs="Times New Roman"/>
              <w:i w:val="0"/>
              <w:color w:val="auto"/>
              <w:szCs w:val="24"/>
              <w:lang w:val="en-GB"/>
            </w:rPr>
          </w:pPr>
          <w:r w:rsidRPr="001A62EA">
            <w:rPr>
              <w:rFonts w:cs="Times New Roman"/>
              <w:i w:val="0"/>
              <w:color w:val="auto"/>
              <w:szCs w:val="24"/>
              <w:lang w:val="en-GB"/>
            </w:rPr>
            <w:t>TABLE OF CONTENTS</w:t>
          </w:r>
        </w:p>
        <w:p w14:paraId="51FEC3BD" w14:textId="19837E04" w:rsidR="003B6DD9" w:rsidRPr="001A62EA" w:rsidRDefault="005B4C59" w:rsidP="00B621FF">
          <w:pPr>
            <w:pStyle w:val="TOC1"/>
            <w:tabs>
              <w:tab w:val="right" w:leader="dot" w:pos="9350"/>
            </w:tabs>
            <w:spacing w:line="360" w:lineRule="auto"/>
            <w:rPr>
              <w:rFonts w:eastAsiaTheme="minorEastAsia" w:cs="Times New Roman"/>
              <w:szCs w:val="24"/>
              <w:lang w:val="en-GB"/>
            </w:rPr>
          </w:pPr>
          <w:r w:rsidRPr="001A62EA">
            <w:rPr>
              <w:rFonts w:cs="Times New Roman"/>
              <w:szCs w:val="24"/>
              <w:lang w:val="en-GB"/>
            </w:rPr>
            <w:fldChar w:fldCharType="begin"/>
          </w:r>
          <w:r w:rsidRPr="001A62EA">
            <w:rPr>
              <w:rFonts w:cs="Times New Roman"/>
              <w:szCs w:val="24"/>
              <w:lang w:val="en-GB"/>
            </w:rPr>
            <w:instrText xml:space="preserve"> TOC \o "1-3" \h \z \u </w:instrText>
          </w:r>
          <w:r w:rsidRPr="001A62EA">
            <w:rPr>
              <w:rFonts w:cs="Times New Roman"/>
              <w:szCs w:val="24"/>
              <w:lang w:val="en-GB"/>
            </w:rPr>
            <w:fldChar w:fldCharType="separate"/>
          </w:r>
          <w:hyperlink w:anchor="_Toc60697861" w:history="1">
            <w:r w:rsidR="003B6DD9" w:rsidRPr="001A62EA">
              <w:rPr>
                <w:rStyle w:val="Hyperlink"/>
                <w:rFonts w:eastAsia="Times New Roman" w:cs="Times New Roman"/>
                <w:color w:val="auto"/>
                <w:szCs w:val="24"/>
                <w:lang w:val="en-GB" w:eastAsia="zh-CN"/>
              </w:rPr>
              <w:t>Executive Summary</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_Toc60697861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1</w:t>
            </w:r>
            <w:r w:rsidR="003B6DD9" w:rsidRPr="001A62EA">
              <w:rPr>
                <w:rFonts w:cs="Times New Roman"/>
                <w:webHidden/>
                <w:szCs w:val="24"/>
                <w:lang w:val="en-GB"/>
              </w:rPr>
              <w:fldChar w:fldCharType="end"/>
            </w:r>
          </w:hyperlink>
        </w:p>
        <w:p w14:paraId="35A80E84" w14:textId="34B5CA4C" w:rsidR="003B6DD9" w:rsidRPr="001A62EA" w:rsidRDefault="007439AC" w:rsidP="00B621FF">
          <w:pPr>
            <w:pStyle w:val="TOC1"/>
            <w:tabs>
              <w:tab w:val="right" w:leader="dot" w:pos="9350"/>
            </w:tabs>
            <w:spacing w:line="360" w:lineRule="auto"/>
            <w:rPr>
              <w:rFonts w:eastAsiaTheme="minorEastAsia" w:cs="Times New Roman"/>
              <w:szCs w:val="24"/>
              <w:lang w:val="en-GB"/>
            </w:rPr>
          </w:pPr>
          <w:hyperlink w:anchor="_Toc60697862" w:history="1">
            <w:r w:rsidR="003B6DD9" w:rsidRPr="001A62EA">
              <w:rPr>
                <w:rStyle w:val="Hyperlink"/>
                <w:rFonts w:eastAsia="Times New Roman" w:cs="Times New Roman"/>
                <w:color w:val="auto"/>
                <w:szCs w:val="24"/>
                <w:lang w:val="en-GB" w:eastAsia="zh-CN"/>
              </w:rPr>
              <w:t>Introduction</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_Toc60697862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4</w:t>
            </w:r>
            <w:r w:rsidR="003B6DD9" w:rsidRPr="001A62EA">
              <w:rPr>
                <w:rFonts w:cs="Times New Roman"/>
                <w:webHidden/>
                <w:szCs w:val="24"/>
                <w:lang w:val="en-GB"/>
              </w:rPr>
              <w:fldChar w:fldCharType="end"/>
            </w:r>
          </w:hyperlink>
        </w:p>
        <w:p w14:paraId="0B41A42A" w14:textId="0849FF4A" w:rsidR="003B6DD9" w:rsidRPr="001A62EA" w:rsidRDefault="007439AC" w:rsidP="00B621FF">
          <w:pPr>
            <w:pStyle w:val="TOC2"/>
            <w:tabs>
              <w:tab w:val="right" w:leader="dot" w:pos="9350"/>
            </w:tabs>
            <w:spacing w:line="360" w:lineRule="auto"/>
            <w:rPr>
              <w:rFonts w:eastAsiaTheme="minorEastAsia" w:cs="Times New Roman"/>
              <w:szCs w:val="24"/>
              <w:lang w:val="en-GB"/>
            </w:rPr>
          </w:pPr>
          <w:hyperlink w:anchor="_Toc60697863" w:history="1">
            <w:r w:rsidR="003B6DD9" w:rsidRPr="001A62EA">
              <w:rPr>
                <w:rStyle w:val="Hyperlink"/>
                <w:rFonts w:cs="Times New Roman"/>
                <w:color w:val="auto"/>
                <w:szCs w:val="24"/>
                <w:lang w:val="en-GB" w:eastAsia="zh-CN"/>
              </w:rPr>
              <w:t>The Culture and Context of Unilever</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_Toc60697863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4</w:t>
            </w:r>
            <w:r w:rsidR="003B6DD9" w:rsidRPr="001A62EA">
              <w:rPr>
                <w:rFonts w:cs="Times New Roman"/>
                <w:webHidden/>
                <w:szCs w:val="24"/>
                <w:lang w:val="en-GB"/>
              </w:rPr>
              <w:fldChar w:fldCharType="end"/>
            </w:r>
          </w:hyperlink>
        </w:p>
        <w:p w14:paraId="70439A4C" w14:textId="7844FB87" w:rsidR="003B6DD9" w:rsidRPr="001A62EA" w:rsidRDefault="007439AC" w:rsidP="00B621FF">
          <w:pPr>
            <w:pStyle w:val="TOC2"/>
            <w:tabs>
              <w:tab w:val="right" w:leader="dot" w:pos="9350"/>
            </w:tabs>
            <w:spacing w:line="360" w:lineRule="auto"/>
            <w:rPr>
              <w:rFonts w:eastAsiaTheme="minorEastAsia" w:cs="Times New Roman"/>
              <w:szCs w:val="24"/>
              <w:lang w:val="en-GB"/>
            </w:rPr>
          </w:pPr>
          <w:hyperlink w:anchor="_Toc60697864" w:history="1">
            <w:r w:rsidR="003B6DD9" w:rsidRPr="001A62EA">
              <w:rPr>
                <w:rStyle w:val="Hyperlink"/>
                <w:rFonts w:cs="Times New Roman"/>
                <w:color w:val="auto"/>
                <w:szCs w:val="24"/>
                <w:lang w:val="en-GB"/>
              </w:rPr>
              <w:t>The ‘COVID Factor’</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_Toc60697864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6</w:t>
            </w:r>
            <w:r w:rsidR="003B6DD9" w:rsidRPr="001A62EA">
              <w:rPr>
                <w:rFonts w:cs="Times New Roman"/>
                <w:webHidden/>
                <w:szCs w:val="24"/>
                <w:lang w:val="en-GB"/>
              </w:rPr>
              <w:fldChar w:fldCharType="end"/>
            </w:r>
          </w:hyperlink>
        </w:p>
        <w:p w14:paraId="6C835AE8" w14:textId="7AAF0A04" w:rsidR="003B6DD9" w:rsidRPr="001A62EA" w:rsidRDefault="007439AC" w:rsidP="00B621FF">
          <w:pPr>
            <w:pStyle w:val="TOC2"/>
            <w:tabs>
              <w:tab w:val="right" w:leader="dot" w:pos="9350"/>
            </w:tabs>
            <w:spacing w:line="360" w:lineRule="auto"/>
            <w:rPr>
              <w:rFonts w:eastAsiaTheme="minorEastAsia" w:cs="Times New Roman"/>
              <w:szCs w:val="24"/>
              <w:lang w:val="en-GB"/>
            </w:rPr>
          </w:pPr>
          <w:hyperlink w:anchor="_Toc60697865" w:history="1">
            <w:r w:rsidR="003B6DD9" w:rsidRPr="001A62EA">
              <w:rPr>
                <w:rStyle w:val="Hyperlink"/>
                <w:rFonts w:cs="Times New Roman"/>
                <w:color w:val="auto"/>
                <w:szCs w:val="24"/>
                <w:lang w:val="en-GB" w:eastAsia="zh-CN"/>
              </w:rPr>
              <w:t>Organisation Operates and its Impact on Unilever</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_Toc60697865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7</w:t>
            </w:r>
            <w:r w:rsidR="003B6DD9" w:rsidRPr="001A62EA">
              <w:rPr>
                <w:rFonts w:cs="Times New Roman"/>
                <w:webHidden/>
                <w:szCs w:val="24"/>
                <w:lang w:val="en-GB"/>
              </w:rPr>
              <w:fldChar w:fldCharType="end"/>
            </w:r>
          </w:hyperlink>
        </w:p>
        <w:p w14:paraId="06435585" w14:textId="31F0EFEC" w:rsidR="003B6DD9" w:rsidRPr="001A62EA" w:rsidRDefault="007439AC" w:rsidP="00B621FF">
          <w:pPr>
            <w:pStyle w:val="TOC2"/>
            <w:tabs>
              <w:tab w:val="right" w:leader="dot" w:pos="9350"/>
            </w:tabs>
            <w:spacing w:line="360" w:lineRule="auto"/>
            <w:rPr>
              <w:rFonts w:eastAsiaTheme="minorEastAsia" w:cs="Times New Roman"/>
              <w:szCs w:val="24"/>
              <w:lang w:val="en-GB"/>
            </w:rPr>
          </w:pPr>
          <w:hyperlink w:anchor="_Toc60697866" w:history="1">
            <w:r w:rsidR="003B6DD9" w:rsidRPr="001A62EA">
              <w:rPr>
                <w:rStyle w:val="Hyperlink"/>
                <w:rFonts w:cs="Times New Roman"/>
                <w:color w:val="auto"/>
                <w:szCs w:val="24"/>
                <w:lang w:val="en-GB"/>
              </w:rPr>
              <w:t>PESTLE analysis of Unilever</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_Toc60697866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7</w:t>
            </w:r>
            <w:r w:rsidR="003B6DD9" w:rsidRPr="001A62EA">
              <w:rPr>
                <w:rFonts w:cs="Times New Roman"/>
                <w:webHidden/>
                <w:szCs w:val="24"/>
                <w:lang w:val="en-GB"/>
              </w:rPr>
              <w:fldChar w:fldCharType="end"/>
            </w:r>
          </w:hyperlink>
        </w:p>
        <w:p w14:paraId="60347DB2" w14:textId="5AFF973B" w:rsidR="003B6DD9" w:rsidRPr="001A62EA" w:rsidRDefault="007439AC" w:rsidP="00B621FF">
          <w:pPr>
            <w:pStyle w:val="TOC3"/>
            <w:tabs>
              <w:tab w:val="right" w:leader="dot" w:pos="9350"/>
            </w:tabs>
            <w:spacing w:line="360" w:lineRule="auto"/>
            <w:rPr>
              <w:rFonts w:eastAsiaTheme="minorEastAsia" w:cs="Times New Roman"/>
              <w:szCs w:val="24"/>
              <w:lang w:val="en-GB"/>
            </w:rPr>
          </w:pPr>
          <w:hyperlink w:anchor="_Toc60697867" w:history="1">
            <w:r w:rsidR="003B6DD9" w:rsidRPr="001A62EA">
              <w:rPr>
                <w:rStyle w:val="Hyperlink"/>
                <w:rFonts w:eastAsia="Times New Roman" w:cs="Times New Roman"/>
                <w:color w:val="auto"/>
                <w:szCs w:val="24"/>
                <w:lang w:val="en-GB"/>
              </w:rPr>
              <w:t>Political Factors</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_Toc60697867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8</w:t>
            </w:r>
            <w:r w:rsidR="003B6DD9" w:rsidRPr="001A62EA">
              <w:rPr>
                <w:rFonts w:cs="Times New Roman"/>
                <w:webHidden/>
                <w:szCs w:val="24"/>
                <w:lang w:val="en-GB"/>
              </w:rPr>
              <w:fldChar w:fldCharType="end"/>
            </w:r>
          </w:hyperlink>
        </w:p>
        <w:p w14:paraId="58C70036" w14:textId="0DF71E88" w:rsidR="003B6DD9" w:rsidRPr="001A62EA" w:rsidRDefault="007439AC" w:rsidP="00B621FF">
          <w:pPr>
            <w:pStyle w:val="TOC3"/>
            <w:tabs>
              <w:tab w:val="right" w:leader="dot" w:pos="9350"/>
            </w:tabs>
            <w:spacing w:line="360" w:lineRule="auto"/>
            <w:rPr>
              <w:rFonts w:eastAsiaTheme="minorEastAsia" w:cs="Times New Roman"/>
              <w:szCs w:val="24"/>
              <w:lang w:val="en-GB"/>
            </w:rPr>
          </w:pPr>
          <w:hyperlink w:anchor="_Toc60697868" w:history="1">
            <w:r w:rsidR="003B6DD9" w:rsidRPr="001A62EA">
              <w:rPr>
                <w:rStyle w:val="Hyperlink"/>
                <w:rFonts w:eastAsia="Times New Roman" w:cs="Times New Roman"/>
                <w:color w:val="auto"/>
                <w:szCs w:val="24"/>
                <w:lang w:val="en-GB"/>
              </w:rPr>
              <w:t>Economic Factors</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_Toc60697868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9</w:t>
            </w:r>
            <w:r w:rsidR="003B6DD9" w:rsidRPr="001A62EA">
              <w:rPr>
                <w:rFonts w:cs="Times New Roman"/>
                <w:webHidden/>
                <w:szCs w:val="24"/>
                <w:lang w:val="en-GB"/>
              </w:rPr>
              <w:fldChar w:fldCharType="end"/>
            </w:r>
          </w:hyperlink>
        </w:p>
        <w:p w14:paraId="655FFCB2" w14:textId="3B129A4A" w:rsidR="003B6DD9" w:rsidRPr="001A62EA" w:rsidRDefault="007439AC" w:rsidP="00B621FF">
          <w:pPr>
            <w:pStyle w:val="TOC3"/>
            <w:tabs>
              <w:tab w:val="right" w:leader="dot" w:pos="9350"/>
            </w:tabs>
            <w:spacing w:line="360" w:lineRule="auto"/>
            <w:rPr>
              <w:rFonts w:eastAsiaTheme="minorEastAsia" w:cs="Times New Roman"/>
              <w:szCs w:val="24"/>
              <w:lang w:val="en-GB"/>
            </w:rPr>
          </w:pPr>
          <w:hyperlink w:anchor="_Toc60697869" w:history="1">
            <w:r w:rsidR="003B6DD9" w:rsidRPr="001A62EA">
              <w:rPr>
                <w:rStyle w:val="Hyperlink"/>
                <w:rFonts w:eastAsia="Times New Roman" w:cs="Times New Roman"/>
                <w:color w:val="auto"/>
                <w:szCs w:val="24"/>
                <w:lang w:val="en-GB"/>
              </w:rPr>
              <w:t>Social/Sociocultural Factors</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_Toc60697869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10</w:t>
            </w:r>
            <w:r w:rsidR="003B6DD9" w:rsidRPr="001A62EA">
              <w:rPr>
                <w:rFonts w:cs="Times New Roman"/>
                <w:webHidden/>
                <w:szCs w:val="24"/>
                <w:lang w:val="en-GB"/>
              </w:rPr>
              <w:fldChar w:fldCharType="end"/>
            </w:r>
          </w:hyperlink>
        </w:p>
        <w:p w14:paraId="2E6E13C7" w14:textId="1D579C3B" w:rsidR="003B6DD9" w:rsidRPr="001A62EA" w:rsidRDefault="007439AC" w:rsidP="00B621FF">
          <w:pPr>
            <w:pStyle w:val="TOC3"/>
            <w:tabs>
              <w:tab w:val="right" w:leader="dot" w:pos="9350"/>
            </w:tabs>
            <w:spacing w:line="360" w:lineRule="auto"/>
            <w:rPr>
              <w:rFonts w:eastAsiaTheme="minorEastAsia" w:cs="Times New Roman"/>
              <w:szCs w:val="24"/>
              <w:lang w:val="en-GB"/>
            </w:rPr>
          </w:pPr>
          <w:hyperlink w:anchor="_Toc60697870" w:history="1">
            <w:r w:rsidR="003B6DD9" w:rsidRPr="001A62EA">
              <w:rPr>
                <w:rStyle w:val="Hyperlink"/>
                <w:rFonts w:eastAsia="Times New Roman" w:cs="Times New Roman"/>
                <w:color w:val="auto"/>
                <w:szCs w:val="24"/>
                <w:lang w:val="en-GB"/>
              </w:rPr>
              <w:t>Technological Factors</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_Toc60697870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10</w:t>
            </w:r>
            <w:r w:rsidR="003B6DD9" w:rsidRPr="001A62EA">
              <w:rPr>
                <w:rFonts w:cs="Times New Roman"/>
                <w:webHidden/>
                <w:szCs w:val="24"/>
                <w:lang w:val="en-GB"/>
              </w:rPr>
              <w:fldChar w:fldCharType="end"/>
            </w:r>
          </w:hyperlink>
        </w:p>
        <w:p w14:paraId="4FF98E56" w14:textId="4D816449" w:rsidR="003B6DD9" w:rsidRPr="001A62EA" w:rsidRDefault="007439AC" w:rsidP="00B621FF">
          <w:pPr>
            <w:pStyle w:val="TOC3"/>
            <w:tabs>
              <w:tab w:val="right" w:leader="dot" w:pos="9350"/>
            </w:tabs>
            <w:spacing w:line="360" w:lineRule="auto"/>
            <w:rPr>
              <w:rFonts w:eastAsiaTheme="minorEastAsia" w:cs="Times New Roman"/>
              <w:szCs w:val="24"/>
              <w:lang w:val="en-GB"/>
            </w:rPr>
          </w:pPr>
          <w:hyperlink w:anchor="_Toc60697871" w:history="1">
            <w:r w:rsidR="003B6DD9" w:rsidRPr="001A62EA">
              <w:rPr>
                <w:rStyle w:val="Hyperlink"/>
                <w:rFonts w:eastAsia="Times New Roman" w:cs="Times New Roman"/>
                <w:color w:val="auto"/>
                <w:szCs w:val="24"/>
                <w:lang w:val="en-GB"/>
              </w:rPr>
              <w:t>Ecological/Environmental</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_Toc60697871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11</w:t>
            </w:r>
            <w:r w:rsidR="003B6DD9" w:rsidRPr="001A62EA">
              <w:rPr>
                <w:rFonts w:cs="Times New Roman"/>
                <w:webHidden/>
                <w:szCs w:val="24"/>
                <w:lang w:val="en-GB"/>
              </w:rPr>
              <w:fldChar w:fldCharType="end"/>
            </w:r>
          </w:hyperlink>
        </w:p>
        <w:p w14:paraId="33D6594D" w14:textId="506E1482" w:rsidR="003B6DD9" w:rsidRPr="001A62EA" w:rsidRDefault="007439AC" w:rsidP="00B621FF">
          <w:pPr>
            <w:pStyle w:val="TOC3"/>
            <w:tabs>
              <w:tab w:val="right" w:leader="dot" w:pos="9350"/>
            </w:tabs>
            <w:spacing w:line="360" w:lineRule="auto"/>
            <w:rPr>
              <w:rFonts w:eastAsiaTheme="minorEastAsia" w:cs="Times New Roman"/>
              <w:szCs w:val="24"/>
              <w:lang w:val="en-GB"/>
            </w:rPr>
          </w:pPr>
          <w:hyperlink w:anchor="_Toc60697872" w:history="1">
            <w:r w:rsidR="003B6DD9" w:rsidRPr="001A62EA">
              <w:rPr>
                <w:rStyle w:val="Hyperlink"/>
                <w:rFonts w:eastAsia="Times New Roman" w:cs="Times New Roman"/>
                <w:color w:val="auto"/>
                <w:szCs w:val="24"/>
                <w:lang w:val="en-GB"/>
              </w:rPr>
              <w:t>Legal Factors Facing Unilever</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_Toc60697872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11</w:t>
            </w:r>
            <w:r w:rsidR="003B6DD9" w:rsidRPr="001A62EA">
              <w:rPr>
                <w:rFonts w:cs="Times New Roman"/>
                <w:webHidden/>
                <w:szCs w:val="24"/>
                <w:lang w:val="en-GB"/>
              </w:rPr>
              <w:fldChar w:fldCharType="end"/>
            </w:r>
          </w:hyperlink>
        </w:p>
        <w:p w14:paraId="412CB391" w14:textId="23F60CD5" w:rsidR="003B6DD9" w:rsidRPr="001A62EA" w:rsidRDefault="007439AC" w:rsidP="00B621FF">
          <w:pPr>
            <w:pStyle w:val="TOC2"/>
            <w:tabs>
              <w:tab w:val="right" w:leader="dot" w:pos="9350"/>
            </w:tabs>
            <w:spacing w:line="360" w:lineRule="auto"/>
            <w:rPr>
              <w:rFonts w:eastAsiaTheme="minorEastAsia" w:cs="Times New Roman"/>
              <w:szCs w:val="24"/>
              <w:lang w:val="en-GB"/>
            </w:rPr>
          </w:pPr>
          <w:hyperlink w:anchor="_Toc60697873" w:history="1">
            <w:r w:rsidR="003B6DD9" w:rsidRPr="001A62EA">
              <w:rPr>
                <w:rStyle w:val="Hyperlink"/>
                <w:rFonts w:cs="Times New Roman"/>
                <w:color w:val="auto"/>
                <w:szCs w:val="24"/>
                <w:lang w:val="en-GB"/>
              </w:rPr>
              <w:t xml:space="preserve">The impact of the viral epidemic on the </w:t>
            </w:r>
            <w:r w:rsidR="001A62EA">
              <w:rPr>
                <w:rStyle w:val="Hyperlink"/>
                <w:rFonts w:cs="Times New Roman"/>
                <w:color w:val="auto"/>
                <w:szCs w:val="24"/>
                <w:lang w:val="en-GB"/>
              </w:rPr>
              <w:t xml:space="preserve">Unilever </w:t>
            </w:r>
            <w:r w:rsidR="003B6DD9" w:rsidRPr="001A62EA">
              <w:rPr>
                <w:rStyle w:val="Hyperlink"/>
                <w:rFonts w:cs="Times New Roman"/>
                <w:color w:val="auto"/>
                <w:szCs w:val="24"/>
                <w:lang w:val="en-GB"/>
              </w:rPr>
              <w:t>image</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_Toc60697873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12</w:t>
            </w:r>
            <w:r w:rsidR="003B6DD9" w:rsidRPr="001A62EA">
              <w:rPr>
                <w:rFonts w:cs="Times New Roman"/>
                <w:webHidden/>
                <w:szCs w:val="24"/>
                <w:lang w:val="en-GB"/>
              </w:rPr>
              <w:fldChar w:fldCharType="end"/>
            </w:r>
          </w:hyperlink>
        </w:p>
        <w:p w14:paraId="6AF19E49" w14:textId="50AFB443" w:rsidR="003B6DD9" w:rsidRPr="001A62EA" w:rsidRDefault="007439AC" w:rsidP="00B621FF">
          <w:pPr>
            <w:pStyle w:val="TOC2"/>
            <w:tabs>
              <w:tab w:val="right" w:leader="dot" w:pos="9350"/>
            </w:tabs>
            <w:spacing w:line="360" w:lineRule="auto"/>
            <w:rPr>
              <w:rFonts w:eastAsiaTheme="minorEastAsia" w:cs="Times New Roman"/>
              <w:szCs w:val="24"/>
              <w:lang w:val="en-GB"/>
            </w:rPr>
          </w:pPr>
          <w:hyperlink w:anchor="_Toc60697874" w:history="1">
            <w:r w:rsidR="003B6DD9" w:rsidRPr="001A62EA">
              <w:rPr>
                <w:rStyle w:val="Hyperlink"/>
                <w:rFonts w:cs="Times New Roman"/>
                <w:color w:val="auto"/>
                <w:szCs w:val="24"/>
                <w:lang w:val="en-GB"/>
              </w:rPr>
              <w:t>Employee availability and permanence during a state of emergency</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_Toc60697874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14</w:t>
            </w:r>
            <w:r w:rsidR="003B6DD9" w:rsidRPr="001A62EA">
              <w:rPr>
                <w:rFonts w:cs="Times New Roman"/>
                <w:webHidden/>
                <w:szCs w:val="24"/>
                <w:lang w:val="en-GB"/>
              </w:rPr>
              <w:fldChar w:fldCharType="end"/>
            </w:r>
          </w:hyperlink>
        </w:p>
        <w:p w14:paraId="525243D7" w14:textId="3778558D" w:rsidR="003B6DD9" w:rsidRPr="001A62EA" w:rsidRDefault="007439AC" w:rsidP="00B621FF">
          <w:pPr>
            <w:pStyle w:val="TOC2"/>
            <w:tabs>
              <w:tab w:val="right" w:leader="dot" w:pos="9350"/>
            </w:tabs>
            <w:spacing w:line="360" w:lineRule="auto"/>
            <w:rPr>
              <w:rFonts w:eastAsiaTheme="minorEastAsia" w:cs="Times New Roman"/>
              <w:szCs w:val="24"/>
              <w:lang w:val="en-GB"/>
            </w:rPr>
          </w:pPr>
          <w:hyperlink w:anchor="_Toc60697875" w:history="1">
            <w:r w:rsidR="003B6DD9" w:rsidRPr="001A62EA">
              <w:rPr>
                <w:rStyle w:val="Hyperlink"/>
                <w:rFonts w:cs="Times New Roman"/>
                <w:color w:val="auto"/>
                <w:szCs w:val="24"/>
                <w:lang w:val="en-GB" w:eastAsia="zh-CN"/>
              </w:rPr>
              <w:t>Cultural and Ethical Behaviour to the Organization</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_Toc60697875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16</w:t>
            </w:r>
            <w:r w:rsidR="003B6DD9" w:rsidRPr="001A62EA">
              <w:rPr>
                <w:rFonts w:cs="Times New Roman"/>
                <w:webHidden/>
                <w:szCs w:val="24"/>
                <w:lang w:val="en-GB"/>
              </w:rPr>
              <w:fldChar w:fldCharType="end"/>
            </w:r>
          </w:hyperlink>
        </w:p>
        <w:p w14:paraId="3901698B" w14:textId="53F52E2F" w:rsidR="003B6DD9" w:rsidRPr="001A62EA" w:rsidRDefault="007439AC" w:rsidP="00B621FF">
          <w:pPr>
            <w:pStyle w:val="TOC3"/>
            <w:tabs>
              <w:tab w:val="right" w:leader="dot" w:pos="9350"/>
            </w:tabs>
            <w:spacing w:line="360" w:lineRule="auto"/>
            <w:rPr>
              <w:rFonts w:eastAsiaTheme="minorEastAsia" w:cs="Times New Roman"/>
              <w:szCs w:val="24"/>
              <w:lang w:val="en-GB"/>
            </w:rPr>
          </w:pPr>
          <w:hyperlink w:anchor="_Toc60697876" w:history="1">
            <w:r w:rsidR="003B6DD9" w:rsidRPr="001A62EA">
              <w:rPr>
                <w:rStyle w:val="Hyperlink"/>
                <w:rFonts w:eastAsia="SimSun" w:cs="Times New Roman"/>
                <w:color w:val="auto"/>
                <w:szCs w:val="24"/>
                <w:lang w:val="en-GB" w:eastAsia="zh-CN"/>
              </w:rPr>
              <w:t>Policies, Procedures and Legislation of Unilever:</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_Toc60697876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16</w:t>
            </w:r>
            <w:r w:rsidR="003B6DD9" w:rsidRPr="001A62EA">
              <w:rPr>
                <w:rFonts w:cs="Times New Roman"/>
                <w:webHidden/>
                <w:szCs w:val="24"/>
                <w:lang w:val="en-GB"/>
              </w:rPr>
              <w:fldChar w:fldCharType="end"/>
            </w:r>
          </w:hyperlink>
        </w:p>
        <w:p w14:paraId="063ADC8E" w14:textId="0ACD5514" w:rsidR="003B6DD9" w:rsidRPr="001A62EA" w:rsidRDefault="007439AC" w:rsidP="00B621FF">
          <w:pPr>
            <w:pStyle w:val="TOC3"/>
            <w:tabs>
              <w:tab w:val="right" w:leader="dot" w:pos="9350"/>
            </w:tabs>
            <w:spacing w:line="360" w:lineRule="auto"/>
            <w:rPr>
              <w:rFonts w:eastAsiaTheme="minorEastAsia" w:cs="Times New Roman"/>
              <w:szCs w:val="24"/>
              <w:lang w:val="en-GB"/>
            </w:rPr>
          </w:pPr>
          <w:hyperlink w:anchor="_Toc60697877" w:history="1">
            <w:r w:rsidR="003B6DD9" w:rsidRPr="001A62EA">
              <w:rPr>
                <w:rStyle w:val="Hyperlink"/>
                <w:rFonts w:eastAsia="SimSun" w:cs="Times New Roman"/>
                <w:color w:val="auto"/>
                <w:szCs w:val="24"/>
                <w:lang w:val="en-GB" w:eastAsia="zh-CN"/>
              </w:rPr>
              <w:t>Code of Ethics and Code of Conduct in Unilever:</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_Toc60697877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17</w:t>
            </w:r>
            <w:r w:rsidR="003B6DD9" w:rsidRPr="001A62EA">
              <w:rPr>
                <w:rFonts w:cs="Times New Roman"/>
                <w:webHidden/>
                <w:szCs w:val="24"/>
                <w:lang w:val="en-GB"/>
              </w:rPr>
              <w:fldChar w:fldCharType="end"/>
            </w:r>
          </w:hyperlink>
        </w:p>
        <w:p w14:paraId="1B2BEC02" w14:textId="4C48851C" w:rsidR="003B6DD9" w:rsidRPr="001A62EA" w:rsidRDefault="007439AC" w:rsidP="00B621FF">
          <w:pPr>
            <w:pStyle w:val="TOC1"/>
            <w:tabs>
              <w:tab w:val="right" w:leader="dot" w:pos="9350"/>
            </w:tabs>
            <w:spacing w:line="360" w:lineRule="auto"/>
            <w:rPr>
              <w:rFonts w:eastAsiaTheme="minorEastAsia" w:cs="Times New Roman"/>
              <w:szCs w:val="24"/>
              <w:lang w:val="en-GB"/>
            </w:rPr>
          </w:pPr>
          <w:hyperlink w:anchor="_Toc60697878" w:history="1">
            <w:r w:rsidR="003B6DD9" w:rsidRPr="001A62EA">
              <w:rPr>
                <w:rStyle w:val="Hyperlink"/>
                <w:rFonts w:eastAsia="Times New Roman" w:cs="Times New Roman"/>
                <w:color w:val="auto"/>
                <w:szCs w:val="24"/>
                <w:lang w:val="en-GB" w:eastAsia="zh-CN"/>
              </w:rPr>
              <w:t>Recommendation</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_Toc60697878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19</w:t>
            </w:r>
            <w:r w:rsidR="003B6DD9" w:rsidRPr="001A62EA">
              <w:rPr>
                <w:rFonts w:cs="Times New Roman"/>
                <w:webHidden/>
                <w:szCs w:val="24"/>
                <w:lang w:val="en-GB"/>
              </w:rPr>
              <w:fldChar w:fldCharType="end"/>
            </w:r>
          </w:hyperlink>
        </w:p>
        <w:p w14:paraId="7F09D9F2" w14:textId="6C52895D" w:rsidR="003B6DD9" w:rsidRPr="001A62EA" w:rsidRDefault="007439AC" w:rsidP="00B621FF">
          <w:pPr>
            <w:pStyle w:val="TOC1"/>
            <w:tabs>
              <w:tab w:val="right" w:leader="dot" w:pos="9350"/>
            </w:tabs>
            <w:spacing w:line="360" w:lineRule="auto"/>
            <w:rPr>
              <w:rFonts w:eastAsiaTheme="minorEastAsia" w:cs="Times New Roman"/>
              <w:szCs w:val="24"/>
              <w:lang w:val="en-GB"/>
            </w:rPr>
          </w:pPr>
          <w:hyperlink w:anchor="_Toc60697879" w:history="1">
            <w:r w:rsidR="003B6DD9" w:rsidRPr="001A62EA">
              <w:rPr>
                <w:rStyle w:val="Hyperlink"/>
                <w:rFonts w:eastAsia="Times New Roman" w:cs="Times New Roman"/>
                <w:color w:val="auto"/>
                <w:szCs w:val="24"/>
                <w:lang w:val="en-GB" w:eastAsia="zh-CN"/>
              </w:rPr>
              <w:t>Conclusion</w:t>
            </w:r>
            <w:r w:rsidR="003B6DD9" w:rsidRPr="001A62EA">
              <w:rPr>
                <w:rFonts w:cs="Times New Roman"/>
                <w:webHidden/>
                <w:szCs w:val="24"/>
                <w:lang w:val="en-GB"/>
              </w:rPr>
              <w:tab/>
            </w:r>
            <w:r w:rsidR="003B6DD9" w:rsidRPr="001A62EA">
              <w:rPr>
                <w:rFonts w:cs="Times New Roman"/>
                <w:webHidden/>
                <w:szCs w:val="24"/>
                <w:lang w:val="en-GB"/>
              </w:rPr>
              <w:fldChar w:fldCharType="begin"/>
            </w:r>
            <w:r w:rsidR="003B6DD9" w:rsidRPr="001A62EA">
              <w:rPr>
                <w:rFonts w:cs="Times New Roman"/>
                <w:webHidden/>
                <w:szCs w:val="24"/>
                <w:lang w:val="en-GB"/>
              </w:rPr>
              <w:instrText xml:space="preserve"> PAGEREF _Toc60697879 \h </w:instrText>
            </w:r>
            <w:r w:rsidR="003B6DD9" w:rsidRPr="001A62EA">
              <w:rPr>
                <w:rFonts w:cs="Times New Roman"/>
                <w:webHidden/>
                <w:szCs w:val="24"/>
                <w:lang w:val="en-GB"/>
              </w:rPr>
            </w:r>
            <w:r w:rsidR="003B6DD9" w:rsidRPr="001A62EA">
              <w:rPr>
                <w:rFonts w:cs="Times New Roman"/>
                <w:webHidden/>
                <w:szCs w:val="24"/>
                <w:lang w:val="en-GB"/>
              </w:rPr>
              <w:fldChar w:fldCharType="separate"/>
            </w:r>
            <w:r w:rsidR="003B6DD9" w:rsidRPr="001A62EA">
              <w:rPr>
                <w:rFonts w:cs="Times New Roman"/>
                <w:webHidden/>
                <w:szCs w:val="24"/>
                <w:lang w:val="en-GB"/>
              </w:rPr>
              <w:t>20</w:t>
            </w:r>
            <w:r w:rsidR="003B6DD9" w:rsidRPr="001A62EA">
              <w:rPr>
                <w:rFonts w:cs="Times New Roman"/>
                <w:webHidden/>
                <w:szCs w:val="24"/>
                <w:lang w:val="en-GB"/>
              </w:rPr>
              <w:fldChar w:fldCharType="end"/>
            </w:r>
          </w:hyperlink>
        </w:p>
        <w:p w14:paraId="08C5B987" w14:textId="37FB1539" w:rsidR="00E873E6" w:rsidRPr="001A62EA" w:rsidRDefault="005B4C59" w:rsidP="00B621FF">
          <w:pPr>
            <w:spacing w:after="0" w:line="360" w:lineRule="auto"/>
            <w:rPr>
              <w:rFonts w:cs="Times New Roman"/>
              <w:szCs w:val="24"/>
              <w:lang w:val="en-GB"/>
            </w:rPr>
          </w:pPr>
          <w:r w:rsidRPr="001A62EA">
            <w:rPr>
              <w:rFonts w:cs="Times New Roman"/>
              <w:b/>
              <w:bCs/>
              <w:szCs w:val="24"/>
              <w:lang w:val="en-GB"/>
            </w:rPr>
            <w:fldChar w:fldCharType="end"/>
          </w:r>
        </w:p>
      </w:sdtContent>
    </w:sdt>
    <w:p w14:paraId="246B1CB4" w14:textId="77777777" w:rsidR="004D5455" w:rsidRPr="001A62EA" w:rsidRDefault="004D5455" w:rsidP="00487D9B">
      <w:pPr>
        <w:spacing w:after="0"/>
        <w:jc w:val="center"/>
        <w:rPr>
          <w:rFonts w:cs="Times New Roman"/>
          <w:b/>
          <w:szCs w:val="24"/>
          <w:lang w:val="en-GB"/>
        </w:rPr>
      </w:pPr>
    </w:p>
    <w:p w14:paraId="3C38E2C2" w14:textId="77777777" w:rsidR="00487D9B" w:rsidRPr="001A62EA" w:rsidRDefault="005B4C59">
      <w:pPr>
        <w:rPr>
          <w:rFonts w:eastAsia="Times New Roman" w:cs="Times New Roman"/>
          <w:b/>
          <w:bCs/>
          <w:i/>
          <w:szCs w:val="24"/>
          <w:lang w:val="en-GB" w:eastAsia="zh-CN"/>
        </w:rPr>
      </w:pPr>
      <w:bookmarkStart w:id="2" w:name="_Toc38552403"/>
      <w:r w:rsidRPr="001A62EA">
        <w:rPr>
          <w:rFonts w:eastAsia="Times New Roman" w:cs="Times New Roman"/>
          <w:szCs w:val="24"/>
          <w:lang w:val="en-GB" w:eastAsia="zh-CN"/>
        </w:rPr>
        <w:br w:type="page"/>
      </w:r>
    </w:p>
    <w:p w14:paraId="6D5FFD3F" w14:textId="77777777" w:rsidR="004D5455" w:rsidRPr="001A62EA" w:rsidRDefault="005B4C59" w:rsidP="00930D75">
      <w:pPr>
        <w:pStyle w:val="Heading1"/>
        <w:spacing w:before="0"/>
        <w:rPr>
          <w:rFonts w:eastAsia="Times New Roman" w:cs="Times New Roman"/>
          <w:color w:val="auto"/>
          <w:szCs w:val="24"/>
          <w:lang w:val="en-GB" w:eastAsia="zh-CN"/>
        </w:rPr>
      </w:pPr>
      <w:bookmarkStart w:id="3" w:name="_Toc60697862"/>
      <w:r w:rsidRPr="001A62EA">
        <w:rPr>
          <w:rFonts w:eastAsia="Times New Roman" w:cs="Times New Roman"/>
          <w:color w:val="auto"/>
          <w:szCs w:val="24"/>
          <w:lang w:val="en-GB" w:eastAsia="zh-CN"/>
        </w:rPr>
        <w:lastRenderedPageBreak/>
        <w:t>Introduction</w:t>
      </w:r>
      <w:bookmarkEnd w:id="2"/>
      <w:bookmarkEnd w:id="3"/>
    </w:p>
    <w:p w14:paraId="168352C0" w14:textId="77777777" w:rsidR="00930FAF" w:rsidRPr="001A62EA" w:rsidRDefault="005B4C59" w:rsidP="00930D75">
      <w:pPr>
        <w:spacing w:after="0"/>
        <w:ind w:firstLine="720"/>
        <w:jc w:val="both"/>
        <w:rPr>
          <w:rFonts w:cs="Times New Roman"/>
          <w:szCs w:val="24"/>
          <w:lang w:val="en-GB"/>
        </w:rPr>
      </w:pPr>
      <w:bookmarkStart w:id="4" w:name="_Toc59973389"/>
      <w:r w:rsidRPr="001A62EA">
        <w:rPr>
          <w:rFonts w:cs="Times New Roman"/>
          <w:szCs w:val="24"/>
          <w:lang w:val="en-GB"/>
        </w:rPr>
        <w:t>Unilever is one of the largest customer merchandise companies inside the global economy. The advancement of this organization is attached to its authoritative tradition and the types of physical games and techniques pioneers have achieved after some time. Authoritative tradition, management and the human resource of a firm are interrelated. Unilever is a coordinated international fir</w:t>
      </w:r>
      <w:r w:rsidR="00417F3E" w:rsidRPr="001A62EA">
        <w:rPr>
          <w:rFonts w:cs="Times New Roman"/>
          <w:szCs w:val="24"/>
          <w:lang w:val="en-GB"/>
        </w:rPr>
        <w:t xml:space="preserve">m. </w:t>
      </w:r>
      <w:r w:rsidRPr="001A62EA">
        <w:rPr>
          <w:rFonts w:cs="Times New Roman"/>
          <w:szCs w:val="24"/>
          <w:lang w:val="en-GB"/>
        </w:rPr>
        <w:t>Any adjustment in a single sector activates changes or improvements in unique territories. The traits of these segments likewise affect one another and the remainder of the association of Unilever</w:t>
      </w:r>
      <w:r w:rsidR="0087087F" w:rsidRPr="001A62EA">
        <w:rPr>
          <w:rFonts w:cs="Times New Roman"/>
          <w:szCs w:val="24"/>
          <w:lang w:val="en-GB"/>
        </w:rPr>
        <w:t xml:space="preserve"> </w:t>
      </w:r>
      <w:r w:rsidR="0087087F" w:rsidRPr="001A62EA">
        <w:rPr>
          <w:rFonts w:cs="Times New Roman"/>
          <w:szCs w:val="24"/>
          <w:lang w:val="en-GB"/>
        </w:rPr>
        <w:fldChar w:fldCharType="begin" w:fldLock="1"/>
      </w:r>
      <w:r w:rsidR="0087087F" w:rsidRPr="001A62EA">
        <w:rPr>
          <w:rFonts w:cs="Times New Roman"/>
          <w:szCs w:val="24"/>
          <w:lang w:val="en-GB"/>
        </w:rPr>
        <w:instrText>ADDIN CSL_CITATION {"citationItems":[{"id":"ITEM-1","itemData":{"abstract":"Work motivation is a topic of crucial importance to the success of organizations and societies and the well-being of individuals. We organize the work motivation literature over the last century using a meta-framework that clusters theories, findings, and advances in the field according to their primary focus on (a) motives, traits, and motivation orientations (content); (b) features of the job, work role, and broader environment (context); or (c) the mechanisms and processes involved in choice and striving (process). Our integrative review reveals major achievements in the field, including more precise mapping of the psychological inputs and operations involved in motivation and broadened conceptions of the work environment. Cross-cutting trends over the last century include the primacy of goals, the importance of goal striving processes, and a more nuanced conceptualization of work motivation as a dynamic, goal-directed, resource allocation process that unfolds over the related variables of time, experience, and place. Across the field, advances in methodology and measurement have improved the match between theory and research. Ten promising directions for future research are described and field experiments are suggested as a useful means of bridging the research–practice gap. Motivation related to work remains one of the most enduring and compelling topics in industrial/organizational (I/O) psychol-ogy. As part of the larger field of motivational science, motivation related to work examines fundamental questions about the influ-ence of nonability person attributes (e.g., motives, traits, goals), work ecologies, and the mechanisms and processes involved in purposive action. Work motivation affects the skills that individ-uals develop, the jobs and careers that individuals pursue, and the manner in which individuals allocate their resources (e.g., atten-tion, effort, time, and human and social capital) to affect the direction, intensity, and persistence of activities during work. At the same time, work motivation is a topic of critical importance to public policymakers and organizations concerned with developing work environments, human resource policies, and management practices that promote vocational adjustment, individual well-being, and organizational success. As such, work motivation stands at the nexus of society, science, and organizational success. The increasing importance of motivation over the last century is reflected in both the number an…","author":[{"dropping-particle":"","family":"Kanfer","given":"Ruth.","non-dropping-particle":"","parse-names":false,"suffix":""},{"dropping-particle":"","family":"Frese","given":"Michael.","non-dropping-particle":"","parse-names":false,"suffix":""},{"dropping-particle":"","family":"Johnson","given":"Russell E.","non-dropping-particle":"","parse-names":false,"suffix":""}],"container-title":"Journal of Applied Psychology","id":"ITEM-1","issued":{"date-parts":[["2017"]]},"title":"Motivation Related to Work: A Century of Progress Toward a Meta-Framework: Conceptualizing the Phenomena and Rendering the Construct Space CONTENT-BASED APPROACHES C ONTEXT-BASED APPROACHES","type":"article-journal"},"uris":["http://www.mendeley.com/documents/?uuid=9bfc4abf-0b8c-405e-a56f-94325b60aba9","http://www.mendeley.com/documents/?uuid=f8b954e4-4756-432d-add4-7100a854dbdb"]}],"mendeley":{"formattedCitation":"(Kanfer, Frese and Johnson, 2017)","plainTextFormattedCitation":"(Kanfer, Frese and Johnson, 2017)","previouslyFormattedCitation":"(Kanfer, Frese and Johnson, 2017)"},"properties":{"noteIndex":0},"schema":"https://github.com/citation-style-language/schema/raw/master/csl-citation.json"}</w:instrText>
      </w:r>
      <w:r w:rsidR="0087087F" w:rsidRPr="001A62EA">
        <w:rPr>
          <w:rFonts w:cs="Times New Roman"/>
          <w:szCs w:val="24"/>
          <w:lang w:val="en-GB"/>
        </w:rPr>
        <w:fldChar w:fldCharType="separate"/>
      </w:r>
      <w:r w:rsidR="0087087F" w:rsidRPr="001A62EA">
        <w:rPr>
          <w:rFonts w:cs="Times New Roman"/>
          <w:szCs w:val="24"/>
          <w:lang w:val="en-GB"/>
        </w:rPr>
        <w:t>(Kanfer, Frese and Johnson, 2017)</w:t>
      </w:r>
      <w:r w:rsidR="0087087F" w:rsidRPr="001A62EA">
        <w:rPr>
          <w:rFonts w:cs="Times New Roman"/>
          <w:szCs w:val="24"/>
          <w:lang w:val="en-GB"/>
        </w:rPr>
        <w:fldChar w:fldCharType="end"/>
      </w:r>
      <w:r w:rsidRPr="001A62EA">
        <w:rPr>
          <w:rFonts w:cs="Times New Roman"/>
          <w:szCs w:val="24"/>
          <w:lang w:val="en-GB"/>
        </w:rPr>
        <w:t>. The business enterprise is fruitful as a result of the general viability of its chiefs in supporting improvements in the authoritative culture. Unilever's company lifestyle adds to enhancements in unique regions, for instance, creation and hr. The file will dissect the authoritative culture of Unilever's, the results of outer factors PESTEL and SWOT research system at the way of life of the organization and moral conduct inside the agency</w:t>
      </w:r>
      <w:r w:rsidR="0087087F" w:rsidRPr="001A62EA">
        <w:rPr>
          <w:rFonts w:cs="Times New Roman"/>
          <w:szCs w:val="24"/>
          <w:lang w:val="en-GB"/>
        </w:rPr>
        <w:t xml:space="preserve"> </w:t>
      </w:r>
      <w:r w:rsidR="0087087F" w:rsidRPr="001A62EA">
        <w:rPr>
          <w:rFonts w:cs="Times New Roman"/>
          <w:szCs w:val="24"/>
          <w:lang w:val="en-GB"/>
        </w:rPr>
        <w:fldChar w:fldCharType="begin" w:fldLock="1"/>
      </w:r>
      <w:r w:rsidR="0087087F" w:rsidRPr="001A62EA">
        <w:rPr>
          <w:rFonts w:cs="Times New Roman"/>
          <w:szCs w:val="24"/>
          <w:lang w:val="en-GB"/>
        </w:rPr>
        <w:instrText>ADDIN CSL_CITATION {"citationItems":[{"id":"ITEM-1","itemData":{"ISBN":"9788578110796","ISSN":"1098-6596","PMID":"25246403","abstract":"Although the literature on Africa increasingly adopts a gendered approach to sexual and reproductive health issues, few studies have addressed adolescent pregnancy and parenthood in such a framework. This article examines links between gender ideology or gender roles and the social impact of adolescent childbearing in the lives of rural and urban adolescents in KwaZulu/Natal, South Africa. It employs a triangulated research methodology (focus-group discussions, narrative role playing and discussions, and questionnaires and in-depth interviews) to inform an analysis of adolescents' notions of male and female gender ideals. This analysis forms the basis for an exploration of the potential influence of adolescent childbearing on young peoples' lives and factors that shape their sexual and reproductive well-being. Results indicate that gender ideals are grounded in traits that reinforce poor sexual negotiation dynamics and behavioral double standards and that place adolescents at risk for early pregnancy and other sexual and reproductive health complications. Overall, adolescent parenthood is viewed negatively by participants of both sexes because it compromises personal, professional, and financial aspirations. Compared with its effect on boys, parenthood has a disproportionate (and highly negative) impact on girls that is directly linked to gender-based inequities. The article addresses the research and policy implications of these findings.","author":[{"dropping-particle":"","family":"Ojakaa","given":"David","non-dropping-particle":"","parse-names":false,"suffix":""},{"dropping-particle":"","family":"Day","given":"World Health","non-dropping-particle":"","parse-names":false,"suffix":""},{"dropping-particle":"","family":"Benard","given":"Ronald","non-dropping-particle":"","parse-names":false,"suffix":""},{"dropping-particle":"","family":"Dulle","given":"Frankwell","non-dropping-particle":"","parse-names":false,"suffix":""},{"dropping-particle":"","family":"For","given":"Handbook","non-dropping-particle":"","parse-names":false,"suffix":""},{"dropping-particle":"","family":"Degree","given":"Masters","non-dropping-particle":"","parse-names":false,"suffix":""},{"dropping-particle":"","family":"Acquah-swanzy","given":"Martha","non-dropping-particle":"","parse-names":false,"suffix":""},{"dropping-particle":"","family":"The Presidency of Ghana","given":"","non-dropping-particle":"","parse-names":false,"suffix":""},{"dropping-particle":"","family":"Dicker","given":"Richard C","non-dropping-particle":"","parse-names":false,"suffix":""},{"dropping-particle":"","family":"Adioetomo","given":"S. R.","non-dropping-particle":"","parse-names":false,"suffix":""},{"dropping-particle":"","family":"Beninguisse","given":"G.","non-dropping-particle":"","parse-names":false,"suffix":""},{"dropping-particle":"","family":"Gultiano","given":"S.","non-dropping-particle":"","parse-names":false,"suffix":""},{"dropping-particle":"","family":"Hao","given":"Y.","non-dropping-particle":"","parse-names":false,"suffix":""},{"dropping-particle":"","family":"Nacro","given":"K.","non-dropping-particle":"","parse-names":false,"suffix":""},{"dropping-particle":"","family":"Pool","given":"I.","non-dropping-particle":"","parse-names":false,"suffix":""},{"dropping-particle":"","family":"WHO","given":"","non-dropping-particle":"","parse-names":false,"suffix":""},{"dropping-particle":"","family":"What","given":"Questions","non-dropping-particle":"","parse-names":false,"suffix":""},{"dropping-particle":"","family":"Language","given":"Structured Query","non-dropping-particle":"","parse-names":false,"suffix":""},{"dropping-particle":"","family":"Standards","given":"American National","non-dropping-particle":"","parse-names":false,"suffix":""},{"dropping-particle":"","family":"What","given":"Questions","non-dropping-particle":"","parse-names":false,"suffix":""},{"dropping-particle":"","family":"These","given":"Referential Integrity","non-dropping-particle":"","parse-names":false,"suffix":""},{"dropping-particle":"","family":"Keys","given":"Foreign","non-dropping-particle":"","parse-names":false,"suffix":""},{"dropping-particle":"","family":"Dbms","given":"Many","non-dropping-particle":"","parse-names":false,"suffix":""},{"dropping-particle":"","family":"Server","given":"S Q L","non-dropping-particle":"","parse-names":false,"suffix":""},{"dropping-particle":"","family":"What","given":"Questions","non-dropping-particle":"","parse-names":false,"suffix":""},{"dropping-particle":"","family":"Rule","given":"Information","non-dropping-particle":"","parse-names":false,"suffix":""},{"dropping-particle":"","family":"Name","given":"Customer","non-dropping-particle":"","parse-names":false,"suffix":""},{"dropping-particle":"","family":"Dictionary","given":"The Data","non-dropping-particle":"","parse-names":false,"suffix":""},{"dropping-particle":"","family":"Peacock","given":"D","non-dropping-particle":"","parse-names":false,"suffix":""},{"dropping-particle":"","family":"Redpath","given":"J","non-dropping-particle":"","parse-names":false,"suffix":""},{"dropping-particle":"","family":"Weston","given":"M","non-dropping-particle":"","parse-names":false,"suffix":""},{"dropping-particle":"","family":"Asnani","given":"Peter U","non-dropping-particle":"","parse-names":false,"suffix":""},{"dropping-particle":"","family":"Williams","given":"Dorothy","non-dropping-particle":"","parse-names":false,"suffix":""},{"dropping-particle":"","family":"Wavell","given":"Caroline","non-dropping-particle":"","parse-names":false,"suffix":""},{"dropping-particle":"","family":"Morrison","given":"Katie","non-dropping-particle":"","parse-names":false,"suffix":""},{"dropping-particle":"","family":"Public","given":"Logging","non-dropping-particle":"","parse-names":false,"suffix":""},{"dropping-particle":"","family":"Seminars","given":"Health","non-dropping-particle":"","parse-names":false,"suffix":""},{"dropping-particle":"","family":"Xml","given":"Using","non-dropping-particle":"","parse-names":false,"suffix":""},{"dropping-particle":"","family":"Adam","given":"Samir Mahoud","non-dropping-particle":"","parse-names":false,"suffix":""},{"dropping-particle":"","family":"Ahmed","given":"Nasreldin Hassan","non-dropping-particle":"","parse-names":false,"suffix":""},{"dropping-particle":"","family":"Shayboub","given":"Magdy","non-dropping-particle":"","parse-names":false,"suffix":""},{"dropping-particle":"","family":"Mahmoud","given":"Ali","non-dropping-particle":"","parse-names":false,"suffix":""},{"dropping-particle":"","family":"STG","given":"","non-dropping-particle":"","parse-names":false,"suffix":""},{"dropping-particle":"","family":"GNDP","given":"","non-dropping-particle":"","parse-names":false,"suffix":""},{"dropping-particle":"","family":"Pietruch-Reizes","given":"D","non-dropping-particle":"","parse-names":false,"suffix":""},{"dropping-particle":"","family":"Partner","given":"Founding","non-dropping-particle":"","parse-names":false,"suffix":""},{"dropping-particle":"","family":"Forrest","given":"Ludwig","non-dropping-particle":"","parse-names":false,"suffix":""},{"dropping-particle":"","family":"Advisor","given":"Philanthropy","non-dropping-particle":"","parse-names":false,"suffix":""},{"dropping-particle":"","family":"Foundation","given":"King Baudouin","non-dropping-particle":"","parse-names":false,"suffix":""},{"dropping-particle":"","family":"Simon","given":"Anne-france","non-dropping-particle":"","parse-names":false,"suffix":""},{"dropping-particle":"","family":"Beckett","given":"Charles","non-dropping-particle":"","parse-names":false,"suffix":""},{"dropping-particle":"","family":"Officer","given":"Programme","non-dropping-particle":"","parse-names":false,"suffix":""},{"dropping-particle":"","family":"Foundation","given":"Cultural","non-dropping-particle":"","parse-names":false,"suffix":""},{"dropping-particle":"De","family":"France","given":"Fondation","non-dropping-particle":"","parse-names":false,"suffix":""},{"dropping-particle":"","family":"Witt","given":"Thorsten","non-dropping-particle":"","parse-names":false,"suffix":""},{"dropping-particle":"","family":"Leader","given":"Project","non-dropping-particle":"","parse-names":false,"suffix":""},{"dropping-particle":"","family":"Slusny","given":"Lionel","non-dropping-particle":"","parse-names":false,"suffix":""},{"dropping-particle":"","family":"Solutions","given":"Loft","non-dropping-particle":"","parse-names":false,"suffix":""},{"dropping-particle":"","family":"Sexual","given":"Youth","non-dropping-particle":"","parse-names":false,"suffix":""},{"dropping-particle":"","family":"Ghana Statistical Service","given":"","non-dropping-particle":"","parse-names":false,"suffix":""},{"dropping-particle":"","family":"Brodnik","given":"Melanie S","non-dropping-particle":"","parse-names":false,"suffix":""},{"dropping-particle":"","family":"Layman","given":"Elizabeth J.","non-dropping-particle":"","parse-names":false,"suffix":""},{"dropping-particle":"","family":"Watzlaf","given":"Valerie J","non-dropping-particle":"","parse-names":false,"suffix":""},{"dropping-particle":"","family":"Karras","given":"B","non-dropping-particle":"","parse-names":false,"suffix":""},{"dropping-particle":"","family":"Ganle","given":"John Kuumuori","non-dropping-particle":"","parse-names":false,"suffix":""},{"dropping-particle":"","family":"Otupiri","given":"Easmon","non-dropping-particle":"","parse-names":false,"suffix":""},{"dropping-particle":"","family":"Parker","given":"Michael","non-dropping-particle":"","parse-names":false,"suffix":""},{"dropping-particle":"","family":"Fitzpatrick","given":"Raymond","non-dropping-particle":"","parse-names":false,"suffix":""},{"dropping-particle":"","family":"Winston","given":"Wayne L","non-dropping-particle":"","parse-names":false,"suffix":""},{"dropping-particle":"","family":"New York City Department of Health and Mental Hygiene","given":"","non-dropping-particle":"","parse-names":false,"suffix":""},{"dropping-particle":"","family":"Government of Ghana","given":"","non-dropping-particle":"","parse-names":false,"suffix":""},{"dropping-particle":"","family":"Box","given":"Address P O","non-dropping-particle":"","parse-names":false,"suffix":""},{"dropping-particle":"","family":"Ganle","given":"John Kuumuori","non-dropping-particle":"","parse-names":false,"suffix":""},{"dropping-particle":"","family":"Seidu","given":"Baba","non-dropping-particle":"","parse-names":false,"suffix":""},{"dropping-particle":"","family":"Ghana Statistical Service","given":"","non-dropping-particle":"","parse-names":false,"suffix":""},{"dropping-particle":"","family":"Panel","given":"Household Information","non-dropping-particle":"","parse-names":false,"suffix":""},{"dropping-particle":"","family":"Of","given":"Essentials","non-dropping-particle":"","parse-names":false,"suffix":""},{"dropping-particle":"","family":"Wkhru","given":"Wkh","non-dropping-particle":"","parse-names":false,"suffix":""},{"dropping-particle":"","family":"Wkhru","given":"Suredelolw","non-dropping-particle":"","parse-names":false,"suffix":""},{"dropping-particle":"","family":"Suredelolw","given":"Zk","non-dropping-particle":"","parse-names":false,"suffix":""},{"dropping-particle":"","family":"Ganle","given":"John Kuumuori","non-dropping-particle":"","parse-names":false,"suffix":""},{"dropping-particle":"","family":"Unicef WHO The World Bank","given":"","non-dropping-particle":"","parse-names":false,"suffix":""},{"dropping-particle":"","family":"Varga","given":"Christine A.","non-dropping-particle":"","parse-names":false,"suffix":""},{"dropping-particle":"","family":"Morison","given":"Linda","non-dropping-particle":"","parse-names":false,"suffix":""},{"dropping-particle":"","family":"Scherf","given":"Caroline","non-dropping-particle":"","parse-names":false,"suffix":""},{"dropping-particle":"","family":"Ekpo","given":"Gloria","non-dropping-particle":"","parse-names":false,"suffix":""},{"dropping-particle":"","family":"Paine","given":"Katie","non-dropping-particle":"","parse-names":false,"suffix":""},{"dropping-particle":"","family":"West","given":"Beryl","non-dropping-particle":"","parse-names":false,"suffix":""},{"dropping-particle":"","family":"Coleman","given":"Rosalind","non-dropping-particle":"","parse-names":false,"suffix":""},{"dropping-particle":"","family":"Walraven","given":"Gijs","non-dropping-particle":"","parse-names":false,"suffix":""},{"dropping-particle":"","family":"Pass","given":"Maximum","non-dropping-particle":"","parse-names":false,"suffix":""},{"dropping-particle":"","family":"Questions","given":"Duration","non-dropping-particle":"","parse-names":false,"suffix":""},{"dropping-particle":"","family":"Levi","given":"Kristina","non-dropping-particle":"","parse-names":false,"suffix":""},{"dropping-particle":"","family":"Grinstead","given":"C M","non-dropping-particle":"","parse-names":false,"suffix":""},{"dropping-particle":"","family":"Snell","given":"J L","non-dropping-particle":"","parse-names":false,"suffix":""},{"dropping-particle":"","family":"Pérez","given":"Maraña","non-dropping-particle":"","parse-names":false,"suffix":""},{"dropping-particle":"","family":"Hillier","given":"Frederick S.","non-dropping-particle":"","parse-names":false,"suffix":""},{"dropping-particle":"","family":"Strictest","given":"In","non-dropping-particle":"","parse-names":false,"suffix":""},{"dropping-particle":"","family":"Confidence","given":"Commercial","non-dropping-particle":"","parse-names":false,"suffix":""},{"dropping-particle":"","family":"One","given":"Part","non-dropping-particle":"","parse-names":false,"suffix":""},{"dropping-particle":"","family":"Strictest","given":"In","non-dropping-particle":"","parse-names":false,"suffix":""},{"dropping-particle":"","family":"Confidence","given":"Commercial","non-dropping-particle":"","parse-names":false,"suffix":""},{"dropping-particle":"","family":"Panfilov","given":"Alexander","non-dropping-particle":"","parse-names":false,"suffix":""},{"dropping-particle":"","family":"Derivatives","given":"Partial","non-dropping-particle":"","parse-names":false,"suffix":""},{"dropping-particle":"","family":"Derivatives","given":"Higher Order","non-dropping-particle":"","parse-names":false,"suffix":""},{"dropping-particle":"","family":"Cohen","given":"Robin A","non-dropping-particle":"","parse-names":false,"suffix":""},{"dropping-particle":"","family":"Martinez","given":"Michael E","non-dropping-particle":"","parse-names":false,"suffix":""},{"dropping-particle":"","family":"Ward","given":"Brian W","non-dropping-particle":"","parse-names":false,"suffix":""},{"dropping-particle":"","family":"Williams","given":"Dorothy","non-dropping-particle":"","parse-names":false,"suffix":""},{"dropping-particle":"","family":"Coles","given":"Louisa","non-dropping-particle":"","parse-names":false,"suffix":""},{"dropping-particle":"","family":"Wavell","given":"Caroline","non-dropping-particle":"","parse-names":false,"suffix":""},{"dropping-particle":"","family":"Ministry of Justice","given":"","non-dropping-particle":"","parse-names":false,"suffix":""},{"dropping-particle":"","family":"Sector","given":"Health","non-dropping-particle":"","parse-names":false,"suffix":""},{"dropping-particle":"","family":"Term","given":"Medium","non-dropping-particle":"","parse-names":false,"suffix":""},{"dropping-particle":"","family":"Plan","given":"Development","non-dropping-particle":"","parse-names":false,"suffix":""},{"dropping-particle":"","family":"Bird","given":"John","non-dropping-particle":"","parse-names":false,"suffix":""},{"dropping-particle":"","family":"Morgan","given":"Hb","non-dropping-particle":"","parse-names":false,"suffix":""},{"dropping-particle":"","family":"Harvard","given":"The","non-dropping-particle":"","parse-names":false,"suffix":""},{"dropping-particle":"","family":"Neville","given":"O","non-dropping-particle":"","parse-names":false,"suffix":""},{"dropping-particle":"","family":"Schackman","given":"B R","non-dropping-particle":"","parse-names":false,"suffix":""},{"dropping-particle":"","family":"Freedberg","given":"K A","non-dropping-particle":"","parse-names":false,"suffix":""},{"dropping-particle":"","family":"Weinstein","given":"M C","non-dropping-particle":"","parse-names":false,"suffix":""},{"dropping-particle":"","family":"Sax","given":"P E","non-dropping-particle":"","parse-names":false,"suffix":""},{"dropping-particle":"","family":"Losina","given":"E","non-dropping-particle":"","parse-names":false,"suffix":""},{"dropping-particle":"","family":"Zhang","given":"H","non-dropping-particle":"","parse-names":false,"suffix":""},{"dropping-particle":"","family":"Goldie","given":"S J","non-dropping-particle":"","parse-names":false,"suffix":""},{"dropping-particle":"","family":"Subjects","given":"ImmVirus-infected","non-dropping-particle":"","parse-names":false,"suffix":""},{"dropping-particle":"","family":"Matteo","given":"Policlinico S","non-dropping-particle":"","parse-names":false,"suffix":""},{"dropping-particle":"","family":"Muriuki","given":"Beatrice Mukami","non-dropping-particle":"","parse-names":false,"suffix":""},{"dropping-particle":"","family":"Gicheru","given":"Michael Muita","non-dropping-particle":"","parse-names":false,"suffix":""},{"dropping-particle":"","family":"Wachira","given":"Dorcas","non-dropping-particle":"","parse-names":false,"suffix":""},{"dropping-particle":"","family":"Nyamache","given":"Anthony Kebira","non-dropping-particle":"","parse-names":false,"suffix":""},{"dropping-particle":"","family":"Khamadi","given":"Samoel Ashimosi","non-dropping-particle":"","parse-names":false,"suffix":""},{"dropping-particle":"","family":"Irving","given":"Alyssa","non-dropping-particle":"","parse-names":false,"suffix":""},{"dropping-particle":"","family":"Burnett","given":"R J","non-dropping-particle":"","parse-names":false,"suffix":""},{"dropping-particle":"","family":"François","given":"G","non-dropping-particle":"","parse-names":false,"suffix":""},{"dropping-particle":"","family":"Kew","given":"M C","non-dropping-particle":"","parse-names":false,"suffix":""},{"dropping-particle":"","family":"Leroux-Roels","given":"G","non-dropping-particle":"","parse-names":false,"suffix":""},{"dropping-particle":"","family":"Meheus","given":"A","non-dropping-particle":"","parse-names":false,"suffix":""},{"dropping-particle":"","family":"Hoosen","given":"a a","non-dropping-particle":"","parse-names":false,"suffix":""},{"dropping-particle":"","family":"Mphahlele","given":"M J","non-dropping-particle":"","parse-names":false,"suffix":""},{"dropping-particle":"","family":"Geretti","given":"Anna Maria","non-dropping-particle":"","parse-names":false,"suffix":""},{"dropping-particle":"","family":"Patel","given":"Mauli","non-dropping-particle":"","parse-names":false,"suffix":""},{"dropping-particle":"","family":"Sarfo","given":"Fred Stephen","non-dropping-particle":"","parse-names":false,"suffix":""},{"dropping-particle":"","family":"Chadwick","given":"David","non-dropping-particle":"","parse-names":false,"suffix":""},{"dropping-particle":"","family":"Verheyen","given":"Jens","non-dropping-particle":"","parse-names":false,"suffix":""},{"dropping-particle":"","family":"Fraune","given":"Maria","non-dropping-particle":"","parse-names":false,"suffix":""},{"dropping-particle":"","family":"Garcia","given":"Ana","non-dropping-particle":"","parse-names":false,"suffix":""},{"dropping-particle":"","family":"Phillips","given":"Richard Odame","non-dropping-particle":"","parse-names":false,"suffix":""},{"dropping-particle":"","family":"Service","given":"Ghana Health","non-dropping-particle":"","parse-names":false,"suffix":""},{"dropping-particle":"","family":"Bierrenbach","given":"","non-dropping-particle":"","parse-names":false,"suffix":""},{"dropping-particle":"","family":"Blankson","given":"A","non-dropping-particle":"","parse-names":false,"suffix":""},{"dropping-particle":"","family":"Wiredu","given":"E K","non-dropping-particle":"","parse-names":false,"suffix":""},{"dropping-particle":"","family":"Gyasi","given":"R K","non-dropping-particle":"","parse-names":false,"suffix":""},{"dropping-particle":"","family":"Adjei","given":"A","non-dropping-particle":"","parse-names":false,"suffix":""},{"dropping-particle":"","family":"Tettey","given":"Y","non-dropping-particle":"","parse-names":false,"suffix":""},{"dropping-particle":"","family":"NACP","given":"","non-dropping-particle":"","parse-names":false,"suffix":""},{"dropping-particle":"","family":"Soriano","given":"Vincent","non-dropping-particle":"","parse-names":false,"suffix":""},{"dropping-particle":"","family":"Grint","given":"Daniel","non-dropping-particle":"","parse-names":false,"suffix":""},{"dropping-particle":"","family":"d'Arminio Monforte","given":"Antonella","non-dropping-particle":"","parse-names":false,"suffix":""},{"dropping-particle":"","family":"Horban","given":"Andrzej","non-dropping-particle":"","parse-names":false,"suffix":""},{"dropping-particle":"","family":"Leen","given":"Clifford","non-dropping-particle":"","parse-names":false,"suffix":""},{"dropping-particle":"","family":"Poveda","given":"Eva","non-dropping-particle":"","parse-names":false,"suffix":""},{"dropping-particle":"","family":"Antunes","given":"Francisco","non-dropping-particle":"","parse-names":false,"suffix":""},{"dropping-particle":"","family":"Wit","given":"Stephane","non-dropping-particle":"de","parse-names":false,"suffix":""},{"dropping-particle":"","family":"Lundgren","given":"Jens D","non-dropping-particle":"","parse-names":false,"suffix":""},{"dropping-particle":"","family":"Rockstroh","given":"Juergen","non-dropping-particle":"","parse-names":false,"suffix":""},{"dropping-particle":"","family":"Peters","given":"Lars","non-dropping-particle":"","parse-names":false,"suffix":""},{"dropping-particle":"","family":"Konopnicki","given":"Deborah","non-dropping-particle":"","parse-names":false,"suffix":""},{"dropping-particle":"","family":"Mocroft","given":"Amanda","non-dropping-particle":"","parse-names":false,"suffix":""},{"dropping-particle":"","family":"Wit","given":"Stephane","non-dropping-particle":"de","parse-names":false,"suffix":""},{"dropping-particle":"","family":"Antunes","given":"Francisco","non-dropping-particle":"","parse-names":false,"suffix":""},{"dropping-particle":"","family":"Ledergerber","given":"Bruno","non-dropping-particle":"","parse-names":false,"suffix":""},{"dropping-particle":"","family":"Katlama","given":"Christine","non-dropping-particle":"","parse-names":false,"suffix":""},{"dropping-particle":"","family":"Zilmer","given":"K","non-dropping-particle":"","parse-names":false,"suffix":""},{"dropping-particle":"","family":"Vella","given":"Stefano","non-dropping-particle":"","parse-names":false,"suffix":""},{"dropping-particle":"","family":"Kirk","given":"Ole","non-dropping-particle":"","parse-names":false,"suffix":""},{"dropping-particle":"","family":"Lundgren","given":"Jens D","non-dropping-particle":"","parse-names":false,"suffix":""},{"dropping-particle":"","family":"Clavagnier","given":"Isabelle","non-dropping-particle":"","parse-names":false,"suffix":""},{"dropping-particle":"","family":"Hoffmann","given":"Christopher J","non-dropping-particle":"","parse-names":false,"suffix":""},{"dropping-particle":"","family":"Seaberg","given":"Eric C","non-dropping-particle":"","parse-names":false,"suffix":""},{"dropping-particle":"","family":"Young","given":"Stephen","non-dropping-particle":"","parse-names":false,"suffix":""},{"dropping-particle":"","family":"Witt","given":"Mallory D","non-dropping-particle":"","parse-names":false,"suffix":""},{"dropping-particle":"","family":"Acunto","given":"D","non-dropping-particle":"","parse-names":false,"suffix":""},{"dropping-particle":"","family":"Phair","given":"John","non-dropping-particle":"","parse-names":false,"suffix":""},{"dropping-particle":"","family":"Thio","given":"Chloe L","non-dropping-particle":"","parse-names":false,"suffix":""},{"dropping-particle":"","family":"Chasela","given":"Charles S","non-dropping-particle":"","parse-names":false,"suffix":""},{"dropping-particle":"","family":"Wall","given":"Patrick","non-dropping-particle":"","parse-names":false,"suffix":""},{"dropping-particle":"","family":"Drobeniuc","given":"Jan","non-dropping-particle":"","parse-names":false,"suffix":""},{"dropping-particle":"","family":"King","given":"Caroline C","non-dropping-particle":"","parse-names":false,"suffix":""},{"dropping-particle":"","family":"Teshale","given":"Eyasu","non-dropping-particle":"","parse-names":false,"suffix":""},{"dropping-particle":"","family":"Hosseinipour","given":"Mina C","non-dropping-particle":"","parse-names":false,"suffix":""},{"dropping-particle":"","family":"Ellington","given":"Sascha R","non-dropping-particle":"","parse-names":false,"suffix":""},{"dropping-particle":"","family":"Codd","given":"Mary","non-dropping-particle":"","parse-names":false,"suffix":""},{"dropping-particle":"","family":"Jamieson","given":"Denise J","non-dropping-particle":"","parse-names":false,"suffix":""},{"dropping-particle":"","family":"Knight","given":"Rodney J","non-dropping-particle":"","parse-names":false,"suffix":""},{"dropping-particle":"","family":"Fitzpatrick","given":"Patricia","non-dropping-particle":"","parse-names":false,"suffix":""},{"dropping-particle":"","family":"Kourtis","given":"Athena P","non-dropping-particle":"","parse-names":false,"suffix":""},{"dropping-particle":"","family":"Hoffman","given":"Irving F","non-dropping-particle":"","parse-names":false,"suffix":""},{"dropping-particle":"","family":"Kayira","given":"Dumbani","non-dropping-particle":"","parse-names":false,"suffix":""},{"dropping-particle":"","family":"Mumba","given":"Noel","non-dropping-particle":"","parse-names":false,"suffix":""},{"dropping-particle":"","family":"Kamwendo","given":"Deborah D","non-dropping-particle":"","parse-names":false,"suffix":""},{"dropping-particle":"","family":"Martinson","given":"Francis","non-dropping-particle":"","parse-names":false,"suffix":""},{"dropping-particle":"","family":"Powderly","given":"William","non-dropping-particle":"","parse-names":false,"suffix":""},{"dropping-particle":"","family":"Horst","given":"Charles","non-dropping-particle":"van der","parse-names":false,"suffix":""},{"dropping-particle":"","family":"Kamili","given":"Saleem","non-dropping-particle":"","parse-names":false,"suffix":""},{"dropping-particle":"","family":"Nyirenda","given":"M.","non-dropping-particle":"","parse-names":false,"suffix":""},{"dropping-particle":"","family":"Beadsworth","given":"M. B J","non-dropping-particle":"","parse-names":false,"suffix":""},{"dropping-particle":"","family":"Stephany","given":"P.","non-dropping-particle":"","parse-names":false,"suffix":""},{"dropping-particle":"","family":"Hart","given":"C. A.","non-dropping-particle":"","parse-names":false,"suffix":""},{"dropping-particle":"","family":"Hart","given":"I. J.","non-dropping-particle":"","parse-names":false,"suffix":""},{"dropping-particle":"","family":"Munthali","given":"C.","non-dropping-particle":"","parse-names":false,"suffix":""},{"dropping-particle":"","family":"Beeching","given":"N. J.","non-dropping-particle":"","parse-names":false,"suffix":""},{"dropping-particle":"","family":"Zijlstra","given":"E. E.","non-dropping-particle":"","parse-names":false,"suffix":""},{"dropping-particle":"","family":"Turner","given":"Anthony G.","non-dropping-particle":"","parse-names":false,"suffix":""},{"dropping-particle":"","family":"Shimelis","given":"T","non-dropping-particle":"","parse-names":false,"suffix":""},{"dropping-particle":"","family":"Torben","given":"W","non-dropping-particle":"","parse-names":false,"suffix":""},{"dropping-particle":"","family":"Medhin","given":"G","non-dropping-particle":"","parse-names":false,"suffix":""},{"dropping-particle":"","family":"Tebeje","given":"M","non-dropping-particle":"","parse-names":false,"suffix":""},{"dropping-particle":"","family":"Andualm","given":"A","non-dropping-particle":"","parse-names":false,"suffix":""},{"dropping-particle":"","family":"Demessie","given":"F","non-dropping-particle":"","parse-names":false,"suffix":""},{"dropping-particle":"","family":"Mulu","given":"A","non-dropping-particle":"","parse-names":false,"suffix":""},{"dropping-particle":"","family":"Tegbaru","given":"B","non-dropping-particle":"","parse-names":false,"suffix":""},{"dropping-particle":"","family":"Gebre-Selassie","given":"S","non-dropping-particle":"","parse-names":false,"suffix":""},{"dropping-particle":"","family":"Wester","given":"C W","non-dropping-particle":"","parse-names":false,"suffix":""},{"dropping-particle":"","family":"Bussmann","given":"H","non-dropping-particle":"","parse-names":false,"suffix":""},{"dropping-particle":"","family":"Koethe","given":"J","non-dropping-particle":"","parse-names":false,"suffix":""},{"dropping-particle":"","family":"Moffat","given":"C","non-dropping-particle":"","parse-names":false,"suffix":""},{"dropping-particle":"","family":"Vermund","given":"S","non-dropping-particle":"","parse-names":false,"suffix":""},{"dropping-particle":"","family":"Essex","given":"M","non-dropping-particle":"","parse-names":false,"suffix":""},{"dropping-particle":"","family":"Marlink","given":"R G","non-dropping-particle":"","parse-names":false,"suffix":""},{"dropping-particle":"","family":"WHO","given":"","non-dropping-particle":"","parse-names":false,"suffix":""},{"dropping-particle":"","family":"Ghartey","given":"Adom Baisie","non-dropping-particle":"","parse-names":false,"suffix":""},{"dropping-particle":"","family":"Vision","given":"Global Immunization","non-dropping-particle":"","parse-names":false,"suffix":""},{"dropping-particle":"","family":"Scotland","given":"Nhs","non-dropping-particle":"","parse-names":false,"suffix":""},{"dropping-particle":"","family":"Ghana Statistical Service","given":"","non-dropping-particle":"","parse-names":false,"suffix":""},{"dropping-particle":"","family":"Tuma, J. M., &amp; Pratt, J. M. (1982). Clinical child psychology practice and training: A survey. \\ldots of Clinical Child &amp; Adolescent Psychology, 137(August 2012)","given":"37–41. http://doi.org/10.1037/a0022390","non-dropping-particle":"","parse-names":false,"suffix":""},{"dropping-particle":"","family":"Gobry, F. (1999). {T}his is a title. {M}y Journal, 1","given":"120–130.","non-dropping-particle":"","parse-names":false,"suffix":""},{"dropping-particle":"","family":"Osment","given":"S. E. (1980). The Age of Reform 1250-1550. … and Religious History of Late Medieval and Reform …. Retrieved from http://scholar.google.com/scholar?hl=en&amp;btnG=Search&amp;q=intitle:THE+AGE+OF+REFORM+1250-1550#2%5Cnhttp://scholar.google.com/scholar?hl=en&amp;btnG=Se","non-dropping-particle":"","parse-names":false,"suffix":""},{"dropping-particle":"","family":"Caprara, G., &amp; Fida, R. (2008). Longitudinal analysis of the role of perceived self-efficacy for self-regulated learning in academic continuance and achievement. … of Educational …, 100(3)","given":"525–534. http://doi.org/10.1037/0022-0663.100.3.525","non-dropping-particle":"","parse-names":false,"suffix":""},{"dropping-particle":"","family":"Shanker, S. (2003). Philosophy of science","given":"logic and mathematics in the twentieth century. … Philosophy. London and New York: Routledge. http://doi.org/10.4324/9780203029473","non-dropping-particle":"","parse-names":false,"suffix":""},{"dropping-particle":"","family":"Marenbon","given":"J. (1998). Routledge History of Philosophy III. … Philosophy. London and New York: Routledge. http://doi.org/10.4324/9780203062272","non-dropping-particle":"","parse-names":false,"suffix":""},{"dropping-particle":"","family":"Pole, N., &amp; Ablon, J. (2002). Ideal control mastery technique correlates with change in a single case. … Theory, Research, Practice …, 39(1)","given":"88–96. http://doi.org/10.1037//0033-3204.39.1.88","non-dropping-particle":"","parse-names":false,"suffix":""},{"dropping-particle":"","family":"Xu, S., &amp; Rajlich, V. (2005). Dialog-based protocol: An empirical research method for cognitive activities in software engineering. 2005 International Symposium on Empirical Software Engineering, ISESE 2005","given":"397–406. http://doi.org/10.1109/ISESE.2005.1541848","non-dropping-particle":"","parse-names":false,"suffix":""},{"dropping-particle":"","family":"Polikovsky, S., Kameda, Y., &amp; Ohta, Y. (2009). Facial micro-expressions recognition using high speed camera and 3D-gradient descriptor. 3rd International Conference on Imaging for Crime Detection and Prevention (ICDP 2009), (February)","given":"P16–P16. http://doi.org/10.1049/ic.2009.0244","non-dropping-particle":"","parse-names":false,"suffix":""},{"dropping-particle":"","family":"Papadimitriou, A., &amp; Cai, Y. (2011). What drives the choice of mixed methods designs? – An analysis of current higher education research publications. 7th Mixed Methods International Conference","given":"(June).","non-dropping-particle":"","parse-names":false,"suffix":""},{"dropping-particle":"","family":"Dunbar, K. N. (1998). Problem solving. A Companion to Cognitive Science","given":"289–298. Retrieved from http://psycnet.apa.org/psycinfo/1987-98523-000","non-dropping-particle":"","parse-names":false,"suffix":""},{"dropping-particle":"","family":"Kimin, A. (2012). The focusing-oriented approach applied to couple therapy. A Thesis Submitted for the Degree of Ph.D in the School of Education and Lifelong Learning, University of East Anglia, (June)","given":"553.","non-dropping-particle":"","parse-names":false,"suffix":""},{"dropping-particle":"","family":"Explicit","given":"M. I. (n.d.). Tacit knowledge Making It Explicit. A Toolkit for Travelling Facts.","non-dropping-particle":"","parse-names":false,"suffix":""},{"dropping-particle":"","family":"Williams, L. L., Levine, J. B., Malhotra, S., &amp; Holtzheimer, P. (2004). The good-enough mentoring relationship. Acad. Psychiatry, 28(2)","given":"111–115. http://doi.org/10.1176/appi.ap.28.2.111","non-dropping-particle":"","parse-names":false,"suffix":""},{"dropping-particle":"","family":"Falzer, P. R., &amp; Garman, D. M. (2012). Evidence-based decision-making as a practice-based learning skill: a pilot study. Acad. Psychiatry, 36(2)","given":"104–109. http://doi.org/10.1176/appi.ap.10050082","non-dropping-particle":"","parse-names":false,"suffix":""},{"dropping-particle":"","family":"Carraccio, C. L., Benson, B. J., Nixon, L. J., &amp; Derstine, P. L. (2008). From the educational bench to the clinical bedside: translating the Dreyfus developmental model to the learning of clinical skills. Academic Medicine : Journal of the Association of","given":"761–767. http://doi.org/10.1097/ACM.0b013e31817eb632","non-dropping-particle":"","parse-names":false,"suffix":""},{"dropping-particle":"","family":"Feinstein, R. E., &amp; Yager, J. (2013). Advanced psychotherapy training: Psychotherapy scholars’ track, and the apprenticeship model. Academic Psychiatry, 37(4)","given":"248–253. http://doi.org/10.1176/appi.ap.12100174","non-dropping-particle":"","parse-names":false,"suffix":""},{"dropping-particle":"","family":"Suddaby, R. O. Y. (2006). From the Editors : Academy of Management Journal, 49(4)","given":"633–642.","non-dropping-particle":"","parse-names":false,"suffix":""},{"dropping-particle":"","family":"Thompson, M. (2011). Ontological shift or ontological drift? Reality claims, epistemological frameworks, and theory generation in organization studies. Academy of Management Review, 36(4)","given":"754–773. http://doi.org/10.5465/amr.2010.0070","non-dropping-particle":"","parse-names":false,"suffix":""},{"dropping-particle":"","family":"Jordan, A. H. (2012). Self-enhancement and learning from performance feedback. Academy of Management Review, 37(2)","given":"211–231.","non-dropping-particle":"","parse-names":false,"suffix":""},{"dropping-particle":"","family":"Lane, P. J., Koka, B. R., &amp; Pathak, S. (2006). The reification of absorptive capacity: A critical review and rejuvenation of the construct. Academy of Management Review, 31(4)","given":"833–863. http://doi.org/10.5465/AMR.2006.22527456","non-dropping-particle":"","parse-names":false,"suffix":""},{"dropping-particle":"","family":"Evans, L. (2004). Language, translation and the problem of international accounting communication. Accounting, Auditing &amp; Accountability Journal, 17(March)","given":"210–248. http://doi.org/10.1108/09513570410532438","non-dropping-particle":"","parse-names":false,"suffix":""},{"dropping-particle":"","family":"Andow, J. (2015). A Semantic Solution to the Problem with Aesthetic Testimony. Acta Analytica, 30(2)","given":"211–218. http://doi.org/10.1007/s12136-014-0238-4","non-dropping-particle":"","parse-names":false,"suffix":""},{"dropping-particle":"","family":"Fernandes, M., &amp; Saunders, J. (2013). Does retrieval-induced forgetting affect future social behavior? Acta Psychologica, 144(1)","given":"1–5. http://doi.org/10.1016/j.actpsy.2013.04.017","non-dropping-particle":"","parse-names":false,"suffix":""},{"dropping-particle":"","family":"Stone, C. B., Luminet, O., &amp; Hirst, W. (2013). Induced forgetting and reduced confidence in our personal past? The consequences of selectively retrieving emotional autobiographical memories. Acta Psychologica, 144(2)","given":"250–257. http://doi.org/10.1016/j.actpsy.2013.06.019","non-dropping-particle":"","parse-names":false,"suffix":""},{"dropping-particle":"","family":"JUNGERMANN, H. (1980). SPECULATIONS ABOUT DECISION-THEORETIC AIDS FOR PERSONAL DECISION MAKING * Introduction Most psychologists who work in the area of decision research have been asked by friends , or have even asked themselves , whether they could use","given":"7–34.","non-dropping-particle":"","parse-names":false,"suffix":""},{"dropping-particle":"","family":"Garcia-Bajos, E., &amp; Migueles, M. (2009). When stereotype knowledge prevents retrieval-induced forgetting. Acta Psychologica, 131(1)","given":"63–71. http://doi.org/10.1016/j.actpsy.2009.02.007","non-dropping-particle":"","parse-names":false,"suffix":""},{"dropping-particle":"","family":"Oquist","given":"P. (1978). The Epistemology of Action Research. Acta Sociologica. http://doi.org/10.1177/000169937802100404","non-dropping-particle":"","parse-names":false,"suffix":""},{"dropping-particle":"","family":"Mann, P., &amp; Clarke, D. M. (2007). Writing it down—writing it out—writing it up: researching our practice through action learning. Action Learning: Research and Practice, 4(2)","given":"153–171. http://doi.org/10.1080/14767330701592763","non-dropping-particle":"","parse-names":false,"suffix":""},{"dropping-particle":"","family":"Jacobs, G. (2010). Conflicting demands and the power of defensive routines in participatory action research. Action Research, 8(4)","given":"367–386. http://doi.org/10.1177/1476750310366041","non-dropping-particle":"","parse-names":false,"suffix":""},{"dropping-particle":"","family":"Wicks, P. G., &amp; Reason, P. (2015). Initiating action research Challenges and paradoxes of opening communicative space e d i t o r i a l. Action Research, 7(3)","given":"243–262. http://doi.org/10.1177/1476750309336715","non-dropping-particle":"","parse-names":false,"suffix":""},{"dropping-particle":"","family":"Dick, B. (2006). Action research literature 2004-2006: Themes and trends. Action Research, 4(4)","given":"439–458. http://doi.org/10.1177/1476750306070105","non-dropping-particle":"","parse-names":false,"suffix":""},{"dropping-particle":"","family":"Vines, R., Hall, W. P., &amp; Naismith, L. (2011). Exploring the foundations of organizational knowledge. ActKM Conference (2007)","given":"2007(September 2007). Retrieved from http://www.univie.ac.at/constructivism/journal/bib/download/884/1","non-dropping-particle":"","parse-names":false,"suffix":""},{"dropping-particle":"","family":"Komeda, H., Tsunemi, K., Inohara, K., Kusumi, T., &amp; Rapp, D. N. (2013). Acta Psychologica Beyond disposition : The processing consequences of explicit and implicit invocations of empathy. ACTPSY, 142(3)","given":"349–355. http://doi.org/10.1016/j.actpsy.2013.01.002","non-dropping-particle":"","parse-names":false,"suffix":""},{"dropping-particle":"","family":"Cherie, A., Mekonen, A., &amp; Shimelse, T. (2005). Introduction to Professional Nursing and Ethics. Addis Ababa University, In …","given":"1–157. Retrieved from http://www.cartercenter.org/resources/pdfs/health/ephti/library/lecture_notes/nursing_students/ln_intro_prof_nsg_final.pdf","non-dropping-particle":"","parse-names":false,"suffix":""},{"dropping-particle":"","family":"Bozeman, B., &amp; Feeney, M. K. (2007). Toward a Useful Theory of Mentoring: A Conceptual Analysis and Critique. Administration &amp; Society, 39(6)","given":"719–739. http://doi.org/10.1177/0095399707304119","non-dropping-particle":"","parse-names":false,"suffix":""},{"dropping-particle":"","family":"Aarons, G. A., Covert, J., Skriner, L. C., Green, A., Marto, D., Garland, A. F., &amp; Landsverk, J. (2010). The eye of the beholder: Youths and parents differ on what matters in mental health services. Administration and Policy in Mental Health and Mental He","given":"459–467. http://doi.org/10.1007/s10488-010-0276-1","non-dropping-particle":"","parse-names":false,"suffix":""},{"dropping-particle":"","family":"Gatta, M., Spoto, A., Testa, P., Svanellini, L., Lai, J., Salis, M., … Battistella, P. A. (2010). Adolescent insight within the working alliance: A bridge between diagnostic and psychotherapeutic processes. Adolescent Health, Medicine and Therapeutics, 1","given":"45–52. http://doi.org/10.2147/AHMT.S9323","non-dropping-particle":"","parse-names":false,"suffix":""},{"dropping-particle":"","family":"Goeker, M. H., &amp; Thompson, C. a. (2000). Personalized Conversational Case-Based Recommendation. Advances in Case-Based Reasoning, (2000)","given":"99–111.","non-dropping-particle":"","parse-names":false,"suffix":""},{"dropping-particle":"","family":"Branting, K., Lester, J., &amp; Mott","given":"B. (2004). Dialogue management for conversational case-based reasoning. Advances in Case-Based Reasoning. http://doi.org/10.1007/978-3-540-28631-8_7","non-dropping-particle":"","parse-names":false,"suffix":""},{"dropping-particle":"","family":"Stalmeijer, R. E., Dolmans, D. H. J. M., Wolfhagen, I. H. A. P., &amp; Scherpbier, A. J. J. A. (2009). Cognitive apprenticeship in clinical practice: Can it stimulate learning in the opinion of students? Advances in Health Sciences Education, 14(4)","given":"535–546. http://doi.org/10.1007/s10459-008-9136-0","non-dropping-particle":"","parse-names":false,"suffix":""},{"dropping-particle":"","family":"Levine, R. B., Kern, D. E., &amp; Wright, S. M. (2008). The impact of prompted narrative writing during internship on reflective practice: A qualitative study. Advances in Health Sciences Education, 13(5)","given":"723–733. http://doi.org/10.1007/s10459-007-9079-x","non-dropping-particle":"","parse-names":false,"suffix":""},{"dropping-particle":"","family":"Dou, L., &amp; Dou, J. (2012). The design of optimal guidance law with multi-constraints using block pulse functions. Aerospace Science and Technology, 23(1)","given":"201–205. http://doi.org/10.1016/j.ast.2011.02.009","non-dropping-particle":"","parse-names":false,"suffix":""},{"dropping-particle":"","family":"McGowan, B., Saintas, P., &amp; Gill, K. S. (2009). On mentoring, social mentoring and befriending. AI and Society, 23(4)","given":"613–630. http://doi.org/10.1007/s00146-008-0184-z","non-dropping-particle":"","parse-names":false,"suffix":""},{"dropping-particle":"","family":"Kimmerle, J., Moskaliuk, J., Cress, U., &amp; Thiel, A. (2011). A systems theoretical approach to online knowledge building. AI and Society, 26(1)","given":"49–60. http://doi.org/10.1007/s00146-010-0281-7","non-dropping-particle":"","parse-names":false,"suffix":""},{"dropping-particle":"","family":"Summers, D. J., Cremaldi, L. M., Datta, A., Duraisamy, M., Luo, T., &amp; Lyons, G. T. (2012). A 233 km tunnel for lepton and hadron colliders. AIP Conference Proceedings, 1507","given":"860–865. http://doi.org/10.1063/1.4773811","non-dropping-particle":"","parse-names":false,"suffix":""},{"dropping-particle":"","family":"Ziam, S. (2010). Knowledge brokers and how to communicate knowledge in 2010. Allergy, Asthma &amp; Clinical Immunology, 6(Suppl 4)","given":"1–2. http://doi.org/10.1186%2F1710-1492-6-S4-A3","non-dropping-particle":"","parse-names":false,"suffix":""},{"dropping-particle":"","family":"Sperry","given":"R. W. (1987). Structure and significance of the consciousness revolution. The Journal of Mind and Behavior. Retrieved from http://people.uncw.edu/puente/sperry/sperrypapers/80s-90s/254-1987.pdf (1995). The Riddle of Consciousness and the Changing Scientif","non-dropping-particle":"","parse-names":false,"suffix":""},{"dropping-particle":"","family":"Renn, O., Klinke, A., &amp; Van Asselt, M. (2011). Coping with complexity, uncertainty and ambiguity in risk governance: A synthesis. Ambio, 40(2)","given":"231–246. http://doi.org/10.1007/s13280-010-0134-0","non-dropping-particle":"","parse-names":false,"suffix":""},{"dropping-particle":"","family":"Nisbet, M. C., &amp; Scheufele, D. A. (2009). What’s next for science communication? promising directions and lingering distractions. American Journal of Botany, 96(10)","given":"1767–1778. http://doi.org/10.3732/ajb.0900041","non-dropping-particle":"","parse-names":false,"suffix":""},{"dropping-particle":"","family":"Berg, M., Coman, E., &amp; Schensul, J. J. (2009). Youth action research for prevention: A multi-level intervention designed to increase efficacy and empowerment among urban youth. American Journal of Community Psychology, 43(3–4)","given":"345–359. http://doi.org/10.1007/s10464-009-9231-2","non-dropping-particle":"","parse-names":false,"suffix":""},{"dropping-particle":"","family":"Ioannidis, J. P. A. (2008). Effect of formal statistical significance on the credibility of observational Associations. American Journal of Epidemiology, 168(4)","given":"374–383. http://doi.org/10.1093/aje/kwn156","non-dropping-particle":"","parse-names":false,"suffix":""},{"dropping-particle":"","family":"Wakefield, J. (2008). A Bayesian Measure of the Probability of False Discovery in Molecular Genetic Epidemiology Studies (DOI:10.1086/519024). American Journal of Human Genetics, 83(3)","given":"424. http://doi.org/10.1016/j.ajhg.2008.08.010","non-dropping-particle":"","parse-names":false,"suffix":""},{"dropping-particle":"","family":"Wakefield, J. (2008). A Bayesian Measure of the Probability of False Discovery in Molecular Genetic Epidemiology Studies (DOI:10.1086/519024). American Journal of Human Genetics, 83(3)","given":"424. http://doi.org/10.1016/j.ajhg.2008.08.010","non-dropping-particle":"","parse-names":false,"suffix":""},{"dropping-particle":"","family":"Wakefield, J. (2008). A Bayesian Measure of the Probability of False Discovery in Molecular Genetic Epidemiology Studies (DOI:10.1086/519024). American Journal of Human Genetics, 83(3)","given":"424. http://doi.org/10.1016/j.ajhg.2008.08.010","non-dropping-particle":"","parse-names":false,"suffix":""},{"dropping-particle":"","family":"Lising, L., &amp; Elby, A. (2005). The impact of epistemology on learning: A case study from introductory physics. American Journal of Physics, 73(4)","given":"372. http://doi.org/10.1119/1.1848115","non-dropping-particle":"","parse-names":false,"suffix":""},{"dropping-particle":"","family":"Olfson, M., &amp; Marcus, S. C. (2010). National trends in outpatient psychotherapy. American Journal of Psychiatry, 167(12)","given":"1456–1463. http://doi.org/10.1176/appi.ajp.2010.10040570","non-dropping-particle":"","parse-names":false,"suffix":""},{"dropping-particle":"","family":"Thomason, T. C. (2010). The trend toward evidence-based practice and the future of psychotherapy. American Journal of Psychotherapy, 64(1)","given":"29–38.","non-dropping-particle":"","parse-names":false,"suffix":""},{"dropping-particle":"","family":"Nelson, T. O. (1996). Consciousness and metacognition. American Psychologist, 51(2)","given":"102–116. http://doi.org/10.1037/0003-066X.51.2.102","non-dropping-particle":"","parse-names":false,"suffix":""},{"dropping-particle":"","family":"Flavell, J. H. (1979). Metacognition and cognitive monitoring: A new area of cognitive–developmental inquiry. American Psychologist, 34(10)","given":"906–911. http://doi.org/10.1037/0003-066x.34.10.906","non-dropping-particle":"","parse-names":false,"suffix":""},{"dropping-particle":"","family":"Polanyi, M. (1968). Logic and Psychology. American Psychologist, 23(1)","given":"27–43. http://doi.org/10.1037/h0037692","non-dropping-particle":"","parse-names":false,"suffix":""},{"dropping-particle":"","family":"Gholson, B., &amp; Barker, P. (1985). Kuhn, Lakatos, and Laudan: Applications in the history of physics and psychology. American Psychologist, 40","given":"755–769. http://doi.org/10.1037/0003-066X.40.7.755","non-dropping-particle":"","parse-names":false,"suffix":""},{"dropping-particle":"","family":"Torney-purta, J. V, &amp; Einstein, A. (2009). Matters for Policy and Practice. American Psychologist, 64(4)","given":"825–837.","non-dropping-particle":"","parse-names":false,"suffix":""},{"dropping-particle":"","family":"Seligman, M. E. P., &amp; Csikszentmihalyi, M. (2000). Positive psychology: An introduction. American Psychologist, 55(1)","given":"5–14. http://doi.org/10.1037//0003-066X.55.1.5","non-dropping-particle":"","parse-names":false,"suffix":""},{"dropping-particle":"","family":"APA Presidential Task Force on Evidence-Based Practice. (2006). Evidence-based practice in psychology. American Psychologist, 61(4)","given":"271–285. http://doi.org/10.1037/0003-066X.61.4.271","non-dropping-particle":"","parse-names":false,"suffix":""},{"dropping-particle":"","family":"Rogers, C. R. (1958). A process conception of psychotherapy. American Psychologist, 13(4)","given":"142–149. http://doi.org/10.1037/h0042129","non-dropping-particle":"","parse-names":false,"suffix":""},{"dropping-particle":"","family":"Shedler, J. (2010). American Psychologist , in press The Efficacy of Psychodynamic Psychotherapy. American Psychologist, 65(2)","given":"98–109. http://doi.org/10.1037/a0018378","non-dropping-particle":"","parse-names":false,"suffix":""},{"dropping-particle":"","family":"Erwin, E. (2000). Is a Science of Psychotherapy Possible? American Psychologist, 55(10)","given":"1133–1138. http://doi.org/10.1037//0003-066X.55.10.1133","non-dropping-particle":"","parse-names":false,"suffix":""},{"dropping-particle":"","family":"Dipboye, R. L., &amp; Flanagan, M. F. (1980). Research settings in industrial and organizational psychology. American Psychologist, 35(4)","given":"388–390. http://doi.org/10.1037/0003-066X.35.4.388","non-dropping-particle":"","parse-names":false,"suffix":""},{"dropping-particle":"","family":"Markman, A. B., Gentner, D., &amp; Markman, A. B. (1997). Structure mapping in analogy and similarity. American Psychologist, 52(1)","given":"45–56. http://doi.org/10.1037/0003-066X.52.1.45","non-dropping-particle":"","parse-names":false,"suffix":""},{"dropping-particle":"","family":"Dietetics, C., &amp; Sciences, N. (2011). The Use and Effectiveness of Behavioural Modification Techniques in Achieving and Maintaining Normal Weight And Fitness – The Lifestyle Changes for Adults in Cyprus. American Psychologist, 64(2)","given":"140–148. http://doi.org/10.1037/a0013207","non-dropping-particle":"","parse-names":false,"suffix":""},{"dropping-particle":"","family":"Shwed, U., &amp; Bearman, P. S. (2010). The Temporal Structure of Scientific Consensus Formation. American Sociological Review, 75(6)","given":"817–840. http://doi.org/10.1177/0003122410388488","non-dropping-particle":"","parse-names":false,"suffix":""},{"dropping-particle":"","family":"Sutton, A. (n.d.). Creativity, Culture and Consciousness What is the connection? Amsutton-Visualartist.Com","given":"1–25. Retrieved from http://www.amsutton-visualartist.com/pdfs/essay_meme.pdf","non-dropping-particle":"","parse-names":false,"suffix":""},{"dropping-particle":"","family":"Altrichter, H., Posch, P., &amp; Somekh","given":"B. (2006). Teachers investigate their work. An introduction to the methods of action research. http://doi.org/10.1111/j.1467-8535.2008.00870_1.x","non-dropping-particle":"","parse-names":false,"suffix":""},{"dropping-particle":"","family":"Mellow, J. (1969). Professional identity? ANA Clinical Conferences","given":"12–19.","non-dropping-particle":"","parse-names":false,"suffix":""},{"dropping-particle":"","family":"Muller, F., &amp; Fraassen, B. Van. (2008). How to talk about unobservables. Analysis, 68(January 2007)","given":"197–205. http://doi.org/10.1111/j.1467-8284.2008.00738.x","non-dropping-particle":"","parse-names":false,"suffix":""},{"dropping-particle":"","family":"Vrij, A. (2008). Detecting lies and deceit: pitfalls and opportunities. Wiley Series in the Psychology of Crime","given":"Policing and Law. Analysis. http://doi.org/10.1002/1521-3773(20010316)40:6&lt;9823::AID-ANIE9823&gt;3.3.CO;2-C","non-dropping-particle":"","parse-names":false,"suffix":""},{"dropping-particle":"","family":"Kenny","given":"A. (2004). Ancient Philosophy. Ancient Philosophy.","non-dropping-particle":"","parse-names":false,"suffix":""},{"dropping-particle":"","family":"Suicide, P. (2001). Position Paper. Annals of Internal Medicine, (October 2000)","given":"209–216.","non-dropping-particle":"","parse-names":false,"suffix":""},{"dropping-particle":"","family":"Tegmark, M. (1998). Is “the Theory of Everything” Merely the Ultimate Ensemble Theory? Annals of Physics, 270(1)","given":"1–51. http://doi.org/10.1006/aphy.1998.5855","non-dropping-particle":"","parse-names":false,"suffix":""},{"dropping-particle":"","family":"Chiao, J. Y., Mathur, V. A., Harada, T., &amp; Lipke, T. (2009). Neural basis of preference for human social hierarchy versus egalitarianism. Annals of the New York Academy of Sciences, 1167","given":"174–181. http://doi.org/10.1111/j.1749-6632.2009.04508.x","non-dropping-particle":"","parse-names":false,"suffix":""},{"dropping-particle":"","family":"HAACK, S. (1996). Concern for Truth: What It Means, Why It Matters. Annals of the New York Academy of Sciences, 775","given":"57–63. http://doi.org/10.1111/j.1749-6632.1996.tb23127.x","non-dropping-particle":"","parse-names":false,"suffix":""},{"dropping-particle":"","family":"Ballantyne, R. (2009). Trends in tourism research. Annals of Tourism Research, 36(1)","given":"149–152. http://doi.org/10.1016/j.annals.2008.07.001","non-dropping-particle":"","parse-names":false,"suffix":""},{"dropping-particle":"","family":"Cheong, S. M., &amp; Miller, M. L. (2000). Power and tourism: A Foucauldian observation. Annals of Tourism Research, 27(2)","given":"371–390. http://doi.org/10.1016/S0160-7383(99)00065-1","non-dropping-particle":"","parse-names":false,"suffix":""},{"dropping-particle":"","family":"Herremans, I. M., Haworth, T., Press, H., &amp; Kim, D. (2009). Cases in Sustainable Tourism : An Experiential Approach to Making Decisions. Annals of Tourism Research, 36(1)","given":"153–155. http://doi.org/10.1016/j.annals.2008.09.006","non-dropping-particle":"","parse-names":false,"suffix":""},{"dropping-particle":"","family":"Xiao, H., &amp; Smith, S. L. J. (2008). Knowledge impact An Appraisal of Tourism Scholarship. Annals of Tourism Research, 35(1)","given":"62–83. http://doi.org/10.1016/j.annals.2007.06.008","non-dropping-particle":"","parse-names":false,"suffix":""},{"dropping-particle":"","family":"Haber, S., &amp; Reichel, A. (2005). Physical design correlates of small ventures’ profitability. Annals of Tourism Research, 32(1)","given":"269–272. http://doi.org/10.1016/j.annals.2004.05.008","non-dropping-particle":"","parse-names":false,"suffix":""},{"dropping-particle":"","family":"Walle, A. H. (1997). Quantitative versus qualitative tourism research. Annals of Tourism Research, 24(3)","given":"524–536. http://doi.org/10.1016/S0160-7383(96)00055-2","non-dropping-particle":"","parse-names":false,"suffix":""},{"dropping-particle":"","family":"Tribe, J. (2008). The art of tourism. Annals of Tourism Research, 35(4)","given":"924–944. http://doi.org/10.1016/j.annals.2008.07.003","non-dropping-particle":"","parse-names":false,"suffix":""},{"dropping-particle":"","family":"Xiao, H., &amp; Smith, S. L. J. (2006). The making of tourism research: Insights from a social sciences journal. Annals of Tourism Research, 33(2)","given":"490–507. http://doi.org/10.1016/j.annals.2006.01.004","non-dropping-particle":"","parse-names":false,"suffix":""},{"dropping-particle":"","family":"Riley, R. W., &amp; Love, L. L. (2000). The state of qualitative tourism research. Annals of Tourism Research, 27(1)","given":"164–187. http://doi.org/10.1016/S0160-7383(99)00068-7","non-dropping-particle":"","parse-names":false,"suffix":""},{"dropping-particle":"","family":"Tribe, J. (2006). The truth about tourism. Annals of Tourism Research, 33(2)","given":"360–381. http://doi.org/10.1016/j.annals.2005.11.001","non-dropping-particle":"","parse-names":false,"suffix":""},{"dropping-particle":"","family":"Xiao, H., &amp; Smith, S. L. J. (2007). The use of Tourism knowledge. Research Propositions. Annals of Tourism Research, 34(2)","given":"310–331. http://doi.org/10.1016/j.annals.2006.09.001","non-dropping-particle":"","parse-names":false,"suffix":""},{"dropping-particle":"","family":"Echtner, C. M., &amp; Jamal, T. B. (1997). the Disciplinary Dilemma of Tourism Studies. Annals ofTowism Research, 24(4)","given":"868–883. http://doi.org/10.1016/S0160-7383(97)00060-1","non-dropping-particle":"","parse-names":false,"suffix":""},{"dropping-particle":"","family":"Bucholtz, M. (2002). Youth and Cultural Practice. Annu. Rev. Anthropol, 31(2002)","given":"525–52. http://doi.org/10.1146/annurev.anthro.31.040402.085443","non-dropping-particle":"","parse-names":false,"suffix":""},{"dropping-particle":"","family":"Corbetta, M., &amp; Shulman","given":"G. L. (2011). Spatial neglect and attention networks. Annual review of neuroscience (Vol. 34). http://doi.org/10.1146/annurev-neuro-061010-113731","non-dropping-particle":"","parse-names":false,"suffix":""},{"dropping-particle":"","family":"Nairne, J. S. (2002). REMEMBERING OVER THE S HORT -TERM : The Case Against the Standard Model. Annual Review of Psychology","given":"53–81. http://doi.org/10.1146/annurev.psych.53.100901.135131","non-dropping-particle":"","parse-names":false,"suffix":""},{"dropping-particle":"","family":"Evans, J. S. B. T. (2008). Dual-processing accounts of reasoning, judgment, and social cognition. Annual Review of Psychology, 59","given":"255–278. http://doi.org/10.1146/annurev.psych.59.103006.093629","non-dropping-particle":"","parse-names":false,"suffix":""},{"dropping-particle":"","family":"Macrae, C. N., &amp; Bodenhausen, G. V. (2000). Social cognition: Thinking categorically about others. Annual Review of Psychology, 51","given":"93–120. http://doi.org/10.1146/annurev.psych.51.1.93","non-dropping-particle":"","parse-names":false,"suffix":""},{"dropping-particle":"","family":"Powell, W., &amp; Snellman, J. (2004). The Knowledge Economy. Annual Review of Sociology, 30(1)","given":"199–220. http://doi.org/10.1146/annurev.soc.29.010202.100037","non-dropping-particle":"","parse-names":false,"suffix":""},{"dropping-particle":"","family":"Theodossopoulos, D. (2013). Laying Claim to Authenticity: Five Anthropological Dilemmas. Anthropological Quarterly, 86(2)","given":"337–360. http://doi.org/10.1353/anq.2013.0032","non-dropping-particle":"","parse-names":false,"suffix":""},{"dropping-particle":"","family":"UHLÍŘ, V., S</w:instrText>
      </w:r>
      <w:r w:rsidR="0087087F" w:rsidRPr="001A62EA">
        <w:rPr>
          <w:rFonts w:eastAsia="SimSun" w:cs="Times New Roman"/>
          <w:szCs w:val="24"/>
          <w:lang w:val="en-GB"/>
        </w:rPr>
        <w:instrText>℡</w:instrText>
      </w:r>
      <w:r w:rsidR="0087087F" w:rsidRPr="001A62EA">
        <w:rPr>
          <w:rFonts w:cs="Times New Roman"/>
          <w:szCs w:val="24"/>
          <w:lang w:val="en-GB"/>
        </w:rPr>
        <w:instrText>LA, M., STELLA, M., &amp; S</w:instrText>
      </w:r>
      <w:r w:rsidR="0087087F" w:rsidRPr="001A62EA">
        <w:rPr>
          <w:rFonts w:eastAsia="SimSun" w:cs="Times New Roman"/>
          <w:szCs w:val="24"/>
          <w:lang w:val="en-GB"/>
        </w:rPr>
        <w:instrText>℡</w:instrText>
      </w:r>
      <w:r w:rsidR="0087087F" w:rsidRPr="001A62EA">
        <w:rPr>
          <w:rFonts w:cs="Times New Roman"/>
          <w:szCs w:val="24"/>
          <w:lang w:val="en-GB"/>
        </w:rPr>
        <w:instrText>LA, M. (2013). Who Needs Memetics? Possible Developments of the Meme Concept and Beyond. Anthropologie, (2012)","given":"127–142. Retrieved from http://puvodni.mzm.cz/Anthropologie/downloads/articles/Uhlir_2012_p127-142.pdf","non-dropping-particle":"","parse-names":false,"suffix":""},{"dropping-particle":"","family":"Sperry, R. W., &amp; Henninger","given":"P. (1994). Consciousness and the Cognitive Revolution: A True Worldview Paradigm Shift. Anthropology of Consciousness. http://doi.org/10.1525/ac.1994.5.3.3","non-dropping-particle":"","parse-names":false,"suffix":""},{"dropping-particle":"","family":"Massat, M. B. (2016). RSNA 2015 review: “Innovation” as expressed through technology. Applied Radiology, 45(2)","given":"42–51. http://doi.org/10.1002/yd","non-dropping-particle":"","parse-names":false,"suffix":""},{"dropping-particle":"","family":"Guest, G., MacQueen, K., &amp; Namey, E. (2012). Introduction to applied thematic analysis. Applied Thematic Analysis","given":"3–20. http://doi.org/http://dx.doi.org/10.4135/9781483384436","non-dropping-particle":"","parse-names":false,"suffix":""},{"dropping-particle":"","family":"Pérez-Gómez, A. (1997). Hermeneutics as Architectural Discourse. Architecture-Language, International Journal of Architectural Theory, 2(2)","given":"11. Retrieved from http://www.tucottbus.de/BTU/Fak2/TheoArch/Wolke/eng/Subjects/972/Gomez/perez-gomez_t.html","non-dropping-particle":"","parse-names":false,"suffix":""},{"dropping-particle":"","family":"Ecclestone, K. (2009). Affect, knowledge, communication, creativity and emotion. Area Knowledge, Creativity, (December)","given":"1–20. Retrieved from http://www.beyondcurrenthorizons.org.uk/wp-content/uploads/ch3_final_ecclestonehayes_affect_20081218.pdf","non-dropping-particle":"","parse-names":false,"suffix":""},{"dropping-particle":"","family":"Griffin, T. (2013). Shine on you crazy diamond. Artforum International, 51(7)","given":"91. Retrieved from http://www.scopus.com/inward/record.url?eid=2-s2.0-84875426693&amp;partnerID=tZOtx3y1","non-dropping-particle":"","parse-names":false,"suffix":""},{"dropping-particle":"","family":"Thagard, P., Holyoak, K. J., Nelson, G., &amp; Gochfeld, D. (1990). Analog retrieval by constraint satisfaction. Artificial Intelligence, 46(3)","given":"259–310. http://doi.org/10.1016/0004-3702(90)90018-U","non-dropping-particle":"","parse-names":false,"suffix":""},{"dropping-particle":"","family":"Skusa, A., &amp; Bedau, M. A. (2003). Towards a comparison of evolutionary creativity in biological and cultural evolution. Artificial Life","given":"233–242. Retrieved from http://books.google.com/books?hl=en&amp;amp;lr=&amp;amp;id=si_KlRbL1XoC&amp;amp;oi=fnd&amp;amp;pg=PA233&amp;amp;dq=Towards+a+Comparison+of+Evolutionary+Creativity+in+Biological+and+Cultural+Evolution&amp;amp;ots=2AH2a9iUmc&amp;amp;sig=2Ww3ha60imm5cKq7LP1YPIt7","non-dropping-particle":"","parse-names":false,"suffix":""},{"dropping-particle":"","family":"Gunaratne, S. a. (2008). Understanding systems theory: transition from equilibrium to entropy. Asian Journal of Communication, 18(3)","given":"175–192. http://doi.org/10.1080/01292980802207033","non-dropping-particle":"","parse-names":false,"suffix":""},{"dropping-particle":"","family":"Rodrigo, A., Majoor, J., Minson, F., &amp; Jayakody, K. (2013). Recent trends in psychotherapy training among psychiatrists in the UK, Australia and New Zealand. Australasian Psychiatry : Bulletin of Royal Australian and New Zealand College of Psychiatrists,","given":"182–3. http://doi.org/10.1177/1039856212475326","non-dropping-particle":"","parse-names":false,"suffix":""},{"dropping-particle":"","family":"Sturm, S., &amp; Turner, S. (2011). Knowledge waves: New Zealand as educational enterprise. Australian Journal of Communication, 38(3)","given":"153–178. Retrieved from http://search.informit.com.au/documentSummary;dn=776742281608674;res=IELHSS","non-dropping-particle":"","parse-names":false,"suffix":""},{"dropping-particle":"","family":"Miron, A. M., Brummett, B., Ruggles, B., &amp; Brehm, J. W. (2008). Deterring anger and anger-motivated behaviors. Basic and Applied Social Psychology, 30(4)","given":"326–338. http://doi.org/10.1080/01973530802502259","non-dropping-particle":"","parse-names":false,"suffix":""},{"dropping-particle":"","family":"Basic Psychological Theories. (n.d.). Basic Psychological Theories","given":"64–101.","non-dropping-particle":"","parse-names":false,"suffix":""},{"dropping-particle":"","family":"Basic Psychological Theories. (n.d.). Basic Psychological Theories","given":"64–101.","non-dropping-particle":"","parse-names":false,"suffix":""},{"dropping-particle":"","family":"Basic Psychological Theories. (n.d.). Basic Psychological Theories","given":"64–101.","non-dropping-particle":"","parse-names":false,"suffix":""},{"dropping-particle":"","family":"Evans, I. M. (1997). The effect of values on scientific and clinical judgment in behavior therapy. Behavior Therapy, 28(4)","given":"483–493. http://doi.org/10.1016/S0005-7894(97)80003-2","non-dropping-particle":"","parse-names":false,"suffix":""},{"dropping-particle":"","family":"Pinker, S., &amp; Bloom, P. (1992). Natural language and natural selection. Behavioral and Brain Sciences, 13","given":"1–50. http://doi.org/doi:10.1017/S0140525X00033987","non-dropping-particle":"","parse-names":false,"suffix":""},{"dropping-particle":"","family":"Jablonka, E., &amp; Lamb, M. J. (2007). Pré cis of Evolution in Four Dimensions. Behavioral and Brain Sciences, 30","given":"353–392. http://doi.org/10.1017/S0140525X07002221","non-dropping-particle":"","parse-names":false,"suffix":""},{"dropping-particle":"","family":"Mitchell, C. J., De Houwer, J., &amp; Lovibond, P. F. (2009). The associative nature of human associative learning. Behavioral and Brain Sciences, 32(2)","given":"183–246. http://doi.org/10.1017/S0140525X09001149","non-dropping-particle":"","parse-names":false,"suffix":""},{"dropping-particle":"","family":"Mesoudi, A., Whiten, A., &amp; Laland, K. N. N. (2006). Towards a unified science of cultural evolution. Behavioral and Brain Sciences, 29(4)","given":"329–347. http://doi.org/10.1017/S0140525X06009083","non-dropping-particle":"","parse-names":false,"suffix":""},{"dropping-particle":"","family":"Becker, C. B., Zayfert, C., &amp; Anderson, E. (2004). A survey of psychologists’ attitudes towards and utilization of exposure therapy for PTSD. Behaviour Research and Therapy, 42(3)","given":"277–292. http://doi.org/10.1016/S0005-7967(03)00138-4","non-dropping-particle":"","parse-names":false,"suffix":""},{"dropping-particle":"","family":"Eysenck, H. J. (1994). The outcome problem in psychotherapy: What have we learned? Behaviour Research and Therapy, 32(5)","given":"477–495. http://doi.org/10.1016/0005-7967(94)90135-X","non-dropping-particle":"","parse-names":false,"suffix":""},{"dropping-particle":"","family":"Berry, C., &amp; Hayward, M. (2011). What can qualitative research tell us about service user perspectives of CBT for psychosis? A synthesis of current evidence. Behavioural and Cognitive Psychotherapy, 39(4)","given":"487–94. http://doi.org/10.1017/S1352465811000154","non-dropping-particle":"","parse-names":false,"suffix":""},{"dropping-particle":"","family":"Braun, D. A., Mehring, C., &amp; Wolpert, D. M. (2010). Structure learning in action. Behavioural Brain Research, 206(2)","given":"157–165. http://doi.org/10.1016/j.bbr.2009.08.031","non-dropping-particle":"","parse-names":false,"suffix":""},{"dropping-particle":"","family":"Ortega-Castro, N., &amp; Vadillo, M. A. (2013). Retrieval-induced forgetting and interference between cues: Training a cue-outcome association attenuates retrieval by alternative cues. Behavioural Processes, 94","given":"19–25. http://doi.org/10.1016/j.beproc.2012.11.010","non-dropping-particle":"","parse-names":false,"suffix":""},{"dropping-particle":"","family":"Fox, E., Zougkou, K., Ridgewell, A., &amp; Garner, K. (2011). The serotonin transporter gene alters sensitivity to attention bias modification: Evidence for a plasticity gene. Biological Psychiatry, 70(11)","given":"1049–1054. http://doi.org/10.1016/j.biopsych.2011.07.004","non-dropping-particle":"","parse-names":false,"suffix":""},{"dropping-particle":"","family":"McShane, M., Nirenburg, S., &amp; Jarrell, B. (2013). Modeling decision-making biases. Biologically Inspired Cognitive Architectures, 3","given":"39–50. http://doi.org/10.1016/j.bica.2012.09.001","non-dropping-particle":"","parse-names":false,"suffix":""},{"dropping-particle":"","family":"Wimsatt, W. C. (1999). Genes, Memes and Cultural Heredity. Biology and Philosophy, 14(2)","given":"279–310. http://doi.org/10.1023/A:1006646703557","non-dropping-particle":"","parse-names":false,"suffix":""},{"dropping-particle":"","family":"Chalovich, J. M., &amp; Eisenberg, E. (2005). NIH Public Access. Biophysical Chemistry, 257(5)","given":"2432–2437. http://doi.org/10.1016/j.immuni.2010.12.017.Two-stage","non-dropping-particle":"","parse-names":false,"suffix":""},{"dropping-particle":"","family":"Benner, M. F., Jansen, P. M., Vermeer, M. H., &amp; Willemze, R. (2016). Prognostic factors in transformed mycosis fungoides : a retrospective analysis of 100 cases. Blood, 119(7)","given":"1643–1650. http://doi.org/10.1182/blood-2011-08-376319.The","non-dropping-particle":"","parse-names":false,"suffix":""},{"dropping-particle":"","family":"Thomas, J., Harden, A., Thomas, James, &amp; Harden, Angela. (2008). Methods for the thematic synthesis of qualitative research in systematic reviews. BMC Medical Research Methodology, 8(1)","given":"45. http://doi.org/10.1186/1471-2288-8-45","non-dropping-particle":"","parse-names":false,"suffix":""},{"dropping-particle":"","family":"Lingard, L., Albert, M., &amp; Levinson, W. (2008). Grounded theory, mixed methods, and action research. Bmj, 337(aug07 3)","given":"a567–a567. http://doi.org/10.1136/bmj.39602.690162.47","non-dropping-particle":"","parse-names":false,"suffix":""},{"dropping-particle":"","family":"Scott, I. A. (2009). Errors in clinical reasoning: causes and remedial strategies. BMJ (Clinical Research Ed.), 338(july)","given":"b1860. http://doi.org/10.1136/bmj.b1860","non-dropping-particle":"","parse-names":false,"suffix":""},{"dropping-particle":"","family":"Bismark, M. M., Spittal, M. J., Gurrin, L. C., Ward, M., &amp; Studdert, D. M. (2013). Identification of doctors at risk of recurrent complaints: a national study of healthcare complaints in Australia. BMJ Quality &amp; Safety, 22(7)","given":"532–540. http://doi.org/10.1136/bmjqs-2012-001691","non-dropping-particle":"","parse-names":false,"suffix":""},{"dropping-particle":"","family":"Mays, N., &amp; Pope, C. (1995). Qualitative Research. BMJ: British Medical Journal, 109–112","given":"109. http://doi.org/10.1002/0470013192.bsa514","non-dropping-particle":"","parse-names":false,"suffix":""},{"dropping-particle":"","family":"Habermas, J. (1984). The theory of communicative action. Book, 1(1)","given":"v. http://doi.org/10.1086/228287","non-dropping-particle":"","parse-names":false,"suffix":""},{"dropping-particle":"","family":"Kahneman, D. (2011). Thinking , Fast and Slow (Abstract). Book","given":"512. http://doi.org/10.1007/s13398-014-0173-7.2","non-dropping-particle":"","parse-names":false,"suffix":""},{"dropping-particle":"","family":"Stern, R. (2013). Hegel’s Critique of Kant: From Dichotomy to Identity. Br. J. Hist. Philos., 21(4)","given":"807–810. http://doi.org/10.1080/09608788.2013.792778","non-dropping-particle":"","parse-names":false,"suffix":""},{"dropping-particle":"","family":"Lennon, T. M. (2013). Self, Reason, and Freedom: A New Light on Descartes’s Metaphysics. Br. J. Hist. Philos., 21(5)","given":"1003–1005. http://doi.org/10.1080/09608788.2013.821403","non-dropping-particle":"","parse-names":false,"suffix":""},{"dropping-particle":"","family":"Madden, C., Hoen, M., &amp; Dominey, P. F. (2010). A cognitive neuroscience perspective on embodied language for human-robot cooperation. Brain and Language, 112(3)","given":"180–188. http://doi.org/10.1016/j.bandl.2009.07.001","non-dropping-particle":"","parse-names":false,"suffix":""},{"dropping-particle":"","family":"Waller, R., Murray, L., Dotterer, H. L., &amp; Hyde","given":"L. W. (2015). Neuroimaging Approaches to Understanding Youth Antisocial Behavior. Brain Mapping: An Encyclopedic Reference (Vol. 3). Elsevier Inc. http://doi.org/10.1016/B978-0-12-397025-1.00125-1","non-dropping-particle":"","parse-names":false,"suffix":""},{"dropping-particle":"","family":"Hooker, C. I., Verosky, S. C., Germine, L. T., Knight, R. T., &amp; Esposito, M. D. (2009). Neural activity during social signal perception correlates with self-reported empathy. Brain Research, 1308","given":"100–113. http://doi.org/10.1016/j.brainres.2009.10.006","non-dropping-particle":"","parse-names":false,"suffix":""},{"dropping-particle":"","family":"Decety, J., &amp; Grèzes, J. (2006). The power of simulation: Imagining one’s own and other’s behavior. Brain Research, 1079(1)","given":"4–14. http://doi.org/10.1016/j.brainres.2005.12.115","non-dropping-particle":"","parse-names":false,"suffix":""},{"dropping-particle":"","family":"Paganucci, C. (2004). Therapy in research, research in therapy. Brief Strategic and Systemic Therapy European Review","given":"1.","non-dropping-particle":"","parse-names":false,"suffix":""},{"dropping-particle":"","family":"Wegerif, R. (2008). Dialogic or dialectic? The significance of ontological assumptions in research on educational dialogue. British Educational Research Journal, 34(3)","given":"347–361. http://doi.org/10.1080/01411920701532228","non-dropping-particle":"","parse-names":false,"suffix":""},{"dropping-particle":"","family":"Colley, H. (2003). Engagement Mentoring for “Disaffected” Youth: A new model of mentoring for social inclusion. British Educational Research Journal, 29(4)","given":"521–542. http://doi.org/10.1080/0141192032000099351","non-dropping-particle":"","parse-names":false,"suffix":""},{"dropping-particle":"","family":"Day, C. (1993). A necessary but not sufficient condition for professional development . British Educational Research Journal, 19(1)","given":"83–93. http://doi.org/10.1080/0141192930190107","non-dropping-particle":"","parse-names":false,"suffix":""},{"dropping-particle":"","family":"Amijee, F. (2013). British Journal for the History of Philosophy The Role of Attention in Russell ג€TM s Theory of Knowledge. British Journal for the History of Philosophy, 0(0)","given":"1–19. http://doi.org/10.1080/09608788.2013.846250","non-dropping-particle":"","parse-names":false,"suffix":""},{"dropping-particle":"","family":"Nachtomy, O. (2011). A Tale of Two Thinkers, One Meeting, and Three Degrees of Infinity: Leibniz and Spinoza. British Journal for the History of Philosophy, 19(5)","given":"935–961. http://doi.org/10.1080/09608788.2011.599570","non-dropping-particle":"","parse-names":false,"suffix":""},{"dropping-particle":"","family":"Platt, A. R. (2011). Divine Activity and Motive Power in Descartes’s Physics. British Journal for the History of Philosophy, 19(5)","given":"849–871. http://doi.org/10.1080/09608788.2011.599566","non-dropping-particle":"","parse-names":false,"suffix":""},{"dropping-particle":"","family":"Stone, A. (2002). Ethical Implications of Hegel’S Philosophy of Nature. British Journal for the History of Philosophy, 10(2)","given":"243–260. http://doi.org/10.1080/09608780210123364","non-dropping-particle":"","parse-names":false,"suffix":""},{"dropping-particle":"","family":"Buben, A. (2013). Heidegger’s Reception of Kierkegaard: The Existential Philosophy of Death. British Journal for the History of Philosophy, 21(5)","given":"967–988. http://doi.org/10.1080/09608788.2013.825576","non-dropping-particle":"","parse-names":false,"suffix":""},{"dropping-particle":"","family":"Mitchell, D. (2013). How the Free Spirit Became Free: Sickness and Romanticism in Nietzsche’s 1886 Prefaces. British Journal for the History of Philosophy, 21(5)","given":"946–966. http://doi.org/10.1080/09608788.2013.805397","non-dropping-particle":"","parse-names":false,"suffix":""},{"dropping-particle":"","family":"Gelfert, A. (2013). Hume on Curiosity. British Journal for the History of Philosophy, 21(4)","given":"711–732. http://doi.org/10.1080/09608788.2013.792238","non-dropping-particle":"","parse-names":false,"suffix":""},{"dropping-particle":"","family":"Buckle, S. (2013). Hume’s Preference for the Enquiry: A Reply to Miller. British Journal for the History of Philosophy, 21(6)","given":"1219–1229. http://doi.org/10.1080/09608788.2013.867475","non-dropping-particle":"","parse-names":false,"suffix":""},{"dropping-particle":"","family":"Giles, J. (2011). Kierkegaard on Faith and Love. British Journal for the History of Philosophy, 19(5)","given":"1004–1008. http://doi.org/10.1080/09608788.2011.599575","non-dropping-particle":"","parse-names":false,"suffix":""},{"dropping-particle":"","family":"Jorgensen, L. M. (2011). Leibniz on Memory and Consciousness. British Journal for the History of Philosophy, 19(5)","given":"887–916. http://doi.org/10.1080/09608788.2011.599568","non-dropping-particle":"","parse-names":false,"suffix":""},{"dropping-particle":"","family":"Boeker, R. (2013). Locke on Personal Identity: Consciousness and Concernment. British Journal for the History of Philosophy, 21(4)","given":"803–806. http://doi.org/10.1080/09608788.2013.807497","non-dropping-particle":"","parse-names":false,"suffix":""},{"dropping-particle":"","family":"Castelli, L. M. (2011). Metaphysics XII 7, 1072A27-B1: An Argument of Identity. British Journal for the History of Philosophy, 19(5)","given":"837–848. http://doi.org/10.1080/09608788.2011.599565","non-dropping-particle":"","parse-names":false,"suffix":""},{"dropping-particle":"","family":"Janaway, C. (ed), &amp; Robertson, S. (ed). (2013). Nietzsche, Naturalism, and Normativity. British Journal for the History of Philosophy, 21(6)","given":"1237–1240. http://doi.org/10.1080/09608788.2013.852969","non-dropping-particle":"","parse-names":false,"suffix":""},{"dropping-particle":"","family":"Marušić, J. S. (2013). Reflection and the Stability of Belief: Essays on Descartes, Hume and Reid. British Journal for the History of Philosophy, 21(4)","given":"800–803. http://doi.org/10.1080/09608788.2013.807499","non-dropping-particle":"","parse-names":false,"suffix":""},{"dropping-particle":"","family":"Berges, S. (2013). Rethinking Twelfth-Century Virtue Ethics: the Contribution of Heloise. British Journal for the History of Philosophy, 21(4)","given":"667–687. http://doi.org/10.1080/09608788.2013.792237","non-dropping-particle":"","parse-names":false,"suffix":""},{"dropping-particle":"","family":"Jacquette, D. (2011). Schopenhauer as the World’s Clear Philosophical Eye. British Journal for the History of Philosophy, 19(5)","given":"983–996. http://doi.org/10.1080/09608788.2011.599572","non-dropping-particle":"","parse-names":false,"suffix":""},{"dropping-particle":"","family":"Grünbaum, A. (1976). Is the method of bold conjectures and attempted refutations justifiably the method of science? British Journal for the Philosophy of Science, 27(2)","given":"105–136. http://doi.org/10.1093/bjps/27.2.105","non-dropping-particle":"","parse-names":false,"suffix":""},{"dropping-particle":"","family":"Gooding, D. (1994). Imaginary science. British Journal for the Philosophy of Science, 45(4)","given":"1029–1045. http://doi.org/10.1093/bjps/45.4.1029","non-dropping-particle":"","parse-names":false,"suffix":""},{"dropping-particle":"","family":"Eck, D., De Jong, H. L., &amp; Schouten, M. K. D. (2006). Evaluating new wave reductionism: The case of vision. British Journal for the Philosophy of Science, 57(1)","given":"167–196. http://doi.org/10.1093/bjps/axi153","non-dropping-particle":"Van","parse-names":false,"suffix":""},{"dropping-particle":"","family":"Tiles","given":"J. E. (1992). Experimental evidence vs. experimental practice? British Journal for the Philosophy of Science. http://doi.org/10.1093/bjps/43.1.99","non-dropping-particle":"","parse-names":false,"suffix":""},{"dropping-particle":"","family":"Pryor, J. (2001). Highlights of recent epistemology. British Journal for the Philosophy of Science, 52(1)","given":"95–124. http://doi.org/10.1093/bjps/52.1.95","non-dropping-particle":"","parse-names":false,"suffix":""},{"dropping-particle":"","family":"Hayes, D. (2009). Academic freedom and the diminished subject. British Journal of Educational Studies, 57(2)","given":"127–145. http://doi.org/10.1111/j.1467-8527.2009.00432.x","non-dropping-particle":"","parse-names":false,"suffix":""},{"dropping-particle":"","family":"Mitra, S., &amp; Dangwal, R. (2010). Limits to self-organising systems of learning - The Kalikuppam experiment. British Journal of Educational Technology, 41(5)","given":"672–688. http://doi.org/10.1111/j.1467-8535.2010.01077.x","non-dropping-particle":"","parse-names":false,"suffix":""},{"dropping-particle":"","family":"Simpson, S. (2009). Psychotherapy via videoconferencing: a review. British Journal of Guidance &amp; Counselling, 37(3)","given":"271–286. http://doi.org/10.1080/03069880902957007","non-dropping-particle":"","parse-names":false,"suffix":""},{"dropping-particle":"","family":"Martin, L., Turcotte, M., Matte, L., &amp; Shepard, B. (2013). The counselling and psychotherapy profession in Canada : regulatory processes and current status. British Journal of Guidance &amp; Counselling, 41(1)","given":"46–57. http://doi.org/&lt;a href=“http://dx.doi.org/10.1080/03069885.2012.750271”&gt;http://dx.doi.org/10.1080/03069885.2012.750271&lt;/a&gt;","non-dropping-particle":"","parse-names":false,"suffix":""},{"dropping-particle":"","family":"McAuley, M. J. (2003). Transference, countertransference and mentoring: The ghost in the process. British Journal of Guidance and Counselling, 31(1)","given":"11–26. http://doi.org/10.1080/0306988031000086134","non-dropping-particle":"","parse-names":false,"suffix":""},{"dropping-particle":"","family":"Vasco, A., &amp; Dryden, W. (1994). The development of psychotherapists’ theoretical orientation and clinical practice. British Journal of Guidance and Counselling, 22(3)","given":"327–341. http://doi.org/10.1080/03069889408253678","non-dropping-particle":"","parse-names":false,"suffix":""},{"dropping-particle":"","family":"Murray, L. (1992). British Journal of In-Service Education What is Practitioner Based Enquiry? What is Practitioner Based Enquiry? British Journal of In-Service Education, 18(3)","given":"191–196. http://doi.org/10.1080/0305763920180309","non-dropping-particle":"","parse-names":false,"suffix":""},{"dropping-particle":"","family":"Finlay, L. (2000). The life world of the occupational therapist: Meaning and motive in an uncertain world. British Journal of Occupational Therapy, 63(8)","given":"366.","non-dropping-particle":"","parse-names":false,"suffix":""},{"dropping-particle":"","family":"White","given":"P. A. (1988). Knowing more about what we can tell: “Introspective access” and causal report accuracy 10 years later. British Journal of Psychology. http://doi.org/10.1111/j.2044-8295.1988.tb02271.x","non-dropping-particle":"","parse-names":false,"suffix":""},{"dropping-particle":"","family":"Macrae, C. N., &amp; Bodenhausen, G. V. (2001). Social cognition: Categorical person perception. British Journal of Psychology (London, England : 1953), 92 Part 1","given":"239–255. http://doi.org/10.1348/000712601162059","non-dropping-particle":"","parse-names":false,"suffix":""},{"dropping-particle":"","family":"Gillespie, A. (2007). Collapsing Self/Other positions: Identification through differentiation. British Journal of Social Psychology, 46(3)","given":"579–595. http://doi.org/10.1348/014466606X155439","non-dropping-particle":"","parse-names":false,"suffix":""},{"dropping-particle":"","family":"Dixon, J., &amp; Durrheim, K. (2000). Displacing place-identity: A discursive approach to locating self and other. British Journal of Social Psychology, 39","given":"27–44. http://doi.org/10.1348/014466600164318","non-dropping-particle":"","parse-names":false,"suffix":""},{"dropping-particle":"","family":"Edwards, R., &amp; Alldred, P. (2000). A typology of parental involvement in education centring on children and young people: negotiating familialisation, institutionalisation and individualisation. British Journal of Sociology of Education, 21(3)","given":"435–455. http://doi.org/10.1080/713655358","non-dropping-particle":"","parse-names":false,"suffix":""},{"dropping-particle":"","family":"Reeves, S., Kuper, A., &amp; Hodges, B. D. (2013). Qualitative research methodologies: ethnography. British Medical Journal, 337(7668)","given":"512–514. http://doi.org/10.1136/bmj.alO20","non-dropping-particle":"","parse-names":false,"suffix":""},{"dropping-particle":"","family":"James, R. K., Acquisitions, S., Marquita, E., &amp; Boes, A. V. (2010). Licensed to : iChapters User Licensed to : iChapters User. Business","given":"957. http://doi.org/0-495-91356-1","non-dropping-particle":"","parse-names":false,"suffix":""},{"dropping-particle":"","family":"Nonaka, I., &amp; Konno","given":"N. (1998). The concept of “Ba.” California Management Review. http://doi.org/10.1016/j.otsr.2010.03.008","non-dropping-particle":"","parse-names":false,"suffix":""},{"dropping-particle":"","family":"Scardamalia, M., &amp; Bereiter, C. (2006). Knowledge Building: Theory, Pedagogy, and Technology. Cambridge Handbook of the Learning Sciences","given":"97–118. http://doi.org/10.1598/RT.61.2.5","non-dropping-particle":"","parse-names":false,"suffix":""},{"dropping-particle":"","family":"Meissner, C. a., Redlich, A. D., Bhatt, S., &amp; Brandon, S. (2012). Interview and Interrogation Methods and Their Effects on Investigative Outcomes. Campbell Systematic Reviews 2012, 13","given":"1–53. http://doi.org/10.4073/csr.2012.13","non-dropping-particle":"","parse-names":false,"suffix":""},{"dropping-particle":"","family":"Guenter, D., Fowler, N., &amp; Lee, L. (2011). Clinical uncertainty: helping our learners. Canadian Family Physician Médecin de Famille Canadien, 57(1)","given":"120–5. Retrieved from http://www.pubmedcentral.nih.gov/articlerender.fcgi?artid=3024176&amp;tool=pmcentrez&amp;rendertype=abstract","non-dropping-particle":"","parse-names":false,"suffix":""},{"dropping-particle":"","family":"Vrij, A., Akehurst, L., Soukara, S., &amp; Bull, R. (2004). Let me inform you how to tell a convincing story: CBCA and reality monitoring scores as a function of age, coaching, and deception. Canadian Journal of Behavioural Science, 36(2)","given":"113–126. http://doi.org/10.1177/1529100610390861","non-dropping-particle":"","parse-names":false,"suffix":""},{"dropping-particle":"","family":"Osborne, J. W., &amp; John W. Osborne. (1989). Some Basic Existential-Phenomenological Research Methodology for Counsellors. Canadian Journal of Consuelling, 24(2)","given":"160. http://doi.org/10.1017/CBO9781107415324.004","non-dropping-particle":"","parse-names":false,"suffix":""},{"dropping-particle":"","family":"Gauthier, B., Guilbert, L., &amp; Pelletier, M. L. (1997). Soft systems methodology and problem framing: Development of an environmental problem solving model respecting a new emergent reflexive paradigm. Canadian Journal of Environmental Education, 2","given":"163–182. Retrieved from http://cjee.lakeheadu.ca/index.php/cjee/article/view/360","non-dropping-particle":"","parse-names":false,"suffix":""},{"dropping-particle":"","family":"Ruitenberg, C. (2010). CSSHE Review Essay / Comptes rendus. Canadian Journal of Higher Education/Revue Canadienne D’enseignement Supérieur, 40(2)","given":"95–104.","non-dropping-particle":"","parse-names":false,"suffix":""},{"dropping-particle":"","family":"Scardamalia, M., &amp; Bereiter, C. (2010). A Brief History of Knowledge Building. Canadian Journal of Learning and Technology, 36(1)","given":"1–16. Retrieved from http://www.cjlt.ca/index.php/cjlt/article/view/574","non-dropping-particle":"","parse-names":false,"suffix":""},{"dropping-particle":"","family":"McLaughlin, N. (2006). Steve Fuller. Kuhn vs. Popper: the Struggle for the Soul of Science. Canadian Journal of Sociology Online, (Nov-Dec)","given":"1–5. http://doi.org/10.1558/jocr.v8i2.258","non-dropping-particle":"","parse-names":false,"suffix":""},{"dropping-particle":"","family":"Ryan, R. M., &amp; Deci, E. L. (2008). A self-determination theory approach to psychotherapy: The motivational basis for effective change. Canadian Psychology, 49(3)","given":"186–193. http://doi.org/10.1037/a0012753","non-dropping-particle":"","parse-names":false,"suffix":""},{"dropping-particle":"","family":"Dugbartey, A. T., &amp; Miller, M. (2009). Review of Boundaries in psychotherapy: Ethical and clinical explorations. Canadian Psychology/Psychologie Canadienne, 50(1)","given":"42–43. http://doi.org/10.1037/a0014803","non-dropping-particle":"","parse-names":false,"suffix":""},{"dropping-particle":"","family":"Warner, R. E. (1991). PROFESSIONAL ISSUES QUESTIONS PROFESSIONNELLES A survey of theoretical orientations of Canadian clinical psychologists. Canadian Psychology/Psychologie Canadienne, 32(3)","given":"525–528. http://doi.org/10.1037/h0079025","non-dropping-particle":"","parse-names":false,"suffix":""},{"dropping-particle":"","family":"McNutt, N. S., &amp; Crain, W. R. (1981). Quantitative electron microscopic comparison of lymphocyte nuclear contours in mycosis fungoides and in benign infiltrates in skin. Cancer, 47(4)","given":"698–709. http://doi.org/10.1002/1097-0142(19810215)47:4&lt;698::AID-CNCR2820470413&gt;3.0.CO;2-Z","non-dropping-particle":"","parse-names":false,"suffix":""},{"dropping-particle":"","family":"Bojer, M. M. (2010). Dialogue: The Place of Dialogue in Capacity Development. Capacity Development in Practice","given":"131–141. http://doi.org/10.4324/9781849776363","non-dropping-particle":"","parse-names":false,"suffix":""},{"dropping-particle":"","family":"Hooley, T., Kulej, M., &amp; Education","given":"H. (2009). Understanding the part-time researcher. Careers Research and Advisory Centre (CRAC).","non-dropping-particle":"","parse-names":false,"suffix":""},{"dropping-particle":"","family":"Hagmayer, Y., Sloman, S., Lagnado, D., &amp; Waldmann, M. R. (2010). Causal Reasoning Through Intervention. Causal Learning: Psychology, Philosophy","given":"and Computation. http://doi.org/10.1093/acprof:oso/9780195176803.003.0007","non-dropping-particle":"","parse-names":false,"suffix":""},{"dropping-particle":"","family":"Kunsch, P. L., Theys, M., &amp; Brans, J. P. (2007). The importance of systems thinking in ethical and sustainable decision-making. Central European Journal of Operations Research, 15(3)","given":"253–269. http://doi.org/10.1007/s10100-007-0029-8","non-dropping-particle":"","parse-names":false,"suffix":""},{"dropping-particle":"","family":"Tremblay, P., &amp; Small, S. L. (2011). From language comprehension to action understanding and back again. Cerebral Cortex, 21(5)","given":"1166–1177. http://doi.org/10.1093/cercor/bhq189","non-dropping-particle":"","parse-names":false,"suffix":""},{"dropping-particle":"","family":"Zhang, S., Yang, H., &amp; Singh, L. (2014). Increased information leakage from text. CEUR Workshop Proceedings, 1225(June)","given":"41–42. http://doi.org/10.1023/A","non-dropping-particle":"","parse-names":false,"suffix":""},{"dropping-particle":"","family":"Dropbox, T., Application, D., &amp; Website, T. D. (2010). Dropbox Quick Start. Change, 66(2)","given":"1–5. http://doi.org/10.1074/jbc.M311198200","non-dropping-particle":"","parse-names":false,"suffix":""},{"dropping-particle":"","family":"Liu, H., Selker, T., &amp; Lieberman, H. (2003). Visualizing the affective structure of a text document. CHI ’03 Extended Abstracts on Human Factors in Computing Systems - CHI ’03","given":"740. http://doi.org/10.1145/765891.765961","non-dropping-particle":"","parse-names":false,"suffix":""},{"dropping-particle":"","family":"Harnett, P. H., &amp; Dawe, S. (2012). The contribution of mindfulness-based therapies for children and families and proposed conceptual integration. Child and Adolescent Mental Health, 17(4)","given":"195–208. http://doi.org/10.1111/j.1475-3588.2011.00643.x","non-dropping-particle":"","parse-names":false,"suffix":""},{"dropping-particle":"","family":"Spencer, J. P., Blumberg, M. S., Mcmurray, B., Robinson, S. R., Larissa, K., &amp; Tomblin, J. B. (2010). NIH Public Access. Child Development, 3(2)","given":"79–87. http://doi.org/10.1111/j.1750-8606.2009.00081.x.Short","non-dropping-particle":"","parse-names":false,"suffix":""},{"dropping-particle":"","family":"Kakihara, F., &amp; Tilton-Weaver, L. (2009). Adolescents’ interpretations of parental control: Differentiated by domain and types of control. Child Development, 80(6)","given":"1722–1738. http://doi.org/10.1111/j.1467-8624.2009.01364.x","non-dropping-particle":"","parse-names":false,"suffix":""},{"dropping-particle":"","family":"Spelke, E. S., &amp; Kinzler, K. D. (2009). Innateness, Learning, and Rationality. Child Development Perspectives, 3(2)","given":"96–98. http://doi.org/10.1111/j.1750-8606.2009.00085.x","non-dropping-particle":"","parse-names":false,"suffix":""},{"dropping-particle":"","family":"Landau, B. (2009). The importance of the nativist-empiricist debate: Thinking about primitives without primitive thinking. Child Development Perspectives, 3(2)","given":"88–90. http://doi.org/10.1111/j.1750-8606.2009.00082.x","non-dropping-particle":"","parse-names":false,"suffix":""},{"dropping-particle":"","family":"Tang, Y. Y., Yang, L., Leve, L. D., &amp; Harold, G. T. (2012). Improving Executive Function and Its Neurobiological Mechanisms Through a Mindfulness-Based Intervention: Advances Within the Field of Developmental Neuroscience. Child Development Perspectives,","given":"361–366. http://doi.org/10.1111/j.1750-8606.2012.00250.x","non-dropping-particle":"","parse-names":false,"suffix":""},{"dropping-particle":"","family":"Spyrou, S. (2011). The limits of children’s voices: From authenticity to critical, reflexive representation. Childhood, 18(2)","given":"151–165. http://doi.org/10.1177/0907568210387834","non-dropping-particle":"","parse-names":false,"suffix":""},{"dropping-particle":"","family":"Skånfors, L. (2009). Ethics in Child Research: Children’s Agency and Researchers’ “Ethical Radar.” Childhoods Today, 3(1)","given":"1–22.","non-dropping-particle":"","parse-names":false,"suffix":""},{"dropping-particle":"","family":"Morrow, V. (2008). Ethical dilemmas in research with children and young people about their social environments. Children’s Geographies, 6(1)","given":"49–61. http://doi.org/10.1080/14733280701791918","non-dropping-particle":"","parse-names":false,"suffix":""},{"dropping-particle":"","family":"Kendrick, A., Steckley, L., &amp; Lerpiniere, J. (2008). Ethical issues, research and vulnerability: gaining the views of children and young people in residential care. Children’s Geographies, 6(1)","given":"79–93. http://doi.org/10.1080/14733280701791967","non-dropping-particle":"","parse-names":false,"suffix":""},{"dropping-particle":"","family":"Cahill, C. (2004). Defying gravity? raising consciousness through collective research. Children’s Geographies, 2(2)","given":"273–286. http://doi.org/10.1080/14733280410001720557","non-dropping-particle":"","parse-names":false,"suffix":""},{"dropping-particle":"","family":"Bell, N. (2008). Ethics in child research: rights, reason and responsibilities. Children’s Geographies, 6(1)","given":"7–20. http://doi.org/10.1080/14733280701791827","non-dropping-particle":"","parse-names":false,"suffix":""},{"dropping-particle":"","family":"Bushin, N. (2007). Interviewing with Children in their Homes: Putting Ethical Principles into Practice and Developing Flexible Techniques. Children’s Geographies, 5(January 2015)","given":"235–251. http://doi.org/10.1080/14733280701445796","non-dropping-particle":"","parse-names":false,"suffix":""},{"dropping-particle":"","family":"Kesby, M. (2007). Methodological Insights on and from Children’s Geographies. Children’s Geographies, 5(3)","given":"193–205. http://doi.org/10.1080/14733280701445739","non-dropping-particle":"","parse-names":false,"suffix":""},{"dropping-particle":"","family":"Skelton, T. (2008). Research with children and young people: exploring the tensions between ethics, competence and participation. Children’s Geographies, 6(1)","given":"21–36. http://doi.org/10.1080/14733280701791876","non-dropping-particle":"","parse-names":false,"suffix":""},{"dropping-particle":"","family":"Holt, L. (2004). The “voices” of children: de‐centring empowering research relations. Children’s Geographies, 2(1)","given":"13–27. http://doi.org/10.1080/1473328032000168732","non-dropping-particle":"","parse-names":false,"suffix":""},{"dropping-particle":"","family":"Horton, J., &amp; Kraftl, P. (2006). What else? Some more ways of thinking and doing “children”s geographies’. Children’s Geographies, 3285(October 2013)","given":"69–95. http://doi.org/10.1080/14733280600577459","non-dropping-particle":"","parse-names":false,"suffix":""},{"dropping-particle":"","family":"Cahill, C. (2007). Young People: Participatory Research and the Rituals of Collective Work. Children’s Geographies, 5(3)","given":"297–312. http://doi.org/10.1080/14733280701445895","non-dropping-particle":"","parse-names":false,"suffix":""},{"dropping-particle":"","family":"Punch, S. (2007). “I Felt they were Ganging up on me”: Interviewing Siblings at Home. Children’s Geographies, 5(3)","given":"219–234. http://doi.org/10.1080/14733280701445770","non-dropping-particle":"","parse-names":false,"suffix":""},{"dropping-particle":"","family":"Gallagher, M. (2008). Power is not an evil rethinking power in participatory methods. Children’s Geographies, 6(2)","given":"137–150. http://doi.org/10.1080/14733280801963045","non-dropping-particle":"","parse-names":false,"suffix":""},{"dropping-particle":"","family":"Curry, L. A., Nembhard, I. M., &amp; Bradley, E. H. (2009). Qualitative and mixed methods provide unique contributions to outcomes research. Circulation, 119(10)","given":"1442–1452. http://doi.org/10.1161/CIRCULATIONAHA.107.742775","non-dropping-particle":"","parse-names":false,"suffix":""},{"dropping-particle":"","family":"Carey, S. (1992). The origin and evolution of everyday concepts. Climate Change 2013 - The Physical Science Basis","given":"1–30. http://doi.org/10.1017/CBO9781107415324.004","non-dropping-particle":"","parse-names":false,"suffix":""},{"dropping-particle":"","family":"Shmotkin, D., Eyal, N., &amp; Lomranz, J. (1993). Differential characteristics of clinical psychologists treating younger and older clients. Clinical Gerontologist, 12(3)","given":"3–16. http://doi.org/10.1300/J018v12n03_02","non-dropping-particle":"","parse-names":false,"suffix":""},{"dropping-particle":"","family":"Didonna","given":"F. (2009). Clinical handbook of mindfulness. Clinical Handbook of Mindfulness. http://doi.org/10.1007/978-0-387-09593-6","non-dropping-particle":"","parse-names":false,"suffix":""},{"dropping-particle":"","family":"Mcmaster, M. L., Kristinsson, S. Y., Turesson, I., Bjorkholm, M., &amp; Landgren, O. (2010). NIH Public Access. Clinical Lymphoma, 9(1)","given":"19–22. http://doi.org/10.3816/CLM.2009.n.003.Novel","non-dropping-particle":"","parse-names":false,"suffix":""},{"dropping-particle":"","family":"Lavender, T. (2003). Redressing the Balance: the place, history and future of reflective practice in clinical training. Clinical Psychology, 27(July)","given":"11–15.","non-dropping-particle":"","parse-names":false,"suffix":""},{"dropping-particle":"","family":"Lambert, M. (1989). the Individual Therapist ’ S Contribution To Psychotherapy Process and Outcome. Clinical Psychology, 9","given":"469–485.","non-dropping-particle":"","parse-names":false,"suffix":""},{"dropping-particle":"","family":"Gilbert, K. E. (2012). The neglected role of positive emotion in adolescent psychopathology. Clinical Psychology Review, 32(6)","given":"467–481. http://doi.org/10.1016/j.cpr.2012.05.005","non-dropping-particle":"","parse-names":false,"suffix":""},{"dropping-particle":"","family":"Henretty, J. R., &amp; Levitt, H. M. (2010). The role of therapist self-disclosure in psychotherapy: A qualitative review. Clinical Psychology Review, 30(1)","given":"63–77. http://doi.org/10.1016/j.cpr.2009.09.004","non-dropping-particle":"","parse-names":false,"suffix":""},{"dropping-particle":"","family":"Rubenzer, S. (1991). Computerized testing and clinical judgment: Cause for concern. Clinical Psychology Review, 11(5)","given":"63–66. http://doi.org/10.1016/0272-7358(91)90015-M","non-dropping-particle":"","parse-names":false,"suffix":""},{"dropping-particle":"","family":"Dirks, M. A., Treat, T. A., &amp; Robin Weersing, V. (2007). Integrating theoretical, measurement, and intervention models of youth social competence. Clinical Psychology Review, 27(3)","given":"327–347. http://doi.org/10.1016/j.cpr.2006.11.002","non-dropping-particle":"","parse-names":false,"suffix":""},{"dropping-particle":"","family":"Kleinmuntz, B. (1984). The scientific study of clinical judgment in psychology and medicine. Clinical Psychology Review, 4","given":"111–126. http://doi.org/10.1016/0272-7358(84)90024-2","non-dropping-particle":"","parse-names":false,"suffix":""},{"dropping-particle":"","family":"Rock, D. L., Bransford, J. D., Maisto, S. A., &amp; Morey, L. (1987). The study of clinical judgment: an ecological approach. Clinical Psychology Review, 7(6)","given":"645–661. http://doi.org/10.1016/0272-7358(87)90011-0","non-dropping-particle":"","parse-names":false,"suffix":""},{"dropping-particle":"","family":"Garfield","given":"S. L. (1996). Some Problems Associated With “Validated” Forms of Psychotherapy. Clinical Psychology: Science and Practice. http://doi.org/10.1111/j.1468-2850.1996.tb00073.x","non-dropping-particle":"","parse-names":false,"suffix":""},{"dropping-particle":"","family":"Johnson, J. H. (2012). The Changing Landscape of Clinical Psychology. Clinical Psychology: Science and Practice, 19(1)","given":"17–20. http://doi.org/10.1111/j.1468-2850.2012.01271.x","non-dropping-particle":"","parse-names":false,"suffix":""},{"dropping-particle":"","family":"MacLaren, C. (2008). Use of self in cognitive behavioral therapy. Clinical Social Work Journal, 36(3)","given":"245–253. http://doi.org/10.1007/s10615-008-0156-2","non-dropping-particle":"","parse-names":false,"suffix":""},{"dropping-particle":"","family":"Dickinson, S. C., &amp; Johnson, W. (2000). Mentoring in clinical psychology doctoral programs: A national survey of directors of training. Clinical Supervisor, 19(1)","given":"137–152.","non-dropping-particle":"","parse-names":false,"suffix":""},{"dropping-particle":"","family":"Tversky, B., &amp; Hard, B. M. (2009). Embodied and disembodied cognition: Spatial perspective-taking. Cognition, 110(1)","given":"124–129. http://doi.org/10.1016/j.cognition.2008.10.008","non-dropping-particle":"","parse-names":false,"suffix":""},{"dropping-particle":"","family":"Keil, F. C., Smith, W. C., Simons, D. J., &amp; Levin, D. T. (1998). Two dogmas of conceptual empiricism: implications for hybrid models of the structure of knowledge. Cognition, 65(2–3)","given":"103–135. http://doi.org/10.1016/S0010-0277(97)00041-3","non-dropping-particle":"","parse-names":false,"suffix":""},{"dropping-particle":"","family":"Cosmides, L., &amp; Tooby, J. (1994). Beyond intuition and instinct blindness: toward an evolutionarily rigorous cognitive science. Cognition, 50(1–3)","given":"41–77. http://doi.org/10.1016/0010-0277(94)90020-5","non-dropping-particle":"","parse-names":false,"suffix":""},{"dropping-particle":"","family":"Gigerenzer, G., &amp; Hug, K. (1992). Domain-specific reasoning: Social contracts, cheating, and perspective change. Cognition, 43(2)","given":"127–171. http://doi.org/10.1016/0010-0277(92)90060-U","non-dropping-particle":"","parse-names":false,"suffix":""},{"dropping-particle":"","family":"Fletcher, P., Happe, F., Frith, U., Baker, S., Dolan, R., Frackowiak, R., &amp; Frith, C. (1995). Other minds in the brain: A functional imaging study of “theory of mind” in story comprehension. Cognition, 57(2)","given":"109–128. http://doi.org/10.1016/0010-0277(95)00692-R","non-dropping-particle":"","parse-names":false,"suffix":""},{"dropping-particle":"","family":"Miron, A. M., Parkinson, S. K., &amp; Brehm, J. W. (2007). Does happiness function like a motivational state? Cognition &amp; Emotion, 21(March 2015)","given":"248–267. http://doi.org/10.1080/02699930600551493","non-dropping-particle":"","parse-names":false,"suffix":""},{"dropping-particle":"","family":"Waltz, T. j., &amp; Hayes","given":"S. c. (2010). Acceptance and Commitment Therapy. Cognitive and Behavioral Theories in Clinical Practice.","non-dropping-particle":"","parse-names":false,"suffix":""},{"dropping-particle":"","family":"Larsson, B. P. M., Kaldo, V., &amp; Broberg, A. G. (2010). Theoretical orientation and therapists’ attitudes to important components of therapy: a study based on the valuable elements in psychotherapy questionnaire. Cognitive Behaviour Therapy, 39(3)","given":"161–72. http://doi.org/10.1080/16506073.2010.486409","non-dropping-particle":"","parse-names":false,"suffix":""},{"dropping-particle":"","family":"Gobbo, C., &amp; Chi, M. (1986). How knowledge is structured and used by expert and novice children. Cognitive Development, 1(3)","given":"221–237. http://doi.org/10.1016/S0885-2014(86)80002-8","non-dropping-particle":"","parse-names":false,"suffix":""},{"dropping-particle":"","family":"Frye, D., Zelazo, P. D., &amp; Palfai, T. (1995). Theory of mind and rule-based reasoning. Cognitive Development, 10(4)","given":"483–527. http://doi.org/10.1016/0885-2014(95)90024-1","non-dropping-particle":"","parse-names":false,"suffix":""},{"dropping-particle":"","family":"Rogers, T. T., &amp; Wolmetz, M. (2016). Conceptual knowledge representation: A cross-section of current research. Cognitive Neuropsychology, 33(3–4)","given":"121–129. http://doi.org/10.1080/02643294.2016.1188066","non-dropping-particle":"","parse-names":false,"suffix":""},{"dropping-particle":"","family":"Award, S. D. (1985). Pragmatic Reasoning Schemas. Cognitive Psychology, 391416","given":"391–416.","non-dropping-particle":"","parse-names":false,"suffix":""},{"dropping-particle":"","family":"Johnson-Laird, P. N., &amp; Steedman, M. (1978). The psychology of syllogisms. Cognitive Psychology, 10(1)","given":"64–99. http://doi.org/10.1016/0010-0285(78)90019-1","non-dropping-particle":"","parse-names":false,"suffix":""},{"dropping-particle":"","family":"Shafir, E., &amp; Tversky, A. (1992). Thinking through uncertainty: Nonconsequential reasoning and choice. Cognitive Psychology, 24(4)","given":"449–474. http://doi.org/10.1016/0010-0285(92)90015-T","non-dropping-particle":"","parse-names":false,"suffix":""},{"dropping-particle":"","family":"Sloman, S., Barbey, A. K., &amp; Hotaling, J. M. (2009). A causal model theory of the meaning of cause, enable, and prevent. Cognitive Science, 33(1)","given":"21–50. http://doi.org/10.1111/j.1551-6709.2008.01002.x","non-dropping-particle":"","parse-names":false,"suffix":""},{"dropping-particle":"","family":"Rips, L. J. (2010). Two causal theories of counterfactual conditionals. Cognitive Science, 34(2)","given":"175–221. http://doi.org/10.1111/j.1551-6709.2009.01080.x","non-dropping-particle":"","parse-names":false,"suffix":""},{"dropping-particle":"","family":"Markman, A. B. (1997). Constraints on Analogical Inference. Cognitive Science, 21(4)","given":"373–418. http://doi.org/10.1016/S0364-0213(99)80028-7","non-dropping-particle":"","parse-names":false,"suffix":""},{"dropping-particle":"","family":"Gonzalez, C., Lerch, J. F., &amp; Lebiere, C. (2003). Instance-based learning in dynamic decision making. Cognitive Science, 27(4)","given":"591–635. http://doi.org/10.1016/S0364-0213(03)00031-4","non-dropping-particle":"","parse-names":false,"suffix":""},{"dropping-particle":"","family":"Minsky, M. (1980). K-Lines: A theory of memory. Cognitive Science, 4(2)","given":"117–133. http://doi.org/10.1016/S0364-0213(80)80014-0","non-dropping-particle":"","parse-names":false,"suffix":""},{"dropping-particle":"","family":"Thagard, P., &amp; Verbeurgt, K. (1998). Coherence as constraint satisfaction. Cognitive Science: A Multidisciplinary Journal, 22(1)","given":"1–24. http://doi.org/10.1207/s15516709cog2201_1","non-dropping-particle":"","parse-names":false,"suffix":""},{"dropping-particle":"","family":"Boudewijnse, G.-J. A. (2008). &lt;Title/&gt;. Cognitive Systems Research, 9(3)","given":"229–231. http://doi.org/10.1016/j.cogsys.2007.10.001","non-dropping-particle":"","parse-names":false,"suffix":""},{"dropping-particle":"","family":"Boudewijnse, G.-J. A. (2008). &lt;Title/&gt;. Cognitive Systems Research, 9(3)","given":"229–231. http://doi.org/10.1016/j.cogsys.2007.10.001","non-dropping-particle":"","parse-names":false,"suffix":""},{"dropping-particle":"","family":"Robins, S. (2014). Mindreading and tacit knowledge. Cognitive Systems Research, 28(1)","given":"1–11. http://doi.org/10.1016/j.cogsys.2013.07.002","non-dropping-particle":"","parse-names":false,"suffix":""},{"dropping-particle":"","family":"Isaac, A. M. C., &amp; Bridewell, W. (2014). Mindreading deception in dialog. Cognitive Systems Research, 28(1)","given":"12–19. http://doi.org/10.1016/j.cogsys.2013.07.001","non-dropping-particle":"","parse-names":false,"suffix":""},{"dropping-particle":"","family":"Bringsjord, S., Govindarajulu, N. S., Ellis, S., McCarty, E., &amp; Licato, J. (2014). Nuclear deterrence and the logic of deliberative mindreading. Cognitive Systems Research, 28(1)","given":"20–43. http://doi.org/10.1016/j.cogsys.2013.08.001","non-dropping-particle":"","parse-names":false,"suffix":""},{"dropping-particle":"","family":"Stuhlmüller, A., &amp; Goodman, N. D. (2014). Reasoning about reasoning by nested conditioning: Modeling theory of mind with probabilistic programs. Cognitive Systems Research, 28(1)","given":"80–99. http://doi.org/10.1016/j.cogsys.2013.07.003","non-dropping-particle":"","parse-names":false,"suffix":""},{"dropping-particle":"","family":"Bonchek-Dokow, E., &amp; Kaminka, G. A. (2014). Towards computational models of intention detection and intention prediction. Cognitive Systems Research, 28(1)","given":"44–79. http://doi.org/10.1016/j.cogsys.2013.07.004","non-dropping-particle":"","parse-names":false,"suffix":""},{"dropping-particle":"","family":"Coles, M. E., &amp; Heimberg, R. G. (2005). Thought control strategies in generalized anxiety disorder. Cognitive Therapy and Research, 29(1)","given":"47–56. http://doi.org/10.1007/s10608-005-1647-x","non-dropping-particle":"","parse-names":false,"suffix":""},{"dropping-particle":"","family":"Segal, J., Pare, A., Brent, D., &amp; Vipond, D. (1998). The researcher as missionary: Problems with rhetoric and reform in the disciplines. College Composition and \\ldots, 50(1)","given":"71–90. Retrieved from http://www.jstor.org/stable/10.2307/358354","non-dropping-particle":"","parse-names":false,"suffix":""},{"dropping-particle":"","family":"Council, N. (2013). We Genres “ and the Goal of FYC : Can ” Mutt Help the Genres of the Students Write. College Composition and Communication, 60(june 2009)","given":"765–789.","non-dropping-particle":"","parse-names":false,"suffix":""},{"dropping-particle":"","family":"Fink, E. L., &amp; Monahan","given":"J. L. (1989). A spatial model of the mere exposure effect. Communication Research. Retrieved from http://crx.sagepub.com/content/16/6/746.short","non-dropping-particle":"","parse-names":false,"suffix":""},{"dropping-particle":"","family":"Avison, D., Lau, F., Myers, M., &amp; Nielsen, P. A. (1999). Action research. Communications of the ACM, 42(1)","given":"94–97. http://doi.org/10.1145/291469.291479","non-dropping-particle":"","parse-names":false,"suffix":""},{"dropping-particle":"","family":"Galliers, R. D., &amp; Land, F. F. (1987). Viewpoint: choosing appropriate information systems research methodologies. Communications of the ACM, 30(11)","given":"901–902. http://doi.org/10.1145/32206.315753","non-dropping-particle":"","parse-names":false,"suffix":""},{"dropping-particle":"","family":"Zobel, J. (2011). Research Methods. Comp90044, 2011(October)","given":"2011. http://doi.org/10.1111/j.1740-8784.2007.00058.x","non-dropping-particle":"","parse-names":false,"suffix":""},{"dropping-particle":"","family":"Badalà, F., Nouri-mahdavi, K., &amp; Raoof, D. A. (2008). NIH Public Access. Computer, 144(5)","given":"724–732. http://doi.org/10.1038/jid.2014.371","non-dropping-particle":"","parse-names":false,"suffix":""},{"dropping-particle":"","family":"Ifenthaler, D., &amp; Seel, N. M. (2013). Model-based reasoning. Computers and Education, 64","given":"131–142. http://doi.org/10.1016/j.compedu.2012.11.014","non-dropping-particle":"","parse-names":false,"suffix":""},{"dropping-particle":"","family":"Mitra, S. (2000). Minimally Invasive Education for mass computer literacy. Conference on Research in Distance and Adult Learning in Asia","given":"21–25.","non-dropping-particle":"","parse-names":false,"suffix":""},{"dropping-particle":"","family":"Corradini, A., &amp; Antonietti","given":"A. (2013). Mirror neurons and their function in cognitively understood empathy. CONSCIOUSNESS AND COGNITION. http://doi.org/10.1016/j.concog.2013.03.003","non-dropping-particle":"","parse-names":false,"suffix":""},{"dropping-particle":"","family":"Zahavi, D. (2008). Simulation, projection and empathy. Consciousness and Cognition, 17(2)","given":"514–522. http://doi.org/10.1016/j.concog.2008.03.010","non-dropping-particle":"","parse-names":false,"suffix":""},{"dropping-particle":"","family":"Koriat, A. (2000). The feeling of knowing: some metatheoretical implications for consciousness and control. Consciousness and Cognition Cogn, 9","given":"149–171. http://doi.org/10.1006/ccog.2000.0433\\rS1053-8100(00)90433-1 [pii]","non-dropping-particle":"","parse-names":false,"suffix":""},{"dropping-particle":"","family":"Sutherland, W. J., Adams, W. M., Aronson, R. B., Aveling, R., Blackburn, T. M., Broad, S., … Watkinson, A. R. (2009). One hundred questions of importance to the conservation of global biological diversity. Conservation Biology, 23(3)","given":"557–567. http://doi.org/10.1111/j.1523-1739.2009.01212.x","non-dropping-particle":"","parse-names":false,"suffix":""},{"dropping-particle":"","family":"White, R. P., &amp; Shullman, S. L. (2010). Acceptance of uncertainty as an indicator of effective leadership. Consulting Psychology Journal Practice and Research, 62(2)","given":"94–104. http://doi.org/10.1037/a0019991","non-dropping-particle":"","parse-names":false,"suffix":""},{"dropping-particle":"","family":"Shulman","given":"M. E. (2014). The Suffering Stranger: Hermeneutics for Everyday Clinical Practice. Contemp. Psychoanal. (Vol. 50). http://doi.org/10.4324/9780203863633","non-dropping-particle":"","parse-names":false,"suffix":""},{"dropping-particle":"","family":"Scholz, B. C., &amp; Pullum, G. K. (2006). Irrational nativist exuberance. Contemporary Debates in Cognitive Science, 2005(i)","given":"59--80.","non-dropping-particle":"","parse-names":false,"suffix":""},{"dropping-particle":"","family":"Gill, M. G., Ashton, P. T., &amp; Algina, J. (2004). Changing preservice teachers’ epistemological beliefs about teaching and learning in mathematics: An intervention study. Contemporary Educational Psychology, 29(2)","given":"164–185. http://doi.org/10.1016/j.cedpsych.2004.01.003","non-dropping-particle":"","parse-names":false,"suffix":""},{"dropping-particle":"","family":"Hofer, B. (2000). Dimensionality and Disciplinary Differences in Personal Epistemology. Contemporary Educational Psychology, 25(4)","given":"378–405. http://doi.org/10.1006/ceps.1999.1026","non-dropping-particle":"","parse-names":false,"suffix":""},{"dropping-particle":"","family":"Muis, K. R., &amp; Franco, G. M. (2009). Epistemic beliefs: Setting the standards for self-regulated learning. Contemporary Educational Psychology, 34(4)","given":"306–318. http://doi.org/10.1016/j.cedpsych.2009.06.005","non-dropping-particle":"","parse-names":false,"suffix":""},{"dropping-particle":"","family":"Valanides, N., &amp; Angeli, C. (2005). Effects of instruction on changes in epistemological beliefs. Contemporary Educational Psychology, 30(3)","given":"314–330. http://doi.org/10.1016/j.cedpsych.2005.01.001","non-dropping-particle":"","parse-names":false,"suffix":""},{"dropping-particle":"","family":"Miller, A. L., Christenson, J. D., Glunz, A. P., &amp; Cobb, K. F. (2016). Readiness for Change: Involving the Family with Adolescents in Residential Settings. Contemporary Family Therapy, 38(1)","given":"86–96. http://doi.org/10.1007/s10591-016-9376-8","non-dropping-particle":"","parse-names":false,"suffix":""},{"dropping-particle":"","family":"Nwoye, A. (2006). A narrative approach to child and family therapy in Africa. Contemporary Family Therapy, 28(1)","given":"1–23. http://doi.org/10.1007/s10591-006-9691-6","non-dropping-particle":"","parse-names":false,"suffix":""},{"dropping-particle":"","family":"Jacobs, K. (2013). Editorial Assistants. Contemporary French and Francophone Studies, 17(1)","given":"118. http://doi.org/10.1080/17409292.2013.742286","non-dropping-particle":"","parse-names":false,"suffix":""},{"dropping-particle":"","family":"Hoffman, I. (1983). The patient as interpreter of the analyst’s experience. Contemporary Psychoanalysis, 19(3)","given":"389–422. http://doi.org/10.1080/00107530.1983.10746615","non-dropping-particle":"","parse-names":false,"suffix":""},{"dropping-particle":"","family":"Glenberg, A. M., &amp; Gallese, V. (2012). Action-based language: A theory of language acquisition, comprehension, and production. Cortex, 48(7)","given":"905–922. http://doi.org/10.1016/j.cortex.2011.04.010","non-dropping-particle":"","parse-names":false,"suffix":""},{"dropping-particle":"","family":"Reeves, A. (2012). Research as a bridge between individual experience and collective knowledge. Counselling &amp; Psychotherapy Research, 12(2)","given":"83. http://doi.org/10.1080/14733145.2012.690251","non-dropping-particle":"","parse-names":false,"suffix":""},{"dropping-particle":"","family":"Jaffee, C. T., Fitzpatrick, M., Drapeau, M., Bracewell, R., Chamodraka, M., &amp; Marini, N. (2012). The manifestation of transference during early psychotherapy sessions: Exploring an alternate data source for therapist narratives in transference research. C","given":"257–266. http://doi.org/10.1080/14733145.2011.638081","non-dropping-particle":"","parse-names":false,"suffix":""},{"dropping-particle":"","family":"West, A. (2011). Using the Delphi Technique: Experience from the world of counselling and psychotherapy. Counselling &amp; Psychotherapy Research, 11(3)","given":"237–242. http://doi.org/10.1080/14733145.2010.492429","non-dropping-particle":"","parse-names":false,"suffix":""},{"dropping-particle":"","family":"Bond, T. (2004). Ethical guidelines for researching counselling and psychotherapy. Counselling and Psychotheraphy Research, 4(2)","given":"10–19. http://doi.org/10.1080/14733140412331383893","non-dropping-particle":"","parse-names":false,"suffix":""},{"dropping-particle":"","family":"McLeod, J. (2011). Child psychotherapy and research: New approaches, emerging findings. Counselling and Psychotherapy Research, (August 2012)","given":"3–5. Retrieved from http://www.tandfonline.com/doi/abs/10.1080/14733145.2010.548161","non-dropping-particle":"","parse-names":false,"suffix":""},{"dropping-particle":"","family":"Kelly, V., Holttum, S., Evans, C., &amp; Shepherd, M. (2012). A discourse analysis of power in relation to PSYCHLOPS (Psychological outcome profiles) in the context of CBT for psychosis. Counselling and Psychotherapy Research, 12(December)","given":"1–10. http://doi.org/10.1080/14733145.2012.672439","non-dropping-particle":"","parse-names":false,"suffix":""},{"dropping-particle":"","family":"Ogunfowora, B., &amp; Drapeau, M. (2008). A study of the relationship between personality traits and theoretical orientation preferences. Counselling and Psychotherapy Research, 8(3)","given":"151–159. http://doi.org/10.1080/14733140802193218","non-dropping-particle":"","parse-names":false,"suffix":""},{"dropping-particle":"","family":"Stein, M. B., Slavin, J. M., Pesale, F. P., &amp; Hilsenroth, M. J. (2010). A training outline for conducting psychotherapy process ratings: An example using therapist technique. Counselling and Psychotherapy Research, 10(1)","given":"50–59. http://doi.org/10.1080/14733140903229457","non-dropping-particle":"","parse-names":false,"suffix":""},{"dropping-particle":"","family":"Moran, P. (2011). Bridging the gap between research and practice in counselling and psychotherapy training: Learning from trainees. Counselling and Psychotherapy Research, 11(3)","given":"171–178. http://doi.org/10.1080/14733145.2010.509510","non-dropping-particle":"","parse-names":false,"suffix":""},{"dropping-particle":"","family":"Claringbull, N. (2011). Bringing psychotherapy research to life. Counselling and Psychotherapy Research, 11(4)","given":"327–328. http://doi.org/10.1080/14733145.2011.624835","non-dropping-particle":"","parse-names":false,"suffix":""},{"dropping-particle":"","family":"Råbu, M., &amp; Haavind, H. (2012). Coming to an end: A case study of an ambiguous process of ending psychotherapy. Counselling and Psychotherapy Research, 12(June)","given":"109–117. http://doi.org/10.1080/14733145.2011.608131","non-dropping-particle":"","parse-names":false,"suffix":""},{"dropping-particle":"","family":"McLeod, J. (2001). Developing a research tradition consistent with the practices and values of counselling and psychotherapy: Why Counselling and Psychotherapy Research is necessary. Counselling and Psychotherapy Research, 1(1)","given":"3–11. http://doi.org/10.1080/14733140112331385188","non-dropping-particle":"","parse-names":false,"suffix":""},{"dropping-particle":"","family":"Wright, J. (2009). Dialogical journal writing as “self-therapy”: “I matter.” Counselling and Psychotherapy Research, 9(4)","given":"234–240. http://doi.org/10.1080/14733140903008430","non-dropping-particle":"","parse-names":false,"suffix":""},{"dropping-particle":"","family":"Spong, S. (2010). Discourse analysis: Rich pickings for counsellors and therapists. Counselling and Psychotherapy Research, 10(1)","given":"67–74. http://doi.org/10.1080/14733140903177052","non-dropping-particle":"","parse-names":false,"suffix":""},{"dropping-particle":"","family":"Reeves, A. (2011). Diversity in practice, diversity in research: The importance of the cyclical relationship between the two. Counselling and Psychotherapy Research, 11(3)","given":"169–170. http://doi.org/10.1080/14733145.2011.606664","non-dropping-particle":"","parse-names":false,"suffix":""},{"dropping-particle":"","family":"Carew, L. (2009). Does theoretical background influence therapists’ attitudes to therapist self-disclosure? A qualitative study. Counselling and Psychotherapy Research, 9(4)","given":"266–272. http://doi.org/10.1080/14733140902978724","non-dropping-particle":"","parse-names":false,"suffix":""},{"dropping-particle":"","family":"Silvester, A. (2011). Doing a Doc! – The thoughts, experiences and relationships of students undertaking a Professional Doctorate in Counselling. Counselling and Psychotherapy Research, 11(3)","given":"179–185. http://doi.org/10.1080/14733145.2010.485695","non-dropping-particle":"","parse-names":false,"suffix":""},{"dropping-particle":"","family":"Råbu, M., Halvorsen, M. S., &amp; Haavind, H. (2011). Early relationship struggles: A case study of alliance formation and reparation. Counselling and Psychotherapy Research, 11(March)","given":"23–33. http://doi.org/10.1080/14733145.2011.546073","non-dropping-particle":"","parse-names":false,"suffix":""},{"dropping-particle":"","family":"Slavin-Mulford, J., Hilsenroth, M., Blagys, M., &amp; Blais, M. (2010). Experiences related to expert supervisors’ views of ideal therapeutic practice. Counselling and Psychotherapy Research, (August 2012)","given":"1–8. http://doi.org/10.1080/14733145.2010.485691","non-dropping-particle":"","parse-names":false,"suffix":""},{"dropping-particle":"","family":"Fitzpatrick, M. R., Kovalak, A. L., &amp; Weaver, A. (2010). How trainees develop an initial theory of practice: A process model of tentative identifications. Counselling and Psychotherapy Research, 10(June)","given":"93–102. http://doi.org/10.1080/14733141003773790","non-dropping-particle":"","parse-names":false,"suffix":""},{"dropping-particle":"","family":"Etherington, K. (2009). Life story research: A relevant methodology for counsellors and psychotherapists. Counselling and Psychotherapy Research, 9(4)","given":"225–233. http://doi.org/10.1080/14733140902975282","non-dropping-particle":"","parse-names":false,"suffix":""},{"dropping-particle":"","family":"O’Hara, D., &amp; Schofield, M. J. (2008). Personal approaches to psychotherapy integration. Counselling and Psychotherapy Research, 8(1)","given":"53–62. http://doi.org/10.1080/14733140801889113","non-dropping-particle":"","parse-names":false,"suffix":""},{"dropping-particle":"","family":"Reeves, A. (2011). Practice-based research and the development of evidence. Counselling and Psychotherapy Research, 11(2)","given":"87–87. http://doi.org/10.1080/14733145.2011.582386","non-dropping-particle":"","parse-names":false,"suffix":""},{"dropping-particle":"","family":"Daw, B., &amp; Joseph, S. (2007). Qualified therapists’ experience of personal therapy. Counselling and Psychotherapy Research, 7(4)","given":"227–232. http://doi.org/10.1080/14733140701709064","non-dropping-particle":"","parse-names":false,"suffix":""},{"dropping-particle":"","family":"Reeves, A. (2011). Researching boundaries, complaints and the process of therapy. Counselling and Psychotherapy Research, 11(4)","given":"3–4. http://doi.org/10.1080/14733145.2011.582386","non-dropping-particle":"","parse-names":false,"suffix":""},{"dropping-particle":"","family":"Moller, N. (2010). Researching, reflecting and writing about work: Guidance on training course assignments and research for psychotherapists and counsellors. Counselling and Psychotherapy Research, 10(2)","given":"148–149. http://doi.org/10.1080/14733141003788210","non-dropping-particle":"","parse-names":false,"suffix":""},{"dropping-particle":"","family":"McLeod, J., &amp; Elliott, R. (2011). Systematic case study research: a practice-oriented introduction to building an evidence base for counselling and psychotherapy. Counselling and Psychotherapy Research, 234(11)","given":"1–10. http://doi.org/10.1080/14733145.2011.548954","non-dropping-particle":"","parse-names":false,"suffix":""},{"dropping-particle":"","family":"Lowndes, L., &amp; Hanley, T. (2010). The challenge of becoming an integrative counsellor: The trainee’s perspective. Counselling and Psychotherapy Research, 10(June 2013)","given":"163–172. http://doi.org/10.1080/14733141003751614","non-dropping-particle":"","parse-names":false,"suffix":""},{"dropping-particle":"","family":"Cooper, M. (2010). The challenge of counselling and psychotherapy research. Counselling and Psychotherapy Research, 10(September)","given":"183–191. http://doi.org/10.1080/14733140903518420","non-dropping-particle":"","parse-names":false,"suffix":""},{"dropping-particle":"","family":"Perren, S., Godfrey, M., &amp; Rowland, N. (2009). The long-term effects of counselling: The process and mechanisms that contribute to ongoing change from a user perspective. Counselling and Psychotherapy Research, 9(4)","given":"241–249. http://doi.org/10.1080/14733140903150745","non-dropping-particle":"","parse-names":false,"suffix":""},{"dropping-particle":"","family":"Reeves, A. (2010). The unequivocal relationship between research and practice. Counselling and Psychotherapy Research, 10(3)","given":"151–151. http://doi.org/10.1080/14733145.2010.506998","non-dropping-particle":"","parse-names":false,"suffix":""},{"dropping-particle":"","family":"Oteiza, V. (2010). Therapists’ experiences of personal therapy: A descriptive phenomenological study. Counselling and Psychotherapy Research, 10(3)","given":"222–228. http://doi.org/10.1080/14733140903337300","non-dropping-particle":"","parse-names":false,"suffix":""},{"dropping-particle":"","family":"Mehr, K. E., Ladany, N., &amp; Caskie, G. I. L. (2010). Trainee nondisclosure in supervision: What are they not telling you? Counselling and Psychotherapy Research, 10(2)","given":"103–113. http://doi.org/10.1080/14733141003712301","non-dropping-particle":"","parse-names":false,"suffix":""},{"dropping-particle":"","family":"Hanley, T. (2012). Understanding the online therapeutic alliance through the eyes of adolescent service users. Counselling and Psychotherapy Research, 12(1)","given":"35–43. http://doi.org/10.1080/14733145.2011.560273","non-dropping-particle":"","parse-names":false,"suffix":""},{"dropping-particle":"","family":"Savic-Jabrow, P. C. (2010). Where do counsellors in private practice receive their support? A pilot study. Counselling and Psychotherapy Research, 10(3)","given":"229–232. http://doi.org/10.1080/14733140903469889","non-dropping-particle":"","parse-names":false,"suffix":""},{"dropping-particle":"","family":"Binder, P.-E., Holgersen, H., &amp; Nielsen, G. H. (2009). Why did I change when I went to therapy? A qualitative analysis of former patients’ conceptions of successful psychotherapy. Counselling and Psychotherapy Research, 9(4)","given":"250–256. http://doi.org/10.1080/14733140902898088","non-dropping-particle":"","parse-names":false,"suffix":""},{"dropping-particle":"","family":"Lewandowski, M., &amp; D’iuso, D. (2011). The relationship between therapeutic engagement, cognitive errors, and coping action patterns: An exploratory study. Counselling and Psychotherapy Research : Linking Research with Practice, 11(4)","given":"284–290. http://doi.org/10.1080/14733145.2010.531280","non-dropping-particle":"","parse-names":false,"suffix":""},{"dropping-particle":"","family":"Munday, H. (2013). Making use of the vignette technique to examine methods of bereavement counselling : An exploratory study of bereavement counselling : An exploratory study. Counselling and Psychotherapy Research: Linking Research with Practice, 13(2)","given":"151–158. http://doi.org/10.1080/14733145.2012.752021","non-dropping-particle":"","parse-names":false,"suffix":""},{"dropping-particle":"","family":"Whaley, A. L. (2008). Cultural sensitivity and cultural competence: toward clarity of definitions in cross-cultural counselling and psychotherapy. Counselling Psychology Quarterly, 21(3)","given":"215–222. http://doi.org/10.1080/09515070802334781","non-dropping-particle":"","parse-names":false,"suffix":""},{"dropping-particle":"","family":"Chang, K., Lee, I.-L., &amp; Ann Hargreaves, T. (2008). Scientist versus Practitioner–An abridged meta-analysis of the changing role of psychologists. Counselling Psychology Quarterly, 21(3)","given":"267–291. http://doi.org/10.1080/09515070802479859","non-dropping-particle":"","parse-names":false,"suffix":""},{"dropping-particle":"","family":"Dunbar, K. (1997). How scientists think: On-line creativity and conceptual change in science. Creative Thought: An Investigation of Conceptual, (July)","given":"1–22. http://doi.org/10.1037/10227-017","non-dropping-particle":"","parse-names":false,"suffix":""},{"dropping-particle":"","family":"Jones, C. A. (2000). The Modernist Paradigm: The Artworld and Thomas Kuhn. Critical Inquiry, 26(3)","given":"488–528. http://doi.org/10.1086/448976","non-dropping-particle":"","parse-names":false,"suffix":""},{"dropping-particle":"","family":"Schaffer, S. (1992). Self Evidence. Critical Inquiry, 18(2)","given":"327. http://doi.org/10.1086/448635","non-dropping-particle":"","parse-names":false,"suffix":""},{"dropping-particle":"","family":"Facione, N., &amp; Facione, P. (2008). Critical thinking and clinical judgment. Critical Thinking and Clinical Reasoning in the Health Sciences: A Teaching Anthology","given":"1–9. Retrieved from http://availableatwww.insightassessment.com/content/download/765/4852/file/CH+1+CT+&amp;+CR++-+Facione+&amp;+Facione.pdf","non-dropping-particle":"","parse-names":false,"suffix":""},{"dropping-particle":"","family":"Bergström, L. (2002). Putnam on the fact-value dichotomy. Croatian Journal of Philosophy","given":"2(5). Retrieved from http://www.ceeol.com/aspx/getdocument.aspx?logid=5&amp;id=1846d2593b8a4f1fa9daf6addb4813e1","non-dropping-particle":"","parse-names":false,"suffix":""},{"dropping-particle":"","family":"Morillas, J. M. M. (1997). The Cultural Cognitive Model: A programmatic Application. Cuadernos de Filologia Inglesa, 612","given":"53–63.","non-dropping-particle":"","parse-names":false,"suffix":""},{"dropping-particle":"","family":"Consedine, N. S., Sabag-Cohen, S., &amp; Krivoshekova, Y. S. (2007). Ethnic, gender, and socioeconomic differences in young adults’ self-disclosure: who discloses what and to whom? Cultural Diversity and Ethnic Minority Psychology, 13(3)","given":"254–263. http://doi.org/10.1037/1099-9809.13.3.254","non-dropping-particle":"","parse-names":false,"suffix":""},{"dropping-particle":"","family":"Los Reyes, A., &amp; Kazdin, A. E. (2008). When the Evidence Says,“Yes, No, and Maybe So.” Current Directions in Psychological Science, 17(1)","given":"47. Retrieved from papers3://publication/uuid/FB83F1F9-83AF-43D1-B076-18484D656CC3","non-dropping-particle":"De","parse-names":false,"suffix":""},{"dropping-particle":"","family":"Zahra, A., &amp; Ryan, C. (2005). Reflections on the Research Process: The Researcher as Actor and Audience in the World of Regional Tourist Organisations. Current Issues in Tourism, 8(1)","given":"1–21. http://doi.org/10.1080/13683500508668202","non-dropping-particle":"","parse-names":false,"suffix":""},{"dropping-particle":"","family":"Newbigging, K., &amp; McKeown, M. (2007). Mental health advocacy with black and minority ethnic communities: conceptual and ethical implications. Current Opinion in Psychiatry, 20(6)","given":"588–593. http://doi.org/10.1097/YCO.0b013e3282f0abf0 [doi]","non-dropping-particle":"","parse-names":false,"suffix":""},{"dropping-particle":"","family":"Smith","given":"D. (1991). Educating the reflective practitioner in curriculum. Curriculum. http://doi.org/10.1086/602063","non-dropping-particle":"","parse-names":false,"suffix":""},{"dropping-particle":"","family":"Davies, I., Green, P., Rosemann, M., Indulska, M., &amp; Gallo, S. (2006). How do practitioners use conceptual modeling in practice? Data and Knowledge Engineering, 58(3)","given":"358–380. http://doi.org/10.1016/j.datak.2005.07.007","non-dropping-particle":"","parse-names":false,"suffix":""},{"dropping-particle":"","family":"Thomas","given":"J. W. (1996). Survival Of The Fittest.pdf. Decision Analyst.","non-dropping-particle":"","parse-names":false,"suffix":""},{"dropping-particle":"","family":"Crozier, R., &amp; Ranyard","given":"R. (1997). Cognitive process models and explanations of decision making. Decision making: Cognitive models and Explanations.","non-dropping-particle":"","parse-names":false,"suffix":""},{"dropping-particle":"","family":"Holmström, J., Ketokivi, M., &amp; Hameri, A.-P. (2009). Bridging Practice and Theory: A Design Science Approach. Decision Sciences, 40(1)","given":"65–87. http://doi.org/10.1111/j.1540-5915.2008.00221.x","non-dropping-particle":"","parse-names":false,"suffix":""},{"dropping-particle":"","family":"Ruitenberg, C. W. (2015). The Practice of Equality: A Critical Understanding of Democratic Citizenship Education. Democracy &amp; Education","given":"23(1).","non-dropping-particle":"","parse-names":false,"suffix":""},{"dropping-particle":"","family":"Scott, D. A. (2004). A Character Education Program: Moral Development, Self-Esteem and At-Risk Youth. Department of Educational Research and Leadership and Counselor Education","given":"17. Retrieved from http://repository.lib.ncsu.edu/ir/handle/1840.16/4535","non-dropping-particle":"","parse-names":false,"suffix":""},{"dropping-particle":"","family":"Baader, F., Calvanese, D., McGuinness, D. L., Nardi, D., &amp; Patel-Schneider, P. F. (2003). The Description Logic Handbook: Theory, Implementation, and Applications. Description Logic Handbook","given":"622. http://doi.org/10.2277/0521781760","non-dropping-particle":"","parse-names":false,"suffix":""},{"dropping-particle":"","family":"Heppner","given":"P. P. (n.d.). in Counseling. Design.","non-dropping-particle":"","parse-names":false,"suffix":""},{"dropping-particle":"","family":"Creswell, J. W., &amp; Plano Clark, V. L. (2007). Choosing a Mixed Method Design. Designing and Conducting Mixed Methods Research","given":"58–89. http://doi.org/1412927927","non-dropping-particle":"","parse-names":false,"suffix":""},{"dropping-particle":"","family":"Marshall, C., &amp; Rossman","given":"G. (1999). Designing qualitative research. Designing Qualitative Research (3rd Edition). http://doi.org/10.2307/2072869 B. (1999). 2. The “What” of the study. Building the conceptual framework. Designing Qualitative Research. http://doi.org/10.2307/207286","non-dropping-particle":"","parse-names":false,"suffix":""},{"dropping-particle":"","family":"Marshall, C., &amp; Rossman","given":"G. (1999). Designing qualitative research. Designing Qualitative Research (3rd Edition). http://doi.org/10.2307/2072869 B. (1999). 2. The “What” of the study. Building the conceptual framework. Designing Qualitative Research. http://doi.org/10.2307/207286","non-dropping-particle":"","parse-names":false,"suffix":""},{"dropping-particle":"","family":"Marshall, C., &amp; Rossman","given":"G. (1999). Designing qualitative research. Designing Qualitative Research (3rd Edition). http://doi.org/10.2307/2072869 B. (1999). 2. The “What” of the study. Building the conceptual framework. Designing Qualitative Research. http://doi.org/10.2307/207286","non-dropping-particle":"","parse-names":false,"suffix":""},{"dropping-particle":"","family":"Wollard, K. K. (2012). Thinking, Fast and Slow. Dev. Learn. Organ., 26(4)","given":"38–39. http://doi.org/10.1108/14777281211249969","non-dropping-particle":"","parse-names":false,"suffix":""},{"dropping-particle":"","family":"Paluzzi, J. E., &amp; Farmer, P. E. (2005). The Wrong Question. Development, 48(1)","given":"12–18. http://doi.org/10.1057/palgrave.development.1100114","non-dropping-particle":"","parse-names":false,"suffix":""},{"dropping-particle":"","family":"Cunningham, I. (2008). Thinking about thinking: learning at a different level. Development and Learning in Organizations, 22(2)","given":"5–7. http://doi.org/10.1108/14777280810850651","non-dropping-particle":"","parse-names":false,"suffix":""},{"dropping-particle":"","family":"Cunningham, I. (2008). The future of learning and development functions: a new era for L&amp;D. Development and Learning in Organizations, 22(6)","given":"5–6. http://doi.org/10.1108/14777280810910276","non-dropping-particle":"","parse-names":false,"suffix":""},{"dropping-particle":"","family":"Mayfield, M. (2010). Tacit knowledge sharing: techniques for putting a powerful tool in practice. Development and Learning in Organizations, 24(1)","given":"24–26. http://doi.org/10.1108/14777281011010497","non-dropping-particle":"","parse-names":false,"suffix":""},{"dropping-particle":"","family":"Cunningham, I. (2007). Talent management: making it real. Development and Learning in Organizations: An International Journal, 21(2)","given":"4–6. http://doi.org/10.1108/14777280710727307","non-dropping-particle":"","parse-names":false,"suffix":""},{"dropping-particle":"","family":"McKay, K. E., Halperin, J. M., Schwartz, S. T., &amp; Sharma, V. (1994). Developmental analysis of three aspects of information processing: Sustained attention, selective attention, and response organization. Developmental Neuropsychology, 10(2)","given":"121–132. http://doi.org/10.1080/87565649409540572","non-dropping-particle":"","parse-names":false,"suffix":""},{"dropping-particle":"","family":"Dweck, C. S., Davidson, W., Nelson, S., &amp; Enna, B. (1978). Sex differences in learned helplessness: II. The contingencies of evaluative feedback in the classroom and III. An experimental analysis. Developmental Psychology, 14(3)","given":"268–276. http://doi.org/10.1037/0012-1649.14.3.268","non-dropping-particle":"","parse-names":false,"suffix":""},{"dropping-particle":"","family":"Wedgwood, R. (2012). Outright belief. Dialectica, 66(3)","given":"309–329. http://doi.org/10.1111/j.1746-8361.2012.01305.x","non-dropping-particle":"","parse-names":false,"suffix":""},{"dropping-particle":"","family":"Andow, J. (2015). Expecting Moral Philosophers to be Reliable. Dialectica, 69(2)","given":"205–220. http://doi.org/10.1111/1746-8361.12092","non-dropping-particle":"","parse-names":false,"suffix":""},{"dropping-particle":"","family":"Nicholas, D., Huntington, P., Jamali, H. R., &amp; Dobrowolski, T. (2008). The information-seeking behaviour of the digital consumer: case study–the virtual scholar. Digital Consumers: Reshaping the Information Profession, (May 2016)","given":"113–158.","non-dropping-particle":"","parse-names":false,"suffix":""},{"dropping-particle":"","family":"Price, K. M. (2009). Edition, Project, Database, Archive, Thematic Research Collection: What’s in a Name? Digital Humanities Quarterly, 3(3)","given":"1–40. Retrieved from http://www.digitalhumanities.org/dhq/vol/3/3/000053/000053.html%5Cnhttp://digitalcommons.unl.edu/cgi/viewcontent.cgi?article=1068&amp;context=englishfacpubs","non-dropping-particle":"","parse-names":false,"suffix":""},{"dropping-particle":"","family":"Terms, U., Regulations, C. C., Office, T., &amp; Trading, F. (1999). Unfair standard terms. Direct, (October)","given":"1–16.","non-dropping-particle":"","parse-names":false,"suffix":""},{"dropping-particle":"","family":"Janks, H. (1997). Critical Discourse Analysis as a Research Tool. Discourse: Studies in the Cultural Politics of Education, 18(3)","given":"329–342. http://doi.org/10.1080/0159630970180302","non-dropping-particle":"","parse-names":false,"suffix":""},{"dropping-particle":"","family":"Carvalho, F. (2014). Olfactory objects. Disputatio, 6(38)","given":"45–66. http://doi.org/10.1093/acprof","non-dropping-particle":"","parse-names":false,"suffix":""},{"dropping-particle":"","family":"Wikeley, F., &amp; Muschamp, Y. (2004). Pedagogical implications of working with doctoral students at a distance. Distance Education","given":"25(1). http://doi.org/10.1080/0158791042000212495","non-dropping-particle":"","parse-names":false,"suffix":""},{"dropping-particle":"","family":"Morgan, S. (2012). Youth mentoring across professional settings: a pedagogic approach to social exclusion. Doctor of Education School of Education University of Derby","given":"1–210. Retrieved from http://derby.openrepository.com/derby/handle/10545/272012","non-dropping-particle":"","parse-names":false,"suffix":""},{"dropping-particle":"","family":"AVELINE, M. (1983). Action Techniques in Psychotherapy. Dramatherapy, 6(2)","given":"6–14. http://doi.org/10.1080/00107530.1990.10746688","non-dropping-particle":"","parse-names":false,"suffix":""},{"dropping-particle":"","family":"Bonn-Miller, M. O., Babson, K. A., &amp; Vandrey, R. (2014). Using cannabis to help you sleep: Heightened frequency of medical cannabis use among those with PTSD. Drug and Alcohol Dependence, 136(1)","given":"162–165. http://doi.org/10.1016/j.drugalcdep.2013.12.008","non-dropping-particle":"","parse-names":false,"suffix":""},{"dropping-particle":"","family":"Holland R., Matheson C., A. G. E. Al. (2012). Your selected document. Drug and Alcohol Review, 31(4)","given":"438–491. http://doi.org/10.2196/jmir.1695","non-dropping-particle":"","parse-names":false,"suffix":""},{"dropping-particle":"","family":"Https://yadi.sk/i/UlLRFGJmkL8sQ","given":"Dzone Research Presents the 2014 C Lo Ud P L Atf Orm. (2014). DZone Refcardz. Retrieved from","non-dropping-particle":"","parse-names":false,"suffix":""},{"dropping-particle":"","family":"Johnson, D. (2001). #013 RSS and Atom. DZone Refcardz","given":"1–6.","non-dropping-particle":"","parse-names":false,"suffix":""},{"dropping-particle":"","family":"Skeet, J. (n.d.). #018 Core . NET. DZone Refcardz","given":"1–6.","non-dropping-particle":"","parse-names":false,"suffix":""},{"dropping-particle":"","family":"Data, B., Current, O., Of, S., Availability, A., Within, P., &amp; Enterprise, T. (2013). Forrester ’ s Ideal Tool Set For Application Performance Management For Better Business Performance. DZone Refcardz","given":"(August). Retrieved from https://yadi.sk/i/C4Zq6FRJkLAVB","non-dropping-particle":"","parse-names":false,"suffix":""},{"dropping-particle":"","family":"Driscoll, D. L., Appiah-Yeboah, A., Salib, P., &amp; Rupert, D. J. (2007). Merging qualitative and quantitative data in mixed methods research: How to and why not. Ecological and Environmental Anthropology, 3(1)","given":"19–28. http://doi.org/10.1016/j.jocn.2003.11.015","non-dropping-particle":"","parse-names":false,"suffix":""},{"dropping-particle":"","family":"Cressie, N., Calder, C. A., Clark, J. S., Ver Hoef, J. M., &amp; Wikle, C. K. (2009). Accounting for uncer tainty in ecological analysis: the strengths and limitations of hierarchical statistical modeling. Ecological Applications, 19(3)","given":"553–570. Retrieved from papers2://publication/uuid/CAEB6918-00F3-4C9A-B430-0862D6E0B53B","non-dropping-particle":"","parse-names":false,"suffix":""},{"dropping-particle":"","family":"Varis, O., &amp; Kuikka, S. (1999). Learning Bayesian decision analysis by doing: lessons from environmental and natural resources management. Ecological Modelling, 119(2)","given":"177–195. http://doi.org/10.1016/S0304-3800(99)00061-7","non-dropping-particle":"","parse-names":false,"suffix":""},{"dropping-particle":"","family":"Martin, J., &amp; Fonseca, F. (2010). Information Flow and Hermeneutic Play in Perception and Dialogue. Ecological Psychology, 22(4)","given":"254–268. http://doi.org/10.1080/10407413.2010.517102","non-dropping-particle":"","parse-names":false,"suffix":""},{"dropping-particle":"","family":"Galaabaatar, T., &amp; Karni, E. (2013). Subjective Expected Utility With Incomplete Preferences. Econometrica, 81(1)","given":"255–284. http://doi.org/10.3982/ECTA9621","non-dropping-particle":"","parse-names":false,"suffix":""},{"dropping-particle":"","family":"Canguilhem, G. (2006). The decline of the idea of progress. Economy and Society, 27(2–3)","given":"313–329. http://doi.org/10.1080/03085149800000023","non-dropping-particle":"","parse-names":false,"suffix":""},{"dropping-particle":"","family":"Yohe, G. W., Adger, W. N., Dowlatabadi, H., Ebi, K., Huq, S., Moran, D., … Ziervogel, G. (2005). Recognizing Uncertainties in Evaluating Responses. Ecosystem and Human Well-Being: Policy Responses","given":"95–116. Retrieved from http://www.maweb.org/documents/document.309.aspx.pdf","non-dropping-particle":"","parse-names":false,"suffix":""},{"dropping-particle":"","family":"Pihlström, S. (2009). Kant and Pragmatism. Editorial &amp; Advisory Boards, 23(2006)","given":"1–15. Retrieved from http://www.pragmatismtoday.eu/winter2010/Pragmatism_Today_Volume1_Issue2_Winter2010.pdf#page=50","non-dropping-particle":"","parse-names":false,"suffix":""},{"dropping-particle":"","family":"Steiner, H. H. (2003). Cognitive development in gifted children: Toward a more precise understanding of emerging differences in intelligence. Educ. Psychol. Rev., 15(3)","given":"215–246. Retrieved from http://www.springerlink.com/index/Q876954679773T81.pdf","non-dropping-particle":"","parse-names":false,"suffix":""},{"dropping-particle":"","family":"Rogers, C. R. (1979). The Foundations of the Person-Centred Approach. Education, 100(2)","given":"98–107. http://doi.org/10.1111/j.1467-8462.2013.12001.x","non-dropping-particle":"","parse-names":false,"suffix":""},{"dropping-particle":"","family":"Kunkwenzu, E. D., &amp; Reddy, C. (2008). Using grounded theory to understand teacher socialisation: A research experience. Education as Change, 12(1)","given":"133–149. http://doi.org/10.1080/16823200809487199","non-dropping-particle":"","parse-names":false,"suffix":""},{"dropping-particle":"","family":"Ellis, C., Denzin, N., Lincoln, Y., Morse, J., Pelias, R., &amp; Richardson, L. (2008). Qualitative Research. Education Centre, The Hillingdon Hospital, 14(2)","given":"254–284. http://doi.org/10.1016/j.acap.2011.05.001","non-dropping-particle":"","parse-names":false,"suffix":""},{"dropping-particle":"","family":"Mockler, N., &amp; Lytle, S. (2010). Inquiry as stance: practitioner research for the next generation. Educational Action Research, 18(392)","given":"571–57295. http://doi.org/10.1080/09650792.2010.525018","non-dropping-particle":"","parse-names":false,"suffix":""},{"dropping-particle":"","family":"Stuart, K. (2012). Narratives and activity theory as reflective tools in action research. Educational Action Research, 20(March 2015)","given":"439–453. http://doi.org/10.1080/09650792.2012.697663","non-dropping-particle":"","parse-names":false,"suffix":""},{"dropping-particle":"","family":"Luckcock, T. (2007). Theoretical Resource. Educational Action Research, 15(1)","given":"127–145. http://doi.org/10.1080/09650790601151483","non-dropping-particle":"","parse-names":false,"suffix":""},{"dropping-particle":"","family":"Platteel, T., Hulshof, H., Ponte, P., van Driel, J., &amp; Verloop, N. (2010). Forming a collaborative action research partnership. Educational Action Research, 18(4)","given":"429–451. http://doi.org/10.1080/09650792.2010.524766","non-dropping-particle":"","parse-names":false,"suffix":""},{"dropping-particle":"","family":"Burrows, A., Thomas, J., Woods, A., Suess, R., &amp; Dole, D. (2012). Riding the wave: student researcher reflection on the action research process. Educational Action Research, 20(October 2014)","given":"291–312. http://doi.org/10.1080/09650792.2012.676308","non-dropping-particle":"","parse-names":false,"suffix":""},{"dropping-particle":"","family":"Heikkinen, H. L. T., Huttunen, R., Syrjälä, L., &amp; Pesonen, J. (2012). Action research and narrative inquiry: five principles for validation revisited. Educational Action Research, 20(1)","given":"5–21. http://doi.org/10.1080/09650792.2012.647635","non-dropping-particle":"","parse-names":false,"suffix":""},{"dropping-particle":"","family":"Leitch, R., &amp; Day, C. (2006). Action research and reflective practice : towards a holistic view Action Research and Reflective Practice : towards a holistic view. Educational Action Research, 8(1)","given":"179–193.","non-dropping-particle":"","parse-names":false,"suffix":""},{"dropping-particle":"","family":"Cordingley, P. (1999). Constructing and critiquing reflective practice. Educational Action Research, 7(1)","given":"183–191. http://doi.org/10.1080/09650799900200089","non-dropping-particle":"","parse-names":false,"suffix":""},{"dropping-particle":"","family":"Clegg, S. (2000). Knowing through reflective practice in higher education. Educational Action Research, 8(3)","given":"451–469. http://doi.org/10.1080/09650790000200128","non-dropping-particle":"","parse-names":false,"suffix":""},{"dropping-particle":"","family":"Chambers, P. (2003). Narrative and reflective practice: recording and understanding experience. Educational Action Research, 11(3)","given":"403–414. http://doi.org/10.1080/09650790300200229","non-dropping-particle":"","parse-names":false,"suffix":""},{"dropping-particle":"","family":"Bolton, G. (2006). Narrative writing: reflective enquiry into professional practice. Educational Action Research, 14(2)","given":"203–218. http://doi.org/10.1080/09650790600718076","non-dropping-particle":"","parse-names":false,"suffix":""},{"dropping-particle":"","family":"Cousins, J. B., &amp; Earl, L. M. (1992). The Case for Participatory Evaluation. Educational Evaluation and Policy Analysis, 14(4)","given":"397–418. http://doi.org/10.3102/01623737014004397","non-dropping-particle":"","parse-names":false,"suffix":""},{"dropping-particle":"","family":"Whitfield Christopher L., K. E. . E. (2011). Mentoring Special Populations. Educational Gerontology, 37(5)","given":"422–439. http://doi.org/10.1080/03601277.2011.553563","non-dropping-particle":"","parse-names":false,"suffix":""},{"dropping-particle":"","family":"Banks, K. H. (2010). A Qualitative Investigation of Mentor Experiences in a Service Learning Course. Educational Horizons, 89(1)","given":"68–79. Retrieved from https://ezp.lib.unimelb.edu.au/login?url=https://search.ebscohost.com/login.aspx?direct=true&amp;db=eric&amp;AN=EJ912604&amp;site=eds-live&amp;scope=site","non-dropping-particle":"","parse-names":false,"suffix":""},{"dropping-particle":"","family":"Ruitenberg, C. W. (2009). Absurd Conversations: On the educational value of interlocutionary misbehaviour. Educational Philosophy and Theory, 41(5)","given":"527–538. http://doi.org/10.1111/j.1469-5812.2007.00391.x","non-dropping-particle":"","parse-names":false,"suffix":""},{"dropping-particle":"","family":"Hofer, B. K. (2004). Epistemological Understanding as a Metacognitive Process: Thinking Aloud During Online Searching. Educational Psychologist, 39(1)","given":"43–55. http://doi.org/10.1207/s15326985ep3901_5","non-dropping-particle":"","parse-names":false,"suffix":""},{"dropping-particle":"","family":"Chinn, C. a., Buckland, L. a., &amp; Samarapungavan, A. (2011). Expanding the Dimensions of Epistemic Cognition: Arguments From Philosophy and Psychology. Educational Psychologist, 46(3)","given":"141–167. http://doi.org/10.1080/00461520.2011.587722","non-dropping-particle":"","parse-names":false,"suffix":""},{"dropping-particle":"","family":"Muis, K. R. (2007). The Role of Epistemic Beliefs in Self-Regulated Learning. Educational Psychologist, 42(3)","given":"173–190. http://doi.org/10.1080/00461520701416306","non-dropping-particle":"","parse-names":false,"suffix":""},{"dropping-particle":"","family":"Bråten, I., Britt, M. A., Strømsø, H. I., &amp; Rouet, J.-F. (2011). The Role of Epistemic Beliefs in the Comprehension of Multiple Expository Texts: Toward an Integrated Model. Educational Psychologist, 46(1)","given":"48–70. http://doi.org/10.1080/00461520.2011.538647","non-dropping-particle":"","parse-names":false,"suffix":""},{"dropping-particle":"","family":"Bereiter, C. (1994). Implications of postmodernism for science, or","given":"science as progressive discourse. Educational Psychologist. http://doi.org/10.1207/s15326985ep2901_1","non-dropping-particle":"","parse-names":false,"suffix":""},{"dropping-particle":"","family":"Jong, T., &amp; Ferguson-Hessler","given":"M. G. M. (1996). Types and qualities of knowledge. Educational Psychologist. http://doi.org/10.1207/s15326985ep3102_2","non-dropping-particle":"de","parse-names":false,"suffix":""},{"dropping-particle":"","family":"Davis, T. S. (2012). Mindfulness-Based Approaches and their potential for educational psychology practice. Educational Psychology in Practice, 28(1)","given":"31–46. http://doi.org/10.1080/02667363.2011.639348","non-dropping-particle":"","parse-names":false,"suffix":""},{"dropping-particle":"","family":"Muis, K. R., Bendixen, L. D., &amp; Haerle, F. C. (2006). Domain-generality and domain-specificity in personal epistemology research: Philosophical and empirical reflections in the development of a theoretical framework. Educational Psychology Review, 18(1)","given":"3–54. http://doi.org/10.1007/s10648-006-9003-6","non-dropping-particle":"","parse-names":false,"suffix":""},{"dropping-particle":"","family":"Leadbetter, J., Daniels, H., Edwards, A., Martin, D., Middleton, D., Popova, A., … Brown, S. (2007). Professional learning within multi-agency children’s services: researching into practice. Educational Research, 49(1)","given":"83–98. http://doi.org/10.1080/00131880701200815","non-dropping-particle":"","parse-names":false,"suffix":""},{"dropping-particle":"","family":"Eren, A. (2009). Exploring the relationships among mirror neurons, theory of mind, and achievement goals: Towards a model of achievement goal contagion in educational settings. Educational Research Review, 4(3)","given":"233–247. http://doi.org/10.1016/j.edurev.2009.03.002","non-dropping-particle":"","parse-names":false,"suffix":""},{"dropping-particle":"","family":"Chatterji, M. (2005). Evidence on “What Works”: An Argument for Extended-Term Mixed-Method (ETMM) Evaluation Designs. Educational Researcher, 34(5)","given":"14–24. http://doi.org/10.3102/0013189X034005014","non-dropping-particle":"","parse-names":false,"suffix":""},{"dropping-particle":"","family":"Johnson, R. B., &amp; Onwuegbuzie, A. J. (2009). Mixed Methods Research : A Research Paradigm Whose Time Has Come. Educational Researcher, 33(7)","given":"14–26. http://doi.org/10.3102/0013189X033007014","non-dropping-particle":"","parse-names":false,"suffix":""},{"dropping-particle":"","family":"Kuo, F.-R., Hwang, G.-J., Chen, S.-C., &amp; Chen, S. Y. (2012). A Cognitive Apprenticeship Approach to Facilitating Web-based Collaborative Problem Solving. Educational Technology &amp; Society, 15(4)","given":"319–331.","non-dropping-particle":"","parse-names":false,"suffix":""},{"dropping-particle":"","family":"Balanis, C. a., Whites, K. W., Geschwindigkeitsgesetz, D., Geschwindigkeitsgesetzes, D., Neutroneneinfang, R. D., Srivastava, A., … Singh, M. K. (2013). Scanned by CamScanner. Electromagnetic Waves and Antennas, 1(1)","given":"631. http://doi.org/10.1016/S0969-4765(04)00066-9","non-dropping-particle":"","parse-names":false,"suffix":""},{"dropping-particle":"","family":"Azorín, J. M., &amp; Cameron, R. (2010). The application of mixed methods in organisational research: A literature review. Electronic Journal of Business Research Methods, 8(2)","given":"95–105. http://doi.org/10.4236/jis.2012.33026","non-dropping-particle":"","parse-names":false,"suffix":""},{"dropping-particle":"","family":"Allen, G. (2006). A critique of using grounded theory as a research method. Electronic Journal of Business Research Methods, 2(1)","given":"1–10. http://doi.org/10.1.1.129.9102","non-dropping-particle":"","parse-names":false,"suffix":""},{"dropping-particle":"","family":"Muskat, M., Blackman, D., &amp; Muskat, B. (2012). Mixed methods: Combining expert interviews, cross-impact analysis and scenario development. Electronic Journal of Business Research Methods, 10(1)","given":"9–21. http://doi.org/http://dx.doi.org/10.2139/ssrn.2202179","non-dropping-particle":"","parse-names":false,"suffix":""},{"dropping-particle":"","family":"Baker, M. (1997). Thematic Roles and Syntactic Structures. Elements of Grammar, (June)","given":"73–137. http://doi.org/10.1007/978-94-011-5420-8_2","non-dropping-particle":"","parse-names":false,"suffix":""},{"dropping-particle":"","family":"Stueber, K. R. (2012). Varieties of Empathy, Neuroscience and the Narrativist Challenge to the Contemporary Theory of Mind Debate. Emotion Review, 4(1)","given":"55–63. http://doi.org/10.1177/1754073911421380","non-dropping-particle":"","parse-names":false,"suffix":""},{"dropping-particle":"","family":"Miller, M. M., Kimball, T. G., Korinek, A., Shumway, S. T., &amp; Edd, R. A. (2004). Enhancing Teams in the Workplace. Employee Assistance Quarterly, 19(2)","given":"35–50. http://doi.org/http://dx.doi.org/10.1300/J022v19n02_03","non-dropping-particle":"","parse-names":false,"suffix":""},{"dropping-particle":"","family":"Pratt","given":"S. C. (2010). Collective Intelligence. Encyclopedia of Animal Behavior. http://doi.org/http://dx.doi.org/10.1016/B978-0-08-045337-8.00352-1","non-dropping-particle":"","parse-names":false,"suffix":""},{"dropping-particle":"","family":"Heylighen, F., &amp; Chielens, K. (2008). Cultural evolution and memetics. Encyclopedia of Complexity and System Science","given":"1–27. http://doi.org/10.1007/978-0-387-30440-3","non-dropping-particle":"","parse-names":false,"suffix":""},{"dropping-particle":"","family":"Strictest, I., Confidence, C., One, P., Strictest, I., &amp; Confidence, C. (2003). Table of of contents. Engineering in Medicine and Biology Society, 2008. EMBS 2008. 30th Annual International Conference of the IEEE","given":"2004. http://doi.org/10.1002/ejoc.201200111","non-dropping-particle":"","parse-names":false,"suffix":""},{"dropping-particle":"","family":"Harris, R. A. (2008). R . Alien Harris Rhetoric of Science. English, 53(3)","given":"282–307.","non-dropping-particle":"","parse-names":false,"suffix":""},{"dropping-particle":"","family":"Janssen, J. A. E. B., Krol, M. S., Schielen, R. M. J., &amp; Hoekstra, A. Y. (2010). The effect of modelling expert knowledge and uncertainty on multicriteria decision making: A river management case study. Environmental Science and Policy, 13(3)","given":"229–238. http://doi.org/10.1016/j.envsci.2010.03.003","non-dropping-particle":"","parse-names":false,"suffix":""},{"dropping-particle":"","family":"Smart, P. R., &amp; Shadbolt, N. R. (2012). Modelling the dynamics of team sensemaking: A constraint satisfaction approach. Eprints.Ecs.Soton.Ac.Uk","given":"1–10. Retrieved from http://eprints.ecs.soton.ac.uk/23106/","non-dropping-particle":"","parse-names":false,"suffix":""},{"dropping-particle":"","family":"Keith, T. (2005). Review of “The Collapse of the Fact/Value Dichotomy and other essays.” Essays in Philosophy","given":"6(1). Retrieved from http://commons.pacificu.edu/cgi/viewcontent.cgi?article=1184&amp;context=eip","non-dropping-particle":"","parse-names":false,"suffix":""},{"dropping-particle":"","family":"Forester-miller, H., &amp; Davis","given":"T. (1996). A Practitioner ג€TM s Guide to Ethical Decision Making. Ethics.","non-dropping-particle":"","parse-names":false,"suffix":""},{"dropping-particle":"","family":"Johnson, W. B. (2003). A Framework for Conceptualizing Competence to Mentor. Ethics &amp; Behavior, 13(2)","given":"127–151. http://doi.org/10.1207/S15327019EB1302_02","non-dropping-particle":"","parse-names":false,"suffix":""},{"dropping-particle":"","family":"Ghazinejad, P., &amp; Ruitenberg, C. (2014). Is respecting children’s rationality in their best interest in an authoritarian context? Ethics and Education, 9(3)","given":"317–328. http://doi.org/10.1080/17449642.2014.974799","non-dropping-particle":"","parse-names":false,"suffix":""},{"dropping-particle":"","family":"Ruitenberg, C. (2011). The trouble with dispositions: A critical examination of personal beliefs, professional commitments and actual conduct in teacher education. Ethics and Education, 6(1)","given":"41–52. http://doi.org/10.1080/17449642.2011.587347","non-dropping-particle":"","parse-names":false,"suffix":""},{"dropping-particle":"","family":"Lunt, N., &amp; Fouché, C. (2010). Practitioner Research, Ethics and Research Governance. Ethics Soc. Welf., 4(3)","given":"219–235. http://doi.org/10.1080/17496535.2010.516117","non-dropping-particle":"","parse-names":false,"suffix":""},{"dropping-particle":"","family":"Tileaga, C. (2006). Discourse, Dominance and Power Relations: Inequality as a Social and Interactional Object. Ethnicities, 6(4)","given":"476–497. http://doi.org/10.1177/1468796806070719","non-dropping-particle":"","parse-names":false,"suffix":""},{"dropping-particle":"","family":"Cosmides, L., &amp; Tooby, J. (1989). Evolutionary psychology and the generation of culture, part II. Case study: A computational theory of social exchange. Ethology and Sociobiology, 10(1–3)","given":"51–97. http://doi.org/10.1016/0162-3095(89)90013-7","non-dropping-particle":"","parse-names":false,"suffix":""},{"dropping-particle":"","family":"Tooby, J., &amp; Cosmides, L. (1990). The past explains the present. Ethology and Sociobiology, 11(4–5)","given":"375–424. http://doi.org/10.1016/0162-3095(90)90017-Z","non-dropping-particle":"","parse-names":false,"suffix":""},{"dropping-particle":"","family":"Sung, W. (2001). Dialogue in Philosophical Hermeneutics. Euramerica, 31(2)","given":"231–285. Retrieved from http://www.ea.sinica.edu.tw/eu_file/12014856114.pdf","non-dropping-particle":"","parse-names":false,"suffix":""},{"dropping-particle":"","family":"Lal, S., Prasad, N., Ryan, M., Tangri, S., Silverberg, M. S., Gordon, A., &amp; Steinhart, H. (2011). Cannabis use amongst patients with inflammatory bowel disease. European Journal of Gastroenterology &amp; Hepatology, 23(10)","given":"891–896. http://doi.org/10.1097/MEG.0b013e328349bb4c","non-dropping-particle":"","parse-names":false,"suffix":""},{"dropping-particle":"","family":"Goulding, C. (2005). Grounded theory, ethnography and phenomenology. European Journal of Marketing, 39(3/4)","given":"294–308. http://doi.org/10.1108/03090560510581782","non-dropping-particle":"","parse-names":false,"suffix":""},{"dropping-particle":"","family":"Desrochers, M., Lenstra, J. K. K., &amp; Savelsbergh","given":"M. W. P. W. P. (1990). A classification scheme for vehicle routing and scheduling problems. European Journal of Operational Research. http://doi.org/http://dx.doi.org/10.1016/0377-2217(90)90007-X","non-dropping-particle":"","parse-names":false,"suffix":""},{"dropping-particle":"","family":"Lane, D. C. D., &amp; Oliva, R. (1998). The greater whole: Towards a synthesis of system dynamics and soft systems methodology. European Journal of Operational Research, 107(1)","given":"214–235. http://doi.org/10.1016/S0377-2217(97)00205-1","non-dropping-particle":"","parse-names":false,"suffix":""},{"dropping-particle":"","family":"Mingers, J., &amp; White, L. (2010). A review of the recent contribution of systems thinking to operational research and management science. European Journal of Operational Research, 207(3)","given":"1147–1161. http://doi.org/10.1016/j.ejor.2009.12.019","non-dropping-particle":"","parse-names":false,"suffix":""},{"dropping-particle":"","family":"Fagnant, A., &amp; Crahay, M. (2011). Theories of mind and personal epistemology: Their interrelation and connection with the concept of metacognition. European Journal of Psychology of Education, 26(2)","given":"257–271. http://doi.org/10.1007/s10212-010-0045-2","non-dropping-particle":"","parse-names":false,"suffix":""},{"dropping-particle":"","family":"Lomas, P., &amp; King, L. (1999). Committed uncertainty in psychotherapy: essays in honour of Peter Lomas. European Journal of Psychotherapy &amp; Counselling, 13(1)","given":"85–88. http://doi.org/10.1080/13642537.2011.548577","non-dropping-particle":"","parse-names":false,"suffix":""},{"dropping-particle":"","family":"Carlsson, J., &amp; Norberg, J. (2011). The development of therapeutic attitudes during and after psychotherapy training. European Journal of Psychotherapy &amp; Counselling, 13(3)","given":"213–229+. http://doi.org/10.1080/13642537.2011.596722","non-dropping-particle":"","parse-names":false,"suffix":""},{"dropping-particle":"","family":"Moutsou, C. (2009). The making of psychotherapists: an anthropological analysis, by James Davies. European Journal of Psychotherapy &amp; Counselling, 11(2)","given":"233–236. http://doi.org/10.1080/13642530902990517","non-dropping-particle":"","parse-names":false,"suffix":""},{"dropping-particle":"","family":"Taubner, S., Kächele, H., Visbeck, A., Rapp, A., &amp; Sandell, R. (2010). Therapeutic attitudes and practice patterns among psychotherapy trainees in Germany. European Journal of Psychotherapy &amp; Counselling, 12(4)","given":"361–381. http://doi.org/10.1080/13642537.2010.530085","non-dropping-particle":"","parse-names":false,"suffix":""},{"dropping-particle":"","family":"Samuels, A. (2010). Shadows of the therapy relationship. European Journal of Psychotherapy &amp; Counselling, 12(3)","given":"207–215. http://doi.org/10.1080/13642537.2010.516066","non-dropping-particle":"","parse-names":false,"suffix":""},{"dropping-particle":"","family":"Tantam, D. (2006). Psychotherapy in the UK: Results of a survey of registrants of the United Kingdom Council for Psychotherapy. European Journal of Psychotherapy &amp; Counselling, 8(3)","given":"321–342. http://doi.org/10.1080/13642530600878048","non-dropping-particle":"","parse-names":false,"suffix":""},{"dropping-particle":"","family":"Mace, C., Rowland, N., &amp; Evans, C. (2009). Psychotherapy professionals in the UK: expansion and experiment. European Journal of Psychotherapy &amp; Counselling, 11(2)","given":"131–140. http://doi.org/10.1080/13642530902927337","non-dropping-particle":"","parse-names":false,"suffix":""},{"dropping-particle":"","family":"Jordan, M., &amp; Marshall, H. (2010). Taking counselling and psychotherapy outside: Destruction or enrichment of the therapeutic frame? European Journal of Psychotherapy &amp; Counselling, 12(4)","given":"345–359. http://doi.org/10.1080/13642537.2010.530105","non-dropping-particle":"","parse-names":false,"suffix":""},{"dropping-particle":"","family":"Ross, A. (2012). The new pluralism – a paradigm of pluralisms. European Journal of Psychotherapy &amp; Counselling, 14(1)","given":"113–119. http://doi.org/10.1080/13642537.2012.652400","non-dropping-particle":"","parse-names":false,"suffix":""},{"dropping-particle":"","family":"Davies, J. (2009). Psychotherapy and the third wave of professionalisation. European Journal of Psychotherapy and Counselling, 11(2)","given":"191–202. http://doi.org/10.1080/13642530902978652","non-dropping-particle":"","parse-names":false,"suffix":""},{"dropping-particle":"","family":"Moutsou, C. (2011). The fieldwork model: An anthropological perspective on the process of change in long-term psychoanalytic psychotherapy. European Journal of Psychotherapy and Counselling, 13(3)","given":"231–245. http://doi.org/10.1080/13642537.2011.596723","non-dropping-particle":"","parse-names":false,"suffix":""},{"dropping-particle":"","family":"Cayne, J., &amp; Loewenthal, D. (2007). The unknown in learning to be a psychotherapist. European Journal of Psychotherapy, Counselling &amp; Health, 9(4)","given":"373–387. http://doi.org/10.1080/13642530701725916","non-dropping-particle":"","parse-names":false,"suffix":""},{"dropping-particle":"","family":"Orlinsky, D. (2009). Research on psychotherapy and the psychotherapeutic profession (s): A brief introduction. European Journal of Psychotherapy, Counselling and …, 11(2)","given":"183–190. http://doi.org/10.1080/13642530902927345","non-dropping-particle":"","parse-names":false,"suffix":""},{"dropping-particle":"","family":"Corrie, S., &amp; Milton, M. (2000). The relationship between existential-phenomenological and cognitive-behaviour therapies. European Journal of Psychotherapy, Counselling and Health","given":"1–27. http://doi.org/10.1080/13642530050078538","non-dropping-particle":"","parse-names":false,"suffix":""},{"dropping-particle":"","family":"Schubert, T. W., &amp; Semin, G. R. (2009). Embodiment as a unifying perspective for psychology. European Journal of Social Psychology, 39(7)","given":"1135–1141. http://doi.org/10.1002/ejsp.670","non-dropping-particle":"","parse-names":false,"suffix":""},{"dropping-particle":"","family":"McGlothlin, H., &amp; Killen, M. (2010). Special issue article How social experience is related to children ’ s intergroup attitudes. European Journal of Social Psychology Eur., 40(June 2009)","given":"625–634. http://doi.org/10.1002/ejsp","non-dropping-particle":"","parse-names":false,"suffix":""},{"dropping-particle":"","family":"Conle, C. (2000). Narrative Inquiry: Research tool and medium for professional development. European Journal of Teacher Education, 23(1)","given":"49–63. http://doi.org/10.1080/713667262","non-dropping-particle":"","parse-names":false,"suffix":""},{"dropping-particle":"","family":"Snep, R., Hunter, P., &amp; Snep, R. (2007). The human impact on biological diversity. European Molecular Biology Organization, 8(4)","given":"316–318. http://doi.org/10.1038/sj.embor.7400951","non-dropping-particle":"","parse-names":false,"suffix":""},{"dropping-particle":"","family":"Lécuyer, R. (2006). Can infant cognitive psychology be helpful in understanding learning processes? European Psychologist, 11(4)","given":"253–262. http://doi.org/10.1027/1016-9040.11.4.253","non-dropping-particle":"","parse-names":false,"suffix":""},{"dropping-particle":"","family":"HAGSPIEL, S., &amp; SULZ","given":"S. K. D. (2011). Psychotherapy in Europe. European Psychotherapy (Vol. 10).","non-dropping-particle":"","parse-names":false,"suffix":""},{"dropping-particle":"","family":"Gigerenzer, G. (1991). How to Make Cognitive Illusions Disappear: Beyond “Heuristics and Biases.” European Review of Social Psychology, 2(1)","given":"83–115. http://doi.org/10.1080/14792779143000033","non-dropping-particle":"","parse-names":false,"suffix":""},{"dropping-particle":"","family":"Centers for Disease Control and Prevention. (2011). Developing an Effective Evaluation Plan. Evaluation","given":"1–108. Retrieved from http://www.cdc.gov/obesity/downloads/cdc-evaluation-workbook-508.pdf","non-dropping-particle":"","parse-names":false,"suffix":""},{"dropping-particle":"","family":"Widdershoven, G. a. M. (2001). Dialogue in Evaluation: A Hermeneutic Perspective. Evaluation, 7(2)","given":"253–263. http://doi.org/10.1177/13563890122209676","non-dropping-particle":"","parse-names":false,"suffix":""},{"dropping-particle":"","family":"Gorard, S., &amp; Smith, E. (2006). Combining Numbers with Narratives. Evaluation &amp; Research in Education, 19(2)","given":"59–62. http://doi.org/10.2167/eri426.0","non-dropping-particle":"","parse-names":false,"suffix":""},{"dropping-particle":"","family":"Parry, G. (2000). Evidence based psychotherapy : special case or special pleading? Evidence Based Mental Health, 3(2)","given":"35. http://doi.org/10.1136/ebmh.3.2.35","non-dropping-particle":"","parse-names":false,"suffix":""},{"dropping-particle":"","family":"Mishra, N., Prakash, Tiwari, M. K., Shankar, R., &amp; Chan, F. T. S. (2005). Hybrid tabu-simulated annealing based approach to solve multi-constraint product mix decision problem. Expert Systems with Applications, 29(2)","given":"446–454. http://doi.org/10.1016/j.eswa.2005.04.044","non-dropping-particle":"","parse-names":false,"suffix":""},{"dropping-particle":"","family":"Evans, L., Trotter, D. R. M., Jones, B. G., Ragain, R. M., Cook, R. L., Prabhu, F. R., &amp; Linton, K. S. (2012). Epistemology and uncertainty: A follow-up study with third-year medical students. Family Medicine, 44(1)","given":"14–21.","non-dropping-particle":"","parse-names":false,"suffix":""},{"dropping-particle":"","family":"Evans, L., &amp; Trotter, D. R. M. (2009). Epistemology and uncertainty in primary care: An exploratory study. Family Medicine, 41(5)","given":"319–326. http://doi.org/10.1016/j.pec.2009.10.030","non-dropping-particle":"","parse-names":false,"suffix":""},{"dropping-particle":"","family":"Grad, R. M. (2009). What’s your epistemology? Think about it. Family Medicine, 41(5)","given":"356–357.","non-dropping-particle":"","parse-names":false,"suffix":""},{"dropping-particle":"","family":"Newfield, S. a, Newfield, N. a, Sperry, J. a, &amp; Smith, T. E. (2000). Ethical decision making among family therapists and individual therapists. Family Process, 39(2)","given":"177–188. http://doi.org/10.1111/j.1545-5300.2000.39203.x","non-dropping-particle":"","parse-names":false,"suffix":""},{"dropping-particle":"","family":"Ivankova, N. V. (2006). Using Mixed-Methods Sequential Explanatory Design: From Theory to Practice. Field Methods, 18(1)","given":"3–20. http://doi.org/10.1177/1525822X05282260","non-dropping-particle":"","parse-names":false,"suffix":""},{"dropping-particle":"","family":"Guest, G., &amp; Mclellan, E. (2003). Field Methods. Field Methods, 15(2)","given":"186–201. http://doi.org/10.1177/1525822X03251188","non-dropping-particle":"","parse-names":false,"suffix":""},{"dropping-particle":"","family":"Realities","given":"C. N. (2004). Solving Tough Problems Take-Aways. Focus.","non-dropping-particle":"","parse-names":false,"suffix":""},{"dropping-particle":"","family":"Lloret","given":"E. (2009). Topic Detection and Segmentation in Automatic Text Summarization. Focus. Retrieved from http://www.dlsi.ua.es/~elloret/publications/SumTopics.pdf","non-dropping-particle":"","parse-names":false,"suffix":""},{"dropping-particle":"","family":"Mendoza, G. A., &amp; Martins, H. (2006). Multi-criteria decision analysis in natural resource management: A critical review of methods and new modelling paradigms. Forest Ecology and Management, 230(1–3)","given":"1–22. http://doi.org/10.1016/j.foreco.2006.03.023","non-dropping-particle":"","parse-names":false,"suffix":""},{"dropping-particle":"","family":"Glaser, B. G. (2002). Examples of grounded theory: a reader. Forum: Qualitative Social Research., 3(3)","given":"521. Retrieved from http://www.qualitative-research.net/ index.php/fqs/article/view/825/1792.","non-dropping-particle":"","parse-names":false,"suffix":""},{"dropping-particle":"","family":"Schmitt, C. P., &amp; Burchinal, M. (2011). Data management practices for collaborative research. Frontiers in Psychiatry, 2(JUL)","given":"1–8. http://doi.org/10.3389/fpsyt.2011.00047","non-dropping-particle":"","parse-names":false,"suffix":""},{"dropping-particle":"","family":"Strait, D. L., &amp; Kraus, N. (2011). Can you hear me now? Musical training shapes functional brain networks for selective auditory attention and hearing speech in noise. Frontiers in Psychology, 2(JUN)","given":"1–10. http://doi.org/10.3389/fpsyg.2011.00113","non-dropping-particle":"","parse-names":false,"suffix":""},{"dropping-particle":"","family":"Dresp-Langley, B. (2015). Principles of perceptual grouping: Implications for image-guided surgery. Frontiers in Psychology, 6(OCT)","given":"20–23. http://doi.org/10.3389/fpsyg.2015.01565","non-dropping-particle":"","parse-names":false,"suffix":""},{"dropping-particle":"","family":"Karni, E. (2005). Subjective expected utility theory with costly actions. Games and Economic Behavior, 50(1 SPEC. ISS.)","given":"28–41. http://doi.org/10.1016/j.geb.2003.12.001","non-dropping-particle":"","parse-names":false,"suffix":""},{"dropping-particle":"","family":"Manual, U. (1940). Table of of contents. Games and Virtual Worlds for Serious Applications (VS-Games), 2015 7th International Conference on, 33(DECEMBER)","given":"7–58. http://doi.org/10.1002/ejoc.201200111","non-dropping-particle":"","parse-names":false,"suffix":""},{"dropping-particle":"","family":"Cahill, C. (2007). The Personal is Political: Developing new subjectivities through participatory action research. Gender, Place &amp; Culture, 14(3)","given":"267–292. http://doi.org/10.1080/09663690701324904","non-dropping-particle":"","parse-names":false,"suffix":""},{"dropping-particle":"","family":"Pruitt, B., &amp; Waddell, S. (2005). Dialogic approaches to global challenges: moving from “dialogue fatigue” to dialogic change processes. Generative Dialogue …, (August)","given":"55. Retrieved from http://www.racialequitytools.org/resourcefiles/pruitt.pdf","non-dropping-particle":"","parse-names":false,"suffix":""},{"dropping-particle":"","family":"Lucke, J. F. (2009). A critique of the false-positive report probability. Genetic Epidemiology, 33(2)","given":"145–150. http://doi.org/10.1002/gepi.20363","non-dropping-particle":"","parse-names":false,"suffix":""},{"dropping-particle":"","family":"Larsson, B. (2006). Similarities and differences between the schools of psychotherapy. Göteborg Psychological Reports","given":"36(1).","non-dropping-particle":"","parse-names":false,"suffix":""},{"dropping-particle":"","family":"Yoshikawa, H., Weisner, T. S., Kalil, A., &amp; Way, N. (2006). Mixing Qualitative and Quantitative Research in Developmental Science: Uses and Methodological Choices. Greene &amp; Caracelli Developmental Psychology, 44(2)","given":"344–354. http://doi.org/10.1037/2326-3598.1.S.3","non-dropping-particle":"","parse-names":false,"suffix":""},{"dropping-particle":"","family":"Android, F. (2012). Installation and User Guide. Group","given":"1–23.","non-dropping-particle":"","parse-names":false,"suffix":""},{"dropping-particle":"","family":"Kemp, R. (2009). Book Review: Owen, I. R., Psychotherapy and Phenomenology: On Freud, Husserl and Heidegger. New York: iUniverse Inc, 2006. Group Analysis, 42(3)","given":"311–312. http://doi.org/10.1177/0533316409341336","non-dropping-particle":"","parse-names":false,"suffix":""},{"dropping-particle":"","family":"Schmitt, M. T., Miller, D. a., Branscombe, N. R., &amp; Brehm, J. W. (2008). The Difficulty of Making Reparations Affects the Intensity of Collective Guilt. Group Processes &amp; Intergroup Relations, 11(3)","given":"267–279. http://doi.org/10.1177/1368430208090642","non-dropping-particle":"","parse-names":false,"suffix":""},{"dropping-particle":"","family":"BKCASE Editorial Board. (2014). Guide to the Systems Engineering Body of Knowledge. Guide to the Systems Engineering Body of Knowledge (SEBoK)","given":"945. Retrieved from http://g2sebok.incose.org/app/mss/menu/index.cfm","non-dropping-particle":"","parse-names":false,"suffix":""},{"dropping-particle":"","family":"Marzo, V., &amp; Izzo, a a. (2006). Endocannabinoid overactivity and intestinal inflammation. Gut, 55(10)","given":"1373–6. http://doi.org/10.1136/gut.2005.090472","non-dropping-particle":"Di","parse-names":false,"suffix":""},{"dropping-particle":"","family":"Fowles, J. (1978). The Delphi technique. Handbook O F Futures Research, 12(10)","given":"273–300. http://doi.org/10.1080/02688867.1988.9726654","non-dropping-particle":"","parse-names":false,"suffix":""},{"dropping-particle":"","family":"Goldman, A. I., &amp; Shanton, K. (2015). The Case for Simulation Theory Handbook of Theory of Mind. Handbook of “Theory of Mind","given":"in press. Retrieved from http://www.amazon.co.uk/Handbook-Theory-Mind-Leslie/dp/080586377X%5Cnhttp://www.psypress.com/books/details/9780805863789/","non-dropping-particle":"","parse-names":false,"suffix":""},{"dropping-particle":"","family":"Dobson, K. S., &amp; Dozois, D. J. A. J. A. (2010). Historical and philosophical bases of the cognitive-behavioral therapies. Handbook of Cognitive-Behavioral Therapies","given":"1–36. Retrieved from http://scholar.google.com/scholar?hl=en&amp;btnG=Search&amp;q=intitle:Historical+and+Philosophical+Bases+of+the+Cognitive-+Behavioral+Therapies#0 http://scholar.google.com/scholar?hl=en&amp;btnG=Search&amp;q=intitle:Block.+L.(1988).+Historical+and+ph","non-dropping-particle":"","parse-names":false,"suffix":""},{"dropping-particle":"","family":"Schwartz, D. L., Varma, S., &amp; Martin, T. (2008). Dynamic transfer and innovation. Handbook of Conceptual Change, 95616(650)","given":"479–506. http://doi.org/10.1017/CBO9781107415324.004","non-dropping-particle":"","parse-names":false,"suffix":""},{"dropping-particle":"","family":"Josselson, R. (2007). The ethical attitude in narrative research: principles and practicalities. Handbook of Narrative Inquiry: Mapping a Methodology","given":"537–566. http://doi.org/10.4135/9781452226552","non-dropping-particle":"","parse-names":false,"suffix":""},{"dropping-particle":"","family":"Campbell","given":"L. (2002). Parenting Girls and Boys. Handbook of parenting: Vol. 1. Children and parenting (Vol. 1). http://doi.org/10.2307/353999","non-dropping-particle":"","parse-names":false,"suffix":""},{"dropping-particle":"","family":"Guba, E. G. E., &amp; Lincoln","given":"Y. S. Y. (1994). Competing Paradigms in Qualitative Research. Handbook of Qualitative Research. http://doi.org/http://www.uncg.edu/hdf/facultystaff/Tudge/Guba%20&amp;%20Lincoln%201994.pdf","non-dropping-particle":"","parse-names":false,"suffix":""},{"dropping-particle":"","family":"Sanchez, R. (2005). “Tacit Knowledge” versus “Explicit Knowledge” - Approaches to Knowledge Mangement Practice. Handbook on Knowledge Economy","given":"191–203. http://doi.org/10.1108/13673270810852467","non-dropping-particle":"","parse-names":false,"suffix":""},{"dropping-particle":"","family":"Chan Kim, W., &amp; Mauborgne, R. (1997). Fair Process: Managing in the Knowledge Economy. (cover story). Harvard Business Review, 75(4)","given":"65–75. http://doi.org/Article","non-dropping-particle":"","parse-names":false,"suffix":""},{"dropping-particle":"","family":"Persuasion, C. T., Leadership, T. P., &amp; Organizations","given":"C. T. (n.d.). HBR ’ s Must-Reads on Change. Harvard Business Review.","non-dropping-particle":"","parse-names":false,"suffix":""},{"dropping-particle":"","family":"Lather","given":"P. (1986). Research as Praxis. Harvard Educational Review. http://doi.org/10.1016/j.jbtep.2012.04.005","non-dropping-particle":"","parse-names":false,"suffix":""},{"dropping-particle":"","family":"Hammersley, M. (2012). Is it possible to teach social research methods well today ? HEA Social Sciences Teaching and Learning Summit: Teaching Research Methods, (June)","given":"21–22. Retrieved from http://www.heacademy.ac.uk/assets/documents/events/SS_assets/Blog/Hammersley_fullpaper.pdf","non-dropping-particle":"","parse-names":false,"suffix":""},{"dropping-particle":"","family":"Grandpre, J., Alvaro, E. M., Miller, C. H., &amp; Hall, J. R. (2009). Adolescent Reactance and Anti-Smoking Campaigns : A Theoretical Approach Adolescent Reactance and Anti-Smoking Campaigns : A Theoretical Approach. Health Communication, (March 2012)","given":"37–41.","non-dropping-particle":"","parse-names":false,"suffix":""},{"dropping-particle":"","family":"Steckler, A., McLeroy, K. R., Goodman, R. M., Bird, S. T., &amp; McCormick","given":"L. (1992). Toward integrating qualitative and quantitative methods: an introduction. Health Education Quarterly. http://doi.org/10.1177/109019819201900101","non-dropping-particle":"","parse-names":false,"suffix":""},{"dropping-particle":"","family":"Gosin, M. N., Dustman, P. A., Drapeau, A. E., &amp; Harthun, M. L. (2003). Participatory action research: Creating an effective prevention curriculum for adolescents in the Southwestern US. Health Education Research, 18(3)","given":"363–379. http://doi.org/10.1093/her/cyf026","non-dropping-particle":"","parse-names":false,"suffix":""},{"dropping-particle":"","family":"Morrow, V. (2001). Using qualitative methods to elicit young people’s perspectives on their environments: some ideas for community health initiatives. Health Education Research, 16(3)","given":"255–268. http://doi.org/10.1093/her/16.3.255","non-dropping-particle":"","parse-names":false,"suffix":""},{"dropping-particle":"","family":"Abraham, C., &amp; Michie, S. (2008). A taxonomy of behavior change techniques used in interventions. Health Psychology, 27(3)","given":"379–387. http://doi.org/10.1037/0278-6133.27.3.379","non-dropping-particle":"","parse-names":false,"suffix":""},{"dropping-particle":"","family":"Kazak, A. E., &amp; Steele, R. G. (2011). Translating science to practice: Clinical Grand Rounds Series in Health Psychology. Health Psychology : Official Journal of the Division of Health Psychology, American Psychological Association, 30(5)","given":"501–2. http://doi.org/10.1037/a0025057","non-dropping-particle":"","parse-names":false,"suffix":""},{"dropping-particle":"","family":"Smith, J. a. (2011). Evaluating the contribution of interpretative phenomenological analysis. Health Psychology Review, 5(1)","given":"9–27. http://doi.org/10.1080/17437199.2010.510659","non-dropping-particle":"","parse-names":false,"suffix":""},{"dropping-particle":"","family":"Mason, J. (2002). Reflection in and on practice. Health San Francisco, 49(174)","given":"3–17. http://doi.org/10.1016/j.jcma.2011.06.010","non-dropping-particle":"","parse-names":false,"suffix":""},{"dropping-particle":"","family":"Grassinger, R., Porath, M., &amp; Ziegler, A. (2010). Mentoring the gifted: a conceptual analysis. High Ability Studies, 21(1)","given":"27–46. http://doi.org/10.1080/13598139.2010.488087","non-dropping-particle":"","parse-names":false,"suffix":""},{"dropping-particle":"","family":"Leonard, D., Becker, R., &amp; Coate, K. (2005). To prove myself at the highest level: The benefits of doctoral study. Higher Education Research &amp; Development, 24(2)","given":"135–149. http://doi.org/10.1080/07294360500062904","non-dropping-particle":"","parse-names":false,"suffix":""},{"dropping-particle":"","family":"Brownlee, J., Petriwskyj, A., Thorpe, K., Stacey, P., &amp; Gibson, M. (2011). Changing personal epistemologies in early childhood pre-service teachers using an integrated teaching program. Higher Education Research &amp; Development, 30(June 2013)","given":"477–490. http://doi.org/10.1080/07294360.2010.518952","non-dropping-particle":"","parse-names":false,"suffix":""},{"dropping-particle":"","family":"Henkel, M. (2007). Can academic autonomy survive in the knowledge society? A perspective from Britain. Higher Education Research &amp; Development, 26(1)","given":"87–99. http://doi.org/10.1080/07294360601166836","non-dropping-particle":"","parse-names":false,"suffix":""},{"dropping-particle":"","family":"Krause, K.-L. (2012). Addressing the wicked problem of quality in higher education: theoretical approaches and implications. Higher Education Research &amp; Development, 31(3)","given":"285–297. http://doi.org/10.1080/07294360.2011.634381","non-dropping-particle":"","parse-names":false,"suffix":""},{"dropping-particle":"","family":"Entwistle, N. (1997). Introduction: Phenomenography in Higher Education. Higher Education Research &amp; Development, 16(2)","given":"127–134. http://doi.org/10.1080/0729436970160202","non-dropping-particle":"","parse-names":false,"suffix":""},{"dropping-particle":"","family":"Clegg, S. (2012). On the problem of theorising: an insider account of research practice. Higher Education Research &amp; Development, 31(3)","given":"407–418. http://doi.org/10.1080/07294360.2011.634379","non-dropping-particle":"","parse-names":false,"suffix":""},{"dropping-particle":"","family":"Svensson, L. (1997). Theoretical Foundations of Phenomenography. Higher Education Research &amp; Development, 16(2)","given":"159–171. http://doi.org/10.1080/0729436970160204","non-dropping-particle":"","parse-names":false,"suffix":""},{"dropping-particle":"","family":"Taylor, G. (1993). A theory of practice: Hermeneutical understanding. Higher Education Research and Development, 12(1)","given":"59–72. http://doi.org/10.1080/0729436930120106","non-dropping-particle":"","parse-names":false,"suffix":""},{"dropping-particle":"","family":"ROBIN USHER. (2002). a Diversity of Doctorates: Fitness for the Knowledge Economy? Higher Education Research and Development Journal, 21(2)","given":"143–154. http://doi.org/10.1080/07294360220144060","non-dropping-particle":"","parse-names":false,"suffix":""},{"dropping-particle":"","family":"Ghadi, I., Hayati Alwi, N., Abu Bakar, K., &amp; Talib, O. (2012). Construct Validity Examination of Critical Thinking Dispositions for Undergraduate Students in University Putra Malaysia. Higher Education Studies, 2(2)","given":"138–145. http://doi.org/10.5539/hes.v2n2p138","non-dropping-particle":"","parse-names":false,"suffix":""},{"dropping-particle":"","family":"Roese, N. J., &amp; Morrison, M. (2009). The Psychology of Counterfactual Thinking. Historical Social Research, 34(2)","given":"16–26. http://doi.org/10.4324/9780203963784","non-dropping-particle":"","parse-names":false,"suffix":""},{"dropping-particle":"","family":"Cann, a, Dimitriou, K., Hooley, T., &amp; Research Information Network. (2011). Social Media : A guide for researchers. History, 89(February)","given":"48. Retrieved from http://www.rin.ac.uk/system/files/attachments/social_media_guide_for_screen.pdf%5Cnhttp://www.rin.ac.uk/our-work/communicating-and-disseminating-research/social-media-guide-researchers","non-dropping-particle":"","parse-names":false,"suffix":""},{"dropping-particle":"","family":"Sefton, D. S. (1999). The New Cambridge Medieval History, Volume 7, c.1415-c.1500. History: Reviews of New Books, 27(3)","given":"99–100. http://doi.org/10.1080/03612759909604248","non-dropping-particle":"","parse-names":false,"suffix":""},{"dropping-particle":"","family":"Goldkuhl, G. (1999). The grounding of usable knowledge: An inquiry in the epistemology of action knowledge. Hss 1999, 3","given":"14. Retrieved from http://www.vits.org/publikationer/dokument/57.pdf","non-dropping-particle":"","parse-names":false,"suffix":""},{"dropping-particle":"","family":"Frosh, S. (2003). Psychosocial Studies and Psychology: Is a Critical Approach Emerging? Human Relations, 56(200312)","given":"1545–1567. http://doi.org/10.1177/00187267035612005","non-dropping-particle":"","parse-names":false,"suffix":""},{"dropping-particle":"","family":"Joo, B. B.-K. (2005). Executive Coaching : A Conceptual Framework From an Integrative Review of Practice and Research. Human Resource Development Review, 4(4)","given":"462–488. http://doi.org/10.1177/1534484305280866","non-dropping-particle":"","parse-names":false,"suffix":""},{"dropping-particle":"","family":"Gaier, R. R. (2007). On the Value of Phenomenology Across Disciplines and Traditions. Human Studies, 30(3)","given":"269–273. http://doi.org/10.1007/s10746-007-9054-9","non-dropping-particle":"","parse-names":false,"suffix":""},{"dropping-particle":"","family":"Helminiak, D. A., Hoffman, L., &amp; Dodson, E. (2012). A Critique of the “Theistic Psychology” Movement as Exemplified in Bartz’s (2009) “Theistic Existential Psychotherapy.” Humanistic Psychologist, 40(2)","given":"179–196. http://doi.org/10.1080/08873267.2012.672351","non-dropping-particle":"","parse-names":false,"suffix":""},{"dropping-particle":"","family":"DeRoo, N. (2011). Revisiting the Zahavi-Brough/Sokolowski Debate. Husserl Studies, 27(1)","given":"1–12. http://doi.org/10.1007/s10743-010-9081-7","non-dropping-particle":"","parse-names":false,"suffix":""},{"dropping-particle":"","family":"Hu, D. J., &amp; Saul, L. K. (2011). A Probabilistic Topic Model for Music Analysis. Icdm","given":"1–4.","non-dropping-particle":"","parse-names":false,"suffix":""},{"dropping-particle":"","family":"Rohlfing, K. J., &amp; Tani, J. (2011). Grounding language in action. IEEE Transactions on Autonomous Mental Development, 3(2)","given":"109–112. http://doi.org/10.1109/TAMD.2011.2140890","non-dropping-particle":"","parse-names":false,"suffix":""},{"dropping-particle":"","family":"Dysart-Gale, D., Pitula, K., &amp; Radhakrishnan, T. (2010). Improving professional writing for lay practitioners: A rhetorical approach. IEEE Transactions on Professional Communication, 53(3)","given":"293–303. http://doi.org/10.1109/TPC.2010.2052845","non-dropping-particle":"","parse-names":false,"suffix":""},{"dropping-particle":"","family":"Bott, R. (2014). Time and Philosophy: A History of Continental Thought. Igarss 2014, (1)","given":"1–5. http://doi.org/10.1007/s13398-014-0173-7.2","non-dropping-particle":"","parse-names":false,"suffix":""},{"dropping-particle":"","family":"Simon, H., &amp; Mellon, C. (1995). Explaining the ineffable: AI on the topics of intuition, insight and inspiration. Ijcai (1)","given":"939–948. Retrieved from http://octopus.library.cmu.edu/cgi-bin/tiff2pdf/simon/box00021/fld01477/bdl0001/doc0001/simon.pdf","non-dropping-particle":"","parse-names":false,"suffix":""},{"dropping-particle":"","family":"Anteby, M., &amp; Bechky, B. A. (2016). Book Review: Editorial Essay: How Workplace Ethnographies Can Inform the Study of Work and Employment Relations. ILR Review, 69(2)","given":"501–505. http://doi.org/10.1177/0019793915621746","non-dropping-particle":"","parse-names":false,"suffix":""},{"dropping-particle":"","family":"Naftali, T., Bar, L., Ba, L., Yablekovitz, D., Half, E., &amp; Konikoff, F. M. (2011). treatment of crohn’s disease with cannabis: an Observational study. Imaj, 13(August)","given":"455–458.","non-dropping-particle":"","parse-names":false,"suffix":""},{"dropping-particle":"","family":"Kitson, A., Powell, K., Hoon, E., Newbury, J., Wilson, A., &amp; Beilby, J. (2013). Knowledge translation within a population health study: how do you do it? Implementation Science, 8(1)","given":"54. http://doi.org/10.1186/1748-5908-8-54","non-dropping-particle":"","parse-names":false,"suffix":""},{"dropping-particle":"","family":"Falzer, P. R., Moore, B. a, &amp; Garman, D. M. (2008). Incorporating clinical guidelines through clinician decision-making. Implementation Science : IS, 3","given":"13. http://doi.org/10.1186/1748-5908-3-13","non-dropping-particle":"","parse-names":false,"suffix":""},{"dropping-particle":"","family":"Stanovich, K. E. (2012). Distinguishing the reflective, algorithmic, and autonomous minds: Is it time for a tri-process theory? In Two Minds: Dual Processes and Beyond","given":"55–88. http://doi.org/10.1093/acprof:oso/9780199230167.003.0003","non-dropping-particle":"","parse-names":false,"suffix":""},{"dropping-particle":"","family":"Zur","given":"O. (2008). Google Factor: Therapists’ self-disclosure in the age of the Internet. Independent Practitioner.","non-dropping-particle":"","parse-names":false,"suffix":""},{"dropping-particle":"","family":"Holroyd, A. (2007). Interpretive hermeneutic phenomenology: Clarifying understanding. Indo-Pacific Journal of Phenomenology, 7(July)","given":"1–12. http://doi.org/10.1080/20797222.2007.11433946","non-dropping-particle":"","parse-names":false,"suffix":""},{"dropping-particle":"","family":"Aspers, P. (2009). Empirical phenomenology: a qualitative research approach (The Cologne seminars). Indo-Pacific Journal of Phenomenology, 9(October)","given":"1–12. http://doi.org/10.1080/20797222.2009.11433992","non-dropping-particle":"","parse-names":false,"suffix":""},{"dropping-particle":"","family":"Cooke, P. (2001). Regional innovation systems, clusters, and the knowledge economy. Industrial and Corporate Change, 10(4)","given":"945–974. http://doi.org/10.1093/icc/10.4.945","non-dropping-particle":"","parse-names":false,"suffix":""},{"dropping-particle":"","family":"Hooley, T., Bentley, K., &amp; Marriott, J. (2011). Monitor. Industry and Higher Education, 25(3)","given":"149–151. http://doi.org/10.5367/ihe.2011.0044","non-dropping-particle":"","parse-names":false,"suffix":""},{"dropping-particle":"","family":"Spelke, E. S. (1998). Nativism, empiricism, and the origins of knowledge. Infant Behavior and Development, 21(2)","given":"181–200. http://doi.org/10.1016/S0163-6383(98)90002-9","non-dropping-particle":"","parse-names":false,"suffix":""},{"dropping-particle":"","family":"Chang, T. H., &amp; Wang, T. C. (2009). Using the fuzzy multi-criteria decision making approach for measuring the possibility of successful knowledge management. Information Sciences, 179(4)","given":"355–370. http://doi.org/10.1016/j.ins.2008.10.012","non-dropping-particle":"","parse-names":false,"suffix":""},{"dropping-particle":"","family":"Mitra, S., Tooley, J., Inamdar, P., &amp; Dixon, P. (2003). Improving English pronunciation: An automated instructional approach. Information Technologies and International Development, 1(1)","given":"75–84. http://doi.org/10.1162/154475203771799720","non-dropping-particle":"","parse-names":false,"suffix":""},{"dropping-particle":"","family":"Dangwal, R., Jha, S., Chatterjee, S., &amp; Mitra, S. (2005). A Model of How Children Acquire Computing Skills from Hole-in-the-Wall Computers in Public Places. Information Technologies and International Development, 2(4)","given":"41–60. http://doi.org/10.1162/154475205775249319","non-dropping-particle":"","parse-names":false,"suffix":""},{"dropping-particle":"","family":"Rose, J. (2002). Interaction","given":"transformation and information systems development–an extended application of Soft Systems Methodology. Information Technology &amp; People. http://doi.org/10.1108/09593840210444773","non-dropping-particle":"","parse-names":false,"suffix":""},{"dropping-particle":"","family":"Avison","given":"D. E. (1998). A further exploration into information systems development: the evolution of Multiview2. Information Tecnology &amp; People. Retrieved from http://www.emeraldinsight.com/journals.htm?articleid=883490&amp;show=abstract","non-dropping-particle":"","parse-names":false,"suffix":""},{"dropping-particle":"","family":"Havre, S., Hetzler, B., &amp; Nowell, L. (2000). ThemeRiver: visualizing theme changes over time. Information Visualization, 2000. InfoVis 2000. IEEE Symposium on","given":"115–123. http://doi.org/10.1109/INFVIS.2000.885098","non-dropping-particle":"","parse-names":false,"suffix":""},{"dropping-particle":"","family":"Nyström, H. (1990). Organizational innovation. Innovation and Creativity at Work, (November 2002)","given":"143–161.","non-dropping-particle":"","parse-names":false,"suffix":""},{"dropping-particle":"","family":"Maxwell, T. W., Kupczyk‐romanczuk, &amp; G., &amp; Kupczyk-Romanczuk, G. (2009). Innovations in Education and Teaching International Producing the professional doctorate: the portfolio as a legitimate alternative to the dissertation Producing the professional doc","given":"135–145. http://doi.org/10.1080/14703290902843760","non-dropping-particle":"","parse-names":false,"suffix":""},{"dropping-particle":"","family":"Shacham, M., Od‐cohen, Y., &amp; Od-Cohen, Y. (2009). Innovations in Education and Teaching International Rethinking PhD learning incorporating communities of practice Rethinking PhD learning incorporating communities of practice. Innovations in Education and","given":"279–292. http://doi.org/10.1080/14703290903069019","non-dropping-particle":"","parse-names":false,"suffix":""},{"dropping-particle":"","family":"Galt, K. a, Pharm, D., &amp; Ph, D. (2009). Qualitative , Quantitative and Mixed Methods Approaches to Research and Inquiry. Inquiry","given":"(c).","non-dropping-particle":"","parse-names":false,"suffix":""},{"dropping-particle":"","family":"Caulat","given":"G. (2010). Virtual Leadership : on becoming a real leader. Institute forWork Based Learning Middlesex University.","non-dropping-particle":"","parse-names":false,"suffix":""},{"dropping-particle":"","family":"Feldon, D. F. (2010). Do psychology researchers tell it like it is? A microgenetic analysis of research strategies and self-report accuracy along a continuum of expertise. Instructional Science, 38(4)","given":"395–415. http://doi.org/10.1007/s11251-008-9085-2","non-dropping-particle":"","parse-names":false,"suffix":""},{"dropping-particle":"","family":"Marton, F. (1981). Phenomenography - describing world around us conceptions. Instructional Science, 10","given":"177–200. http://doi.org/10.1007/BF00132516","non-dropping-particle":"","parse-names":false,"suffix":""},{"dropping-particle":"","family":"Blankenstein, F. M., Dolmans, D. H. J. M., van der Vleuten, C. P. M., &amp; Schmidt, H. G. (2013). Relevant prior knowledge moderates the effect of elaboration during small group discussion on academic achievement. Instructional Science, 41(4)","given":"729–744. http://doi.org/10.1007/s11251-012-9252-3","non-dropping-particle":"Van","parse-names":false,"suffix":""},{"dropping-particle":"","family":"Blankenstein, F. M., Dolmans, D. H. J. M., van der Vleuten, C. P. M., &amp; Schmidt, H. G. (2011). Which cognitive processes support learning during small-group discussion? The role of providing explanations and listening to others. Instructional Science,","given":"189–204. http://doi.org/10.1007/s11251-009-9124-7","non-dropping-particle":"van","parse-names":false,"suffix":""},{"dropping-particle":"","family":"Heylighen, F. (2011). Self-organization of complex, intelligent systems: an action ontology for transdisciplinary integration. Integral Review","given":"1–39. Retrieved from http://pespmc1.vub.ac.be/papers/ECCO-paradigm.pdf","non-dropping-particle":"","parse-names":false,"suffix":""},{"dropping-particle":"","family":"Wallis, S. E. (2008). Validation of Theory: Exploring and Reframing Popper’s Worlds.pdf. Integral Review, 4(2)","given":"71–91.","non-dropping-particle":"","parse-names":false,"suffix":""},{"dropping-particle":"","family":"Salvatore, S. (2011). Psychotherapy Research Needs Theory. Outline for an Epistemology of the Clinical Exchange. Integrative Psychological and Behavioral Science, 45(3)","given":"366–388. http://doi.org/10.1007/s12124-011-9180-9","non-dropping-particle":"","parse-names":false,"suffix":""},{"dropping-particle":"","family":"Cosmelli, D., &amp; Ib????ez, A. (2008). Human cognition in context: On the biologic, cognitive and social reconsideration of meaning as making sense of action. Integrative Psychological and Behavioral Science, 42(2)","given":"233–244. http://doi.org/10.1007/s12124-008-9060-0","non-dropping-particle":"","parse-names":false,"suffix":""},{"dropping-particle":"","family":"Green, A. E., Cohen, M. S., Kim, J. U., &amp; Gray, J. R. (2012). Intelligence An explicit cue improves creative analogical reasoning. Intelligence, 40(6)","given":"598–603. http://doi.org/10.1016/j.intell.2012.08.005","non-dropping-particle":"","parse-names":false,"suffix":""},{"dropping-particle":"","family":"Wiemer-Hastings, P., Allbritton, D., &amp; Arnott, E. (2004). RMT: A Dialog-Based Research Methods Tutor With or Without a Head. Intelligent Tutoring Systems: 7th International Conference, ITS 2004, Macei{ó}, Alagoas, Brazil, August 30 - September 3, 2004. Pr","given":"614–623. http://doi.org/10.1007/978-3-540-30139-4_58","non-dropping-particle":"","parse-names":false,"suffix":""},{"dropping-particle":"","family":"Pazzani, M. J. (2000). Representation of Electronic Mail Filtering Profiles: A User Study. Intelligent User Interfaces IUI00","given":"202–206. http://doi.org/10.1145/325737.325843","non-dropping-particle":"","parse-names":false,"suffix":""},{"dropping-particle":"","family":"Hancock, H. C., &amp; Durham, L. (2007). Critical care outreach: The need for effective decision-making in clinical practice (Part 2). Intensive and Critical Care Nursing, 23(2)","given":"104–114. http://doi.org/10.1016/j.iccn.2006.06.002","non-dropping-particle":"","parse-names":false,"suffix":""},{"dropping-particle":"","family":"Goldkuhl, G. (2001). Communicative vs material actions : Instrumentality , sociality and comprehensibility. International Business, 2001(Lap 2001)","given":"1–20. Retrieved from http://www-i5.informatik.rwth-aachen.de/conf/lap2001/","non-dropping-particle":"","parse-names":false,"suffix":""},{"dropping-particle":"","family":"Dutta, B., Nandini, D., &amp; Shahi, G. K. (2015). MOD: Metadata for Ontology Description and Publication. International Conference on Dublin Core and Metadata Applications; DC-2015--The São Paulo Proceedings","given":"1–9. Retrieved from http://dcpapers.dublincore.org/pubs/article/view/3758","non-dropping-particle":"","parse-names":false,"suffix":""},{"dropping-particle":"","family":"Poultney, V. (2010). Challenging the PhD: managing the alignment of an EdD programme alongside a traditional PhD pathway. International Conference on Professional Doctorates, 1(1)","given":"1–6. Retrieved from http://derby.openrepository.com/derby/handle/10545/292560%5Cnhttp://wblearning-ejournal.com/archive/10-10-10/1008 rtb.pdf","non-dropping-particle":"","parse-names":false,"suffix":""},{"dropping-particle":"","family":"Smith, A. (2013). Using a theory to understand triage decision making. International Emergency Nursing, 21(2)","given":"113–117. http://doi.org/10.1016/j.ienj.2012.03.003","non-dropping-particle":"","parse-names":false,"suffix":""},{"dropping-particle":"","family":"Lindgren, O., Folkesson, P., &amp; Almqvist, K. (2010). On the importance of the therapist in psychotherapy: A summary of current research. International Forum of Psychoanalysis, 19(4)","given":"224–229. http://doi.org/10.1080/08037060903536047","non-dropping-particle":"","parse-names":false,"suffix":""},{"dropping-particle":"","family":"Spinelli, E. (2004). Hell Is Other People : A Sartrean View of Conflict Resolution. International Journal, 1(1)","given":"56–65.","non-dropping-particle":"","parse-names":false,"suffix":""},{"dropping-particle":"","family":"Slone, D. J. (2004). REVIEW: “Religion Explained: The Evolutionary Origins of Religious Thought.” International Journal for the Psychology of Religion, 14(1)","given":"75–76. http://doi.org/10.1207/s15327582ijpr1401_7","non-dropping-particle":"","parse-names":false,"suffix":""},{"dropping-particle":"","family":"Miranda, D. (2013). The role of music in adolescent development: much more than the same old song. International Journal of Adolescence and Youth, 18(1)","given":"5–22. http://doi.org/10.1080/02673843.2011.650182","non-dropping-particle":"","parse-names":false,"suffix":""},{"dropping-particle":"","family":"Gil, M. A., &amp; López-Díaz, M. (1996). Fundamentals and bayesian analyses of decision problems with fuzzy-valued utilities. International Journal of Approximate Reasoning, 15(3)","given":"203–224. http://doi.org/10.1016/S0888-613X(96)00073-4","non-dropping-particle":"","parse-names":false,"suffix":""},{"dropping-particle":"","family":"Chabi, A., Kboubi, F., &amp; Ahmed, M. (2011). Thematic analysis and visualization of textual corpus. International Journal of Computer Science &amp; Engineering Survey","given":"2(4). Retrieved from http://arxiv.org/abs/1112.2071","non-dropping-particle":"","parse-names":false,"suffix":""},{"dropping-particle":"","family":"Oprea, M. (2007). MAS_UP-UCT: A multi-agent system for university course timetable scheduling. International Journal of Computers, Communications &amp; Control, 1","given":"94–102. http://doi.org/10.1590/S1415-65552003000100014","non-dropping-particle":"","parse-names":false,"suffix":""},{"dropping-particle":"","family":"Mitra, S. (2005). Self organising systems for mass computer literacy: Findings from the “hole in the wall” experiments. International Journal of Development Issues, 4(1)","given":"71–81. http://doi.org/10.1108/eb045849","non-dropping-particle":"","parse-names":false,"suffix":""},{"dropping-particle":"","family":"Adamson, J. (2004). Handbook of Mixed Methods in Social and Behavioural Research. Tashakkori A, Teddlie C (eds). Thousand Oaks: Sage, 2003, pp.768, 77.00 ISBN: 0-7619-2073-0. International Journal of Epidemiology, 33","given":"1414–1415. http://doi.org/10.1093/ije/dyh243","non-dropping-particle":"","parse-names":false,"suffix":""},{"dropping-particle":"","family":"Leontiev, D. (2004). Existential Psychology as a Response to the Challenges of the 21 st Century. International Journal of Existential Psychology &amp; Psychotherapy, 1(1)","given":"103–105.","non-dropping-particle":"","parse-names":false,"suffix":""},{"dropping-particle":"","family":"Meichenbaum, D. (2004). What “expert” therapists do: A constructive narrative perspective. International Journal of Existential Psychology and Psychotherapy, 1(1)","given":"50–55. Retrieved from http://www.existentialpsychology.org","non-dropping-particle":"","parse-names":false,"suffix":""},{"dropping-particle":"","family":"Hanson, R. K., Lloyd, C. D., Helmus, L., &amp; Thornton, D. (2012). Developing Non-Arbitrary Metrics for Risk Communication: Percentile Ranks for the Static-99/R and Static-2002/R Sexual Offender Risk Tools. International Journal of Forensic Mental Health, 11","given":"9–23. http://doi.org/10.1080/14999013.2012.667511","non-dropping-particle":"","parse-names":false,"suffix":""},{"dropping-particle":"","family":"Pattison, S. (2006). Beyond the classroom: the inclusion of young people with learning disabilities in UK mainstream counselling services. International Journal of Inclusive Education, 10(6)","given":"547–564. http://doi.org/10.1080/13603110500256020","non-dropping-particle":"","parse-names":false,"suffix":""},{"dropping-particle":"","family":"Nerkar, A., &amp; Shane, S. (2003). When do start-ups that exploit patented academic knowledge survive? International Journal of Industrial Organization, 21(9)","given":"1391–1410. http://doi.org/10.1016/S0167-7187(03)00088-2","non-dropping-particle":"","parse-names":false,"suffix":""},{"dropping-particle":"","family":"Popadiuk, S., &amp; Choo, C. W. (2006). Innovation and knowledge creation: How are these concepts related? International Journal of Information Management, 26(4)","given":"302–312. http://doi.org/10.1016/j.ijinfomgt.2006.03.011","non-dropping-particle":"","parse-names":false,"suffix":""},{"dropping-particle":"","family":"Esterhuizen, D., Schutte, C. S. L., &amp; Du Toit, A. S. A. (2012). Knowledge creation processes as critical enablers for innovation. International Journal of Information Management, 32(4)","given":"354–364. http://doi.org/10.1016/j.ijinfomgt.2011.11.013","non-dropping-particle":"","parse-names":false,"suffix":""},{"dropping-particle":"","family":"Krassowski, E., Plante, E., Windfuhr, K. L., Faragher, B., Conti-Ramsden, G. and B. N., Marton, K., … Tomblin, J. B. (1999). Copyright © 1999. All rights reserved. International Journal of Language &amp; Communication Disorders / Royal College of Speech &amp; Lan","given":"130–153. http://doi.org/10.1086/250095","non-dropping-particle":"","parse-names":false,"suffix":""},{"dropping-particle":"","family":"Ruitenberg, C. W. (2012). Learning by walking: Non-formal education as curatorial practice and intervention in public space. International Journal of Lifelong Education, 31(3)","given":"261–275. http://doi.org/10.1080/02601370.2012.683604","non-dropping-particle":"","parse-names":false,"suffix":""},{"dropping-particle":"","family":"Murray, L. K., Dorsey, S., Bolton, P., Jordans, M. J. D., Rahman, A., Bass, J., &amp; Verdeli, H. (2011). Building capacity in mental health interventions in low resource countries : an apprenticeship model for training local providers. International Journal","given":"30. http://doi.org/10.1186/1752-4458-5-30","non-dropping-particle":"","parse-names":false,"suffix":""},{"dropping-particle":"","family":"Cameron, R. (2009). A sequential mixed model research design: design, analytical and display issues.(Report). International Journal of Multiple Research Approaches, 3(2)","given":"140(13). Retrieved from http://find.galegroup.com/gps/infomark.do?&amp;contentSet=IAC-Documents&amp;type=retrieve&amp;tabID=T002&amp;prodId=IPS&amp;docId=A207703955&amp;source=gale&amp;srcprod=AONE&amp;userGroupName=cowan&amp;version=1.0","non-dropping-particle":"","parse-names":false,"suffix":""},{"dropping-particle":"","family":"Mills, J., Bonner, A., &amp; Francis, K. (2006). Adopting a Constructivist Approach to Grounded Theory: Implications for Research Design. International Journal of Nursing Practice, 12(1)","given":"8–13.","non-dropping-particle":"","parse-names":false,"suffix":""},{"dropping-particle":"","family":"Rolfe, G., &amp; Davies","given":"R. (2009). Second generation professional doctorates in nursing. International Journal of Nursing Studies. http://doi.org/10.1016/j.ijnurstu.2009.04.002","non-dropping-particle":"","parse-names":false,"suffix":""},{"dropping-particle":"","family":"Hargreaves, J., &amp; Lane, D. (2001). Delya’s story: From expert to novice, a critique of Benner’s concept of context in the development of expert nursing practice. International Journal of Nursing Studies, 38(4)","given":"389–394. http://doi.org/10.1016/S0020-7489(00)00091-2","non-dropping-particle":"","parse-names":false,"suffix":""},{"dropping-particle":"","family":"McCreaddie, M., &amp; Payne, S. (2010). Evolving Grounded Theory Methodology: Towards a discursive approach. International Journal of Nursing Studies, 47(6)","given":"781–793. http://doi.org/10.1016/j.ijnurstu.2009.11.006","non-dropping-particle":"","parse-names":false,"suffix":""},{"dropping-particle":"","family":"Gobet, F., &amp; Chassy, P. (2008). Towards an alternative to Benner’s theory of expert intuition in nursing: A discussion paper. International Journal of Nursing Studies, 45(1)","given":"129–139. http://doi.org/10.1016/j.ijnurstu.2007.01.005","non-dropping-particle":"","parse-names":false,"suffix":""},{"dropping-particle":"","family":"Ghasempour, Z., Bakar, M. N., &amp; Jahanshahloo, G. R. (2013). Innovation in Teaching and Learning through Problem Posing Tasks and Metacognitive Strategies. International Journal of Pedagogical Innovations, 1(1)","given":"53–62. http://doi.org/10.12785/ijpi/010108","non-dropping-particle":"","parse-names":false,"suffix":""},{"dropping-particle":"","family":"Linhares, A. (2009). Theory of constraints and the combinatorial complexity of the product-mix decision. International Journal of Production Economics, 121(1)","given":"121–129. http://doi.org/10.1016/j.ijpe.2009.04.023","non-dropping-particle":"","parse-names":false,"suffix":""},{"dropping-particle":"","family":"Sonnenberg, S. M. (2011). Psychoanalysis and the United States research university: Current trends. International Journal of Psychoanalysis, 92(3)","given":"641–659. http://doi.org/10.1111/j.1745-8315.2011.00450.x","non-dropping-particle":"","parse-names":false,"suffix":""},{"dropping-particle":"","family":"Moreira, P., &amp; Gonçalves, Ó. F. (2010). Therapist’s theoretical orientation and patients’ narrative production. Rogers, Lazarus, Shostrom and Cathy revisited. International Journal of Psychology and Psychological Therapy, 10(2)","given":"227–244.","non-dropping-particle":"","parse-names":false,"suffix":""},{"dropping-particle":"","family":"Kimura, K., &amp; Katayama, J. (2015). Cooperative context is a determinant of the social influence on outcome evaluation: An electrophysiological study. International Journal of Psychophysiology, 100","given":"28–35. http://doi.org/10.1016/j.ijpsycho.2015.12.005","non-dropping-particle":"","parse-names":false,"suffix":""},{"dropping-particle":"","family":"Young, C., &amp; Heller, M. (2000). The scientific “what!” of psychotherapy: psychotherapy is a craft, not a science! International Journal of Psychotherapy, 5(2)","given":"113–131. http://doi.org/10.1080/13569080050131026","non-dropping-particle":"","parse-names":false,"suffix":""},{"dropping-particle":"","family":"Holt, N. L. (2003). Representation, Legitimation, and Autoethnography: An Autoethnographic Writing Story. International Journal of Qualitative Methods, 2(1)","given":"18–28. http://doi.org/10.1177/0891241610387135","non-dropping-particle":"","parse-names":false,"suffix":""},{"dropping-particle":"","family":"Berman, R. C. (2010). A Critical Reflection on the Use of Translators / Interpreters in a Qualitative Cross- Language Research Project. International Journal of Qualitative Methods, 10(1)","given":"178–190. http://doi.org/10.1177/160940691101000206","non-dropping-particle":"","parse-names":false,"suffix":""},{"dropping-particle":"","family":"Groenewald, T. (2004). A Phenomenological Research Design Illustrated. International Journal of Qualitative Methods, 3(1)","given":"1–26. http://doi.org/Retrieved from: http://www.ualberta.ca/~iiqm/backissues/3_1/html/groenewald.html","non-dropping-particle":"","parse-names":false,"suffix":""},{"dropping-particle":"","family":"Glaser, B. G. (2008). Conceptualization: On theory and theorizing using grounded theory. International Journal of Qualitative Methods, 1(2)","given":"23–38. http://doi.org/10.1103/Physics.3.106","non-dropping-particle":"","parse-names":false,"suffix":""},{"dropping-particle":"","family":"Fereday, J., &amp; Muir-Cochrane, E. (2006). Demonstrating Rigor Using Thematic Analysis: A Hybrid Approach of Inductive and Deductive Coding and Theme Development. International Journal of Qualitative Methods, 5(1)","given":"80–92. http://doi.org/10.1063/1.2011295","non-dropping-particle":"","parse-names":false,"suffix":""},{"dropping-particle":"","family":"Laverty, S. M. (2008). Hermeneutic Phenomenology and Phenomenology: A Comparison of Historical and Methodological Considerations. International Journal of Qualitative Methods, 2(3)","given":"21–35. http://doi.org/10.1016/S0742-051X(00)00023-8","non-dropping-particle":"","parse-names":false,"suffix":""},{"dropping-particle":"","family":"Mills, J., Bonner, A., &amp; Francis, K. (2006). The development of constructivist grounded theory. International Journal of Qualitative Method. International Journal of Qualitative Methods, 5(1)","given":"1–10. http://doi.org/10.2307/588533","non-dropping-particle":"","parse-names":false,"suffix":""},{"dropping-particle":"","family":"Yu, K. (2011). Exploring the nature of the researcher–practitioner relationship in qualitative educational research publications. International Journal of Qualitative Studies in Education, 24(7)","given":"785–804. http://doi.org/10.1080/09518398.2010.529838","non-dropping-particle":"","parse-names":false,"suffix":""},{"dropping-particle":"","family":"Polkinghorne, D. E. (1995). Narrative configuration in qualitative analysis. International Journal of Qualitative Studies in Education, 8(1)","given":"5–23. http://doi.org/10.1080/0951839950080103","non-dropping-particle":"","parse-names":false,"suffix":""},{"dropping-particle":"","family":"Wertz, M. S., Nosek, M., McNiesh, S., &amp; Marlow, E. (2011). The composite first person narrative: Texture, structure, and meaning in writing phenomenological descriptions. International Journal of Qualitative Studies on Health and Well-Being, 6(2)","given":"1–10. http://doi.org/10.3402/qhw.v6i2.5882","non-dropping-particle":"","parse-names":false,"suffix":""},{"dropping-particle":"","family":"Smith, J. A. (2007). Hermeneutics, human sciences and health: Linking theory and practice. International Journal of Qualitative Studies on Health and Well-Being, 2(1)","given":"3–11. http://doi.org/10.1080/17482620601016120","non-dropping-particle":"","parse-names":false,"suffix":""},{"dropping-particle":"","family":"Hallberg, L. R. M. (2006). The “core category” of grounded theory: Making constant comparisons. International Journal of Qualitative Studies on Health and Well-Being, 1(3)","given":"141–148. http://doi.org/10.1080/17482620600858399","non-dropping-particle":"","parse-names":false,"suffix":""},{"dropping-particle":"","family":"Mathias, N., &amp; Teresa, H. R. (2006). A hermeneutic of Amartya Sen’s concept of capability. International Journal of Social Economics, 33(10)","given":"710–722. http://doi.org/10.1108/03068290610689741","non-dropping-particle":"","parse-names":false,"suffix":""},{"dropping-particle":"","family":"Burman, E. (1998). Disciplinary apprentices: “Qualitative methods” in student psychological research. International Journal of Social Research Methodology, 1(1)","given":"25–45. http://doi.org/10.1080/13645579.1998.10846861","non-dropping-particle":"","parse-names":false,"suffix":""},{"dropping-particle":"","family":"Fielding, N. (2004). Getting the most from Archived Qualitative Data: Epistemological, Practical and Professional Obstacles. International Journal of Social Research Methodology, 7(1)","given":"97–104. http://doi.org/10.1080/13645570310001640699","non-dropping-particle":"","parse-names":false,"suffix":""},{"dropping-particle":"","family":"Brannen, J., &amp; Brannen, J. (2005). Mixing Methods : The Entry of Qualitative and Quantitative Approaches into the Research Process Mixing Methods : The Entry of Qualitative and Quantitative Approaches into the Research Process. International Journal of So","given":"173–184. http://doi.org/10.1080/13645570500154642","non-dropping-particle":"","parse-names":false,"suffix":""},{"dropping-particle":"","family":"Coy, M. (2006). This Morning I’m A Researcher, This Afternoon I’m An Outreach Worker: Ethical Dilemmas in Practitioner Research. International Journal of Social Research Methodology, 9(5)","given":"419–431. http://doi.org/10.1080/13645570601076785","non-dropping-particle":"","parse-names":false,"suffix":""},{"dropping-particle":"","family":"Truscott, D. M., Swars, S., Smith, S., Thornton‐Reid, F., Zhao, Y., Dooley, C., … Matthews, M. (2010). A cross-disciplinary examination of the prevalence of mixed methods in educational research: 1995–2005. International Journal of Social Research Methodo","given":"317–328. http://doi.org/10.1080/13645570903097950","non-dropping-particle":"","parse-names":false,"suffix":""},{"dropping-particle":"","family":"Dunne, C. (2011). The place of the literature review in grounded theory research. International Journal of Social Research Methodology, 14(2)","given":"111–124. http://doi.org/10.1080/13645579.2010.494930","non-dropping-particle":"","parse-names":false,"suffix":""},{"dropping-particle":"","family":"Taylor, A. (2007). Learning to Become Researching Professionals: The Case of the Doctorate of Education. International Journal of Teaching and Learning in Higher Education, 19(2)","given":"154–166. Retrieved from http://www.isetl.org/ijtlhe/","non-dropping-particle":"","parse-names":false,"suffix":""},{"dropping-particle":"","family":"Bontis, N. (1999). Managing organisational knowledge by diagnosing intellectual capital: framing and advancing the state of the field. International Journal of Technology Management, 18(5/6/7/8)","given":"433. http://doi.org/10.1504/IJTM.1999.002780","non-dropping-particle":"","parse-names":false,"suffix":""},{"dropping-particle":"","family":"Thrift","given":"N. (2008). Non-representational theory: Space Politics Affect. International Library of Sociology. http://doi.org/10.1016/j.emospa.2011.02.005","non-dropping-particle":"","parse-names":false,"suffix":""},{"dropping-particle":"","family":"Adair, J. G., &amp; Huynh, C.-L. (2012). Internationalization of psychological research: Publications and collaborations of the United States and other leading countries. International Perspectives in Psychology: Research, Practice, Consultation, 1(4)","given":"252–267. http://doi.org/10.1037/a0030395","non-dropping-particle":"","parse-names":false,"suffix":""},{"dropping-particle":"","family":"Ravenscroft, A. (2011). Dialogue and Connectivism: A New Approach to Understanding and Promoting Dialogue- Rich Networked Learning. International Review of Research in Open and Distance Learning, 12(3)","given":"139–160.","non-dropping-particle":"","parse-names":false,"suffix":""},{"dropping-particle":"","family":"To, I., Once, A., Knowledge, F., Inferences, S., Opinion, I., &amp; Testimony","given":"P. (n.d.). Writing a Position Paper. Interpretation A Journal Of Bible And Theology.","non-dropping-particle":"","parse-names":false,"suffix":""},{"dropping-particle":"","family":"Mezirow, J. (1987). Fostering critical reflection in adulthood: a guide to transformative and emancipatory learning. Interpreting","given":"214–216. http://doi.org/10.1002/ace.7401","non-dropping-particle":"","parse-names":false,"suffix":""},{"dropping-particle":"","family":"Josselson","given":"R. (1995). Imagining the real.pdf. Interpreting Experience. http://doi.org/10.1037/05150112","non-dropping-particle":"","parse-names":false,"suffix":""},{"dropping-particle":"","family":"Blankenstein, F. M. (2011). Elaboration During Problem-based","given":"Small Group Discussion: A New Approach to Study Collaborative Learning. Interuniversity Center for Educational Research. Retrieved from http://arno.unimaas.nl/show.cgi?did=25896","non-dropping-particle":"","parse-names":false,"suffix":""},{"dropping-particle":"","family":"Collins, J. (2009). “Shadow Selves.” Interventions, 11(1)","given":"69–80. http://doi.org/10.1080/13698010902752764","non-dropping-particle":"","parse-names":false,"suffix":""},{"dropping-particle":"","family":"McGrath, M. (2012). Investigate closure techniques for the Rusal Aughinish Bauxite Residue Disposal Area (BRDA) &amp; show the impact on the surrounding environment post-closure. Irish Centre for Work-Based Learning Partnerships MIDDLESEX UNIVERSITY","given":"(October). Retrieved from http://eprints.mdx.ac.uk/9237/","non-dropping-particle":"","parse-names":false,"suffix":""},{"dropping-particle":"","family":"Daston, L. (2008). On Scientiﬁc Observation. Isis, 99(1)","given":"97–110.","non-dropping-particle":"","parse-names":false,"suffix":""},{"dropping-particle":"","family":"Richardson, A. (2008). Scientific Philosophy as a Topic for History of Science. Isis, 99(1)","given":"88–96. http://doi.org/10.1086/587534","non-dropping-particle":"","parse-names":false,"suffix":""},{"dropping-particle":"","family":"Smith, Y., van Goozen, S., &amp; Cohen-Kettenis, P. T. (2001). Adolescents with gender identity disorder who were accepted or rejected for sex reassignment surgery: a prospective follow-up study. J Am Acad Child Adolesc Psychiatry, 40(4)","given":"472–481. http://doi.org/10.1097/00004583-200104000-00017","non-dropping-particle":"","parse-names":false,"suffix":""},{"dropping-particle":"","family":"Burns, C. D., Cortell, R., &amp; Wagner, B. M. (2009). Treatment Compliance in Adolescents after Attempted Suicide: A Two-Year Follow-Up Study. J Am Acad Child Adolesc Psychiatry, 47(8)","given":"948–957. http://doi.org/10.1097/CHI.0b013e3181799e84.Treatment","non-dropping-particle":"","parse-names":false,"suffix":""},{"dropping-particle":"","family":"McGovern, M., Newman, F., &amp; Kopta, S. (1986). Metatheoretical Assumptions and Psychotherapy Orientation: Clinician Attributions of Patients’ Problem Causality and Responsibility for Treatment Outcome. J Consult Clin Psychol, 54(4)","given":"476–481. http://doi.org/10.1037/0022-006X.54.4.476","non-dropping-particle":"","parse-names":false,"suffix":""},{"dropping-particle":"","family":"Arthur B. Markman, Jennifer S. Beer, Lisa R. Grimm, Jonathan R. Rein, &amp; Maddox, W. T. (2005). The optimal level of fuzz: Case studies in a methodology for psychological research.pdf. J Exp Theor Artif Intell., 1(21)","given":"197–215. http://doi.org/10.1080/09528130903065380.","non-dropping-particle":"","parse-names":false,"suffix":""},{"dropping-particle":"","family":"McKibbon, K. A., Fridsma, D. B., &amp; Crowley, R. S. (2007). How primary care physicians’ attitudes toward risk and uncertainty affect their use of electronic information resources. J Med Libr Assoc, 95(1558–9439 (Electronic))","given":"138–150. http://doi.org/10.3163/1536-5050.95.2.138","non-dropping-particle":"","parse-names":false,"suffix":""},{"dropping-particle":"","family":"Fear, L. (1991). The Role of Social Groups in the Persistence of. J. Comp. Neurol, 785(December)","given":"51–76. http://doi.org/10.1126/science.1113551","non-dropping-particle":"","parse-names":false,"suffix":""},{"dropping-particle":"","family":"Egger, S. a. (1999). Psychological Profiling: Past, Present, and Future. J. Contemp. Crim. Justice, 15(3)","given":"242–261. http://doi.org/10.1177/1043986299015003003","non-dropping-particle":"","parse-names":false,"suffix":""},{"dropping-particle":"","family":"Williams, I. D., Richardson, T. a., Moore, D. D., Gambrel, L. E., &amp; Keeling, M. L. (2010). Perspectives on Self-Care. J. Creat. Ment. Heal., 5(3)","given":"320–338. http://doi.org/10.1080/15401383.2010.507700","non-dropping-particle":"","parse-names":false,"suffix":""},{"dropping-particle":"","family":"Guala, F. (2011). Theory-centrism in experimental economics. J. Econ. Methodol., 18(1)","given":"83–86. http://doi.org/10.1080/1350178X.2011.550127","non-dropping-particle":"","parse-names":false,"suffix":""},{"dropping-particle":"","family":"Phipps, W. D., &amp; Vorster, C. (2011). Narrative Therapy: A Return to the Intrapsychic Perspective? J. Fam. Psychother., 22(2)","given":"128–147. http://doi.org/10.1080/08975353.2011.578036","non-dropping-particle":"","parse-names":false,"suffix":""},{"dropping-particle":"","family":"Ocused, S. O., Guterman, J. T., Ph, D., &amp; Guterman","given":"C. J. T. (2010). a Dvanced T Echniques for Solution-Focused Counseling. J. Ment. Heal. Couns.","non-dropping-particle":"","parse-names":false,"suffix":""},{"dropping-particle":"","family":"Lampropoulos, G. (2006). On the Road to Psychotherapy Integration: A Student’s Journey. J. Psychother. Integr., 16(1)","given":"5–19. http://doi.org/10.1037/1053-0479.16.1.5","non-dropping-particle":"","parse-names":false,"suffix":""},{"dropping-particle":"","family":"Goodman, D. (2012). The Hunger of Language: Commodity and Approach. J. Theor. Philos. Psychol., 32(4)","given":"261–266. http://doi.org/10.1037/a0030004","non-dropping-particle":"","parse-names":false,"suffix":""},{"dropping-particle":"","family":"Turner, S. (2012). Making the Tacit Explicit. Journal for the Theory of Social Behaviour, 42(4)","given":"385–402. http://doi.org/10.1111/j.1468-5914.2012.00500.x","non-dropping-particle":"","parse-names":false,"suffix":""},{"dropping-particle":"","family":"Katsikopoulos, K., Machery, E., Pachur, T., &amp; Wallin, A. (2004). The search for models of clinical judgment: Fast, frugal","given":"and friendly in Paul Meehl’s spirit. Journal of \\ldots. Retrieved from http://hal.archives-ouvertes.fr/hal-00000533/","non-dropping-particle":"","parse-names":false,"suffix":""},{"dropping-particle":"","family":"Adams, J. S. (1963). Toward an Understanding of Inequity. Journal of Abnormal Psychology, 67(5)","given":"422–436. http://doi.org/10.1037/h0040968","non-dropping-particle":"","parse-names":false,"suffix":""},{"dropping-particle":"","family":"Abramson, L. Y., Seligman, M. E., &amp; Teasdale, J. D. (1978). Learned helplessness in humans: critique and reformulation. Journal of Abnormal Psychology, 87(1)","given":"49–74. http://doi.org/10.1037/0021-843X.87.1.49","non-dropping-particle":"","parse-names":false,"suffix":""},{"dropping-particle":"","family":"Hagedorn","given":"W. B. (2011). Using therapeutic letters to navigate resistance and ambivalence: Experiential implications for group counseling. Journal of Addictions &amp; Offender Counseling. http://doi.org/10.1002/j.2161-1874.2011.tb00071.x","non-dropping-particle":"","parse-names":false,"suffix":""},{"dropping-particle":"","family":"Freake, H., Barley, V., &amp; Kent, G. (2007). Adolescents’ views of helping professionals: A review of the literature. Journal of Adolescence, 30(4)","given":"639–653. http://doi.org/10.1016/j.adolescence.2006.06.001","non-dropping-particle":"","parse-names":false,"suffix":""},{"dropping-particle":"","family":"Zhang, Y., Gan, Y., Cham, H., Wang, M.-T., Willett, J. B., Eccles, J. S., … Appleton, J. J. (2012). School Engagement Trajectories and Their Differential Predictive Relations to Dropout. Journal of Adolescence, 74(4)","given":"274–283. http://doi.org/10.1002/pits","non-dropping-particle":"","parse-names":false,"suffix":""},{"dropping-particle":"","family":"Lerner, R. M., &amp; Overton, W. F. (2008). Exemplifying the Integrations of the Relational Developmental System: Synthesizing Theory, Research, and Application to Promote Positive Development and Social Justice. Journal of Adolescent Research, 23(3)","given":"245–255. http://doi.org/10.1177/0743558408314385","non-dropping-particle":"","parse-names":false,"suffix":""},{"dropping-particle":"","family":"Tobin, G. A., &amp; Begley, C. M. (2004). Methodological Rigour within a Qualittaive Framework. Journal of Advanced Nursing, 48(4)","given":"388–396. http://doi.org/10.1111/j.1365-2648.2004.03207.x","non-dropping-particle":"","parse-names":false,"suffix":""},{"dropping-particle":"","family":"Elliott, N. (2010). “Mutual intacting”: A grounded theory study of clinical judgement practice issues. Journal of Advanced Nursing, 66(12)","given":"2711–2721. http://doi.org/10.1111/j.1365-2648.2010.05412.x","non-dropping-particle":"","parse-names":false,"suffix":""},{"dropping-particle":"","family":"Wimpenny, P., &amp; Gass, J. (2000). Interviewing in phenomenology and grounded theory: is there a difference? Journal of Advanced Nursing, 31(6)","given":"1485–1492. http://doi.org/10.1046/j.1365-2648.2000.01431.x","non-dropping-particle":"","parse-names":false,"suffix":""},{"dropping-particle":"","family":"Mccloud, C., Harrington, A., &amp; King, L. (2012). Understanding people’s experience of vitreo-retinal day surgery: A Gadamerian-guided study. Journal of Advanced Nursing, 68(1)","given":"94–103. http://doi.org/10.1111/j.1365-2648.2011.05720.x","non-dropping-particle":"","parse-names":false,"suffix":""},{"dropping-particle":"","family":"Consolini, G. (1997). Self-analysis and resistance to self-analysis of countertransference. Journal of Analytic Social Work, (June 2012)","given":"37–41. Retrieved from http://www.tandfonline.com/doi/abs/10.1300/J408v04n01_06","non-dropping-particle":"","parse-names":false,"suffix":""},{"dropping-particle":"","family":"Casper, W. J., Eby, L. T., Bordeaux, C., Lockwood, A., &amp; Lambert, D. (2007). A review of research methods in IO/OB work-family research. Journal of Applied Psychology, 92(1)","given":"28–43. http://doi.org/10.1037/0021-9010.92.1.28","non-dropping-particle":"","parse-names":false,"suffix":""},{"dropping-particle":"","family":"Bell, B. S., &amp; Kozlowski, S. (2008). Active Learning : Effects of Core Training Design Elements on Self-Regulatory Processes , Learning , and Adaptability Active Learning : Effects of Core Training Design Elements on Self-. Journal of Applied Psychology,","given":"296–316. http://doi.org/10.1037/0021-9010.93.2.296","non-dropping-particle":"","parse-names":false,"suffix":""},{"dropping-particle":"","family":"Wayne, S. J., &amp; Ferris, G. R. (1990). Influence tactics, affect, and exchange quality in supervisor-subordinate interactions: A laboratory experiment and field study. Journal of Applied Psychology, 75(5)","given":"487–499. http://doi.org/10.1037/0021-9010.75.5.487","non-dropping-particle":"","parse-names":false,"suffix":""},{"dropping-particle":"","family":"Langer, E. J., Cohen, M., &amp; Djikic, M. (2012). Mindfulness as a Psychological Attractor: The Effect on Children. Journal of Applied Social Psychology, 42(5)","given":"1114–1122. http://doi.org/10.1111/j.1559-1816.2011.00879.x","non-dropping-particle":"","parse-names":false,"suffix":""},{"dropping-particle":"","family":"Pitney, W. A., &amp; Ehlers, G. G. (2004). A grounded theory study of the mentoring process involved with undergraduate athletic training students. Journal of Athletic Training, 39(4)","given":"344–351.","non-dropping-particle":"","parse-names":false,"suffix":""},{"dropping-particle":"","family":"Gangemi, A., Mancini, F., &amp; Hout, M. Van Den. (2012). Journal of Behavior Therapy and Behavior as information : “ If I avoid , then there must be a danger .” Journal of Behavior Therapy and Experimental Psychiatry, 43(4)","given":"1032–1038. http://doi.org/10.1016/j.jbtep.2012.04.005","non-dropping-particle":"","parse-names":false,"suffix":""},{"dropping-particle":"","family":"Pélissier, M. C., O’Connor, K. P., &amp; Dupuis, G. (2009). When doubting begins: Exploring inductive reasoning in obsessive-compulsive disorder. Journal of Behavior Therapy and Experimental Psychiatry, 40(1)","given":"39–49. http://doi.org/10.1016/j.jbtep.2008.03.003","non-dropping-particle":"","parse-names":false,"suffix":""},{"dropping-particle":"","family":"Finucane, M. L., Alhakami, A., Slovic, P., &amp; Johnson, S. M. (2000). The affect heuristic in judgments of risks and benefits. Journal of Behavioral Decision Making, 13(1)","given":"1. http://doi.org/10.1002/(SICI)1099-0771(200001/03)13:1&lt;1::AID-BDM333&gt;3.0.CO;2-S","non-dropping-particle":"","parse-names":false,"suffix":""},{"dropping-particle":"","family":"Falzer, P. R. (2004). Cognitive schema and naturalistic decision making in evidence-based practices. Journal of Biomedical Informatics, 37(2)","given":"86–98. http://doi.org/10.1016/j.jbi.2004.02.002","non-dropping-particle":"","parse-names":false,"suffix":""},{"dropping-particle":"","family":"Williams, C. (2007). Research Methods. Journal of Business &amp; Economic Research, 5(3)","given":"65–72. http://doi.org/10.1093/fampract/cmi221","non-dropping-particle":"","parse-names":false,"suffix":""},{"dropping-particle":"","family":"Cavusgil, S. T., Calantone, R. J., &amp; Yushan, Z. (2003). Tacit knowledge transfer and firm innovation capability. Journal of Business &amp; Industrial Marketing, 18(1)","given":"6. http://doi.org/10.1108/08858620310458615","non-dropping-particle":"","parse-names":false,"suffix":""},{"dropping-particle":"","family":"Palazzo, G., Krings, F., &amp; Hoffrage, U. (2012). Ethical Blindness. Journal of Business Ethics, 109(3)","given":"323–338. http://doi.org/10.1007/s10551-011-1130-4","non-dropping-particle":"","parse-names":false,"suffix":""},{"dropping-particle":"","family":"Fallis, A. . (2013). Personal Development Plan. Journal of Chemical Information and Modeling, 53(9)","given":"1689–1699. http://doi.org/10.1017/CBO9781107415324.004","non-dropping-particle":"","parse-names":false,"suffix":""},{"dropping-particle":"","family":"Fallis, A. . (2013). Evolution in Four Dimensions. Journal of Chemical Information and Modeling, 53(9)","given":"1689–1699. http://doi.org/10.1017/CBO9781107415324.004","non-dropping-particle":"","parse-names":false,"suffix":""},{"dropping-particle":"","family":"Milton, M., Charles, L., Dale, J., O’Brien, M., Tipney, A., Turner, A. (2013). The Existential-Phenomenological Paradigm: The Importance for Psychotherapy Integration. Journal of Chemical Information and Modeling, 53(9)","given":"1689–1699. http://doi.org/10.1017/CBO9781107415324.004","non-dropping-particle":"","parse-names":false,"suffix":""},{"dropping-particle":"","family":"Semple, R. J., Lee, J., Rosa, D., &amp; Miller, L. F. (2010). A randomized trial of mindfulness-based cognitive therapy for children: Promoting mindful attention to enhance social-emotional resiliency in children. Journal of Child and Family Studies, 19(2)","given":"218–229. http://doi.org/10.1007/s10826-009-9301-y","non-dropping-particle":"","parse-names":false,"suffix":""},{"dropping-particle":"","family":"Cohen, J. A. S., &amp; Semple, R. J. (2010). Mindful parenting: A call for research. Journal of Child and Family Studies, 19(2)","given":"145–151. http://doi.org/10.1007/s10826-009-9285-7","non-dropping-particle":"","parse-names":false,"suffix":""},{"dropping-particle":"","family":"Singh, N. N., Singh, A. N., Lancioni, G. E., Singh, J., Winton, A. S. W., &amp; Adkins, A. D. (2010). Mindfulness training for parents and their children with ADHD increases the children’s compliance. Journal of Child and Family Studies, 19(2)","given":"157–166. http://doi.org/10.1007/s10826-009-9272-z","non-dropping-particle":"","parse-names":false,"suffix":""},{"dropping-particle":"","family":"Burke, C. A. (2010). Mindfulness-based approaches with children and adolescents: A preliminary review of current research in an emergent field. Journal of Child and Family Studies, 19(2)","given":"133–144. http://doi.org/10.1007/s10826-009-9282-x","non-dropping-particle":"","parse-names":false,"suffix":""},{"dropping-particle":"","family":"Milam, D. (1982). A look at psychologists and their intervention efforts with children. Journal of Clinical Child &amp; \\ldots, (August 2012)","given":"37–41. Retrieved from http://www.tandfonline.com/doi/abs/10.1080/15374418209533099","non-dropping-particle":"","parse-names":false,"suffix":""},{"dropping-particle":"","family":"Neill, E. L., Weems, C. F., &amp; Scheeringa, M. S. (2016). CBT for child PTSD is associated with reductions in maternal depression: evidence for bidirectional effects. Journal of Clinical Child and Adolescent Psychology, ePub(ePub)","given":"epub-epub. http://doi.org/10.1080/15374416.2016.1212359","non-dropping-particle":"","parse-names":false,"suffix":""},{"dropping-particle":"","family":"Strech, D., &amp; Tilburt, J. (2008). Value judgments in the analysis and synthesis of evidence. Journal of Clinical Epidemiology, 61(6)","given":"521–524. http://doi.org/10.1016/j.jclinepi.2008.01.001","non-dropping-particle":"","parse-names":false,"suffix":""},{"dropping-particle":"","family":"Agar, N. S., Wedgeworth, E., Crichton, S., Mitchell, T. J., Cox, M., Ferreira, S., … Whittaker, S. J. (2010). Survival outcomes and prognostic factors in mycosis fungoides/Sézary syndrome: Validation of the revised International Society for Cutaneous Lymp","given":"4730–4739. http://doi.org/10.1200/JCO.2009.27.7665","non-dropping-particle":"","parse-names":false,"suffix":""},{"dropping-particle":"","family":"Moyers, T. B., Rollnick, S., Moyers, T. B., &amp; Rollnick, S. (2002). A motivational interviewing perspective on resistance in psychotherapy.[comment]. Journal of Clinical Psychology, 58(2)","given":"185–193. http://doi.org/10.1002/jclp.1142","non-dropping-particle":"","parse-names":false,"suffix":""},{"dropping-particle":"","family":"Norcross, J. C., &amp; Wampold, B. E. (2011). What works for whom: Tailoring psychotherapy to the person. Journal of Clinical Psychology, 67(2)","given":"127–132. http://doi.org/10.1002/jclp.20764","non-dropping-particle":"","parse-names":false,"suffix":""},{"dropping-particle":"","family":"Newman, C. F. (2002). A cognitive perspective on resistance in psychotherapy. Journal of Clinical Psychology, 58(2)","given":"165–174. http://doi.org/10.1002/jclp.1140","non-dropping-particle":"","parse-names":false,"suffix":""},{"dropping-particle":"","family":"Lampropoulos, G. K., Spengler, P. M., Dixon, D. N., &amp; Nicholas, D. R. (2002). How psychotherapy integration can complement the scientist-practitioner model. Journal of Clinical Psychology, 58(10)","given":"1227–1240. http://doi.org/10.1002/jclp.10108","non-dropping-particle":"","parse-names":false,"suffix":""},{"dropping-particle":"","family":"Goldberg, S. B., Davis, J. M., &amp; Hoyt, W. T. (2013). The Role of Therapeutic Alliance in Mindfulness Interventions: Therapeutic alliance in Mindfulness Training for Smokers. Journal of Clinical Psychology, 69(9)","given":"936–950. http://doi.org/10.1002/jclp.21973","non-dropping-particle":"","parse-names":false,"suffix":""},{"dropping-particle":"","family":"Berkum, J. J. a, van den Brink, D., Tesink, C. M. J. Y., Kos, M., &amp; Hagoort, P. (2008). The neural integration of speaker and message. Journal of Cognitive Neuroscience, 20","given":"580–591. http://doi.org/10.1162/jocn.2008.20054","non-dropping-particle":"Van","parse-names":false,"suffix":""},{"dropping-particle":"","family":"Fingesten, P. (1968). The tacit dimension. Journal of Communication Disorders, 1(4)","given":"346–347. http://doi.org/10.1016/0021-9924(68)90018-X","non-dropping-particle":"","parse-names":false,"suffix":""},{"dropping-particle":"","family":"Theresa Barron-McKeagney, J. D. W., &amp; D’Souza., H. J. (2000). Mentoring At-Risk Chicano Children and Their Parents. Journal of Community, 3(8)","given":"37–56. Retrieved from http://www.tandfonline.com/doi/abs/10.1300/J125v08n03_03","non-dropping-particle":"","parse-names":false,"suffix":""},{"dropping-particle":"","family":"Blackmore, S. (2003). Consciousness in meme machines. Journal of Consciousness Studies, 10(4–5)","given":"1–12. http://doi.org/10.1007/s11023-005-9005-z","non-dropping-particle":"","parse-names":false,"suffix":""},{"dropping-particle":"","family":"Phelps, A. F., &amp; Horman, M. J. (2010). Ethnographic Theory-Building Research in Construction. Journal of Construction Engineering and Management, 136(1)","given":"58–65. http://doi.org/10.1061/(ASCE)CO.1943-7862.0000104","non-dropping-particle":"","parse-names":false,"suffix":""},{"dropping-particle":"","family":"Neimeyer, R. A., &amp; Mahoney, M. J. (1996). Different paths to the same goal: The construction of constructivism in psychotherapy: Constructivism in psychotherapy. Journal of Constructivist Psychology, 9(3)","given":"233–247. Retrieved from http://www.tandfonline.com/doi/pdf/10.1080/10720539608404668","non-dropping-particle":"","parse-names":false,"suffix":""},{"dropping-particle":"","family":"Ruiz, A. B. (1996). The contribution of humberto maturana to the sciences of complexity and psychology. Journal of Constructivist Psychology, 9(4)","given":"283–302. http://doi.org/10.1080/10720539608404673","non-dropping-particle":"","parse-names":false,"suffix":""},{"dropping-particle":"","family":"Waltz, J., Addis, M. E., Koerner, K., &amp; Jacobson, N. S. (1993). Testing the integrity of a psychotherapy protocol: assessment of adherence and competence. Journal of Consulting and Clinical Psychology, 61(4)","given":"620–630. http://doi.org/10.1037/0022-006X.61.4.620","non-dropping-particle":"","parse-names":false,"suffix":""},{"dropping-particle":"","family":"Eells, T. D., Lombart, K. G., Kendjelic, E. M., Turner, L. C., &amp; Lucas, C. P. (2005). The quality of psychotherapy case formulations: a comparison of expert, experienced, and novice cognitive-behavioral and psychodynamic therapists. Journal of Consulting","given":"579–589. http://doi.org/10.1037/0022-006X.73.4.579","non-dropping-particle":"","parse-names":false,"suffix":""},{"dropping-particle":"","family":"Silberschatz, G., Fretter, P. B., &amp; Curtis, J. T. (1986). How do interpretations influence the process of psychotherapy? Journal of Consulting and Clinical Psychology, 54(5)","given":"646–652. http://doi.org/10.1037/0022-006X.54.5.646","non-dropping-particle":"","parse-names":false,"suffix":""},{"dropping-particle":"","family":"Bloom, L. J., Weigel, R. G., &amp; Trautt, G. M. (1977). “Therapeugenic” factors in psychotherapy: effects of office decor and subject-therapist sex pairing on the perception of credibility. Journal of Consulting and Clinical Psychology, 45(5)","given":"867–873. http://doi.org/10.1037//0022-006X.45.5.867","non-dropping-particle":"","parse-names":false,"suffix":""},{"dropping-particle":"","family":"Hogue, A., Dauber, S., Stambaugh, L. F., Cecero, J. J., &amp; Liddle, H. A. (2006). Early therapeutic alliance and treatment outcome in individual and family therapy for adolescent behavior problems. Journal of Consulting and Clinical Psychology, 74(1)","given":"121–9. http://doi.org/10.1037/0022-006X.74.1.121","non-dropping-particle":"","parse-names":false,"suffix":""},{"dropping-particle":"","family":"Swift, J. K., &amp; Greenberg, R. P. (2012). Premature discontinuation in adult psychotherapy: A meta-analysis. Journal of Consulting and Clinical Psychology, 80(4)","given":"547–559. http://doi.org/10.1037/a0028226","non-dropping-particle":"","parse-names":false,"suffix":""},{"dropping-particle":"","family":"Rogers, C. R. (1957). The necessary and sufficient conditions of therapeutic personality change. Journal of Consulting Psychology, 21(6)","given":"95–103. http://doi.org/10.1037/0022-006X.60.6.827","non-dropping-particle":"","parse-names":false,"suffix":""},{"dropping-particle":"","family":"Rogers, &amp; Carl R. (1957). The Necessary and Sufficient Conditions of Therapeutic Personality Change. Journal of Consulting Psychology, 21","given":"95–103. http://doi.org/10.1037/0033-3204.44.3.240","non-dropping-particle":"","parse-names":false,"suffix":""},{"dropping-particle":"","family":"Rucker, D. D., Petty, R. E., &amp; Briñol, P. (2008). What’s in a frame anyway?: A meta-cognitive analysis of the impact of one versus two sided message framing on attitude certainty. Journal of Consumer Psychology, 18(2)","given":"137–149. http://doi.org/10.1016/j.jcps.2008.01.008","non-dropping-particle":"","parse-names":false,"suffix":""},{"dropping-particle":"","family":"Betan, E. J., &amp; Binder, J. L. (2010). Clinical expertise in psychotherapy: How expert therapists use theory in generating case conceptualizations and interventions. Journal of Contemporary Psychotherapy, 40(3)","given":"141–152. http://doi.org/10.1007/s10879-010-9138-0","non-dropping-particle":"","parse-names":false,"suffix":""},{"dropping-particle":"","family":"Sommers-Flanagan, J., Richardson, B. G., &amp; Sommers-Flanagan, R. (2011). A multi-theoretical, evidence-based approach for understanding and managing adolescent resistance to psychotherapy. Journal of Contemporary Psychotherapy, 41(2)","given":"69–80. http://doi.org/10.1007/s10879-010-9164-y","non-dropping-particle":"","parse-names":false,"suffix":""},{"dropping-particle":"","family":"Tanner, B. A. (2010). Clinical judgment and clinical significance in psychotherapy practice. Journal of Contemporary Psychotherapy, 40(4)","given":"203–208. http://doi.org/10.1007/s10879-010-9141-5","non-dropping-particle":"","parse-names":false,"suffix":""},{"dropping-particle":"","family":"Paton, B., Martin, S., McClunie-Trust, P., &amp; Weir, N. (2004). Doing phenomenological research collaboratively. Journal of Continuing Education in Nursing, 35(4)","given":"176–181. Retrieved from http://www.ncbi.nlm.nih.gov/pubmed/15307344","non-dropping-particle":"","parse-names":false,"suffix":""},{"dropping-particle":"","family":"Cottone, Rocco","given":"R. (2001). A Social Constructivist Model of ethical decision making in counseling. Journal of Counseling and Development. http://doi.org/10.1002/j.1556-6676.2001.tb01941.x","non-dropping-particle":"","parse-names":false,"suffix":""},{"dropping-particle":"","family":"Burkard, A. W., Knox, S., Groen, M., Perez, M., &amp; Hess, S. a. (2006). European American therapist self-disclosure in cross-cultural counseling. Journal of Counseling Psychology, 53(1)","given":"15–25. http://doi.org/10.1037/0022-0167.53.1.15","non-dropping-particle":"","parse-names":false,"suffix":""},{"dropping-particle":"","family":"Feldstein, J. C. (1979). Effects of counselor sex and sex role and client sex on clients’ perceptions and self-disclosure in a counseling analogue study. Journal of Counseling Psychology, 26(5)","given":"437–443. http://doi.org/10.1037//0022-0167.26.5.437","non-dropping-particle":"","parse-names":false,"suffix":""},{"dropping-particle":"","family":"Berg, J. H., &amp; Wright-Buckley, C. (1988). Effects of racial similarity and interview intimacy in peer counseling dialogue. Journal of Counseling Psychology, 35(4)","given":"377–384. http://doi.org/10.1037//0022-0167.35.4.377","non-dropping-particle":"","parse-names":false,"suffix":""},{"dropping-particle":"","family":"Merluzzi, T. V., Banikiotes, P. G., &amp; Missbach, J. W. (1978). Perceptions of Counselor Characteristics: Contributions of Counselor Sex, Experience, and Disclosure Level. Journal of Counseling Psychology, 25(5)","given":"479–482. http://doi.org/10.1037//0022-0167.25.5.482","non-dropping-particle":"","parse-names":false,"suffix":""},{"dropping-particle":"","family":"Nilsson, D. E., Strassberg, D. S., &amp; Bannon, J. (1979). Perceptions of counselor self-disclosure: An analogue study. Journal of Counseling Psychology, 26(5)","given":"399–404. http://doi.org/10.1037//0022-0167.26.5.399","non-dropping-particle":"","parse-names":false,"suffix":""},{"dropping-particle":"","family":"Spengler, P. M., &amp; Strohmer, D. C. (1994). Clinical Judgmental Biases: The Moderating Roles of Counselor Cognitive Complexity and Counselor Client Preferences. Journal of Counseling Psychology, 41(1)","given":"8–17. http://doi.org/10.1037/0022-0167.41.1.8","non-dropping-particle":"","parse-names":false,"suffix":""},{"dropping-particle":"","family":"Worthington, R. L., &amp; Atkinson, D. R. (1993). Counselors’ responsibility and etiology attributions, theoretical orientations, and counseling strategies. Journal of Counseling Psychology, 40(3)","given":"295–302. http://doi.org/10.1037/0022-0167.40.3.295","non-dropping-particle":"","parse-names":false,"suffix":""},{"dropping-particle":"","family":"Chaikin, A. L., Derlega, V. J., &amp; Miller, S. J. (1976). Effects of room environment on self-disclosure in a counseling analogue. Journal of Counseling Psychology, 23(5)","given":"479–481. http://doi.org/10.1037/0022-0167.23.5.479","non-dropping-particle":"","parse-names":false,"suffix":""},{"dropping-particle":"","family":"Hanson, W. E., Creswell, J. D. W., Clark, V. L. ., Petska, K. S., &amp; Creswell, J. D. W. (2005). Mixed Methods Research Designs in Counseling Psychology. Journal of Counseling Psychology, 52(2)","given":"224. http://doi.org/10.1037/0022-0167.52.2.224","non-dropping-particle":"","parse-names":false,"suffix":""},{"dropping-particle":"","family":"Wertz, F. J. (2005). Phenomenological Research Methods for Counseling Psychology. Journal of Counseling Psychology, 52(2)","given":"167–177. http://doi.org/10.1037/0022-0167.52.2.167","non-dropping-particle":"","parse-names":false,"suffix":""},{"dropping-particle":"","family":"Shor, R. E. (1955). Recorder self-therapy: a technique. Journal of Counseling Psychology, 2(2)","given":"150–151. http://doi.org/10.1037/h0045202","non-dropping-particle":"","parse-names":false,"suffix":""},{"dropping-particle":"","family":"Fischer, J., Paveza, G. J., Kickertz, N. S., Hubbard, L. J., &amp; Grayston, S. B. (1975). The relationship between theoretical orientation and therapists’ empathy, warmth, and genuineness. Journal of Counseling Psychology, 22(5)","given":"399–403. http://doi.org/10.1037/h0077135","non-dropping-particle":"","parse-names":false,"suffix":""},{"dropping-particle":"","family":"Owen, J., Quirk, K., Hilsenroth, M. J., &amp; Rodolfa, E. (2011). Working through: In-session processes that promote between-session thoughts and activities. Journal of Counseling Psychology, 59(1)","given":"161–167. http://doi.org/10.1037/a0023616","non-dropping-particle":"","parse-names":false,"suffix":""},{"dropping-particle":"","family":"Nikitina, S. (2006). Three strategies for interdisciplinary teaching: contextualizing, conceptualizing, and problem‐centring. Journal of Curriculum Studies, 38(3)","given":"251–271. http://doi.org/10.1080/00220270500422632","non-dropping-particle":"","parse-names":false,"suffix":""},{"dropping-particle":"","family":"Sundin, O., &amp; Johannisson, J. (2005). Pragmatism, neo‐pragmatism and sociocultural theory. Journal of Documentation, 61(1)","given":"23–43. http://doi.org/10.1108/00220410510577998","non-dropping-particle":"","parse-names":false,"suffix":""},{"dropping-particle":"","family":"Camerer, C., Loewenstein, G., &amp; Prelec, D. (2005). Neuroeconomics: How Neuroscience Can Inform Economics. Journal of Economic Literature, 43(1)","given":"9–64. http://doi.org/10.1257/0022051053737843","non-dropping-particle":"","parse-names":false,"suffix":""},{"dropping-particle":"","family":"Frederick, S. (2005). Cognitive Reflection and Decision Making. Journal of Economic Perspectives, 19(4)","given":"25–42. http://doi.org/10.1257/089533005775196732","non-dropping-particle":"","parse-names":false,"suffix":""},{"dropping-particle":"","family":"Sugden, R. (2003). Reference-dependent subjective expected utility. Journal of Economic Theory, 111(2)","given":"172–191. http://doi.org/10.1016/S0022-0531(03)00082-6","non-dropping-particle":"","parse-names":false,"suffix":""},{"dropping-particle":"","family":"Karni","given":"E. (1993). Subjective expected utility theory with state-dependent preferences. Journal of Economic Theory. http://doi.org/10.1006/jeth.1993.1051","non-dropping-particle":"","parse-names":false,"suffix":""},{"dropping-particle":"","family":"Jacobs, C., &amp; Cecilia Jacobs. (2007). Towards a critical understanding of the teaching of discipline-specific academic literacies: making the tacit explicit. Journal of Education, 41(41)","given":"59–81. http://doi.org/10.3122/jabfm.2011.05.110213","non-dropping-particle":"","parse-names":false,"suffix":""},{"dropping-particle":"","family":"Nonis, S. a., &amp; Hudson, G. I. (2006). Academic Performance of College Students: Influence of Time Spent Studying and Working. Journal of Education for Business, 81(3)","given":"151–159. http://doi.org/10.3200/JOEB.81.3.151-159","non-dropping-particle":"","parse-names":false,"suffix":""},{"dropping-particle":"","family":"Goodenough, A., &amp; Waite, S. (2012). Real world research: a resource for users of social research methods in applied settings. Journal of Education for Teaching","given":"1–6. Retrieved from http://www.tandfonline.com/doi/full/10.1080/02607476.2012.708121","non-dropping-particle":"","parse-names":false,"suffix":""},{"dropping-particle":"","family":"Billett, S., Ovens, C., Clemans, A., &amp; Seddon, T. (2007). Collaborative working and contested practices: forming, developing and sustaining social partnerships in education. Journal of Education Policy, 22(6)","given":"637–656. http://doi.org/10.1080/02680930701625288","non-dropping-particle":"","parse-names":false,"suffix":""},{"dropping-particle":"","family":"Olssen, M., &amp; Peters, M. A. (2005). Neoliberalism, higher education and the knowledge economy: from the free market to knowledge capitalism. Journal of Education Policy, 20(3)","given":"313–345. http://doi.org/10.1080/02680930500108718","non-dropping-particle":"","parse-names":false,"suffix":""},{"dropping-particle":"","family":"Taysum, A. (2007). The distinctiveness of the EdD in producing and transforming knowledge. Journal of Educational Administration &amp; History, 39(3)","given":"285–296. http://doi.org/10.1080/00220620701698325","non-dropping-particle":"","parse-names":false,"suffix":""},{"dropping-particle":"","family":"Gorard, S. (2004). Sceptical or clerical? Theory as a barrier to the combination of research methods. Journal of Educational Enquiry, 5(1)","given":"1–21.","non-dropping-particle":"","parse-names":false,"suffix":""},{"dropping-particle":"","family":"Nash, R. (2004). Science as a theoretical practice: A response to Gorard from a sceptical cleric. Journal of Educational Enquiry, 5(2)","given":"1–18.","non-dropping-particle":"","parse-names":false,"suffix":""},{"dropping-particle":"","family":"Gorard, S. (2004). Three abuses of “theory”: An engagement with Roy Nash. Journal of Educational Enquiry, 5(2)","given":"19–29.","non-dropping-particle":"","parse-names":false,"suffix":""},{"dropping-particle":"","family":"Greene, J. A., Torney-Purta, J., &amp; Azevedo, R. (2010). Empirical evidence regarding relations among a model of epistemic and ontological cognition, academic performance, and educational level. Journal of Educational Psychology, 102(1)","given":"234–255. http://doi.org/10.1037/a0017998","non-dropping-particle":"","parse-names":false,"suffix":""},{"dropping-particle":"","family":"Klaczynski, P. a., Gordon, D. H., &amp; Fauth, J. (1997). Goal-oriented critical reasoning and individual differences in critical reasoning biases. Journal of Educational Psychology, 89(3)","given":"470–485. http://doi.org/10.1037/0022-0663.89.3.470","non-dropping-particle":"","parse-names":false,"suffix":""},{"dropping-particle":"","family":"West, R. F., Toplak, M. E., &amp; Stanovich, K. E. (2008). Heuristics and biases as measures of critical thinking: Associations with cognitive ability and thinking dispositions. Journal of Educational Psychology, 100(4)","given":"930–941. http://doi.org/10.1037/a0012842","non-dropping-particle":"","parse-names":false,"suffix":""},{"dropping-particle":"","family":"Nussbaum, E. M. (2008). Using argumentation vee diagrams (AVDs) for promoting argument-counterargument integration in reflective writing. Journal of Educational Psychology, 100(3)","given":"549–565. http://doi.org/10.1037/0022-0663.100.3.549","non-dropping-particle":"","parse-names":false,"suffix":""},{"dropping-particle":"","family":"Beel, J., &amp; Gipp, B. (2010). Academic search engine spam and Google Scholar ’ s resilience against it Joeran Beel and Bela Gipp 1 Introduction. Journal of Electronic Publishing, 13(3)","given":"1–28. http://doi.org/10.3998/3336451.0013.305","non-dropping-particle":"","parse-names":false,"suffix":""},{"dropping-particle":"","family":"Borrego, M. (2009). Quantitative, qualitative, and mixed research methods in engineering education. Journal of Engineering …","given":"(January). Retrieved from http://search.proquest.com/openview/799459ddc8e5bad28903ac3f9cc50590/1?pq-origsite=gscholar","non-dropping-particle":"","parse-names":false,"suffix":""},{"dropping-particle":"","family":"McClintock, D., Ison, R., &amp; Armson, R. (2003). Metaphors for reflecting on research practice: researching with people. Journal of Environmental Planning and Management, 46(5)","given":"715–731. http://doi.org/10.1080/0964056032000138454","non-dropping-particle":"","parse-names":false,"suffix":""},{"dropping-particle":"","family":"Mamede, S., Schmidt, H. G., &amp; Rikers, R. (2007). Diagnostic errors and reflective practice in medicine. Journal of Evaluation in Clinical Practice, 13(1)","given":"138–145. http://doi.org/10.1111/j.1365-2753.2006.00638.x","non-dropping-particle":"","parse-names":false,"suffix":""},{"dropping-particle":"","family":"Marshall, J. B. (2006). A self-watching model of analogy-making and perception. Journal of Experimental &amp; Theoretical Artificial Intelligence, 18(3)","given":"267–307. http://doi.org/10.1080/09528130600758626","non-dropping-particle":"","parse-names":false,"suffix":""},{"dropping-particle":"","family":"Kokis, J. V., Macpherson, R., Toplak, M. E., West, R. F., &amp; Stanovich, K. E. (2002). Heuristic and analytic processing: Age trends and associations with cognitive ability and cognitive styles. Journal of Experimental Child Psychology, 83(1)","given":"26–52. http://doi.org/10.1016/S0022-0965(02)00121-2","non-dropping-particle":"","parse-names":false,"suffix":""},{"dropping-particle":"","family":"Holmes, K. J., &amp; Wolff, P. (2012). Does categorical perception in the left hemisphere depend on language? Journal of Experimental Psychology: General, 141(3)","given":"439–443. http://doi.org/10.1037/a0027289","non-dropping-particle":"","parse-names":false,"suffix":""},{"dropping-particle":"","family":"Wood, N. L., &amp; Cowan, N. (1995). The cocktail party phenomenon revisited: Attention and memory in the classic selective listening procedure of Cherry (1953). Journal of Experimental Psychology: General, 124(3)","given":"243–262. http://doi.org/10.1037/0096-3445.124.3.243","non-dropping-particle":"","parse-names":false,"suffix":""},{"dropping-particle":"","family":"Fischhoff, B., Slovic, P., &amp; Lichtenstein, S. (1977). Knowing with certainty: The appropriateness of extreme confidence. Journal of Experimental Psychology: Human Perception and Performance, 3(4)","given":"552–564. http://doi.org/10.1037//0096-1523.3.4.552","non-dropping-particle":"","parse-names":false,"suffix":""},{"dropping-particle":"","family":"Albrechtsen, J. S., Meissner, C. A., &amp; Susa, K. J. (2009). Can intuition improve deception detection performance? Journal of Experimental Social Psychology, 45(4)","given":"1052–1055. http://doi.org/10.1016/j.jesp.2009.05.017","non-dropping-particle":"","parse-names":false,"suffix":""},{"dropping-particle":"","family":"Mc Culloch, K. C., Aarts, H., Fujita, K., &amp; Bargh, J. A. (2008). Inhibition in goal systems: A retrieval-induced forgetting account. Journal of Experimental Social Psychology, 44(3)","given":"857–865. http://doi.org/10.1016/j.jesp.2007.08.004","non-dropping-particle":"","parse-names":false,"suffix":""},{"dropping-particle":"","family":"Malle, B. F., &amp; Knobe, J. (1997). The folk concept of intentionality. Journal of Experimental Social Psychology, 33(2)","given":"101–121. http://doi.org/10.1006/jesp.1996.1314","non-dropping-particle":"","parse-names":false,"suffix":""},{"dropping-particle":"","family":"Weisner, T. S., &amp; Fiese, B. H. (2011). Introduction to special section of the Journal of Family Psychology, advances in mixed methods in family psychology: Integrative and applied solutions for family science. Journal of Family Psychology, 25(6)","given":"795–798. http://doi.org/10.1037/a0026203","non-dropping-particle":"","parse-names":false,"suffix":""},{"dropping-particle":"","family":"Bullock, B. M., Bank, L., &amp; Burraston, B. (2002). Adult sibling expressed emotion and fellow sibling deviance: A new piece of the family process puzzle. Journal of Family Psychology, 16(3)","given":"307. http://doi.org/10.1037//0893-3200.16.3.307","non-dropping-particle":"","parse-names":false,"suffix":""},{"dropping-particle":"","family":"Adams, G. R., Ryan, B. a, Ketsetzis, M., &amp; Keating, L. (2000). Rule compliance and peer sociability: a study of family process, school-focused parent-child interactions, and children’s classroom behavior. Journal of Family Psychology : JFP : Journal of th","given":"237–250. http://doi.org/10.1037/0893-3200.14.2.237","non-dropping-particle":"","parse-names":false,"suffix":""},{"dropping-particle":"","family":"Burck, C. (2005). Comparing qualitative research methodologies for systemic research: the use...: EBSCOhost. Journal of Family Therapy, 27","given":"237–262. http://doi.org/10.1111/j.1467-6427.2005.00314.x","non-dropping-particle":"","parse-names":false,"suffix":""},{"dropping-particle":"","family":"Buchanan, J., Gordon, S., &amp; Schuck, S. (2008). From Mentoring to Monitoring: The Impact of Changing Work Environments on Academics in Australian Universities. Journal of Further and Higher Education, 32(July 2012)","given":"241–250. http://doi.org/10.1080/03098770802220421","non-dropping-particle":"","parse-names":false,"suffix":""},{"dropping-particle":"","family":"Seaburn, D. B., Morse, D., McDaniel, S. H., Beckman, H., Silberman, J., &amp; Epstein, R. (2005). Physician responses to ambiguous patient symptoms. Journal of General Internal Medicine, 20(6)","given":"525–530. http://doi.org/10.1111/j.1525-1497.2005.0093.x","non-dropping-particle":"","parse-names":false,"suffix":""},{"dropping-particle":"","family":"Bovier, P. A., &amp; Perneger, T. V. (2007). Stress from uncertainty from graduation to retirement - A population-based study of Swiss physicians. Journal of General Internal Medicine, 22(5)","given":"632–638. http://doi.org/10.1007/s11606-007-0159-7","non-dropping-particle":"","parse-names":false,"suffix":""},{"dropping-particle":"","family":"Savin-Baden, M., &amp; Niekerk, L. Van. (2007). Narrative Inquiry: Theory and Practice. Journal of Geography in Higher Education, 31(3)","given":"459–472. http://doi.org/10.1080/03098260601071324","non-dropping-particle":"","parse-names":false,"suffix":""},{"dropping-particle":"","family":"Regan, R. D., Cain, J. C., &amp; Davis, W. M. (1975). A global magnetic anomaly map. Journal of Geophysical Research","given":"1–18. Retrieved from http://www.agu.org/pubs/crossref/1975/JB080i005p00794.shtml","non-dropping-particle":"","parse-names":false,"suffix":""},{"dropping-particle":"","family":"Quick, B. L., Scott, A. M., &amp; Ledbetter, A. M. (2011). A close examination of trait reactance and issue involvement as moderators of psychological reactance theory. Journal of Health Communication, 16(March 2015)","given":"660–679. http://doi.org/10.1080/10810730.2011.551989","non-dropping-particle":"","parse-names":false,"suffix":""},{"dropping-particle":"","family":"Ward, V., House, A., &amp; Hamer, S. (2009). Developing a framework for transferring knowledge into action: A thematic analysis of the literature. Journal of Health Services Research and Policy, 14(3)","given":"156–164. http://doi.org/10.1258/jhsrp.2009.008120.Developing","non-dropping-particle":"","parse-names":false,"suffix":""},{"dropping-particle":"","family":"Jablonka, E., &amp; Lamb, M. J. (2006). Book Review Evolution in Four Dimensions. Journal of Heredity, 97(3)","given":"307–310. http://doi.org/10.1172/JCI27017.Book","non-dropping-particle":"","parse-names":false,"suffix":""},{"dropping-particle":"","family":"Ehrensaft, D. (2012). From gender identity disorder to gender identity creativity: True gender self child therapy. Journal of Homosexuality, 59(May)","given":"337–356. http://doi.org/10.1080/00918369.2012.653303","non-dropping-particle":"","parse-names":false,"suffix":""},{"dropping-particle":"","family":"Adame, a. L., &amp; Leitner, L. M. (2010). Dialogical Constructivism: Martin Buber’s Enduring Relevance to Psychotherapy. Journal of Humanistic Psychology, 51(1)","given":"41–60. http://doi.org/10.1177/0022167810379959","non-dropping-particle":"","parse-names":false,"suffix":""},{"dropping-particle":"","family":"Sperry","given":"R. W. (1987). Structure and significance of the consciousness revolution. The Journal of Mind and Behavior. Retrieved from http://people.uncw.edu/puente/sperry/sperrypapers/80s-90s/254-1987.pdf (1995). The Riddle of Consciousness and the Changing Scientif","non-dropping-particle":"","parse-names":false,"suffix":""},{"dropping-particle":"","family":"Schneider, K. J., Galvin, J., &amp; Serlin, I. (2009). Rollo May on Existential Psychotherapy. Journal of Humanistic Psychology, 49(4)","given":"419–434. http://doi.org/10.1177/0022167809340241","non-dropping-particle":"","parse-names":false,"suffix":""},{"dropping-particle":"","family":"Hoffman, E. (2009). Rollo May on Maslow and Rogers: “No Theory of Evil.” Journal of Humanistic Psychology, 49(4)","given":"484–485. http://doi.org/10.1177/0022167809341567","non-dropping-particle":"","parse-names":false,"suffix":""},{"dropping-particle":"","family":"Pitchford, D. B. (2009). The Existentialism of Rollo May. Journal of Humanistic Psychology, 49(4)","given":"441–461. http://doi.org/10.1177/0022167808327679","non-dropping-particle":"","parse-names":false,"suffix":""},{"dropping-particle":"","family":"Pfaffenberger, A. (2007). Different Conceptualizations of Optimum Development. Journal of Humanistic Psychology, 47(4)","given":"474–496. http://doi.org/10.1177/0022167806296858","non-dropping-particle":"","parse-names":false,"suffix":""},{"dropping-particle":"","family":"Friedman, M. (2002). Martin Buber and dialogical psychotherapy. Journal of Humanistic Psychology, 42(4)","given":"7–36. http://doi.org/10.1177/002216702237122","non-dropping-particle":"","parse-names":false,"suffix":""},{"dropping-particle":"","family":"Burks, D. J., &amp; Robbins, R. (2010). Psychologists’ Authenticity: Implications for Work in Professional and Therapeutic Settings. Journal of Humanistic Psychology, 52(1)","given":"75–104. http://doi.org/10.1177/0022167810381472","non-dropping-particle":"","parse-names":false,"suffix":""},{"dropping-particle":"","family":"Castro, A. (2009). Rollo May’s Critical Position in Psychology: The Concept of Comprehension Applied to Dysfuntional Experiences, Health, and Psychotherapy. Journal of Humanistic Psychology, 49(4)","given":"462–483. http://doi.org/10.1177/0022167809339061","non-dropping-particle":"De","parse-names":false,"suffix":""},{"dropping-particle":"","family":"Friedman, M. (2009). The Outreach of Dialogue. Journal of Humanistic Psychology, 49(4)","given":"409–418. http://doi.org/10.1177/0022167809340244","non-dropping-particle":"","parse-names":false,"suffix":""},{"dropping-particle":"","family":"Krug, O. T., Bugental, J., Yalom, I., &amp; Krug, O. T. (2009). Two Masters of Existential Therapy Cultivate Presence in the Therapeutic Encounter. Journal of Humanistic Psychology, 49(3)","given":"329–354. http://doi.org/10.1177/0022167809334001","non-dropping-particle":"","parse-names":false,"suffix":""},{"dropping-particle":"","family":"Takeda, Y., Hashimoto, K., Yoshiyama, D., &amp; Katsuta","given":"S. (2002). &lt;Fulltext 2.Pdf&gt;. Journal of Inclusion Phenomena and Macrocyclic Chemistry. http://doi.org/10.1023/a:1016042402828","non-dropping-particle":"","parse-names":false,"suffix":""},{"dropping-particle":"","family":"Kline, W. H. (2009). How do adolescents leave psychotherapy? Journal of Infant, Child &amp; Adolescent Psychotherapy, 8(3–4)","given":"169–180. http://doi.org/10.1080/15289160903451351","non-dropping-particle":"","parse-names":false,"suffix":""},{"dropping-particle":"","family":"Altman, N. (2008). Wild Things. Journal of Infant, Child, and Adolescent Psychotherapy, 7(3–4)","given":"213–217. http://doi.org/10.1080/15289160802511628","non-dropping-particle":"","parse-names":false,"suffix":""},{"dropping-particle":"","family":"Webb, M. E., Pachler, N., Mitchell, H., &amp; Herrington, N. (2007). Towards a pedagogy of mentor education. Journal of In-Service Education, 33(2)","given":"171–188. http://doi.org/10.1080/13674580701292947","non-dropping-particle":"","parse-names":false,"suffix":""},{"dropping-particle":"","family":"Haldin-Herrgard, T. (2000). Difficulties in diffusion of tacit knowledge in organizations. Journal of Intellectual Capital, 1(4)","given":"357–365. http://doi.org/10.1108/14691930010359252","non-dropping-particle":"","parse-names":false,"suffix":""},{"dropping-particle":"","family":"Hofstede, G. (2001). Cultures and Organizations: Software of the Mind. Journal of International Business Studies, 23(2)","given":"362–365. http://doi.org/10.1057/jibs.1992.23","non-dropping-particle":"","parse-names":false,"suffix":""},{"dropping-particle":"","family":"Kocsis, R. N., Irwin, H. J., Hayes, A. F., &amp; Nunn, R. (2000). Expertise in Psychological Profiling. Journal of Interpersonal Violence, 15(3)","given":"311. http://doi.org/10.1177/088626000015003006","non-dropping-particle":"","parse-names":false,"suffix":""},{"dropping-particle":"","family":"Beveren, J. Van. (2002). A model of knowledge acquisition that refocuses knowledge management. Journal of Knowledge Management, 6(1)","given":"18–22. http://doi.org/10.1108/13673270210417655","non-dropping-particle":"","parse-names":false,"suffix":""},{"dropping-particle":"","family":"Peet, M. (2012). Leadership transitions, tacit knowledge sharing and organizational generativity. Journal of Knowledge Management, 16(1)","given":"45–60. http://doi.org/10.1108/13673271211198936","non-dropping-particle":"","parse-names":false,"suffix":""},{"dropping-particle":"","family":"Oğuz, F., &amp; Elif Şengün, A. (2011). Mystery of the unknown: revisiting tacit knowledge in the organizational literature. Journal of Knowledge Management, 15(3)","given":"445–461. http://doi.org/10.1108/13673271111137420","non-dropping-particle":"","parse-names":false,"suffix":""},{"dropping-particle":"","family":"Suppiah, V., &amp; Singh Sandhu, M. (2011). Organisational culture’s influence on tacit knowledge‐sharing behaviour. Journal of Knowledge Management, 15(3)","given":"462–477. http://doi.org/10.1108/13673271111137439","non-dropping-particle":"","parse-names":false,"suffix":""},{"dropping-particle":"","family":"Venkitachalam, K., &amp; Busch, P. (2012). Tacit knowledge: review and possible research directions. Journal of Knowledge Management, 16(2)","given":"357–372. http://doi.org/10.1108/13673271211218915","non-dropping-particle":"","parse-names":false,"suffix":""},{"dropping-particle":"","family":"Crane, L., &amp; Bontis, N. (2014). Trouble with tacit: developing a new perspective and approach. Journal of Knowledge Management, 18(6)","given":"1127–1140. http://doi.org/10.1108/JKM-02-2014-0061","non-dropping-particle":"","parse-names":false,"suffix":""},{"dropping-particle":"","family":"Joia, L. A., &amp; Lemos, B. (2010). Relevant factors for tacit knowledge transfer within organisations. Journal of Knowledge Management, 14(3)","given":"410–427. http://doi.org/10.1108/13673271011050139","non-dropping-particle":"","parse-names":false,"suffix":""},{"dropping-particle":"","family":"Bhardwaj, M., &amp; Monin, J. (2006). Tacit to explicit: an interplay shaping organization knowledge. Journal of Knowledge Management, 10(3)","given":"72–85. http://doi.org/10.1108/13673270610670867","non-dropping-particle":"","parse-names":false,"suffix":""},{"dropping-particle":"","family":"Smith, E. a. (2001). The role of tacit and explicit knowledge in the workplace. Journal of Knowledge Management, 5(4)","given":"311–321. http://doi.org/10.1108/13673270110411733","non-dropping-particle":"","parse-names":false,"suffix":""},{"dropping-particle":"","family":"Crane, L. (2012). Trust me, I’m an expert: identity construction and knowledge sharing. Journal of Knowledge Management, 16(3)","given":"448–460. http://doi.org/10.1108/13673271211238760","non-dropping-particle":"","parse-names":false,"suffix":""},{"dropping-particle":"","family":"Frazier, T. W., Youngstrom, E. A., Glutting, J. J., &amp; Watkins, M. W. (2007). ADHD and Achievement: Meta-Analysis of the Child, Adolescent, and Adult Literatures and a Concomitant Study With College Students. Journal of Learning Disabilities, 40(1)","given":"49–65. http://doi.org/10.1177/00222194070400010401","non-dropping-particle":"","parse-names":false,"suffix":""},{"dropping-particle":"","family":"Crouse, J. R. (2006). Thematic review series: patient-oriented research. Imaging atherosclerosis: state of the art. Journal of Lipid Research, 47(8)","given":"1677–99. http://doi.org/10.1194/jlr.R600012-JLR200","non-dropping-particle":"","parse-names":false,"suffix":""},{"dropping-particle":"","family":"Raymond, B. C., Kannan, V. R., &amp; Hasan, S. (2014). A Survey of Faculty Mentoring Programs in AACSB Schools of Business. Journal of Management Education, 38(6)","given":"818–842. http://doi.org/10.1177/1052562914540456","non-dropping-particle":"","parse-names":false,"suffix":""},{"dropping-particle":"","family":"Reason, P. (2006). Choice and quality in action research practice. Journal of Management Inquiry, 15(2)","given":"187–203. http://doi.org/10.1177/1056492606288074","non-dropping-particle":"","parse-names":false,"suffix":""},{"dropping-particle":"","family":"Smet, D., &amp; Mention, A.-L. (2012). Inducing Service Innovations through the Governance of IT-enabled Projects. Journal of Management Research, 4(4)","given":"1–16. http://doi.org/10.5296/jmr.v4i4.2056","non-dropping-particle":"De","parse-names":false,"suffix":""},{"dropping-particle":"","family":"Shah, S. K., &amp; Corley, K. G. (2006). Building Better Theory by Bridging the Quantitative – Qualitative Divide. Journal of Management Studies, Volume 43(8)","given":"1821–1835. http://doi.org/10.1111/j.1467-6486.2006.00662.x","non-dropping-particle":"","parse-names":false,"suffix":""},{"dropping-particle":"","family":"Gourlay, S. (2006). Conceptualizing Knowledge Creation: A Critique of Nonaka&amp;apos;s Theory. Journal of Management Studies, 43(7)","given":"1415–1436. http://doi.org/10.1111/j.1467-6486.2006.00637.x","non-dropping-particle":"","parse-names":false,"suffix":""},{"dropping-particle":"","family":"Stephen, A. (1995). Action-oriented research : Models and methods. Journal of Marriage and Family","given":"941–955. http://doi.org/10.2307/353414","non-dropping-particle":"","parse-names":false,"suffix":""},{"dropping-particle":"","family":"LaRossa, R. (2005). Grounded Theory Methods and Qualitative Family Research. Journal of Marrige and Family, 67(November)","given":"837–857. http://doi.org/10.1111/j.1741-3737.2005.00179.x","non-dropping-particle":"","parse-names":false,"suffix":""},{"dropping-particle":"","family":"Wakker, P. (1989). Continuous subjective expected utility with non-additive probabilities. Journal of Mathematical Economics, 18(1)","given":"1–27. http://doi.org/10.1016/0304-4068(89)90002-5","non-dropping-particle":"","parse-names":false,"suffix":""},{"dropping-particle":"","family":"Gilboa, I. (1987). Expected utility with purely subjective non-additive probabilities. Journal of Mathematical Economics, 16(1)","given":"65–88. http://doi.org/10.1016/0304-4068(87)90022-X","non-dropping-particle":"","parse-names":false,"suffix":""},{"dropping-particle":"","family":"Lopes, L., &amp; Oden, G. (1999). The Role of Aspiration Level in Risky Choice: A Comparison of Cumulative Prospect Theory and SP/A Theory. Journal of Mathematical Psychology, 43(2)","given":"286–313. http://doi.org/10.1006/jmps.1999.1259","non-dropping-particle":"","parse-names":false,"suffix":""},{"dropping-particle":"","family":"Steyvers, M., Lee, M. D., &amp; Wagenmakers, E. J. (2009). A Bayesian analysis of human decision-making on bandit problems. Journal of Mathematical Psychology, 53(3)","given":"168–179. http://doi.org/10.1016/j.jmp.2008.11.002","non-dropping-particle":"","parse-names":false,"suffix":""},{"dropping-particle":"","family":"Luce, R. D. (1966). Two extensions of conjoint measurement. Journal of Mathematical Psychology, 3(1964)","given":"348–370. http://doi.org/10.1016/0022-2496(66)90019-8","non-dropping-particle":"","parse-names":false,"suffix":""},{"dropping-particle":"","family":"Bouyssou, D., &amp; Pirlot, M. (2002). Nontransitive Decomposable Conjoint Measurement. Journal of Mathematical Psychology, 46(6)","given":"677–703. http://doi.org/10.1006/jmps.2002.1419","non-dropping-particle":"","parse-names":false,"suffix":""},{"dropping-particle":"","family":"Luce, R. D., &amp; Tukey, J. W. (1964). Simultaneous Conjoint Measurement: A New Type of Fundamental Measurement. Journal of Mathematical Psychology, 1(1)","given":"1–27. http://doi.org/10.1016/0022-2496(64)90015-X","non-dropping-particle":"","parse-names":false,"suffix":""},{"dropping-particle":"","family":"Castelfranchi, C. (2010). Towards a Cognitive Memetics : Socio-Cognitive Mechanisms for Memes Selection and Spreading 1 Cognitive Autonomy and Mediation in Cultural Transmission. Journal Of Memetics, 5(2001)","given":"1–19.","non-dropping-particle":"","parse-names":false,"suffix":""},{"dropping-particle":"","family":"Johnson-Laird, P. N., &amp; Byrne, R. M. (1989). The English word “ only ” is striking be- cause it can be used as a sentential connec- tive , as in The game will be cancelled only if there ’ s a frost I ’ d leave now only there ’ s no bus as a quantifier Onl","given":"313–330.","non-dropping-particle":"","parse-names":false,"suffix":""},{"dropping-particle":"","family":"McRae, K., Spivey-Knowlton, M. J., &amp; Tanenhaus, M. K. (1998). Modeling the influence of thematic fit (and other constraints) in on-line sentence comprehension. Journal of Memory and Language, 38(3)","given":"283–312. http://doi.org/10.1006/jmla.1997.2543","non-dropping-particle":"","parse-names":false,"suffix":""},{"dropping-particle":"","family":"Lewandowsky, S., &amp; Farrell, S. (2008). Phonological similarity in serial recall: Constraints on theories of memory. Journal of Memory and Language, 58(2)","given":"429–448. http://doi.org/10.1016/j.jml.2007.01.005","non-dropping-particle":"","parse-names":false,"suffix":""},{"dropping-particle":"","family":"Storm, B. C., Bjork, E. L., &amp; Bjork, R. A. (2005). Social metacognitive judgments: The role of retrieval-induced forgetting in person memory and impressions. Journal of Memory and Language, 52(4)","given":"535–550. http://doi.org/10.1016/j.jml.2005.01.008","non-dropping-particle":"","parse-names":false,"suffix":""},{"dropping-particle":"","family":"Greene, C. J. (2008). Is Mixed Methods Social Inquiry a Distinctive Methodology? Journal of Mixed Methods Research, 2(1)","given":"7–22. http://doi.org/10.1177/1558689807309969","non-dropping-particle":"","parse-names":false,"suffix":""},{"dropping-particle":"","family":"Wheeldon, J. (2010). Mapping Mixed Methods Research: Methods, Measures, and Meaning. Journal of Mixed Methods Research, 4(2)","given":"87–102. http://doi.org/10.1177/1558689809358755","non-dropping-particle":"","parse-names":false,"suffix":""},{"dropping-particle":"","family":"Wacker, J. (1998). A definition of theory: research guidelines for different theory-building research methods in operations management. Journal of Operations Management, 16(4)","given":"361–385. http://doi.org/10.1016/S0272-6963(98)00019-9","non-dropping-particle":"","parse-names":false,"suffix":""},{"dropping-particle":"","family":"Linderman, K., Schroeder, R. G., Zaheer, S., Liedtke, C., &amp; Choo, A. S. (2004). Integrating quality management practices with knowledge creation processes. Journal of Operations Management, 22(6)","given":"589–607. http://doi.org/10.1016/j.jom.2004.07.001","non-dropping-particle":"","parse-names":false,"suffix":""},{"dropping-particle":"","family":"Drotar, D. (2003). Martin P. Levin distinguished mentorship award: Reflections on mentorship in pediatric psychology: Key issues and implications. Journal of Pediatric Psychology, 28(5)","given":"309–314. Retrieved from http://jpepsy.oxfordjournals.org/content/28/5/309.short","non-dropping-particle":"","parse-names":false,"suffix":""},{"dropping-particle":"","family":"Walker, L. S., Garber, J., &amp; Van Slyke, D. A. (1995). Do parents excuse the misbehavior of children with physical or emotional symptoms? An investigation of the pediatric sick role. Journal of Pediatric Psychology, 20(3)","given":"329–345. http://doi.org/10.1093/jpepsy/20.3.329","non-dropping-particle":"","parse-names":false,"suffix":""},{"dropping-particle":"","family":"Patterson, M. L., &amp; Sechrest","given":"L. B. (1970). Interpersonal distance and impression formation. Journal of Personality. http://doi.org/10.1111/j.1467-6494.1970.tb00001.x","non-dropping-particle":"","parse-names":false,"suffix":""},{"dropping-particle":"","family":"Fava, G. A., &amp; Tomba, E. (2009). Increasing psychological well-being and resilience by psychotherapeutic methods. Journal of Personality, 77(6)","given":"1903–1934. http://doi.org/10.1111/j.1467-6494.2009.00604.x","non-dropping-particle":"","parse-names":false,"suffix":""},{"dropping-particle":"","family":"Josselson, R. (2009). The present of the past: Dialogues with memory over time. Journal of Personality, 77(3)","given":"647–668. http://doi.org/10.1111/j.1467-6494.2009.00560.x","non-dropping-particle":"","parse-names":false,"suffix":""},{"dropping-particle":"","family":"Adler, J. M. (2012). Living into the story: agency and coherence in a longitudinal study of narrative identity development and mental health over the course of psychotherapy. Journal of Personality and Social Psychology, 102(2)","given":"367–89. http://doi.org/10.1037/a0025289","non-dropping-particle":"","parse-names":false,"suffix":""},{"dropping-particle":"","family":"Kunda, Z. (1987). Motivated inference: Self-serving generation and evaluation of causal theories. Journal of Personality and Social Psychology, 53(4)","given":"636–647. http://doi.org/10.1037/0022-3514.53.4.636","non-dropping-particle":"","parse-names":false,"suffix":""},{"dropping-particle":"","family":"Sanitioso, R., Kunda, Z., &amp; Fong, G. T. (1990). Motivated recruitment of autobiographical memories. Journal of Personality and Social Psychology, 59(2)","given":"229–241. http://doi.org/10.1037/0022-3514.59.2.229","non-dropping-particle":"","parse-names":false,"suffix":""},{"dropping-particle":"","family":"Lockwood, P., &amp; Kunda, Z. (1997). Superstars and me: Predicting the impact of role models on the self. Journal of Personality and Social Psychology, 73(1)","given":"91–103. http://doi.org/10.1037/0022-3514.73.1.91","non-dropping-particle":"","parse-names":false,"suffix":""},{"dropping-particle":"","family":"Hirt, E. R., McCrea, S. M., &amp; Boris, H. I. (2003). “I know you self-handicapped last exam”: gender differences in reactions to self-handicapping. Journal of Personality and Social Psychology, 84(1)","given":"177–193. http://doi.org/10.1037/0022-3514.84.1.177","non-dropping-particle":"","parse-names":false,"suffix":""},{"dropping-particle":"","family":"Sedikides, C., Herbst, K. C., Hardin, D. P., &amp; Dardis, G. J. (2002). Accountability as a deterrent to self-enhancement: The search for mechanisms. Journal of Personality and Social Psychology, 83(3)","given":"592–605. http://doi.org/10.1037/0022-3514.83.3.592","non-dropping-particle":"","parse-names":false,"suffix":""},{"dropping-particle":"","family":"Beyth-Marom, R., &amp; Fischhoff, B. (1983). Diagnosticity and pseudodiagnosticity. Journal of Personality and Social Psychology, 45(6)","given":"1185–1195. http://doi.org/10.1037/0022-3514.45.6.1185","non-dropping-particle":"","parse-names":false,"suffix":""},{"dropping-particle":"","family":"O’Laughlin, M. J., &amp; Malle, B. F. (2002). How People Explain Actions Performed by Groups and Individuals. Journal of Personality and Social Psychology, 82(1)","given":"33–48. http://doi.org/10.1037/0022-3514.82.1.33","non-dropping-particle":"","parse-names":false,"suffix":""},{"dropping-particle":"","family":"Shoal, G. D., &amp; Giancola, P. R. (2003). Negative affectivity and drug use in adolescent boys: moderating and mediating mechanisms. Journal of Personality and Social Psychology, 84(1)","given":"221–233. http://doi.org/10.1037/0022-3514.84.1.221","non-dropping-particle":"","parse-names":false,"suffix":""},{"dropping-particle":"","family":"Stanovich, K. E., &amp; West, R. F. (2008). On the relative independence of thinking biases and cognitive ability. Journal of Personality and Social Psychology, 94(4)","given":"672–695. http://doi.org/10.1037/0022-3514.94.4.672","non-dropping-particle":"","parse-names":false,"suffix":""},{"dropping-particle":"","family":"Taylor, S. E., Lerner, J. S., Sherman, D. K., Sage, R. M., &amp; McDowell, N. K. (2003). Portrait of the self-enhancer: Well adjusted and well liked or maladjusted and friendless? Journal of Personality and Social Psychology, 84(1)","given":"165–176. http://doi.org/10.1037/0022-3514.84.1.165","non-dropping-particle":"","parse-names":false,"suffix":""},{"dropping-particle":"","family":"Locke, D., &amp; Pennington, D. (1982). Reasons and other causes: Their role in attribution processes. Journal of Personality and Social Psychology, 42(2)","given":"212–223. http://doi.org/10.1037/0022-3514.42.2.212","non-dropping-particle":"","parse-names":false,"suffix":""},{"dropping-particle":"","family":"Bernichon, T., Cook, K. E., &amp; Brown, J. D. (2003). Seeking self-evaulative feedback: The interactive role of global self-esteem and specific self-views. Journal of Personality and Social Psychology, 84(1)","given":"194–204. http://doi.org/10.1037/0022-3514.84.1.194","non-dropping-particle":"","parse-names":false,"suffix":""},{"dropping-particle":"","family":"Deppe, R. K., &amp; Harackiewicz, J. M. (1996). Self-handicapping and intrinsic motivation: Buffering intrinsic motivation from the threat of failure. Journal of Personality and Social Psychology, 70(4)","given":"868–876. http://doi.org/10.1037/0022-3514.70.4.868","non-dropping-particle":"","parse-names":false,"suffix":""},{"dropping-particle":"","family":"Trzesniewski, K. H., Donnellan, M. B., &amp; Robins, R. W. (2003). Stability of self-esteem across the life span. Journal of Personality and Social Psychology, 84(1)","given":"205–220. http://doi.org/10.1037/0022-3514.84.1.205","non-dropping-particle":"","parse-names":false,"suffix":""},{"dropping-particle":"","family":"Ames, D. R. (2004). Strategies for social inference: a similarity contingency model of projection and stereotyping in attribute prevalence estimates. Journal of Personality and Social Psychology, 87(5)","given":"573–85. http://doi.org/10.1037/0022-3514.87.5.573","non-dropping-particle":"","parse-names":false,"suffix":""},{"dropping-particle":"","family":"Lynch, J. G., &amp; Cohen, J. L. (1978). The use of subjective expected utility theory as an aid to understanding variables that influence helping behavior. Journal of Personality and Social Psychology, 36(10)","given":"1138–1151. http://doi.org/10.1037//0022-3514.36.10.1138","non-dropping-particle":"","parse-names":false,"suffix":""},{"dropping-particle":"","family":"Musewicz, J., Marczyk, G., Knauss, L., &amp; York, D. (2009). Current assessment practice, personality measurement, and rorschach usage by psychologists. Journal of Personality Assessment, 91(5)","given":"453–461. http://doi.org/10.1080/00223890903087976","non-dropping-particle":"","parse-names":false,"suffix":""},{"dropping-particle":"","family":"Meijer, D. (2009). Intimacy, transcendence, and psychology: Closeness and openness in everyday life. Journal of Phenomenological Psychology, 40(1)","given":"109–113. http://doi.org/10.1163/156916209X412284","non-dropping-particle":"","parse-names":false,"suffix":""},{"dropping-particle":"","family":"Cloonan, T. F. (1998). Phenomenological Research Methods. Journal of Phenomenological Psychology, 29(1)","given":"154–157. http://doi.org/10.4135/9781412995658","non-dropping-particle":"","parse-names":false,"suffix":""},{"dropping-particle":"","family":"Engel, M. A., Kellermann, C. A., Rau, T., Burnat, G., Hahn, E. G., &amp; Konturek, P. C. (2008). Ulcerative colitis in AKR mice is attenuated by intraperitoneally administered anandamide. Journal of Physiology and Pharmacology, 59(4)","given":"673–689.","non-dropping-particle":"","parse-names":false,"suffix":""},{"dropping-particle":"","family":"Flyvbjerg, B. (2012). Why Mass Media Matter to Planning Research: The Case of Megaprojects. Journal of Planning Education and Research, 32(2)","given":"169–181. http://doi.org/10.1177/0739456X12441950","non-dropping-particle":"","parse-names":false,"suffix":""},{"dropping-particle":"","family":"DuBois, D. (2002). Life Imitates (and Informs ) Meta-Analysis. Journal of Prevention &amp; Intervention in the Community, (July 2012)","given":"37–41. Retrieved from http://www.tandfonline.com/doi/abs/10.1300/J005v24n02_02","non-dropping-particle":"","parse-names":false,"suffix":""},{"dropping-particle":"","family":"McCoy, E. (2011). Don’t Forget About Benner. Journal of Professional Nursing, 27(1)","given":"64. http://doi.org/10.1016/j.profnurs.2010.09.001","non-dropping-particle":"","parse-names":false,"suffix":""},{"dropping-particle":"","family":"Gable, R. S. (2004). Acute toxic effects of club drugs. Journal of Psychoactive Drugs, 36(3)","given":"303–313. http://doi.org/10.1080/02791072.2004.10400031","non-dropping-particle":"","parse-names":false,"suffix":""},{"dropping-particle":"","family":"Carere-Comes, T. (1999). Beyond psychotherapy: Dialectical therapy. Journal of Psychotherapy Integration, 9(4)","given":"365–396. http://doi.org/10.1023/A:1023295311832","non-dropping-particle":"","parse-names":false,"suffix":""},{"dropping-particle":"","family":"Elliott, R. (2008). A linguistic phenomenology of ways of knowing and its implications for psychotherapy research and psychotherapy integration. Journal of Psychotherapy Integration, 18(1)","given":"40–65. http://doi.org/10.1037/1053-0479.18.1.40","non-dropping-particle":"","parse-names":false,"suffix":""},{"dropping-particle":"","family":"Lampropoulos, G. (2001). Bridging technical eclecticism and theoretical integration: Assimilative integration. Journal of Psychotherapy Integration, 11(1)","given":"5–19. http://doi.org/10.1023/A:1026672807119","non-dropping-particle":"","parse-names":false,"suffix":""},{"dropping-particle":"","family":"Lampropoulos, G. K., &amp; Dixon, D. N. (2007). Psychotherapy integration in internships and counseling psychology doctoral programs. Journal of Psychotherapy Integration, 17(2)","given":"185–208. http://doi.org/10.1037/1053-0479.17.2.185","non-dropping-particle":"","parse-names":false,"suffix":""},{"dropping-particle":"","family":"Duncan, B., &amp; Miller, S. (2000). The client’s theory of change: Consulting the client in the integrative process. Journal of Psychotherapy Integration, 10(2)","given":"169–187. http://doi.org/1053-0479/00/0600-0169$18.00/0","non-dropping-particle":"","parse-names":false,"suffix":""},{"dropping-particle":"","family":"Wolfe, B. E. (2008). Toward a unified conceptual framework of psychotherapy. Journal of Psychotherapy Integration, 18(3)","given":"292–300. http://doi.org/10.1037/1053-0479.18.3.292","non-dropping-particle":"","parse-names":false,"suffix":""},{"dropping-particle":"","family":"Feldman, M. S., Sköldberg, K., Brown, R. N., &amp; Horner, D. (2004). Making sense of stories: A rhetorical approach to narrative analysis. Journal of Public Administration Research and Theory, 14(2)","given":"147–170. http://doi.org/10.1093/jopart/muh010","non-dropping-particle":"","parse-names":false,"suffix":""},{"dropping-particle":"","family":"SOLOMON, J., DUVEEN, J., SCOT, L., &amp; MCCARTHY, S. (1992). Teaching About the Nature of Science Through History - Action Research in the Classroom. Journal of Research in Science Teaching, 29(4)","given":"409–421. http://doi.org/10.1002/tea.3660290408","non-dropping-particle":"","parse-names":false,"suffix":""},{"dropping-particle":"","family":"Neilson, W. S. (2010). A simplified axiomatic approach to ambiguity aversion. Journal of Risk and Uncertainty, 41(2)","given":"113–124. http://doi.org/10.1007/s11166-010-9099-4","non-dropping-particle":"","parse-names":false,"suffix":""},{"dropping-particle":"","family":"Duncan Luce, R. (1992). Where does subjective expected utility fail descriptively? Journal of Risk and Uncertainty, 5(1)","given":"5–27. http://doi.org/10.1007/BF00208784","non-dropping-particle":"","parse-names":false,"suffix":""},{"dropping-particle":"","family":"Kratochwill, T. R. (2012). Comments on “Distinguishing science from pseudoscience in school psychology:” Evidence-based interventions for grandiose bragging. Journal of School Psychology, 50(1)","given":"37–42. http://doi.org/10.1016/j.jsp.2011.11.003","non-dropping-particle":"","parse-names":false,"suffix":""},{"dropping-particle":"","family":"Lilienfeld, S. O., Ammirati, R., &amp; David, M. (2012). Distinguishing science from pseudoscience in school psychology: Science and scientific thinking as safeguards against human error. Journal of School Psychology, 50(1)","given":"7–36. http://doi.org/10.1016/j.jsp.2011.09.006","non-dropping-particle":"","parse-names":false,"suffix":""},{"dropping-particle":"","family":"Slovic, P., Finucane, M., Peters, E., &amp; MacGregor, D. G. (2002). Rational actors or rational fools: Implications of the effects heuristic for behavioral economics. Journal of Socio-Economics, 31(4)","given":"329–342. http://doi.org/10.1016/S1053-5357(02)00174-9","non-dropping-particle":"","parse-names":false,"suffix":""},{"dropping-particle":"","family":"Erden, Z., von Krogh, G., &amp; Nonaka, I. (2008). The quality of group tacit knowledge. Journal of Strategic Information Systems, 17(1)","given":"4–18. http://doi.org/10.1016/j.jsis.2008.02.002","non-dropping-particle":"","parse-names":false,"suffix":""},{"dropping-particle":"","family":"Kehm, B. M., &amp; Teichler, U. (2007). Research on internationalisation in higher education. Journal of Studies in International Education, 11(3–4)","given":"260–273. http://doi.org/10.1177/1028315307303534","non-dropping-particle":"","parse-names":false,"suffix":""},{"dropping-particle":"","family":"Miller, W. R., Zweben, J., &amp; Johnson, W. R. (2005). Evidence-based treatment: Why, what, where, when, and how? Journal of Substance Abuse Treatment, 29(4)","given":"267–276. http://doi.org/10.1016/j.jsat.2005.08.003","non-dropping-particle":"","parse-names":false,"suffix":""},{"dropping-particle":"","family":"Hodak, E., Amitay-Laish, I., Atzmony, L., Prag-Naveh, H., Yanichkin, N., Barzilai, A., … Feinmesser, M. (2016). New insights into folliculotropic mycosis fungoides (FMF): A single-center experience. Journal of the American Academy of Dermatology, 75(2)","given":"347–355. http://doi.org/10.1016/j.jaad.2016.03.009","non-dropping-particle":"","parse-names":false,"suffix":""},{"dropping-particle":"","family":"Hodak, E., Amitay-Laish, I., Feinmesser, M., Davidovici, B., David, M., Zvulunov, A., … Ben-Amitai, D. (2014). Juvenile mycosis fungoides: Cutaneous T-cell lymphoma with frequent follicular involvement. Journal of the American Academy of Dermatology, 70(6","given":"993–1001. http://doi.org/10.1016/j.jaad.2013.12.029","non-dropping-particle":"","parse-names":false,"suffix":""},{"dropping-particle":"","family":"Jawed, S. I., Myskowski, P. L., Horwitz, S., Moskowitz, A., &amp; Querfeld, C. (2014). Primary cutaneous T-cell lymphoma (mycosis fungoides and Sézary syndrome): Part II. Prognosis, management, and future directions. Journal of the American Academy of Dermato","given":"223.e1-223.e17. http://doi.org/10.1016/j.jaad.2013.08.033","non-dropping-particle":"","parse-names":false,"suffix":""},{"dropping-particle":"","family":"Wise, J. a. (1999). The ecological approach to text visualization. Journal of the American Society for Information Science, 50(13)","given":"1224–1233. http://doi.org/10.1002/(SICI)1097-4571(1999)50:13&lt;1224::AID-ASI8&gt;3.0.CO;2-4","non-dropping-particle":"","parse-names":false,"suffix":""},{"dropping-particle":"","family":"Fineout-Overholt, E., Levin, R. F., &amp; Mazurek Melnyk, B. (2004). Strategies for Advancing Evidence-Based Practice in Clinical Settings. Journal of the New York State Nurses Association, 35(2)","given":"28–32.","non-dropping-particle":"","parse-names":false,"suffix":""},{"dropping-particle":"","family":"Poole, B. (2011). Notes on the emergence of EdD (Doctor of Education) programmes in the United Kingdom. Journal of the NUS Teaching Academy, 1(1)","given":"44–53.","non-dropping-particle":"","parse-names":false,"suffix":""},{"dropping-particle":"","family":"Jackson, M. C. (2009). Fifty years of systems thinking for management. Journal of the Operational Research Society, 60(1)","given":"S24–S32. http://doi.org/10.1057/jors.2008.176","non-dropping-particle":"","parse-names":false,"suffix":""},{"dropping-particle":"","family":"Downey, G. (2010). “Practice without theory”: a neuroanthropological perspective on embodied learning. Journal of the Royal Anthropological Institute, 16(s1)","given":"22–40. http://doi.org/10.1111/j.1467-9655.2010.01608.x","non-dropping-particle":"","parse-names":false,"suffix":""},{"dropping-particle":"","family":"Adel Hamdan Mohammad, &amp; Nedhal Abdul Majied al Saiyd. (2012). Guidelines for Tacit Knowledge Acquisition. Journal of Theoretical and Applied Information Technology, 38(1)","given":"110–118. Retrieved from http://www.jatit.org/volumes/Vol38No1/15Vol38No1.pdf","non-dropping-particle":"","parse-names":false,"suffix":""},{"dropping-particle":"","family":"Sugarman, J. (2015). Neoliberalism and psychological ethics. Journal of Theoretical and Philosophical Pscyhology, 35(2)","given":"103–116. http://doi.org/10.1037/a0038960","non-dropping-particle":"","parse-names":false,"suffix":""},{"dropping-particle":"","family":"Kral, M. J. (2007). Psychology and anthropology: Intersubjectivity and epistemology in an interpretive cultural science. Journal of Theoretical and Philosophical Psychology, 27–28(2–1)","given":"257–275. http://doi.org/10.1037/h0091296","non-dropping-particle":"","parse-names":false,"suffix":""},{"dropping-particle":"","family":"Wiggins, B. J. (2011). Confronting the dilemma of mixed methods. Journal of Theoretical and Philosophical Psychology, 31(1)","given":"44–60. http://doi.org/10.1037/a0022612","non-dropping-particle":"","parse-names":false,"suffix":""},{"dropping-particle":"","family":"Rhoades, G. F. (2006). Cross-Cultural Aspects of Trauma and Dissociation. Journal of Trauma Practice, 4(July 2015)","given":"21–33. http://doi.org/10.1300/J189v04n01","non-dropping-particle":"","parse-names":false,"suffix":""},{"dropping-particle":"","family":"Reinhard, C. (2010). Interviews within experimental frameworks: How to make sense of sense-making in virtual worlds. Journal of Virtual Worlds Research, 3","given":"1–25. Retrieved from https://journals.tdl.org/jvwr/article/viewArticle/812","non-dropping-particle":"","parse-names":false,"suffix":""},{"dropping-particle":"","family":"Goldner, L., &amp; Mayseless, O. (2009). The quality of mentoring relationships and mentoring success. Journal of Youth and Adolescence, 38(10)","given":"1339–1350. http://doi.org/10.1007/s10964-008-9345-0","non-dropping-particle":"","parse-names":false,"suffix":""},{"dropping-particle":"","family":"Dudley, T. (2008). Going to the Heart of Jung: Interviews with Analysts. Jung Journal, 2(2)","given":"110–118. http://doi.org/10.1525/jung.2008.2.2.110","non-dropping-particle":"","parse-names":false,"suffix":""},{"dropping-particle":"","family":"Hamburger, H. (2010). Review of Erel Shalit’s Shadows and Interpretation. Jung Journal, 4(4)","given":"82–84. http://doi.org/10.1525/jung.2010.4.4.82","non-dropping-particle":"","parse-names":false,"suffix":""},{"dropping-particle":"","family":"Kakabadse, N. K., Kouzmin, A., &amp; Kakabadse, A. (2001). From Tacit Knowledge to Knowledge Management: Leveraging Invisible Assets. Knowledge and Process Management, 8(3)(November 2016)","given":"137–154. http://doi.org/10.1002/kpm.120","non-dropping-particle":"","parse-names":false,"suffix":""},{"dropping-particle":"","family":"Detel, W., &amp; Wigg-Wolf","given":"D. (2005). Foucault and Classical Antiquity. Knowledge Creation Diffusion Utilization. http://doi.org/10.1017/CBO9780511487156","non-dropping-particle":"","parse-names":false,"suffix":""},{"dropping-particle":"","family":"Jimes, C., &amp; Lucardie, L. (2003). Reconsidering the tacit-explicit distinction - A move toward functional ( tacit ) knowledge management. Knowledge Creation Diffusion Utilization, 1(1)","given":"23–32. Retrieved from http://ejkm.com","non-dropping-particle":"","parse-names":false,"suffix":""},{"dropping-particle":"","family":"Aha, D. W. (1998). The omnipresence of case-based reasoning in science and application. Knowledge-Based Systems, 11","given":"261–273. http://doi.org/10.1016/S0950-7051(98)00066-5","non-dropping-particle":"","parse-names":false,"suffix":""},{"dropping-particle":"","family":"Orlinsky, D. (2006). Comments on the state of psychotherapy research (as I see it). Körper Mit Psyche, (1970)","given":"4. Retrieved from http://logoterapia.org/uploads/media/EA_2008-1.pdf#page=4","non-dropping-particle":"","parse-names":false,"suffix":""},{"dropping-particle":"","family":"Counelis, J. S. (1993). The Case Study: Its Systemic Metatheory and the Social/Behavioural Sciences. Kybernetes, 22(5)","given":"22–34. http://doi.org/10.1108/eb005983","non-dropping-particle":"","parse-names":false,"suffix":""},{"dropping-particle":"","family":"Fontaine, L., &amp; Kodratoff","given":"Y. (2011). The role of thematic and concept texture in scientific text: comparing native and non-native writers of English. La Revue Du GERAS Journal. Retrieved December 5th. Retrieved from http://www.caerdydd.ac.uk/encap/fontaine/thematic-concept.pdf","non-dropping-particle":"","parse-names":false,"suffix":""},{"dropping-particle":"","family":"Grimes, D. A., &amp; Schulz, K. F. (2002). Bias and ausal associations in observational research. Lancet, 359","given":"248–252. http://doi.org/http://dx.doi.org/10.1016/S0140-6736(02)07451-2","non-dropping-particle":"","parse-names":false,"suffix":""},{"dropping-particle":"","family":"Salzmann, Z. (2006). Translation Translation (review). Language, 82(3)","given":"693–693. http://doi.org/10.1353/lan.2006.0164","non-dropping-particle":"","parse-names":false,"suffix":""},{"dropping-particle":"","family":"Gales, L. M. (2003). Linguistic sensitivity in cross-cultural organisational research: Positivist/post-positivist and grounded theory approaches. Language and Intercultural Communication, 3(June)","given":"131–140. http://doi.org/10.1080/14708470308668097","non-dropping-particle":"","parse-names":false,"suffix":""},{"dropping-particle":"","family":"Fairclough, N. (1989). Language and Power. Language in Social Life Series","given":"259.","non-dropping-particle":"","parse-names":false,"suffix":""},{"dropping-particle":"","family":"Michaels, S. (1981). “Sharing time”: Children’s narrative styles and differential access to literacy. Language in Society, 10(3)","given":"423–442. http://doi.org/10.1017/S0047404500008861","non-dropping-particle":"","parse-names":false,"suffix":""},{"dropping-particle":"","family":"Http://doi.org/10.1016/B978-0-240-52168-8.10001-X","given":"What is. (1996). Leadership.","non-dropping-particle":"","parse-names":false,"suffix":""},{"dropping-particle":"","family":"Côté, S., Lopes, P. N., Salovey, P., &amp; Miners, C. T. H. (2010). Emotional intelligence and leadership emergence in small groups. Leadership Quarterly, 21(3)","given":"496–508. http://doi.org/10.1016/j.leaqua.2010.03.012","non-dropping-particle":"","parse-names":false,"suffix":""},{"dropping-particle":"","family":"Rayner, S. (2011). Researching style: Epistemology, paradigm shifts and research interest groups. Learning and Individual Differences, 21(3)","given":"255–262. http://doi.org/10.1016/j.lindif.2010.11.020","non-dropping-particle":"","parse-names":false,"suffix":""},{"dropping-particle":"","family":"Peterson, E. R., Rayner, S. G., &amp; Armstrong, S. J. (2009). Researching the psychology of cognitive style and learning style: Is there really a future? Learning and Individual Differences, 19(4)","given":"518–523. http://doi.org/10.1016/j.lindif.2009.06.003","non-dropping-particle":"","parse-names":false,"suffix":""},{"dropping-particle":"","family":"Komarraju, M., Karau, S. J., &amp; Schmeck, R. R. (2009). Role of the Big Five personality traits in predicting college students’ academic motivation and achievement. Learning and Individual Differences, 19(1)","given":"47–52. http://doi.org/10.1016/j.lindif.2008.07.001","non-dropping-particle":"","parse-names":false,"suffix":""},{"dropping-particle":"","family":"Ferguson, L. E., Bråten, I., &amp; Strømsø, H. I. (2012). Epistemic cognition when students read multiple documents containing conflicting scientific evidence: A think-aloud study. Learning and Instruction, 22(2)","given":"103–120. http://doi.org/10.1016/j.learninstruc.2011.08.002","non-dropping-particle":"","parse-names":false,"suffix":""},{"dropping-particle":"","family":"Franco, G. M., Muis, K. R., Kendeou, P., Ranellucci, J., Sampasivam, L., &amp; Wang, X. (2012). Examining the influences of epistemic beliefs and knowledge representations on cognitive processing and conceptual change when learning physics. Learning and Instr","given":"62–77. http://doi.org/10.1016/j.learninstruc.2011.06.003","non-dropping-particle":"","parse-names":false,"suffix":""},{"dropping-particle":"","family":"Scharrer, L., Bromme, R., Britt, M. A., &amp; Stadtler, M. (2012). The seduction of easiness: How science depictions influence laypeople’s reliance on their own evaluation of scientific information. Learning and Instruction, 22(3)","given":"231–243. http://doi.org/10.1016/j.learninstruc.2011.11.004","non-dropping-particle":"","parse-names":false,"suffix":""},{"dropping-particle":"","family":"Ifenthaler, D., &amp; Seel, N. M. (2011). A longitudinal perspective on inductive reasoning tasks. Illuminating the probability of change. Learning and Instruction, 21(4)","given":"538–549. http://doi.org/10.1016/j.learninstruc.2010.08.004","non-dropping-particle":"","parse-names":false,"suffix":""},{"dropping-particle":"","family":"Mason, L., Ariasi, N., &amp; Boldrin, A. (2011). Epistemic beliefs in action: Spontaneous reflections about knowledge and knowing during online information searching and their influence on learning. Learning and Instruction, 21(1)","given":"137–151. http://doi.org/10.1016/j.learninstruc.2010.01.001","non-dropping-particle":"","parse-names":false,"suffix":""},{"dropping-particle":"","family":"Mason, L., &amp; Scirica, F. (2006). Prediction of students’ argumentation skills about controversial topics by epistemological understanding. Learning and Instruction, 16(5)","given":"492–509. http://doi.org/10.1016/j.learninstruc.2006.09.007","non-dropping-particle":"","parse-names":false,"suffix":""},{"dropping-particle":"","family":"Weinstock, M., &amp; Zviling-Beiser, H. (2009). Separating academic and social experience as potential factors in epistemological development. Learning and Instruction, 19(3)","given":"287–298. http://doi.org/10.1016/j.learninstruc.2008.05.004","non-dropping-particle":"","parse-names":false,"suffix":""},{"dropping-particle":"","family":"Chen, H., Nunes, M. B., Zhou, L., &amp; Peng, G. C. (2011). Development and Learning in Organizations“Expanding the concept of requirements traceability: The role of electronic records management in gathering evidence of crucial communications and negotiation","given":"510–528. Retrieved from http://dx.doi.org/10.1108/14777280610645859","non-dropping-particle":"","parse-names":false,"suffix":""},{"dropping-particle":"","family":"Uden, L., Oshee, D. F., Ting, I. H., &amp; Liberona, D. (2014). Knowledge Management in Organizations: 9th International Conference, KMO 2014 Santiago, Chile, September 2-5, 2014 Proceedings. Lecture Notes in Business Information Processing","given":"185 LNBIP. http://doi.org/10.1007/978-3-319-08618-7","non-dropping-particle":"","parse-names":false,"suffix":""},{"dropping-particle":"","family":"Krifka, M. (1992). Thematic Relations as Links between Nominal Reference and Temporal Constitution. Lexical Matters","given":"29–53.","non-dropping-particle":"","parse-names":false,"suffix":""},{"dropping-particle":"","family":"Fidel, R. (2008). Library &amp; Information Science Research Are we there yet ?: Mixed methods research in library and information science. Library and Information Science Research, 30(4)","given":"265–272. http://doi.org/10.1016/j.lisr.2008.04.001","non-dropping-particle":"","parse-names":false,"suffix":""},{"dropping-particle":"","family":"Challenges, N. E. W. (2011). Next Steps in Implementing the Further Education Reform Programme. Lifelong Learning","given":"(August).","non-dropping-particle":"","parse-names":false,"suffix":""},{"dropping-particle":"","family":"Jekat, S., &amp; Hohenstein, C. (2012). Respect and the 3rd Person in a Multilingual Perspective. Linguistik Online, 51","given":"3–7. Retrieved from http://www.linguistik-online.de/51_12/editorial.html","non-dropping-particle":"","parse-names":false,"suffix":""},{"dropping-particle":"","family":"UE. (2016). Work-based Learning and Lifelong Guidance Policies. Lll","given":"(5).","non-dropping-particle":"","parse-names":false,"suffix":""},{"dropping-particle":"","family":"D, M. M. P. (n.d.). Psychoanalytic Inquiry : A Topical Journal for Mental Mary D . Salter ainsworth : Main, (February 2013)","given":"37–41. http://doi.org/10.1080/07351690701310698","non-dropping-particle":"","parse-names":false,"suffix":""},{"dropping-particle":"","family":"Schutt, R. K., &amp; Chambliss, D. F. (2013). Qualitative Data Analysis. Making Sense of the Social World: Methods of Investigation","given":"320–357. http://doi.org/10.1136/ebnurs.2011.100352","non-dropping-particle":"","parse-names":false,"suffix":""},{"dropping-particle":"","family":"Education, I., &amp; Nursing, C. C. (2013). Erasmus Mundus Masters Courses ( EMMCs ). Management","given":"(November 2011).","non-dropping-particle":"","parse-names":false,"suffix":""},{"dropping-particle":"","family":"Gioia, D. A., &amp; Pitre, E. (2008). Multiparadigm Perspectives on Theory Building. Management, 15(4)","given":"584–602.","non-dropping-particle":"","parse-names":false,"suffix":""},{"dropping-particle":"","family":"McInnes, P., Hibbert, P., &amp; Beech, N. (2007). Exploring the complexities of validity claims in action research. Management Research News, 30(5)","given":"381–390. http://doi.org/10.1108/01409170710746373","non-dropping-particle":"","parse-names":false,"suffix":""},{"dropping-particle":"","family":"Boulding","given":"K. E. (1956). General Systems Theory - The Skeleton of Sciene. Management Science. http://doi.org/10.1287/mnsc.17.11.661","non-dropping-particle":"","parse-names":false,"suffix":""},{"dropping-particle":"","family":"BIS. (2011). New Challenges, New Chances:- Further Education and Skills System Reform Plan: Building a World Class Skills System. Matrix, (December)","given":"42.","non-dropping-particle":"","parse-names":false,"suffix":""},{"dropping-particle":"","family":"Lejeune, M. (2011). Tacit knowledge: revisiting the epistemology of knowledge. McGill Journal of Education / Revue Des Sciences de L’éducation de McGill, 46(1)","given":"91–106. http://doi.org/10.1109/HICSS.2009.361","non-dropping-particle":"","parse-names":false,"suffix":""},{"dropping-particle":"","family":"Law, M., Stewart, D., &amp; Letts, L. (1998). Guidelines for critical review of qualitative studies. McMaster University","given":"357–362. Retrieved from http://www.musallamusf.com/resources/Qualitative-Lit-Analysis-pdf.pdf","non-dropping-particle":"","parse-names":false,"suffix":""},{"dropping-particle":"","family":"Ling, M., Li, H., &amp; Li, Q. (2014). Measurement Uncertainty Evaluation Method Considering Correlation and its Application to Precision Centrifuge. Measurement Science Review, 14(6)","given":"308–316. http://doi.org/10.2478/msr-2014-0042","non-dropping-particle":"","parse-names":false,"suffix":""},{"dropping-particle":"","family":"Haseman, B. (2006). A Manifesto for Performative Research. Media International Australia Incorporating Culture and Policy, Theme issue \"Practice-Led Research, (118), Alexander, C., Ishikawa, S., Silverstein","given":"M. (19. http://doi.org/10.1016/S0190-9622(06)01179-0","non-dropping-particle":"","parse-names":false,"suffix":""},{"dropping-particle":"","family":"Sneller, M. C., &amp; Fauci","given":"A. S. (1997). Pathogenesis of vasculitis syndromes. Medical Clinics of North America. http://doi.org/10.1016/S0025-7125(05)70512-5","non-dropping-particle":"","parse-names":false,"suffix":""},{"dropping-particle":"","family":"Norman, G., Young, M., &amp; Brooks, L. (2007). Non-analytical models of clinical reasoning: The role of experience. Medical Education, 41(12)","given":"1140–1145. http://doi.org/10.1111/j.1365-2923.2007.02914.x","non-dropping-particle":"","parse-names":false,"suffix":""},{"dropping-particle":"","family":"Norman, G. (2005). Research in clinical reasoning: Past history and current trends. Medical Education, 39(4)","given":"418–427. http://doi.org/10.1111/j.1365-2929.2005.02127.x","non-dropping-particle":"","parse-names":false,"suffix":""},{"dropping-particle":"","family":"Peña, A. (2010). The Dreyfus model of clinical problem-solving skills acquisition: a critical perspective. Medical Education Online, 15","given":"1–11. http://doi.org/10.3402/meo.v15i0.4846","non-dropping-particle":"","parse-names":false,"suffix":""},{"dropping-particle":"","family":"Khan, K., &amp; Ramachandran, S. (2012). Conceptual framework for performance assessment: Competency, competence and performance in the context of assessments in healthcare – Deciphering the terminology. Medical Teacher","given":"1–9. http://doi.org/10.3109/0142159X.2012.722707","non-dropping-particle":"","parse-names":false,"suffix":""},{"dropping-particle":"","family":"Kempainen, R. R., Migeon, M. B., &amp; Wolf, F. M. (2003). Understanding our mistakes: a primer on errors in clinical reasoning. Medical Teacher, 25(2)","given":"177–181. http://doi.org/10.1080/0142159031000092580","non-dropping-particle":"","parse-names":false,"suffix":""},{"dropping-particle":"","family":"Todres, L., Galvin, K., &amp; Dahlberg, K. (2007). Lifeworld-led healthcare: Revisiting a humanising philosophy that integrates emerging trends. Medicine, Health Care and Philosophy, 10(1)","given":"53–63. http://doi.org/10.1007/s11019-006-9012-8","non-dropping-particle":"","parse-names":false,"suffix":""},{"dropping-particle":"","family":"(International Association of Universities). (2006). World list of universities and other institutions of higher education. Medicine","given":"History of. Retrieved from http://www.iau-aiu.net/","non-dropping-particle":"","parse-names":false,"suffix":""},{"dropping-particle":"","family":"Goodwin, K. a, Meissner, C. a, &amp; Ericsson, K. a. (2001). Toward a model of false recall: experimental manipulation of encoding context and the collection of verbal reports. Memory &amp; Cognition, 29(6)","given":"806–19. Retrieved from http://www.ncbi.nlm.nih.gov/pubmed/11716054","non-dropping-particle":"","parse-names":false,"suffix":""},{"dropping-particle":"","family":"Talmi, D., &amp; Moscovitch, M. (2004). Can semantic relatedness explain the enhancement of memory for emotional words? Memory &amp; Cognition, 32(5)","given":"742–751. http://doi.org/10.3758/BF03195864","non-dropping-particle":"","parse-names":false,"suffix":""},{"dropping-particle":"","family":"Toplak, M., West, R., &amp; Stanovich, K. (2011). The Cognitive Reflection Test as a predictor of performance on heuristics-and-biases tasks. Memory &amp; Cognition, 39(7)","given":"1275–1289. http://doi.org/10.3758/s13421-011-0104-1","non-dropping-particle":"","parse-names":false,"suffix":""},{"dropping-particle":"","family":"Koppenaal, L., &amp; Glanzer, M. (1990). An examination of the continuous distractor task and the “long-term recency effect.” Memory and Cognition, 18(2)","given":"183–195. http://doi.org/10.3758/BF03197094","non-dropping-particle":"","parse-names":false,"suffix":""},{"dropping-particle":"","family":"Palmer, D., Nixon, J., Reynolds, S., Panayiotou, A., Palmer, A., &amp; Meyerowitz, R. (2012). Getting to know you: Reflections on a specialist independent mental health advocacy service for Bexley and Bromley residents in forensic settings. Mental Health Revi","given":"5–13. http://doi.org/10.1108/13619321211231761","non-dropping-particle":"","parse-names":false,"suffix":""},{"dropping-particle":"","family":"O’Connor","given":"R. (2006). MENTORING IN AMERICA 2005: A snapshot of the current state of mentoring. Mentor. Retrieved from http://www.mentoring.org/downloads/mentoring_523.pdf","non-dropping-particle":"","parse-names":false,"suffix":""},{"dropping-particle":"","family":"Goldner, L., &amp; Mayseless, O. (2008). Juggling the roles of parents, therapists, friends and teachers – a working model for an integrative conception of mentoring. Mentoring &amp; Tutoring: Partnership in Learning, 16(4)","given":"412–428. http://doi.org/10.1080/13611260802433783","non-dropping-particle":"","parse-names":false,"suffix":""},{"dropping-particle":"","family":"Burgess, H., &amp; Butcher, J. (1999). To Challenge or Not To Challenge: The Mentor’s Dilemma. Mentoring &amp; Tutoring: Partnership in Learning, 6(3)","given":"31–47. http://doi.org/10.1080/0968465990060303","non-dropping-particle":"","parse-names":false,"suffix":""},{"dropping-particle":"","family":"Taylor, J. (2003). Training new mentees: A manual for preparing youth in mentoring programs. Mentoring Center. Building Effective Peer Mentoring, 6(2)","given":"254–269. Retrieved from http://www.ncjrs.gov/App/AbstractDB/AbstractDBDetails.aspx?id=204908","non-dropping-particle":"","parse-names":false,"suffix":""},{"dropping-particle":"","family":"Hofer, B. K., &amp; Sinatra, G. M. (2010). Epistemology, metacognition, and self-regulation: Musings on an emerging field. Metacognition and Learning, 5(1)","given":"113–120. http://doi.org/10.1007/s11409-009-9051-7","non-dropping-particle":"","parse-names":false,"suffix":""},{"dropping-particle":"","family":"Mason, L., &amp; Bromme, R. (2010). Situating and relating epistemological beliefs into metacognition: Studies on beliefs about knowledge and knowing. Metacognition and Learning, 5(1)","given":"1–6. http://doi.org/10.1007/s11409-009-9050-8","non-dropping-particle":"","parse-names":false,"suffix":""},{"dropping-particle":"","family":"Muis, K. R., Kendeou, P., &amp; Franco, G. M. (2011). Consistent results with the consistency hypothesis? The effects of epistemic beliefs on metacognitive processing. Metacognition and Learning, 6(1)","given":"45–63. http://doi.org/10.1007/s11409-010-9066-0","non-dropping-particle":"","parse-names":false,"suffix":""},{"dropping-particle":"","family":"Zohar, A., &amp; Ben David, A. (2009). Paving a clear path in a thick forest: A conceptual analysis of a metacognitive component. Metacognition and Learning, 4(3)","given":"177–195. http://doi.org/10.1007/s11409-009-9044-6","non-dropping-particle":"","parse-names":false,"suffix":""},{"dropping-particle":"","family":"Shelley, C. (2002). The analogy theory of disanalogy: When conclusions collide. Metaphor and Symbol, (June 2012)","given":"37–41. http://doi.org/10.1207/S15327868MS1702_1","non-dropping-particle":"","parse-names":false,"suffix":""},{"dropping-particle":"","family":"Hoggett, P., &amp; Clarke, S. (2009). Researching beneath the surface: Psycho-social research methods in practice. Methods, 4(1)","given":"289. Retrieved from http://books.google.com/books?hl=en&amp;lr=&amp;id=h1eHb0wt8LUC&amp;oi=fnd&amp;pg=PR7&amp;dq=RESEARCHING+BENEATH+THE+SURFACE+Psycho-Social+Research+Methods+in+Practice&amp;ots=VomejjqlJZ&amp;sig=ZAenJPrd9YHXpuMg34rE8fagIN8%5Cnhttp://books.google.com/books?hl=en&amp;l","non-dropping-particle":"","parse-names":false,"suffix":""},{"dropping-particle":"","family":"Rashford","given":"J. (2009). Considering Hans-Georg Gadamer’s philosophical hermeneutics as a referent for student understanding of nature-of-science concepts. Middle-Secondary Education and Instructional …. Retrieved from http://digitalarchive.gsu.edu/cgi/viewcontent.cgi?","non-dropping-particle":"","parse-names":false,"suffix":""},{"dropping-particle":"","family":"Knobe, J. (2007). Reason explanation in folk psychology. Midwest Studies in Philosophy, 31(1)","given":"90–106. http://doi.org/10.1111/j.1475-4975.2007.00146.x","non-dropping-particle":"","parse-names":false,"suffix":""},{"dropping-particle":"","family":"Moore, J. S. (1924). The meaning of meaning. Mind, 33(131)","given":"360. http://doi.org/10.1093/mind/XXXIII.131.360","non-dropping-particle":"","parse-names":false,"suffix":""},{"dropping-particle":"","family":"Mind Tools Ltd. (2011). Force Field Analysis Worksheet. Mind Tools Ltd","given":"2015. Retrieved from www.mindtools.com/rs/ForceField","non-dropping-particle":"","parse-names":false,"suffix":""},{"dropping-particle":"","family":"Keysers, C., &amp; Gazzola, V. (2009). Mirror Neuron Systems. Mirror Neuron Systems","given":"1–35. http://doi.org/10.1007/978-1-59745-479-7","non-dropping-particle":"","parse-names":false,"suffix":""},{"dropping-particle":"","family":"O’Reilly, R. C., Braver, T. S., &amp; Cohen, J. D. (1999). A Biologically-Based Computational Model of Working Memory BT - Models of Working Memory Mechanisms of Active Maintenance and Executive Control. Models of Working Memory Mechanisms of Active Maintenan","given":"375–411. http://doi.org/10.1017/CBO9781139174909","non-dropping-particle":"","parse-names":false,"suffix":""},{"dropping-particle":"","family":"Eley, T. C., Hudson, J. L., Creswell, C., Tropeano, M., Lester, K. J., Cooper, P., … Collier, D. a. (2012). Therapygenetics: the 5HTTLPR and response to psychological therapy. Molecular Psychiatry, 17(3)","given":"236–237. http://doi.org/10.1038/mp.2011.132","non-dropping-particle":"","parse-names":false,"suffix":""},{"dropping-particle":"","family":"Sinnott-Armstrong, W. (2006). Moral Skepticisms. Moral Skepticisms","given":"1–288. http://doi.org/10.1093/0195187725.001.0001","non-dropping-particle":"","parse-names":false,"suffix":""},{"dropping-particle":"","family":"Gallagher, S. (2012). Neurons, neonates and narrative: From empathic resonance to empathic understanding. Moving Ourselves, Moving Others, (April 2005)","given":"167–196.","non-dropping-particle":"","parse-names":false,"suffix":""},{"dropping-particle":"","family":"Dobusch, L., &amp; Quack","given":"S. (2008). Epistemic Communities and Social Movements Transnational Dynamics in the Case of Creative Commons. MPI Gesellschaftsforschung. Retrieved from http://books.google.com/books?hl=en&amp;amp;lr=&amp;amp;id=FAehIuC7W4YC&amp;amp;oi=fnd&amp;amp;pg=PA226&amp;amp;dq=Epistem","non-dropping-particle":"","parse-names":false,"suffix":""},{"dropping-particle":"","family":"Josselson, R. (2011). “Bet you think this song is about you”: Whose Narrative Is It in Narrative Research? Narrative Works: Issues, Investigations &amp; Interventions, 1(1)","given":"33–51.","non-dropping-particle":"","parse-names":false,"suffix":""},{"dropping-particle":"","family":"Shen, S. S. P., Lau, W. K. M., Kim, K.-M., &amp; Li, G. (2001). A Canonical Ensemble Correlation Prediction Model for Seasonal Precipitation Anomaly. Nasa/Tm--2001-209989, (September)","given":"1–68. Retrieved from http://ntrs.nasa.gov/search.jsp?R=20010102849%5Cnhttp://shen.sdsu.edu/pdf/shen_NASAT_2001.pdf","non-dropping-particle":"","parse-names":false,"suffix":""},{"dropping-particle":"","family":"Siegal, M., &amp; Varley, R. (2002). Neural systems involved in “theory of mind”. Nat. Rev. Neurosci., 3(6)","given":"463–471. http://doi.org/10.1038/nrn844","non-dropping-particle":"","parse-names":false,"suffix":""},{"dropping-particle":"","family":"Luck, S. J., &amp; Vogel, E. (1997). The capacity of visual working memory for features and conjunctions. Nature, 390(6657)","given":"279–281. http://doi.org/10.1038/36846","non-dropping-particle":"","parse-names":false,"suffix":""},{"dropping-particle":"","family":"Lander, E. S., Linton, L. M., Birren, B., Nusbaum, C., Zody, M. C., Baldwin, J., … International Human Genome Sequencing, C. (2001). Initial sequencing and analysis of the human genome. Nature, 409(6822)","given":"860–921. http://doi.org/10.1038/35057062","non-dropping-particle":"","parse-names":false,"suffix":""},{"dropping-particle":"","family":"Herrmann, K., Montaser-Kouhsari, L., Carrasco, M., &amp; Heeger, D. J. (2011). When size matters: attention affects performance by contrast or response gain. Nature Neuroscience, 13(12)","given":"1554–1559. http://doi.org/10.1038/nn.2669.When","non-dropping-particle":"","parse-names":false,"suffix":""},{"dropping-particle":"","family":"Bradley, S. A. (2010). Reconstructed grounded theory: beyond comparison? Networked Learning Conference 2010","given":"70–78. Retrieved from http://shura.shu.ac.uk/2103/","non-dropping-particle":"","parse-names":false,"suffix":""},{"dropping-particle":"","family":"Tsang, E. P. K., &amp; Wang, C. J. (1992). A generic neural network approach for constraint satisfaction problems. Neural Network Applications","given":"12–22. Retrieved from http://link.springer.com/chapter/10.1007/978-1-4471-2003-2_2","non-dropping-particle":"","parse-names":false,"suffix":""},{"dropping-particle":"","family":"Rubia, K., Hyde, Z., Halari, R., Giampietro, V., &amp; Smith, A. (2010). Effects of age and sex on developmental neural networks of visual-spatial attention allocation. NeuroImage, 51(2)","given":"817–827. http://doi.org/10.1016/j.neuroimage.2010.02.058","non-dropping-particle":"","parse-names":false,"suffix":""},{"dropping-particle":"","family":"Vogeley, K., Bussfeld, P., Newen, A., Herrmann, S., Happé, F., Falkai, P., … Zilles, K. (2001). Mind Reading: Neural Mechanisms of Theory of Mind and Self-Perspective. NeuroImage, 14","given":"170–181. http://doi.org/10.1006/nimg.2001.0789","non-dropping-particle":"","parse-names":false,"suffix":""},{"dropping-particle":"","family":"Rottschy, C., Langner, R., Dogan, I., K., Reetz, K., Laird, a. R., Schulz, J. B., … Eickhoff, S. B. (2012). Modelling neural correlates of working memory: A coordinate- based meta-analysis. NeuroImage, 60(2)","given":"830–846. http://doi.org/10.1016/j.tics.2011.11.014.Top-down","non-dropping-particle":"","parse-names":false,"suffix":""},{"dropping-particle":"","family":"Lamm, C., Decety, J., &amp; Singer, T. (2011). NeuroImage Meta-analytic evidence for common and distinct neural networks associated with directly experienced pain and empathy for pain. NeuroImage, 54(3)","given":"2492–2502. http://doi.org/10.1016/j.neuroimage.2010.10.014","non-dropping-particle":"","parse-names":false,"suffix":""},{"dropping-particle":"","family":"Rilling, J. K., Sanfey, A. G., Aronson, J. A., Nystrom, L. E., &amp; Cohen, J. D. (2004). The neural correlates of theory of mind within interpersonal interactions. NeuroImage, 22(4)","given":"1694–1703. http://doi.org/10.1016/j.neuroimage.2004.04.015","non-dropping-particle":"","parse-names":false,"suffix":""},{"dropping-particle":"","family":"Urrutia, M., Gennari, S. P., &amp; de Vega, M. (2012). Counterfactuals in action: An fMRI study of counterfactual sentences describing physical effort. Neuropsychologia, 50(14)","given":"3663–3672. http://doi.org/10.1016/j.neuropsychologia.2012.09.004","non-dropping-particle":"","parse-names":false,"suffix":""},{"dropping-particle":"","family":"Orme, J. (2008). History of the Development of Doctoral Education in the United Kingdom. New Global Development, (July 2012)","given":"37–41.","non-dropping-particle":"","parse-names":false,"suffix":""},{"dropping-particle":"","family":"Burr, J. E., &amp; Hofer, B. K. (2002). Personal epistemology and theory of mind: Deciphering young children’s beliefs about knowledge and knowing. New Ideas in Psychology, 20(2–3)","given":"199–224. http://doi.org/10.1016/S0732-118X(02)00010-7","non-dropping-particle":"","parse-names":false,"suffix":""},{"dropping-particle":"","family":"Limberg, L. (2000). Phenomenography: A relational approach to research on information needs, seeking and use. New Review of Information Behaviour Research VO - 1, 1(l)","given":"51–67.","non-dropping-particle":"","parse-names":false,"suffix":""},{"dropping-particle":"","family":"Lillian, E., Allen, T., Evans, S., Ng, T., &amp; DuBois, D. (2007). Does mentoring matter? NIH Public Access, 454(1)","given":"42–54.","non-dropping-particle":"","parse-names":false,"suffix":""},{"dropping-particle":"","family":"Mackintosh, N., &amp; Sandall","given":"J. (2008). Failure to rescue: problems and solutions. NIHR King’s. Retrieved from http://staging.kingspssq.precedenthost.co.uk/assets/files/Failure to Rescue Problem ions - working paper.pdf%5Cnhttp://staging.kingspssq.precedenthost.co.uk/assets/files/Fai","non-dropping-particle":"","parse-names":false,"suffix":""},{"dropping-particle":"","family":"Mills, T. J. (2001). Position advocacy by scientists risks science credibility. Northwest Science, 74(2)","given":"165–168.","non-dropping-particle":"","parse-names":false,"suffix":""},{"dropping-particle":"","family":"F.C.H. (1871). The hole in the wall. Notes and Queries, s4–VII(166)","given":"201. http://doi.org/10.1093/nq/s4-VII.166.201-a","non-dropping-particle":"","parse-names":false,"suffix":""},{"dropping-particle":"","family":"Rutter, B., &amp; Speight, A. (2010). Hegel on the Modern Arts. Notre Dame Philosophical Reviews, (2011)","given":"288. http://doi.org/10.1080/09608788.2013.821402","non-dropping-particle":"","parse-names":false,"suffix":""},{"dropping-particle":"","family":"Lasater, K. (2011). Clinical judgment: The last frontier for evaluation. Nurse Education in Practice, 11(2)","given":"86–92. http://doi.org/10.1016/j.nepr.2010.11.013","non-dropping-particle":"","parse-names":false,"suffix":""},{"dropping-particle":"","family":"Gerdeman, J. L., Lux, K., &amp; Jacko, J. (2013). Using concept mapping to build clinical judgment skills. Nurse Education in Practice, 13(1)","given":"11–17. http://doi.org/10.1016/j.nepr.2012.05.009","non-dropping-particle":"","parse-names":false,"suffix":""},{"dropping-particle":"","family":"Blum, C. A. (2010). Using the Benner intuitive-humanistic decision-making model in action: A case study. Nurse Education in Practice, 10(5)","given":"303–307. http://doi.org/10.1016/j.nepr.2010.01.009","non-dropping-particle":"","parse-names":false,"suffix":""},{"dropping-particle":"","family":"Gatley, E. P. (1992). From novice to expert: the use of intuitive knowledge as a basis for district nurse education. Nurse Education Today, 12(2)","given":"81–87. http://doi.org/10.1016/0260-6917(92)90032-J","non-dropping-particle":"","parse-names":false,"suffix":""},{"dropping-particle":"","family":"Veeramah, V. (2012). What are the barriers to good mentoring? Nursing Times, 108(39)","given":"12–5. Retrieved from http://www.ncbi.nlm.nih.gov/pubmed/23155901","non-dropping-particle":"","parse-names":false,"suffix":""},{"dropping-particle":"","family":"Frrdc, E. H. S. (2006). Review of Procedure for Reviewing Cases Referred to UREC. October, (October)","given":"1–3.","non-dropping-particle":"","parse-names":false,"suffix":""},{"dropping-particle":"","family":"Wen, B., Lampe, J. N., Roberts, A. G., Atkins, W. M., Rodrigues, A. D., &amp; Nelson, S. D. (2007). NIH Public Access. October, 454(1)","given":"42–54. http://doi.org/10.1097/OPX.0b013e3182540562.The","non-dropping-particle":"","parse-names":false,"suffix":""},{"dropping-particle":"","family":"Reports, C., Practice, C., Planning, S., Relations, P., Reports, S., Tumors, S., … Ferreira-gonzalez, A. (2007). P ’ m : October","given":"1–32. http://doi.org/10.3969/j.issn.1003-6504.2015.08.040","non-dropping-particle":"","parse-names":false,"suffix":""},{"dropping-particle":"","family":"Johnson, W. B., Huwe, J. M., &amp; Lucas, J. L. (2000). Rational mentoring. Of Rational-Emotive &amp;Cognitive-Behavior Therapy, 18(1)","given":"39–54. Retrieved from http://www.springerlink.com/index/K732858362122877.pdf","non-dropping-particle":"","parse-names":false,"suffix":""},{"dropping-particle":"","family":"Davies, J., Mabin, V. J., &amp; Balderstone, S. J. (2005). The theory of constraints: A methodology apart? - A comparison with selected OR/MS methodologies. Omega, 33(6)","given":"506–524. http://doi.org/10.1016/j.omega.2004.07.015","non-dropping-particle":"","parse-names":false,"suffix":""},{"dropping-particle":"","family":"Hanakova, A., Potmesil, M., &amp; Stejskalova, K. (2014). The Role of Multidisciplinary Teams: A Focus on Communicating Bad News. Open Journal of Social Sciences, 2(11)","given":"90–96. http://doi.org/10.4236/jss.2014.211013","non-dropping-particle":"","parse-names":false,"suffix":""},{"dropping-particle":"","family":"Butcher, J., &amp; Sieminski, S. (2006). The challenge of a distance learning professional doctorate in education. Open Learning, 21(1)","given":"59–69. http://doi.org/10.1080/02680510500472239","non-dropping-particle":"","parse-names":false,"suffix":""},{"dropping-particle":"","family":"Peters, M. a. (2014). Openness and the Intellectual Commons. Open Review of Educational Research, 1(1)","given":"1–7. http://doi.org/10.1080/23265507.2014.984975","non-dropping-particle":"","parse-names":false,"suffix":""},{"dropping-particle":"","family":"Filippakou, O., &amp; Williams, G. (2014). Academic Capitalism and Entrepreneurial Universities as a New Paradigm of “Development.” Open Review of Educational Research, 1(1)","given":"70–83. http://doi.org/10.1080/23265507.2014.964645","non-dropping-particle":"","parse-names":false,"suffix":""},{"dropping-particle":"","family":"Kemmis, S. (2007). Action Research as a Practice-changing practice. Opening Address for the Spanish Collaborative Action Research Network (CARN) Conference","given":"13. http://doi.org/10.1080/09650790903093284","non-dropping-particle":"","parse-names":false,"suffix":""},{"dropping-particle":"","family":"Smith, I. (2010). Freud - Complete Works. Optics Express, 19","given":"1–5102. http://doi.org/10.1017/CBO9781107415324.004","non-dropping-particle":"","parse-names":false,"suffix":""},{"dropping-particle":"","family":"Hoppenbrouwers, S., &amp; Weigand, H. (2000). Meta-communication in the language action perspective. Ordina Institute for Research …, 2000(Lap 2000)","given":"131–149. Retrieved from http://core.kmi.open.ac.uk/download/pdf/6416042.pdf","non-dropping-particle":"","parse-names":false,"suffix":""},{"dropping-particle":"","family":"Creation, O. K., Nonaka, I., Knowledge, T., &amp; Knowledge, E. (1997). Nonaka ’ s Four Modes of Knowledge Conversion. Organization, 5","given":"14–37.","non-dropping-particle":"","parse-names":false,"suffix":""},{"dropping-particle":"","family":"Willmott, H., &amp; Contu, a. (2003). Re-Embedding Situatedness: The Importance of Power Relations in Learning Theory. Organization Science, 14(3)","given":"283–296. http://doi.org/10.1287/orsc.14.3.283.15167","non-dropping-particle":"","parse-names":false,"suffix":""},{"dropping-particle":"","family":"Adler, P. S. (2001). Market, Hierarchy, and Trust: The Knowledge Economy and the Future of Capitalism. Organization Science, 12(2)","given":"215–234. http://doi.org/10.1287/orsc.12.2.215.10117","non-dropping-particle":"","parse-names":false,"suffix":""},{"dropping-particle":"","family":"Nonaka, I., &amp; Von Krogh, G. (2009). Tacit Knowledge and Knowledge Conversion: Controversy and Advancement in Organizational Knowledge Creation Theory. Organization Science, 20(3)","given":"635–652. http://doi.org/10.1287/orsc.1080.0412","non-dropping-particle":"","parse-names":false,"suffix":""},{"dropping-particle":"","family":"Nonaka, I. (1994). A Dynamic Theory of Organizational Knowledge Creation Ikujiro Nonaka. Organization Science, 5(1)","given":"14–37. http://doi.org/10.1287/orsc.5.1.14","non-dropping-particle":"","parse-names":false,"suffix":""},{"dropping-particle":"","family":"Pham, M. T., &amp; Avnet, T. (2009). Contingent reliance on the affect heuristic as a function of regulatory focus. Organizational Behavior and Human Decision Processes, 108(2)","given":"267–278. http://doi.org/10.1016/j.obhdp.2008.10.001","non-dropping-particle":"","parse-names":false,"suffix":""},{"dropping-particle":"","family":"Feduzi, A., &amp; Runde, J. (2014). Uncovering unknown unknowns: Towards a Baconian approach to management decision-making. Organizational Behavior and Human Decision Processes, 124(2)","given":"268–283. http://doi.org/10.1016/j.obhdp.2014.04.001","non-dropping-particle":"","parse-names":false,"suffix":""},{"dropping-particle":"","family":"Young, D. L., Goodie, A. S., Hall, D. B., &amp; Wu, E. (2012). Decision making under time pressure, modeled in a prospect theory framework. Organizational Behavior and Human Decision Processes, 118(2)","given":"179–188. http://doi.org/10.1016/j.obhdp.2012.03.005","non-dropping-particle":"","parse-names":false,"suffix":""},{"dropping-particle":"","family":"Walumbwa, F. O., Christensen, A. L., &amp; Hailey","given":"F. (2011). Authentic leadership and the knowledge economy :: Sustaining motivation and trust among knowledge workers. Organizational Dynamics. http://doi.org/10.1016/j.orgdyn.2011.01.005","non-dropping-particle":"","parse-names":false,"suffix":""},{"dropping-particle":"","family":"Prout, H. T. (2007). Counseling and psychotherapy with children and adolescents: Historical developmental, integrative, and effectiveness perspectives. Ounseling and Psychotherapy with Children and Adolescents Explain","given":"1–31. Retrieved from http://media.johnwiley.com.au/product_data/excerpt/14/04717709/0471770914.pdf","non-dropping-particle":"","parse-names":false,"suffix":""},{"dropping-particle":"","family":"Goldman, A. I. (2012). Theory of Mind. Oxford Handbook of Philosophy and Cognitive Science","given":"402–424. http://doi.org/12/06/2013","non-dropping-particle":"","parse-names":false,"suffix":""},{"dropping-particle":"","family":"Halse, C., &amp; Bansel, P. (2012). The learning alliance: ethics in doctoral supervision. Oxford Review of Education, 38(4)","given":"377–392. http://doi.org/10.1080/03054985.2012.706219","non-dropping-particle":"","parse-names":false,"suffix":""},{"dropping-particle":"","family":"He, W., Cho, V., Qi, C., Xu, X., &amp; Lu","given":"F. (2013). Linking knowledge sharing and employee creativity: Decomposing knowledge mode and improving the measure of tacit knowledge sharing. PACIS 2013 Proceeding. Retrieved from http://www.pacis-net.org/file/2013/PACIS2013-219.pdf%5Cnhttp://aisel.aisne","non-dropping-particle":"","parse-names":false,"suffix":""},{"dropping-particle":"","family":"Burns, D. P., Chinnery, A., Ruitenberg, C. W., &amp; Waddington, D. I. (2009). Taking on the Traditions in Philosophy of Education: A Symposium. Paideusis, 18(2)","given":"3–18.","non-dropping-particle":"","parse-names":false,"suffix":""},{"dropping-particle":"","family":"Higgins, C. (2009). Open-mindedness in Three Dimensions. Paideusis, 18(1)","given":"44–59. Retrieved from http://journals.sfu.ca/paideusis/index.php/paideusis/article/view/198","non-dropping-particle":"","parse-names":false,"suffix":""},{"dropping-particle":"","family":"Bogduk, N. (2006). Position Papers. Pain Medicine, 7(5)","given":"396–407. http://doi.org/10.1097/00000542-200512010-00029","non-dropping-particle":"","parse-names":false,"suffix":""},{"dropping-particle":"","family":"Elwyn, G., Lloyd, A., Joseph-Williams, N., Cording, E., Thomson, R., Durand, M. A., &amp; Edwards, A. (2013). Option Grids: Shared decision making made easier. Patient Education and Counseling, 90(2)","given":"207–212. http://doi.org/10.1016/j.pec.2012.06.036","non-dropping-particle":"","parse-names":false,"suffix":""},{"dropping-particle":"","family":"Epstein, R. M. (2013). Whole mind and shared mind in clinical decision-making. Patient Education and Counseling, 90(2)","given":"200–206. http://doi.org/10.1016/j.pec.2012.06.035","non-dropping-particle":"","parse-names":false,"suffix":""},{"dropping-particle":"","family":"Titler, M. G. (2008). The Evidence for Evidence-Based Practice Implementation. Patient Safety and Quality: An Evidence-Based Handbook for Nurses","given":"1–49. Retrieved from http://www.ahrq.gov/professionals/clinicians-providers/resources/nursing/resources/nurseshdbk/TitlerM_EEBPI.pdf","non-dropping-particle":"","parse-names":false,"suffix":""},{"dropping-particle":"","family":"James, E. D., Guthrie, W., &amp; Marsh, D. D. (2009). Peabody Journal of Education Strategies for Elevating the Public and Professional Regard of the. Peabody Journal of Education, 84(1)","given":"100–106. http://doi.org/10.1080/01619560802679773","non-dropping-particle":"","parse-names":false,"suffix":""},{"dropping-particle":"","family":"Beardslee, W. R., Gladstone, T. R. G., Wright, E. J., &amp; Cooper, A. B. (2003). A family-based approach to the prevention of depressive symptoms in children at risk: evidence of parental and child change. Pediatrics, 112(2)","given":"e119–e131. http://doi.org/10.1542/peds.112.2.e119","non-dropping-particle":"","parse-names":false,"suffix":""},{"dropping-particle":"","family":"Chick, G. (1999). What’s in a Meme? The Development of the Meme as a Unit of Culture. Perceiving Culture: Unit Definition in Cultural Anthropology","given":"1–19. Retrieved from http://test.scripts.psu.edu/users/g/e/gec7/Memes.pdf","non-dropping-particle":"","parse-names":false,"suffix":""},{"dropping-particle":"","family":"Rogers, C. R. (1962). Toward becoming a fully functioning person. Perceiving, Behaving, Becoming: A New Focus for Education.","given":"21–33. http://doi.org/10.1037/14325-003","non-dropping-particle":"","parse-names":false,"suffix":""},{"dropping-particle":"","family":"Grossberg, S., &amp; Mingolla","given":"E. (1985). Neural dynamics of perceptural grouping: texture boundaries and emergent segmentations. Percept. Psychophys. http://doi.org/10.3758/BF03198851","non-dropping-particle":"","parse-names":false,"suffix":""},{"dropping-particle":"","family":"Tribe, J. (1997). the Indiscipline of Tourism. Pergamon Annals afTourism Research, 24(3)","given":"638–657. http://doi.org/10.1016/S0160-7383(97)00020-0","non-dropping-particle":"","parse-names":false,"suffix":""},{"dropping-particle":"","family":"Silvia, P. J. (2006). A skeptical look at dispositional reactance. Personality and Individual Differences, 40(6)","given":"1291–1297. http://doi.org/10.1016/j.paid.2005.11.013","non-dropping-particle":"","parse-names":false,"suffix":""},{"dropping-particle":"","family":"Sá, W. C., Kelley, C. N., Ho, C., &amp; Stanovich, K. E. (2005). Thinking about personal theories: Individual differences in the coordination of theory and evidence. Personality and Individual Differences, 38(5)","given":"1149–1161. http://doi.org/10.1016/j.paid.2004.07.012","non-dropping-particle":"","parse-names":false,"suffix":""},{"dropping-particle":"","family":"Markman, K. D., Lindberg, M. J., Kray, L. J., &amp; Galinsky, A. D. (2007). Implications of counterfactual structure for creative generation and analytical problem solving. Personality and Social Psychology Bulletin, 33(3)","given":"312–324. http://doi.org/10.1177/0146167206296106","non-dropping-particle":"","parse-names":false,"suffix":""},{"dropping-particle":"","family":"Epstude, K., &amp; Roese, N. J. (2008). The Functional Theory of Counterfactual Thinking. Personality and Social Psychology Review, 12(2)","given":"168–192. http://doi.org/10.1177/1088868308316091","non-dropping-particle":"","parse-names":false,"suffix":""},{"dropping-particle":"","family":"Malle, B. F. (1999). How people explain behavior: A new theoretical framework. Personality and Social Psychology Review, 3(1)","given":"23. http://doi.org/10.1207/s15327957pspr0301","non-dropping-particle":"","parse-names":false,"suffix":""},{"dropping-particle":"","family":"Paris, J. (2014). Modernity and narcissistic personality disorder. Personality Disorders, 5(2)","given":"220–226. http://doi.org/10.1037/a0028580","non-dropping-particle":"","parse-names":false,"suffix":""},{"dropping-particle":"","family":"Bohart, A. C. (2012). Can you be integrative and a person-centered therapist at the same time? Person-Centered &amp; Experiential Psychotherapies, 11(1)","given":"1–13. http://doi.org/10.1080/14779757.2011.639461","non-dropping-particle":"","parse-names":false,"suffix":""},{"dropping-particle":"","family":"Moreira, V. (2012). From person-centered to humanistic- phenomenological psychotherapy: The contribution of Merleau-Ponty to Carl Rogers’s thought. Person-Centered &amp; Experiential Psychotherapies, 11(1)","given":"48–63. http://doi.org/10.1080/14779757.2012.656410","non-dropping-particle":"","parse-names":false,"suffix":""},{"dropping-particle":"","family":"Kirschenbaum, H. (2012). What is “person-centered”? A posthumous conversation with Carl Rogers on the development of the person-centered approach. Person-Centered &amp; Experiential Psychotherapies, 11(1)","given":"14–30. http://doi.org/10.1080/14779757.2012.656406","non-dropping-particle":"","parse-names":false,"suffix":""},{"dropping-particle":"","family":"Sperry","given":"R. W. (1987). Structure and significance of the consciousness revolution. The Journal of Mind and Behavior. Retrieved from http://people.uncw.edu/puente/sperry/sperrypapers/80s-90s/254-1987.pdf (1995). The Riddle of Consciousness and the Changing Scientif","non-dropping-particle":"","parse-names":false,"suffix":""},{"dropping-particle":"","family":"Evans, J., &amp; Stanovich, K. E. (2013). Dual-process theories of higher cognition: Advancing the debate. Perspectives on Psychological Science, 8(3)","given":"223–241. http://doi.org/10.1177/1745691612460685","non-dropping-particle":"","parse-names":false,"suffix":""},{"dropping-particle":"","family":"Seligman, M. E. P., Railton, P., Baumeister, R. F., &amp; Sripada, C. (2013). Navigating Into the Future or Driven by the Past. Perspectives on Psychological Science, 8(2)","given":"119–141. http://doi.org/10.1177/1745691612474317","non-dropping-particle":"","parse-names":false,"suffix":""},{"dropping-particle":"","family":"Hertel, P. T., &amp; Mathews, A. (2011). Cognitive Bias Modification: Past Perspectives, Current Findings, and Future Applications. Perspectives on Psychological Science : A Journal of the Association for Psychological Science, 6(6)","given":"521–36. http://doi.org/10.1177/1745691611421205","non-dropping-particle":"","parse-names":false,"suffix":""},{"dropping-particle":"","family":"Böcker, K. B. E., Gerritsen, J., Hunault, C. C., Kruidenier, M., Mensinga, T. T., &amp; Kenemans, J. L. (2010). Pharmacology , Biochemistry and Behavior Cannabis with high Δ 9 -THC contents affects perception and visual selective attention acutely : An event-","given":"67–74. http://doi.org/10.1016/j.pbb.2010.04.008","non-dropping-particle":"","parse-names":false,"suffix":""},{"dropping-particle":"","family":"Finlay, L. (2009). Debating Phenomenological Research Methods. Phenomenology &amp; Practice, 3(1)","given":"6–25. http://doi.org/10.1007/978-94-6091-834-6_2","non-dropping-particle":"","parse-names":false,"suffix":""},{"dropping-particle":"","family":"Klapwijk, J. (1985). the Universal in Hans-Georg Gadamer’S Hermeneutic Philosophy. Philosophia Reformata, 50","given":"119–129. Retrieved from http://www.allofliferedeemed.co.uk/Klapwijk/@The_Universal_in_Gadamer.pdf","non-dropping-particle":"","parse-names":false,"suffix":""},{"dropping-particle":"","family":"Williamson, T. (2001). Counterpossibles in Metaphysics. Philosophical Fictionalism, (May)","given":"1–34. http://doi.org/10.1007/s13398-014-0173-7.2","non-dropping-particle":"","parse-names":false,"suffix":""},{"dropping-particle":"","family":"Kuhn","given":"T. S. (1970). The Structure of Scientific Revolutions. Philosophical Review (Vol. II). http://doi.org/10.1119/1.1969660","non-dropping-particle":"","parse-names":false,"suffix":""},{"dropping-particle":"","family":"Philosophy.","given":"The following excerpt was originally published in. (1963).","non-dropping-particle":"","parse-names":false,"suffix":""},{"dropping-particle":"","family":"Dockhorn, K., &amp; Brown, M. (1980). Hans-Georg Gadamer’s“ Truth and Method.” Philosophy &amp; Rhetoric, (1960)","given":"1–17. Retrieved from http://www.jstor.org/stable/10.2307/40237149","non-dropping-particle":"","parse-names":false,"suffix":""},{"dropping-particle":"","family":"Russel, B. (1953). A History of Western Philosophy. Philosophy and Phenomenological Research, 14(1)","given":"132. http://doi.org/10.2307/2104034","non-dropping-particle":"","parse-names":false,"suffix":""},{"dropping-particle":"","family":"Goldman, A. I. (2008). Hurley on simulation. Philosophy and Phenomenological Research, 77(3)","given":"775–788. http://doi.org/10.1111/j.1933-1592.2008.00221.x","non-dropping-particle":"","parse-names":false,"suffix":""},{"dropping-particle":"","family":"Renegar, V. R., &amp; Sowards, S. K. (2003). Liberal Irony, Rhetoric, and Feminist Thought: A Unifying Third Wave Feminist Theory. Philosophy and Rhetoric, 36(4)","given":"330–352. http://doi.org/10.1353/par.2004.0005","non-dropping-particle":"","parse-names":false,"suffix":""},{"dropping-particle":"","family":"Ruitenberg, C. W. (2011). The Empty Chair: Education in an Ethic of Hospitality. Philosophy of Education","given":"28–36. Retrieved from http://www.academia.edu/download/30881100/3247-12041-1-PB.pdf","non-dropping-particle":"","parse-names":false,"suffix":""},{"dropping-particle":"","family":"Ruitenberg, C. W. (2010). Learning to Articulate: From Ethical Motivation to Political Demands. Philosophy of Education","given":"372–380.","non-dropping-particle":"","parse-names":false,"suffix":""},{"dropping-particle":"","family":"Haig, B. D. (1995). Grounded theory as scientific method. Philosophy of Education, (1)","given":"1–11. Retrieved from http://jan.ucc.nau.edu/~pms/cj355/readings/Haig Grounded Theory as Scientific Method.pdf","non-dropping-particle":"","parse-names":false,"suffix":""},{"dropping-particle":"","family":"Ruitenberg, C. W. (2009). Giving place to unforeseeable learning: The inhospitability of outcomes based education. Philosophy of Education","given":"266–274.","non-dropping-particle":"","parse-names":false,"suffix":""},{"dropping-particle":"","family":"Ruitenberg, C. (2007). Discourse, Theatrical Performance, Agency: The Analytic Force of“ Performativity” in Education. Philosophy of Education Archive","given":"260–268. http://doi.org/Article","non-dropping-particle":"","parse-names":false,"suffix":""},{"dropping-particle":"","family":"Ludwig, D. (2015). Against the New Metaphysics of Race. Philosophy of Science, 82(2)","given":"244–265. http://doi.org/10.1086/680487","non-dropping-particle":"","parse-names":false,"suffix":""},{"dropping-particle":"","family":"Okasha, S. (2011). Optimal Choice in the Face of Risk: Decision Theory Meets Evolution*. Philosophy of Science, 78(1)","given":"83–104. http://doi.org/10.1086/658115","non-dropping-particle":"","parse-names":false,"suffix":""},{"dropping-particle":"","family":"Busch, P., Heinonen, T., &amp; Lahti, P. (2007). Heisenberg’s uncertainty principle. Phys. Rep., 452(C)","given":"155–176. http://doi.org/10.1016/j.physrep.2007.05.006","non-dropping-particle":"","parse-names":false,"suffix":""},{"dropping-particle":"","family":"Hall, M. J. W., Deckert, D. A., &amp; Wiseman, H. M. (2014). Quantum phenomena modeled by interactions between many classical worlds. Physical Review X, 4(4)","given":"1–17. http://doi.org/10.1103/PhysRevX.4.041013","non-dropping-particle":"","parse-names":false,"suffix":""},{"dropping-particle":"","family":"Giudice","given":"G. (2012). Big Science and the Large Hadron Collider. Physics in Perspective. Retrieved from http://www.springerlink.com/index/DP5R7727415669J2.pdf%5Cnhttp://link.springer.com/article/10.1007/s00016-011-0078-1","non-dropping-particle":"","parse-names":false,"suffix":""},{"dropping-particle":"","family":"Aad, G., Abbott, B., Abdallah, J., Abdel Khalek, S., Abdelalim, A. A., Abdesselam, A., … Zwalinski, L. (2012). Combined search for the Standard Model Higgs boson using up to 4.9 fb-1 of pp collision data at s=7TeV with the ATLAS detector at the LHC. Physi","given":"49–66. http://doi.org/10.1016/j.physletb.2012.02.044","non-dropping-particle":"","parse-names":false,"suffix":""},{"dropping-particle":"","family":"Esposito, G., Filippis, D. De, Cirillo, C., Iuvone, T., Capoccia, E., Scuderi, C., … Steardo","given":"L. (2013). Cannabidiol in inflammatory bowel diseases: a brief overview. Phytotherapy Research : PTR. http://doi.org/10.1002/ptr.4781","non-dropping-particle":"","parse-names":false,"suffix":""},{"dropping-particle":"","family":"Ioannidis, J. P. A. (2005). Why most published research findings are false. PLoS Medicine, 2(8)","given":"0696–0701. http://doi.org/10.1371/journal.pmed.0020124","non-dropping-particle":"","parse-names":false,"suffix":""},{"dropping-particle":"","family":"Djulbegovic, B., &amp; Hozo, I. (2007). When should potentially false research findings be considered acceptable? PLoS Medicine, 4(2)","given":"0211–0217. http://doi.org/10.1371/journal.pmed.0040026","non-dropping-particle":"","parse-names":false,"suffix":""},{"dropping-particle":"","family":"Moonesinghe, R., Khoury, M. J., &amp; Janssens, A. C. J. W. (2007). Most published research findings are false - But a little replication goes a long way. PLoS Medicine, 4(2)","given":"0218–0221. http://doi.org/10.1371/journal.pmed.0040028.g001","non-dropping-particle":"","parse-names":false,"suffix":""},{"dropping-particle":"","family":"Lyotard, J.-F. (1984). The postmodern condition: A report on knowledge. Poetics Today, 10(4)","given":"886. http://doi.org/10.2307/1772278","non-dropping-particle":"","parse-names":false,"suffix":""},{"dropping-particle":"","family":"Tooth, R. (2002). The Psychology of Happiness [Review of the book The Psychology of Happiness, by M. Argyle]. Policy, 18(1)","given":"60. http://doi.org/10.1016/0191-8869(89)90195-5","non-dropping-particle":"","parse-names":false,"suffix":""},{"dropping-particle":"","family":"Kenway, J., Bullen, E., &amp; Robb, S. (2004). The knowledge economy, the techo-preneur and the problematic future of the university. Policy Futures in Education, 2(2)","given":"330–349. http://doi.org/10.2304/pfie.2004.2.2.8","non-dropping-particle":"","parse-names":false,"suffix":""},{"dropping-particle":"","family":"Ostrom, E. (2011). Background on the Institutional Analysis and. Policy Studies Journal, 39(1)","given":"7–27. http://doi.org/10.1111/j.1541-0072.2010.00394.x","non-dropping-particle":"","parse-names":false,"suffix":""},{"dropping-particle":"","family":"Hopkins, N., &amp; Dixon, J. (2006). Space, place, and identity: Issues for political psychology. Political Psychology, 27(2)","given":"173–186. http://doi.org/10.1111/j.1467-9221.2006.00001.x","non-dropping-particle":"","parse-names":false,"suffix":""},{"dropping-particle":"","family":"Dunlop, C. A., &amp; Radaelli, C. M. (2013). Claire A. Dunlop and Claudio M. Radaelli. Political Studies, 61(6)","given":"599–619.","non-dropping-particle":"","parse-names":false,"suffix":""},{"dropping-particle":"","family":"Stricker, G. (2009). A Contribution to Psychotherapy Integration. Pragmatic Case Studies in Psychotherapy, 5(2)","given":"43–51. http://doi.org/http://dx.doi.org/10.1055/s-0032-1311560","non-dropping-particle":"","parse-names":false,"suffix":""},{"dropping-particle":"","family":"Edwards, D. (2010). Languages of Science and the Problem of Applied Clinical Knowledge: A Mixed Methods Appraisal of Eells’ Case Formulation Research. Pragmatic Case Studies in Psychotherapy, 6(4)","given":"276–285. Retrieved from http://reaper64.scc-net.rutgers.edu/journals/index.php/pcsp/article/viewArticle/1048","non-dropping-particle":"","parse-names":false,"suffix":""},{"dropping-particle":"","family":"Grinfeld, L. (2009). “ A New Therapy for Each Patient”: Integrative Case Formulation and Treatment in the Case of Ms. Q. Pragmatic Case Studies in Psychotherapy, 5(2009)","given":"58–68. Retrieved from http://reaper64.scc-net.rutgers.edu/journals/index.php/pcsp/article/viewArticle/961","non-dropping-particle":"","parse-names":false,"suffix":""},{"dropping-particle":"","family":"Edwards, D. J. A. (2008). Handling Multiple Levels of Data and Multiple Research Questions in an Embedded Case Study : Methodological Challenges. Pragmatic Case Studies in Psychotherapy, 4","given":"53–65.","non-dropping-particle":"","parse-names":false,"suffix":""},{"dropping-particle":"","family":"Lampropoulos, G. K. (2009). Issues in the development, practice, training, and research of integrative therapies. Pragmatic Case Studies in Psychotherapy, 5(3)","given":"52–57. Retrieved from http://reaper64.scc-net.rutgers.edu/journals/index.php/pcsp/article/viewArticle/960","non-dropping-particle":"","parse-names":false,"suffix":""},{"dropping-particle":"","family":"Ingram, B. L. (2009). Where Does the“ Core Clinical Hypotheses” Model Fit Among Models of Integrative Psychotherapy? Pragmatic Case Studies in Psychotherapy, 5(2009)","given":"69–79. http://doi.org/10.14713/pcsp.v5i1.962","non-dropping-particle":"","parse-names":false,"suffix":""},{"dropping-particle":"","family":"Weise, K., Bundesanstalt, P., Bich, W., Ehrlich, C. D., Rasberry, S. D., Services, T., &amp; Estler, T. W. (2009). Articles Relevant to the Expression of Uncertainty in Measurement. Precision Engineering","given":"503–514.","non-dropping-particle":"","parse-names":false,"suffix":""},{"dropping-particle":"","family":"Koffka, K. (1935). PRINCIPLES OF GESTALT PSYCHOLOGY Chapter I Why Psychology? AN INTRODUCTORY QUESTION. Principles of Gestalt Psychology","given":"1–14. http://doi.org/10.1037/h0052629","non-dropping-particle":"","parse-names":false,"suffix":""},{"dropping-particle":"","family":"Zhou, M., &amp; Wu","given":"Y. (2010). XML-based RDF data management for efficient query processing. Procceedings of the 13th International Workshop on the Web and Databases. ACM. http://doi.org/10.1145/1859127.1859132","non-dropping-particle":"","parse-names":false,"suffix":""},{"dropping-particle":"","family":"Glue, L. S., &amp; O’Neill, M. (2010). A qualitative investigation into the experience of psychologist’s around self-disclosure when working with clients. Procedia - Social and Behavioral Sciences, 5(0)","given":"1456–1458. http://doi.org/10.1016/j.sbspro.2010.07.307","non-dropping-particle":"","parse-names":false,"suffix":""},{"dropping-particle":"","family":"Goh, M., Tan, A. G., &amp; Choy, W. (2012). The influences of source representation of emotional expressions on analogical problem solving. Procedia - Social and Behavioral Sciences, 31(2011)","given":"658–662. http://doi.org/10.1016/j.sbspro.2011.12.120","non-dropping-particle":"","parse-names":false,"suffix":""},{"dropping-particle":"","family":"Obikwelu, C., &amp; Read, J. C. (2012). The serious game constructivist framework for children’s learning. Procedia Computer Science, 15(0)","given":"32–37. http://doi.org/10.1016/j.procs.2012.10.055","non-dropping-particle":"","parse-names":false,"suffix":""},{"dropping-particle":"","family":"Crane, T. (1995). The Mental Causation Debate. Procedings of the Aristotelian Society Supplementary Volume, LXIX(c)","given":"1–23.","non-dropping-particle":"","parse-names":false,"suffix":""},{"dropping-particle":"","family":"Slivon, C., Howell, G., Koskela, L., &amp; Rooke, J. (2010). Social construction: Understanding construction in a human context. Proceeding of 18th Annual Conference of IGLC, (July)","given":"2–11. Retrieved from http://usir.salford.ac.uk/9548/","non-dropping-particle":"","parse-names":false,"suffix":""},{"dropping-particle":"","family":"Wong, P. C., Whitney, P., &amp; Thomas, J. (1830). Visualizing association rules for text mining. Proceedings 1999 IEEE Symposium on Information Visualization (InfoVis’99), 120–123","given":"Http://doi.org/10.1109/INFVIS.1999.801866","non-dropping-particle":"","parse-names":false,"suffix":""},{"dropping-particle":"","family":"Mobasher, B., Cooley, R., &amp; Srivastava, J. (1999). Creating adaptive Web sites through usage-based clustering of URLs. Proceedings 1999 Workshop on Knowledge and Data Engineering Exchange (KDEX’99) (Cat. No.PR00453)","given":"19–25. http://doi.org/10.1109/KDEX.1999.836525","non-dropping-particle":"","parse-names":false,"suffix":""},{"dropping-particle":"","family":"Park, S., Lee, D., &amp; Chu, W. W. (1999). Fast retrieval of similar subsequences in long sequence databases. Proceedings 1999 Workshop on Knowledge and Data Engineering Exchange (KDEX’99) (Cat. No.PR00453)","given":"1–21. http://doi.org/10.1109/KDEX.1999.836610","non-dropping-particle":"","parse-names":false,"suffix":""},{"dropping-particle":"","family":"Namioka, Y., Yamashita, T., Hoshino, T., Kuri, T., &amp; Fukushima, W. (n.d.). Knowledge-association networks for system design. Proceedings 1999 Workshop on Knowledge and Data Engineering Exchange (KDEX’99) (Cat. No.PR00453)","given":"131–8. Retrieved from http://dx.doi.org/10.1109/KDEX.1999.836684","non-dropping-particle":"","parse-names":false,"suffix":""},{"dropping-particle":"","family":"Rohrer, R. M., Ebert, D. S., &amp; Sibert, J. L. (1998). The shape of Shakespeare: visualizing text using implicit surfaces. Proceedings IEEE Symposium on Information Visualization (Cat. No.98TB100258)","given":"(February 2016). http://doi.org/10.1109/INFVIS.1998.729568","non-dropping-particle":"","parse-names":false,"suffix":""},{"dropping-particle":"","family":"Hale, L. M., &amp; Myaeng, H. S. (1996). Extraction of Thematic Roles from Dictionary Definitions. Proceedings of the 11th Pacific Asia Conference on Language, Information and Computation, (Paclic 11)","given":"137–146. Retrieved from http://aclweb.org/anthology/Y96-1015","non-dropping-particle":"","parse-names":false,"suffix":""},{"dropping-particle":"","family":"Viégas, F. B., Wattenberg, M., &amp; Dave, K. (2004). Studying cooperation and conflict between authors with history flow visualizations. Proceedings of the 2004 Conference on Human Factors in Computing Systems - CHI ’04, 6(1)","given":"575–582. http://doi.org/10.1145/985692.985765","non-dropping-particle":"","parse-names":false,"suffix":""},{"dropping-particle":"","family":"Beel, J., &amp; Gipp, B. (2010). On the robustness of google scholar against spam. Proceedings of the 21st ACM Conference on Hypertext and Hypermedia, 41(April)","given":"297–298. http://doi.org/10.3138/jsp.41.2.176.","non-dropping-particle":"","parse-names":false,"suffix":""},{"dropping-particle":"","family":"Vallée-tourangeau, F., &amp; Villejoubert, G. (2010). Information relevance in pseudodiagnostic reasoning. Proceedings of the 32nd …","given":"1172–1177. Retrieved from http://csjarchive.cogsci.rpi.edu/proceedings/2010/papers/0342/paper0342.pdf","non-dropping-particle":"","parse-names":false,"suffix":""},{"dropping-particle":"","family":"Burns, C. D. (1914). William of Ockham on Universals. Proceedings of the Aristotelian Society, 14(February 2014)","given":"76–99. http://doi.org/10.1080/09608788.2013.807495","non-dropping-particle":"","parse-names":false,"suffix":""},{"dropping-particle":"","family":"Ellison, T. M., &amp; Miceli","given":"L. (2012). Distinguishing Contact-Induced Change from Language Drift in Genetically Related Languages. Proceedings of the EACL 2012 Workshop on Computational Models of Language Acquisition and Loss. Retrieved from http://aclweb.org/anthology/W/W12/W12-09.","non-dropping-particle":"","parse-names":false,"suffix":""},{"dropping-particle":"","family":"Dignum, F., Dietz, J., Verharen, E., &amp; Weigand, H. (1997). Communication Modeling, the Language/action Perspective. Proceedings of the First International Workshop on Communication Modeling","given":"Retrieved from http://bcs.org.uk/upload/pdf/ewic_cm96_paper10.pdf","non-dropping-particle":"","parse-names":false,"suffix":""},{"dropping-particle":"","family":"Chen, C. (2004). Detecting and mapping thematic changes in transient networks. Proceedings of the International Conference on Information Visualization, 8","given":"1023–1032. http://doi.org/10.1109/IV.2004.1320267","non-dropping-particle":"","parse-names":false,"suffix":""},{"dropping-particle":"","family":"Helie, S., &amp; Sun","given":"R. (2010). Creative problem solving: A CLARION theory. Proceedings of the International Joint Conference on Neural Networks. http://doi.org/10.1109/IJCNN.2010.5596891","non-dropping-particle":"","parse-names":false,"suffix":""},{"dropping-particle":"","family":"Johnson-Laird, P. N. (2010). Mental models and human reasoning. Proceedings of the National Academy of Sciences, 107(43)","given":"18243–18250. http://doi.org/10.1073/pnas.1012933107","non-dropping-particle":"","parse-names":false,"suffix":""},{"dropping-particle":"","family":"Danziger, S., Levav, J., &amp; Avnaim-Pesso, L. (2011). Extraneous factors in judicial decisions. Proceedings of the National Academy of Sciences of the United States of America, 108(17)","given":"6889–92. http://doi.org/10.1073/pnas.1018033108","non-dropping-particle":"","parse-names":false,"suffix":""},{"dropping-particle":"","family":"Krz\\k{a}ka\\l{}a, F., Montanari, A., Ricci-Tersenghi, F., Semerjian, G., &amp; Zdeborov{’a}, L. (2007). Gibbs states and the set of solutions of random constraint satisfaction problems. Proceedings of the National Academy of Sciences of the United States of Am","given":"10318–23. http://doi.org/10.1073/pnas.0703685104","non-dropping-particle":"","parse-names":false,"suffix":""},{"dropping-particle":"","family":"Wise, J. A., Thomas, J. J., Pennock, K., Lantrip, D., Pottier, M., Schur, A., &amp; Crow","given":"V. (1995). Visualizing the non-visual: spatial analysis and interaction with information from text documents. Proceedings of Visualization 1995 Conference. http://doi.org/10.1109/INFVIS.1995.528686","non-dropping-particle":"","parse-names":false,"suffix":""},{"dropping-particle":"","family":"Wilson, J. L., Armoutliev, E., Yakunina, E., &amp; Werth, J. L. (2009). Practicing psychologists’ reflections on evidence-based practice in psychology. Prof. Psychol. Res. Pract., 40(4)","given":"403–409. http://doi.org/10.1037/a0016247","non-dropping-particle":"","parse-names":false,"suffix":""},{"dropping-particle":"","family":"Nelson, T. D., &amp; Nelson, J. M. (2010). Evidence-based practice and the culture of adolescence. Professional Psychology: Research and Practice, 41(4)","given":"305–311. http://doi.org/10.1037/a0020328","non-dropping-particle":"","parse-names":false,"suffix":""},{"dropping-particle":"","family":"Melchert, T. P. (2013). Beyond theoretical orientations: The emergence of a unified scientific framework in professional psychology. Professional Psychology: Research and Practice, 44(1)","given":"11–19. http://doi.org/10.1037/a0028311","non-dropping-particle":"","parse-names":false,"suffix":""},{"dropping-particle":"","family":"Sharpless, B. A., &amp; Barber, J. P. (2009). The Examination for Professional Practice in Psychology (EPPP) in the Era of Evidence-Based Practice. Professional Psychology: Research and Practice, 40(4)","given":"333–340. http://doi.org/10.1037/a0013983","non-dropping-particle":"","parse-names":false,"suffix":""},{"dropping-particle":"","family":"Green, A. G., &amp; Hawley, G. C. (2009). Early career psychologists: Understanding, engaging, and mentoring tomorrow’s leaders. Professional Psychology: Research and Practice, 40(2)","given":"206–212. http://doi.org/10.1037/a0012504","non-dropping-particle":"","parse-names":false,"suffix":""},{"dropping-particle":"","family":"Brown, R. T., Daly, B. P., &amp; Leong, F. T. L. (2009). Mentoring in research: A developmental approach. Professional Psychology: Research and Practice, 40(3)","given":"306–313. http://doi.org/10.1037/a0011996","non-dropping-particle":"","parse-names":false,"suffix":""},{"dropping-particle":"","family":"Johnson, W. B. (2002). The intentional mentor: Strategies and guidelines for the practice of mentoring. Professional Psychology: Research and Practice, 33(1)","given":"88–96. http://doi.org/10.1037/0735-7028.33.1.88","non-dropping-particle":"","parse-names":false,"suffix":""},{"dropping-particle":"","family":"Melchert, T. P. (2007). Strengthening the scientific foundations of professional psychology: Time for the next steps. Professional Psychology: Research and Practice, 38(1)","given":"34–43. http://doi.org/10.1037/0735-7028.38.1.34","non-dropping-particle":"","parse-names":false,"suffix":""},{"dropping-particle":"","family":"Messer, S. B. (2004). Evidence-Based Practice: Beyond Empirically Supported Treatments. Professional Psychology: Research and Practice, 35(6)","given":"580–588. http://doi.org/10.1037/0735-7028.35.6.580","non-dropping-particle":"","parse-names":false,"suffix":""},{"dropping-particle":"","family":"Deegear, J., &amp; Lawson, D. M. (2003). The utility of empirically supported treatments. Professional Psychology: Research and Practice, 34(3)","given":"271–277. http://doi.org/10.1037/0735-7028.34.3.271","non-dropping-particle":"","parse-names":false,"suffix":""},{"dropping-particle":"","family":"Norcross, J. C., Hedges, M., &amp; Prochaska, J. O. (2002). The face of 2010: A Delphi poll on the future of psychotherapy. Professional Psychology: Research and Practice, 33(3)","given":"316–322. http://doi.org/10.1037/0735-7028.33.3.316","non-dropping-particle":"","parse-names":false,"suffix":""},{"dropping-particle":"","family":"Devlin, A. S., &amp; Nasar, J. L. (2012). Impressions of psychotherapists’ offices: Do therapists and clients agree? Professional Psychology: Research and Practice, 43(2)","given":"118–122. http://doi.org/10.1037/a0027292","non-dropping-particle":"","parse-names":false,"suffix":""},{"dropping-particle":"","family":"Swift, J. K., Greenberg, R. P., Whipple, J. L., &amp; Kominiak, N. (2012). Practice Recommendations for Reducing Premature Termination in Therapy. Professional Psychology: Research and Practice, 43(4)","given":"379–387. http://doi.org/10.1037/a0028291","non-dropping-particle":"","parse-names":false,"suffix":""},{"dropping-particle":"","family":"Dienst, E. R., &amp; Armstrong, P. M. (1988). Evaluation of students’ clinical competence. Professional Psychology: Research and Practice;Professional Psychology: Research and Practice, 19(3)","given":"339–341. http://doi.org/10.1037//0735-7028.19.3.339","non-dropping-particle":"","parse-names":false,"suffix":""},{"dropping-particle":"","family":"Pleger, B., &amp; Villringer, A. (2013). The human somatosensory system: From perception to decision making. Progress in Neurobiology, 103","given":"76–97. http://doi.org/10.1016/j.pneurobio.2012.10.002","non-dropping-particle":"","parse-names":false,"suffix":""},{"dropping-particle":"","family":"Urrutia, M. de V. &amp; M. (2012). Discourse updating after reading a counterfactual event. Psicológica, 33","given":"157–173. Retrieved from http://www.uv.es/psicologica/articulos2.12/1DEVEGA.pdf","non-dropping-particle":"","parse-names":false,"suffix":""},{"dropping-particle":"","family":"Klahr, D. (2009). Klahr , D . ( 2001 ) Directions to “ Eureka !” Science , 292 , 2009. Psy.Cmu.Edu, (2001)","given":"1–3. Retrieved from http://www.psy.cmu.edu:16080/faculty/klahr/personal/pdf/Science letter.pdf","non-dropping-particle":"","parse-names":false,"suffix":""},{"dropping-particle":"","family":"Lampropoulos, G. K. (2007). Integrative case formulations in psychotherapy: An elusive goal or an emerging clinical reality? PsycCRITIQUES","given":"52(43). Retrieved from http://psycnet.apa.org/critiques/52/33/43.html","non-dropping-particle":"","parse-names":false,"suffix":""},{"dropping-particle":"","family":"No authorship indicated. (1984). The Architecture of the Mind. PsycCRITIQUES, 29(2)","given":"6–7. http://doi.org/10.1037/022444","non-dropping-particle":"","parse-names":false,"suffix":""},{"dropping-particle":"","family":"Goldsmith, N. M. (2007). The ten lessons of psychedelic psychotherapy, rediscovered. Psychedelic Medicine: New Evidence for Hallucinogenic Substances as Treatments (Vol 2).","given":"107–141. Retrieved from http://proxy.lib.umich.edu/login?url=http://search.ebscohost.com/login.aspx?direct=true&amp;db=psyh&amp;AN=2007-11123-007&amp;site=ehost-live&amp;scope=site","non-dropping-particle":"","parse-names":false,"suffix":""},{"dropping-particle":"","family":"Moore, L. J., &amp; Goldner-Vukov, M. (2009). The existential way to recovery. Psychiatria Danubina, 21(4)","given":"453–462.","non-dropping-particle":"","parse-names":false,"suffix":""},{"dropping-particle":"","family":"Kozarić-Kovačić, D. (2008). Integrative psychotherapy. Psychiatria Danubina, 20(3)","given":"352–363. http://doi.org/10.4135/9781446247648.n16","non-dropping-particle":"","parse-names":false,"suffix":""},{"dropping-particle":"","family":"Taylor, P., &amp; Geppert, C. (2011). You Say “Yes,” I Say “No,” You Say “Goodbye,” and I Say “Hello.” Psychiatric Times, 28(11)","given":"1–6. Retrieved from http://pro.psychcentral.com/2012/you-say-yes-i-say-no-you-say-goodbye-and-i-say-hello/001047.html","non-dropping-particle":"","parse-names":false,"suffix":""},{"dropping-particle":"","family":"Grossman, W. (1976). Knightmare in armor: Reflections on Wilhelm Reich’s contributions to psychoanalysis. Psychiatry","given":"39(4). http://doi.org/10.1521/00332747.1976.11023907","non-dropping-particle":"","parse-names":false,"suffix":""},{"dropping-particle":"","family":"Divilbiss, M., McCleery, A., Aakre, J. M., Seghers, J. P., Schumann, E. B., &amp; Docherty, N. M. (2011). Reality monitoring and its association with social functioning in schizophrenia. Psychiatry Research, 186(1)","given":"1–4. http://doi.org/10.1016/j.psychres.2010.07.041","non-dropping-particle":"","parse-names":false,"suffix":""},{"dropping-particle":"","family":"Galloghly, D. P., Dear, G. E., &amp; Jablensky, A. (2013). Reliability of clinical judgements of insight in patients with psychoses. Psychiatry Research, 208(3)","given":"291–292. http://doi.org/10.1016/j.psychres.2013.03.016","non-dropping-particle":"","parse-names":false,"suffix":""},{"dropping-particle":"","family":"Levine, H. B. (2012). The Analyst’s Theory in the Analyst’s Mind. Psychoanal. Inq., 32(1)","given":"18–32. http://doi.org/10.1080/07351690.2011.553162","non-dropping-particle":"","parse-names":false,"suffix":""},{"dropping-particle":"","family":"Frank, K. a., &amp; Bernstein, K. (2012). Therapeutic Action: An Introduction and Overview. Psychoanal. Perspect., 9(1)","given":"1–19. http://doi.org/10.1080/1551806X.2012.662085","non-dropping-particle":"","parse-names":false,"suffix":""},{"dropping-particle":"","family":"Mills, J. (2005). A Critique of Relational Psychoanalysis. Psychoanal. Psychol., 22(2005)","given":"155–188. http://doi.org/10.1037/0736-9735.22.2.155","non-dropping-particle":"","parse-names":false,"suffix":""},{"dropping-particle":"","family":"Mitchell, S. A. (1991). Contemporary perspectives on self: Toward an integration. Psychoanalytic Dialogues, 1(2)","given":"121–147. http://doi.org/10.1080/10481889109538889","non-dropping-particle":"","parse-names":false,"suffix":""},{"dropping-particle":"","family":"Lichtenberg, J. (2012). Creativity finds its way into the psychoanalytic consulting room. Psychoanalytic Inquiry, 32(3)","given":"292–299. http://doi.org/10.1080/07351690.2011.609086","non-dropping-particle":"","parse-names":false,"suffix":""},{"dropping-particle":"","family":"Barnett, A. J. (2012). Discussion: The analyst’s involvement in the creative aspect of analysis. Psychoanalytic Inquiry, 32(3)","given":"330–335. http://doi.org/10.1080/07351690.2011.609115","non-dropping-particle":"","parse-names":false,"suffix":""},{"dropping-particle":"","family":"Stern, D. B. (2012). Implicit theories of technique and the values that inspire them. Psychoanalytic Inquiry, 32(1)","given":"33–49. http://doi.org/10.1080/07351690.2011.553163","non-dropping-particle":"","parse-names":false,"suffix":""},{"dropping-particle":"","family":"Silverberg, F. (2011). The Tao of Self Psychology: Was Heinz Kohut a Taoist Sage? Psychoanalytic Inquiry, 31(5)","given":"475–488. http://doi.org/10.1080/07351690.2011.552051","non-dropping-particle":"","parse-names":false,"suffix":""},{"dropping-particle":"","family":"Davis, J. T. (2002). Countertransference temptation and the use of self of self-disclosure by psychotherapists in training:&lt; em&gt; A discussion for beginning psychotherapists and their. Psychoanalytic Psychology, 19(3)","given":"435. http://doi.org/10.1037//0736-9735.19.3.435","non-dropping-particle":"","parse-names":false,"suffix":""},{"dropping-particle":"","family":"Jørgensen","given":"C. R. ´. (2004). Active Ingredients in Individual Psychotherapy. Psychoanalytic Psychology. http://doi.org/10.1037/0736-9735.21.4.516","non-dropping-particle":"","parse-names":false,"suffix":""},{"dropping-particle":"","family":"Jorgensen, C. R. (2004). Active ingredients in individual psychotherapy: Searching for common factors. Psychoanalytic Psychology, 21(4)","given":"516–540. http://doi.org/10.1037/0736-9735.21.4.516","non-dropping-particle":"","parse-names":false,"suffix":""},{"dropping-particle":"","family":"Wampold, B. E. (2012). Review of Inside the session: What really happens in psychotherapy. Psychoanalytic Psychology, 29(1)","given":"109–111. http://doi.org/10.1037/a0026808","non-dropping-particle":"","parse-names":false,"suffix":""},{"dropping-particle":"","family":"Khemlani, S. S., &amp; Oppenheimer, D. M. (2011). When one model casts doubt on another: a levels-of-analysis approach to causal discounting. Psychol Bull, 137(2)","given":"195–210. http://doi.org/10.1037/a0021809","non-dropping-particle":"","parse-names":false,"suffix":""},{"dropping-particle":"","family":"Crupi, V., Tentori, K., &amp; Lombardi, L. (2009). Pseudodiagnosticity revisited. Psychol. Rev., 116(4)","given":"971–985. http://doi.org/10.1037/a0017050","non-dropping-particle":"","parse-names":false,"suffix":""},{"dropping-particle":"","family":"Bargh, J. A., &amp; Ferguson, M. J. (2000). Beyond behaviorism: on the automaticity of higher mental processes. Psychological Bulletin, 126(6)","given":"925–45. http://doi.org/10.1037/0033-2909.126.6.925","non-dropping-particle":"","parse-names":false,"suffix":""},{"dropping-particle":"","family":"Kling, K. C., Shibley Hyde, J., Showers, C. J., Buswell, B. N., Dall, T., Garvey, A., … Onorato, N. (1999). Gender Differences in Self-Esteem: A Meta-Analysis. Psychological Bulletin, 125(4)","given":"470–500. http://doi.org/10.1037/0033-2909.132.1.33","non-dropping-particle":"","parse-names":false,"suffix":""},{"dropping-particle":"","family":"Lawlis, G. F., &amp; Lu, E. (1972). Judgment of counseling process: reliability, agreement, and error. Psychological Bulletin, 78(1)","given":"17–20. http://doi.org/10.1037/h0032935","non-dropping-particle":"","parse-names":false,"suffix":""},{"dropping-particle":"","family":"Macmillan, N. A., &amp; Creelman, C. D. (1990). Response bias: Characteristics of detection theory, threshold theory, and “nonparametric” indexes. Psychological Bulletin, 107(3)","given":"401–413. http://doi.org/10.1037/0033-2909.107.3.401","non-dropping-particle":"","parse-names":false,"suffix":""},{"dropping-particle":"","family":"Kunda, Z. (1990). The case for motivated reasoning. Psychological Bulletin, 108(3)","given":"480–498. http://doi.org/10.1037/0033-2909.108.3.480","non-dropping-particle":"","parse-names":false,"suffix":""},{"dropping-particle":"","family":"Sloman, S. A. (1996). The empirical case for two systems of reasoning. Psychological Bulletin, 119(1)","given":"3–22. http://doi.org/10.1037/0033-2909.119.1.3","non-dropping-particle":"","parse-names":false,"suffix":""},{"dropping-particle":"","family":"Pluess, M., &amp; Belsky, J. (2012). Vantage Sensitivity: Individual Differences in Response to Positive Experiences. Psychological Bulletin, 139(4)","given":"901–916. http://doi.org/10.1037/a0030196","non-dropping-particle":"","parse-names":false,"suffix":""},{"dropping-particle":"","family":"Deci, E. L., &amp; Ryan, R. M. (2000). The “ What ” and “ Why ” of Goal Pursuits: Human Needs and the Self-Determination of Behavior. Psychological Inquiry, 11(4)","given":"227–268. http://doi.org/10.1207/S15327965PLI1104_01","non-dropping-particle":"","parse-names":false,"suffix":""},{"dropping-particle":"","family":"Mendel, R., Traut-Mattausch, E., Jonas, E., Leucht, S., Kane, J. M., Maino, K., … Hamann, J. (2011). Confirmation bias: why psychiatrists stick to wrong preliminary diagnoses. Psychological Medicine, 41(12)","given":"2651–2659. http://doi.org/10.1017/S0033291711000808","non-dropping-particle":"","parse-names":false,"suffix":""},{"dropping-particle":"","family":"Hein, S. F., &amp; Austin, W. J. (2001). Empirical and hermeneutic approaches to phenomenological research in psychology: A comparison. Psychological Methods, 6(1)","given":"3–17. http://doi.org/10.1037/1082-989X.6.1.3","non-dropping-particle":"","parse-names":false,"suffix":""},{"dropping-particle":"","family":"Liepelt, R., Dolk, T., &amp; Prinz, W. (2012). Bidirectional semantic interference between action and speech. Psychological Research, 76(4)","given":"446–455. http://doi.org/10.1007/s00426-011-0390-z","non-dropping-particle":"","parse-names":false,"suffix":""},{"dropping-particle":"","family":"Gigerenzer, G., Goldstein, D. G., Owen, G., Nordgaard, J., Jansson, L., Sæbye, D., … West, R. (1996). Reasoning the fast and frugal way: models of bounded rationality. Psychological Review, 103(4)","given":"650–69. http://doi.org/10.1192/bjpo.bp.115.000224","non-dropping-particle":"","parse-names":false,"suffix":""},{"dropping-particle":"","family":"Oaksford, M., &amp; Chater, N. (1994). A rational analysis of the selection task as optimal data selection. Psychological Review, 101(4)","given":"608–631. http://doi.org/10.1037/0033-295X.101.4.608","non-dropping-particle":"","parse-names":false,"suffix":""},{"dropping-particle":"","family":"Hummel, J. E., &amp; Holyoak, K. J. (2003). A symbolic-connectionist theory of relational inference and generalization. Psychological Review, 110(2)","given":"220–264. http://doi.org/10.1037/0033-295X.110.2.220","non-dropping-particle":"","parse-names":false,"suffix":""},{"dropping-particle":"","family":"Johnson-Laird, P. N., &amp; Byrne, R. M. J. (2002). Conditionals: A theory of meaning, pragmatics, and inference. Psychological Review, 109(4)","given":"646–678. http://doi.org/10.1037//0033-295X.109.4.646","non-dropping-particle":"","parse-names":false,"suffix":""},{"dropping-particle":"","family":"Navarro, D. J., &amp; Perfors, A. F. (2011). Hypothesis generation, sparse categories, and the positive test strategy. Psychological Review, 118(1)","given":"120–134. http://doi.org/10.1037/a0021110","non-dropping-particle":"","parse-names":false,"suffix":""},{"dropping-particle":"","family":"Hélie, S., &amp; Sun, R. (2010). Incubation, insight","given":"and creative problem solving: a unified theory and a connectionist model. Psychological review (Vol. 117). http://doi.org/10.1037/a0019532","non-dropping-particle":"","parse-names":false,"suffix":""},{"dropping-particle":"","family":"Sun, R., Slusarz, P., &amp; Terry, C. (2005). The Interaction of the Explicit and the Implicit in Skill Learning: A Dual-Process Approach. Psychological Review, 112(1)","given":"159–192. http://doi.org/10.1037/0033-295X.112.1.159","non-dropping-particle":"","parse-names":false,"suffix":""},{"dropping-particle":"","family":"Nisbett, R. E., Krantz, D. H., Jepson, C., &amp; Kunda, Z. (1983). The use of statistical heuristics in everyday inductive reasoning. Psychological Review, 90(4)","given":"339–363. http://doi.org/10.1037/0033-295X.90.4.339","non-dropping-particle":"","parse-names":false,"suffix":""},{"dropping-particle":"","family":"Winter, D. G., John, O. P., Stewart, A. J., Klohnen, E. C., &amp; Duncan, L. E. (1998). Traits and Motives: Toward an Integration of Two Traditions in Personality Research. Psychological Review, 105(2)","given":"230–250. http://doi.org/10.1037/0033-295X.105.2.230","non-dropping-particle":"","parse-names":false,"suffix":""},{"dropping-particle":"","family":"Piaget, S. J., Lev, R., Vygotsky, S., &amp; Dynamic, D. (1998). A Dynamic Systems Model of Basic Developmental Mechanisms: Piaget, Vygotsky, and Beyond. Psychological Review, 105(4)","given":"634–677.","non-dropping-particle":"","parse-names":false,"suffix":""},{"dropping-particle":"","family":"Ganzach, Y. (2001). Nonlinear models of clinical judgment: Communal nonlinearity and nonlinear accuracy. Psychological Science, 12(5)","given":"403–407. http://doi.org/10.1111/1467-9280.00374","non-dropping-particle":"","parse-names":false,"suffix":""},{"dropping-particle":"","family":"Newcombe, N. S. (2002). The nativist-empiricist controversy in the context of recent research on spatial and quantitative development. Psychological Science, 13(5)","given":"395–401. http://doi.org/10.1111/1467-9280.00471","non-dropping-particle":"","parse-names":false,"suffix":""},{"dropping-particle":"","family":"Russano, M. B., Meissner, C. a, Narchet, F. M., &amp; Kassin, S. M. (2005). Investigating true and false confessions within a novel experimental paradigm. Psychological Science : A Journal of the American Psychological Society / APS, 16(6)","given":"481–486. http://doi.org/10.1111/j.0956-7976.2005.01560.x","non-dropping-particle":"","parse-names":false,"suffix":""},{"dropping-particle":"","family":"Alvarez, G. a, &amp; Cavanagh, P. (2004). The capacity of visual short-term memory is set both by visual information load and by number of objects. Psychological Science : A Journal of the American Psychological Society / APS, 15(2)","given":"106–111. http://doi.org/10.1167/2.7.273","non-dropping-particle":"","parse-names":false,"suffix":""},{"dropping-particle":"","family":"Wertheimer, M. (1923). Untersuchungen zur Lehre von der Gestalt. II. Psychologische Forschung, 4(1)","given":"301–350. http://doi.org/10.1007/BF00410640","non-dropping-particle":"","parse-names":false,"suffix":""},{"dropping-particle":"","family":"Reid, K., Flowers, P., &amp; Larkin, M. (2005). Exploring lived experience. Psychologist, 18(1)","given":"20–23. http://doi.org/Article","non-dropping-particle":"","parse-names":false,"suffix":""},{"dropping-particle":"","family":"Groenier, M., Beerthuis, V. R. ., Pierters, J. M., Witteman, C., &amp; Swinkels, J. A. (2011). Psychologists’ diagnostic processes during a diagnostic interview. Psychology, 2(9)","given":"917–924. http://doi.org/10.4236/psych.2011.29138","non-dropping-particle":"","parse-names":false,"suffix":""},{"dropping-particle":"","family":"D ’addario, M., &amp; Macchi, L. (2012). Pseudodiagnosticity: The Role of the Rarity Factor in the Perception of the Informativeness of Data. Psychology, 3(6)","given":"489–493. http://doi.org/10.4236/psych.2012.36069","non-dropping-particle":"","parse-names":false,"suffix":""},{"dropping-particle":"","family":"Larsson","given":"B. (2010). Therapists and their patients: Similarities and differences in attitudes between four psychotherapy orientations in Sweden. Psychology. Retrieved from http://gupea.ub.gu.se/handle/2077/22206","non-dropping-particle":"","parse-names":false,"suffix":""},{"dropping-particle":"","family":"Brocki, J., &amp; Wearden, AJ. (2006). A critical evaluation of the use of interpretative phenomenological analysis (IPA) in health psychology. Psychology and Health, 21(1)","given":"7–108. http://doi.org/10.1080/14768320500230185","non-dropping-particle":"","parse-names":false,"suffix":""},{"dropping-particle":"","family":"Clarke, V., Smith, J. A., Flowers, P., Larkin, M., Clarke, V., Smith, J. A., … Larkin, M. (2010). Review Interpretative Phenomenological Analysis : Theory, Method and Research. Psychology Learning &amp; Teaching, 9(1)","given":"56–57.","non-dropping-particle":"","parse-names":false,"suffix":""},{"dropping-particle":"","family":"P.Driscoll","given":"M. (2000). Gagne’s Theory of Instruction. Psychology of Learning for Instruction.","non-dropping-particle":"","parse-names":false,"suffix":""},{"dropping-particle":"","family":"Lutz, R. S., Karoly, P., &amp; Okun, M. A. (2008). The why and the how of goal pursuit: Self-determination, goal process cognition, and participation in physical exercise. Psychology of Sport and Exercise, 9(5)","given":"559–575. http://doi.org/10.1016/j.psychsport.2007.07.006","non-dropping-particle":"","parse-names":false,"suffix":""},{"dropping-particle":"","family":"Conway, a R., Cowan, N., &amp; Bunting, M. F. (2001). The cocktail party phenomenon revisited: the importance of working memory capacity. Psychonomic Bulletin &amp; Review, 8(2)","given":"331–335. http://doi.org/10.3758/BF03196169","non-dropping-particle":"","parse-names":false,"suffix":""},{"dropping-particle":"","family":"Gallese, V. (2003). The roots of empathy: The shared manifold hypothesis and the neural basis of intersubjectivity. Psychopathology, 36(4)","given":"171–180. http://doi.org/10.1159/000072786","non-dropping-particle":"","parse-names":false,"suffix":""},{"dropping-particle":"","family":"PROCHASKA, J. O., &amp; NORCROSS, J. C. (1983). Contemporary psychotherapists: A national survey of characteristics, practices, orientations, and attitudes. Psychother. Theory, Res. Pract., 20(2)","given":"161–173. Retrieved from http://psycnet.apa.org/journals/pst/20/2/161/","non-dropping-particle":"","parse-names":false,"suffix":""},{"dropping-particle":"","family":"Hwang, W. C. (2006). Acculturative family distancing: Theory, research, and clinical practice. Psychother. Theory, Res. Pract. Train., 43(4)","given":"397. http://doi.org/10.1037/0033-3204.43.4.397","non-dropping-particle":"","parse-names":false,"suffix":""},{"dropping-particle":"","family":"Overholser, J. C. (1993). Elements of the Socratic method: I. Inductive reasoning. Psychotherapy, 30(1)","given":"75–85. http://doi.org/10.1037/0033-3204.30.1.75","non-dropping-particle":"","parse-names":false,"suffix":""},{"dropping-particle":"","family":"Counselman, E. F. (1997). Self-Disclosure, Tears, and the Dying Client. Psychotherapy, 34(1996)","given":"681–682.","non-dropping-particle":"","parse-names":false,"suffix":""},{"dropping-particle":"","family":"Sarkozy","given":"N. (2010). Addressing Negative Effects of Psychotherapy During the Informed Consent Process : the Licensed Psychologists ג€TM Perspectives. Psychotherapy.","non-dropping-particle":"","parse-names":false,"suffix":""},{"dropping-particle":"","family":"Comas-Diaz, L. (2012). Humanism and multiculturalism: an evolutionary alliance. Psychotherapy, 49(4)","given":"437–41. http://doi.org/10.1037/a0027126","non-dropping-particle":"","parse-names":false,"suffix":""},{"dropping-particle":"","family":"Teachman, B. A., Drabick, D. A., Hershenberg, R., Vivian, D., Wolfe, B. E., &amp; Goldfried, M. R. (2012). Bridging the gap between clinical research and clinical practice: introduction to the special section. Psychotherapy (Chic), 49(2)","given":"97–100. http://doi.org/10.1037/a0027346","non-dropping-particle":"","parse-names":false,"suffix":""},{"dropping-particle":"","family":"Silverman","given":"W. H. (2013). The Future of Psychotherapy: One Editor’s Perspective. Psychotherapy (Chic). http://doi.org/10.1037/a0030573","non-dropping-particle":"","parse-names":false,"suffix":""},{"dropping-particle":"","family":"Adelson, J. L., &amp; Owen, J. (2012). Bringing the psychotherapist back: basic concepts for reading articles examining therapist effects using multilevel modeling. Psychotherapy (Chicago, Ill.), 49(2)","given":"152–62. http://doi.org/10.1037/a0023990","non-dropping-particle":"","parse-names":false,"suffix":""},{"dropping-particle":"","family":"Myers, D., &amp; Hayes, J. a. (2006). Effects of therapist general self-disclosure and countertransference disclosure on ratings of the therapist and session. Psychotherapy (Chicago, Ill.), 43(2)","given":"173–85. http://doi.org/10.1037/0033-3204.43.2.173","non-dropping-particle":"","parse-names":false,"suffix":""},{"dropping-particle":"","family":"Gelso, C. J. (2011). Emerging and continuing trends in psychotherapy: views from an editor’s eye. Psychotherapy (Chicago, Ill.), 48(2)","given":"182–7. http://doi.org/10.1037/a0023448","non-dropping-particle":"","parse-names":false,"suffix":""},{"dropping-particle":"","family":"Glebova, T., Foster, S. L., Cunningham, P. B., Brennan, P. a, &amp; Whitmore, E. (2011). Examining therapist comfort in delivering family therapy in home and community settings: Development and evaluation of the therapist comfort scale. Psychotherapy (Chicago","given":"52–61. http://doi.org/10.1037/a0025910","non-dropping-particle":"","parse-names":false,"suffix":""},{"dropping-particle":"","family":"Cook, J. M., Biyanova, T., &amp; Coyne, J. C. (2009). Influential psychotherapy figures, authors, and books: An Internet survey of over 2, 000 psychotherapists. Psychotherapy (Chicago, Ill.), 46(1)","given":"42–51. http://doi.org/10.1037/a0015152","non-dropping-particle":"","parse-names":false,"suffix":""},{"dropping-particle":"","family":"Schneider, K. J., &amp; Längle, A. (2012). The renewal of humanism in psychotherapy: a roundtable discussion. Psychotherapy (Chicago, Ill.), 49(4)","given":"427–9. http://doi.org/10.1037/a0027111","non-dropping-particle":"","parse-names":false,"suffix":""},{"dropping-particle":"","family":"Cook, J. M., Biyanova, T., Elhai, J., Schnurr, P. P., &amp; Coyne, J. C. (2010). What do psychotherapists really do in practice? An Internet study of over 2, 000 practitioners. Psychotherapy (Chicago, Ill.), 47(2)","given":"260–7. http://doi.org/10.1037/a0019788","non-dropping-particle":"","parse-names":false,"suffix":""},{"dropping-particle":"","family":"Lutz, W., Rafaeli, E., Howard, K. I., &amp; Martinovich, Z. (2002). Adaptive modeling of progress in outpatient psychotherapy. Psychotherapy Research, 12(4)","given":"427–443. http://doi.org/10.1093/ptr/12.4.427","non-dropping-particle":"","parse-names":false,"suffix":""},{"dropping-particle":"","family":"Mander, J. V., Wittorf, A., Schlarb, A., Hautzinger, M., Zipfel, S., &amp; Sammet, I. (2013). Change mechanisms in psychotherapy: multiperspective assessment and relation to outcome. Psychotherapy Research, 23(1)","given":"105–16. http://doi.org/10.1080/10503307.2012.744111","non-dropping-particle":"","parse-names":false,"suffix":""},{"dropping-particle":"","family":"Connolly Gibbons, M. B., Crits-Christoph, P., Levinson, J., &amp; Barber, J. (2003). Flexibility in manual-based psychotherapies: Predictors of therapist interventions in interpersonal and cognitive-behavioral therapy. Psychotherapy Research, 13(2)","given":"169–185. http://doi.org/10.1093/ptr/kpg017","non-dropping-particle":"","parse-names":false,"suffix":""},{"dropping-particle":"","family":"Shapiro, D., &amp; Startup, M. (1992). Measuring Therapist Adherence in Exploratory Psychotherapy. Psychotherapy Research, 2(3)","given":"193–203. http://doi.org/10.1080/10503309212331332974","non-dropping-particle":"","parse-names":false,"suffix":""},{"dropping-particle":"","family":"Rihacek, T., Danelova, E., &amp; Cermak, I. (2012). Psychotherapist development: Integration as a way to autonomy. Psychotherapy Research, 22(5)","given":"556–569. http://doi.org/10.1080/10503307.2012.688883","non-dropping-particle":"","parse-names":false,"suffix":""},{"dropping-particle":"","family":"Kolden, G. G. (1991). The generic model of psychotherapy: An empirical investigation of patterns of process and outcome relationships. Psychotherapy Research, 1(1)","given":"62–73. http://doi.org/10.1080/10503309112331334071","non-dropping-particle":"","parse-names":false,"suffix":""},{"dropping-particle":"","family":"Heffler, B., &amp; Sandell, R. (2009). The role of learning style in choosing one’s therapeutic orientation. Psychotherapy Research, 19(3)","given":"283–292. http://doi.org/10.1080/10503300902806673","non-dropping-particle":"","parse-names":false,"suffix":""},{"dropping-particle":"","family":"Topolinski, S., &amp; Hertel, G. (2007). The role of personality in psychotherapists’ careers: Relationships between personality traits, therapeutic schools, and job satisfaction. Psychotherapy Research, 17(3)","given":"365–375. http://doi.org/10.1080/10503300600830736","non-dropping-particle":"","parse-names":false,"suffix":""},{"dropping-particle":"","family":"Caspar, F. (1997). What goes on in a psychotherapist’s mind? Psychotherapy Research, 7(June)","given":"105–125. http://doi.org/10.1080/10503309712331331913","non-dropping-particle":"","parse-names":false,"suffix":""},{"dropping-particle":"","family":"Vasco, A., Garcia-Marques, L., &amp; Dryden, W. (1993). “Psychotherapist know thyself!”: Dissonance between metatheoretical and personal values in psychotherapists of different theoretical orientations. Psychotherapy Research, 3(3)","given":"181–207. http://doi.org/10.1080/10503309312331333779","non-dropping-particle":"","parse-names":false,"suffix":""},{"dropping-particle":"","family":"Buckman, J. R., &amp; Barker, C. (2010). Therapeutic orientation preferences in trainee clinical psychologists: personality or training? Psychotherapy Research : Journal of the Society for Psychotherapy Research, 20(3)","given":"247–258. http://doi.org/10.1080/10503300903352693","non-dropping-particle":"","parse-names":false,"suffix":""},{"dropping-particle":"","family":"Gullestad, F. S., &amp; Wilberg, T. (2011). Change in reflective functioning during psychotherapy--a single-case study. Psychotherapy Research : Journal of the Society for Psychotherapy Research, 21(1)","given":"97–111. http://doi.org/10.1080/10503307.2010.525759","non-dropping-particle":"","parse-names":false,"suffix":""},{"dropping-particle":"","family":"Kraus, D. R., Castonguay, L., Boswell, J. F., Nordberg, S. S., &amp; Hayes, J. A. (2011). Therapist effectiveness: implications for accountability and patient care. Psychotherapy Research : Journal of the Society for Psychotherapy Research, 21(3)","given":"267–276. http://doi.org/10.1080/10503307.2011.563249","non-dropping-particle":"","parse-names":false,"suffix":""},{"dropping-particle":"","family":"Bike, D. H., Norcross, J. C., &amp; Schatz, D. M. (2009). Processes and outcomes of psychotherapists’ personal therapy: Replication and extension 20 years later. Psychotherapy Theory, Research, Practice, Training, 46(1)","given":"19–31. http://doi.org/10.1037/a0015139","non-dropping-particle":"","parse-names":false,"suffix":""},{"dropping-particle":"","family":"Bordin, E. S. (1979). The generalizability of the psychoanalytic concept of the working alliance. Psychotherapy: Theory, Research and Practice, 16(3)","given":"252–260. http://doi.org/http://dx.doi.org/10.1037/h0085885","non-dropping-particle":"","parse-names":false,"suffix":""},{"dropping-particle":"","family":"Norcross, J. C., Bike, D. H., &amp; Evans, K. L. (2009). The therapist’s therapist: A replication and extension 20 years later. Psychotherapy: Theory, Research, Practice, Training, 46(1)","given":"32–41. http://doi.org/10.1037/a0015140","non-dropping-particle":"","parse-names":false,"suffix":""},{"dropping-particle":"","family":"Hamilton, R. A., Del Castillo, D. M., &amp; Stiles, W. B. (2007). Review of Self-disclosure in psychotherapy. Psychotherapy: Theory, Research, Practice, Training, 44(3)","given":"361–362. http://doi.org/10.1037/0033-3204.44.3.361","non-dropping-particle":"","parse-names":false,"suffix":""},{"dropping-particle":"","family":"Norcross, J. C., Hedges, M., &amp; Castle, P. H. (2002). Psychologists conducting psychotherapy in 2001: A study of the Division 29 membership. Psychotherapy: Theory, Research, Practice, Training, 39(1)","given":"97–102. http://doi.org/10.1037//0033-3204.39.1.97","non-dropping-particle":"","parse-names":false,"suffix":""},{"dropping-particle":"","family":"Castonguay, L. G., Nelson, D. L., Boutselis, M. a., Chiswick, N. R., Damer, D. D., Hemmelstein, N. a., … Borkovec, T. D. (2010). Psychotherapists, researchers, or both? A qualitative analysis of psychotherapists’ experiences in a practice research network","given":"345–354. http://doi.org/10.1037/a0021165","non-dropping-particle":"","parse-names":false,"suffix":""},{"dropping-particle":"","family":"Lambert, M. J., &amp; Barley, D. E. (2001). Research summary on the therapeutic relationship and psychotherapy outcome. Psychotherapy: Theory, Research, Practice, Training, 38(4)","given":"357–361. http://doi.org/10.1037//0033-3204.38.4.357","non-dropping-particle":"","parse-names":false,"suffix":""},{"dropping-particle":"","family":"GLANTZ, K., DURLACH, N. I., BARNETT, R. C., &amp; AVILES, W. A. (1996). Virtual Reality (Vr) for Psychotherapy. Psychotherapy: Theory, Research, Practice, Training, 33(3)","given":"464–473. http://doi.org/10.1037/0033-3204.33.3.464","non-dropping-particle":"","parse-names":false,"suffix":""},{"dropping-particle":"","family":"Nord, W. R., &amp; Jermier, J. M. (1994). Overcoming Resistance To Resistance: Insights From a Study of the Shadows. Public Administration Quarterly, 17(4)","given":"396–409. Retrieved from http://content.ebscohost.com/ContentServer.asp?T=P&amp;P=AN&amp;K=7284495&amp;S=R&amp;D=buh&amp;EbscoContent=dGJyMNLe80SeprQ4zdnyOLCmr0meprZSr6+4TbWWxWXS&amp;ContentCustomer=dGJyMPDr5VPr1+eGudvmh/Hq%5Cnhttp://search.ebscohost.com/login.aspx?direct=true&amp;db","non-dropping-particle":"","parse-names":false,"suffix":""},{"dropping-particle":"","family":"Pion, G. M., &amp; Lipsey","given":"M. W. (1981). Public attitudes toward science and technology: what have the surveys told us? Public Opinion Quarterly. Retrieved from http://www.ncbi.nlm.nih.gov/pubmed/10252900","non-dropping-particle":"","parse-names":false,"suffix":""},{"dropping-particle":"","family":"Brown, M. (1981). The logic of realism: a Hegelian approach. Publications of the Modern Language Association of …, 96(2)","given":"224–241. http://doi.org/10.2307/461990","non-dropping-particle":"","parse-names":false,"suffix":""},{"dropping-particle":"","family":"Villejoubert, G., &amp; Vallée-Tourangeau, F. (2012). Relevance-driven information search in “pseudodiagnostic” reasoning. Q. J. Exp. Psychol. (Hove)., 65(3)","given":"541–552. http://doi.org/10.1080/17470218.2011.617830","non-dropping-particle":"","parse-names":false,"suffix":""},{"dropping-particle":"","family":"Gilgun, J. F. (2005). “Grab” and good science: writing up the results of qualitative research. Qualitative Health Research, 15(2)","given":"256–262. http://doi.org/10.1177/1049732304268796","non-dropping-particle":"","parse-names":false,"suffix":""},{"dropping-particle":"","family":"Tolich, M. (2010). A critique of current practice: ten foundational guidelines for autoethnographers. Qualitative Health Research, 20(12)","given":"1599–1610. http://doi.org/10.1177/1049732310376076","non-dropping-particle":"","parse-names":false,"suffix":""},{"dropping-particle":"","family":"Koro-Ljungberg, M. (2008). Validity and Validation in the Making in the Context of Qualitative Research. Qualitative Health Research, 18(7)","given":"983–989. http://doi.org/10.1177/1049732308318039","non-dropping-particle":"","parse-names":false,"suffix":""},{"dropping-particle":"","family":"Denzin, N. K. (2010). Moments, Mixed Methods, and Paradigm Dialogs. Qualitative Inquiry, 16(6)","given":"419–427. http://doi.org/10.1177/1077800410364608","non-dropping-particle":"","parse-names":false,"suffix":""},{"dropping-particle":"","family":"Ellis, C. (2007). Telling Secrets, Revealing Lives: Relational Ethics in Research With Intimate Others. Qualitative Inquiry, 13(1)","given":"3–29. http://doi.org/10.1177/1077800406294947","non-dropping-particle":"","parse-names":false,"suffix":""},{"dropping-particle":"","family":"Chenail, R. (2012). Conducting Qualitative Data Analysis: Qualitative Data Analysis as a Metaphoric Process. Qualitative Report, 17(1)","given":"248–253. Retrieved from http://files.eric.ed.gov/fulltext/EJ973043.pdf","non-dropping-particle":"","parse-names":false,"suffix":""},{"dropping-particle":"","family":"Hook, D. (2013). Discourse Analysis: Terminable or Interminable? Qualitative Research in Psychology, 10(3)","given":"249–253. http://doi.org/10.1080/14780887.2012.741512","non-dropping-particle":"","parse-names":false,"suffix":""},{"dropping-particle":"","family":"Parker, I. (2013). Qualitative Research in Psychology Discourse Analysis : Dimensions of Critique in Psychology Discourse Analysis : Dimensions. Qualitative Research in Psychology, 887(December)","given":"37–41. http://doi.org/10.1080/14780887.2012.741509","non-dropping-particle":"","parse-names":false,"suffix":""},{"dropping-particle":"","family":"Onwuegbuzie, A. J., &amp; Leech, N. L. (2007). A call for qualitative power analyses. Quality and Quantity, 41(1)","given":"105–121. http://doi.org/10.1007/s11135-005-1098-1","non-dropping-particle":"","parse-names":false,"suffix":""},{"dropping-particle":"","family":"Leech, N. L., &amp; Onwuegbuzie, A. J. (2009). A typology of mixed methods research designs. Quality and Quantity, 43(2)","given":"265–275. http://doi.org/10.1007/s11135-007-9105-3","non-dropping-particle":"","parse-names":false,"suffix":""},{"dropping-particle":"","family":"Järvinen, P. (2007). Action research is similar to design science. Quality and Quantity, 41(1)","given":"37–54. http://doi.org/10.1007/s11135-005-5427-1","non-dropping-particle":"","parse-names":false,"suffix":""},{"dropping-particle":"","family":"Onwuegbuzie, A. J., &amp; Leech, N. L. (2005). Taking the “q” out of research: Teaching research methodology courses without the divide between quantitative and qualitative paradigms. Quality and Quantity, 39(3)","given":"267–296. http://doi.org/10.1007/s11135-004-1670-0","non-dropping-particle":"","parse-names":false,"suffix":""},{"dropping-particle":"","family":"Mynatt, C. R., Doherty, M. E., &amp; Tweney, R. D. (1978). Consequences of confirmation and disconfirmation in a simulated research environment. Quarterly Journal of Experimental Psychology, 30(3)","given":"395–406. http://doi.org/10.1080/00335557843000007","non-dropping-particle":"","parse-names":false,"suffix":""},{"dropping-particle":"","family":"Espino, O., Santamaria, C., &amp; Byrne, R. M. J. (2009). People think about what is true for conditionals, not what is false: only true possibilities prime the comprehension of “if”. Quarterly Journal of Experimental Psychology (2006), 62(6)","given":"1072–8. http://doi.org/10.1080/17470210802602375","non-dropping-particle":"","parse-names":false,"suffix":""},{"dropping-particle":"","family":"Fenici, M. (2013). Preface. Radicalizing Enactivism: Basic Minds without Content, 28(2)","given":"298–302. http://doi.org/10.1080/09515089.2013.804645","non-dropping-particle":"","parse-names":false,"suffix":""},{"dropping-particle":"","family":"Manuscript, A., Kang, P., Liao, M., Wester, M. R., Leeder, J. S., Pearce, R. E., … Manuscript, A. (2010). NIH Public Access. Ratio, 36(3)","given":"490–499. http://doi.org/10.1124/dmd.107.016501.CYP3A4-Mediated","non-dropping-particle":"","parse-names":false,"suffix":""},{"dropping-particle":"","family":"Smith, S., &amp; Watson","given":"J. (2002). A Tool Kit: Twenty Strategies for Reading Life Harratives. Reading Autobiography A Cuide for Lnterpreting Life Narrative. http://doi.org/10.1080/00358536808452768","non-dropping-particle":"","parse-names":false,"suffix":""},{"dropping-particle":"","family":"Putnam, H., Cambridge, O. E., Harvard, M. A., &amp; Putnam, H. (2006). The Collapse of the Fact/Value Dichotomy. Reason Papers, 28(Spring)","given":"125–131. http://doi.org/10.1198/016214501753168398","non-dropping-particle":"","parse-names":false,"suffix":""},{"dropping-particle":"","family":"REF2014. (2014). Excellence Framework 2014: The results. Ref2014, (December)","given":"1–66. Retrieved from http://www.ref.ac.uk/media/ref/content/pub/REF 01 2014 - full document.pdf","non-dropping-particle":"","parse-names":false,"suffix":""},{"dropping-particle":"","family":"Agosto, D., &amp; Anderton","given":"H. (2007). Whatever happened to. Reference &amp; User Services Quarterly. http://doi.org/10.1111/j.1478-9299.2007.00128.x","non-dropping-particle":"","parse-names":false,"suffix":""},{"dropping-particle":"","family":"Preez, J. (2008). Locating the researcher in the research: personal narrative and reflective practice. Reflective Practice, 9(4)","given":"509–519. http://doi.org/10.1080/14623940802431499","non-dropping-particle":"du","parse-names":false,"suffix":""},{"dropping-particle":"","family":"Forbes, J. (2008). Reflective Practice: International and Multidisciplinary Perspectives Reflexivity in professional doctoral research Reflexivity in professional doctoral research. Reflective Practice, 9(4)","given":"449–460. http://doi.org/10.1080/14623940802431523","non-dropping-particle":"","parse-names":false,"suffix":""},{"dropping-particle":"","family":"Oberkampf, W. L., DeLand, S. M., Rutherford, B. M., Diegert, K. V., &amp; Alvin, K. F. (2002). Error and uncertainty in modeling and simulation. Reliability Engineering &amp; System Safety, 75(3)","given":"333–357. http://doi.org/10.1016/S0951-8320(01)00120-X","non-dropping-particle":"","parse-names":false,"suffix":""},{"dropping-particle":"","family":"License, E. (2013). This is a License Agreement between Leanne C Reich (“You”) and Elsevier (“Elsevier”) provided by Copyright Clearance Center (“CCC”). The license consists of your order details, the terms and conditions provided by Elsevier, and the pay","given":"1–6. http://doi.org/10.1038/sj.","non-dropping-particle":"","parse-names":false,"suffix":""},{"dropping-particle":"","family":"Creswell, J. W. (2003). Research design Qualitative quantitative and mixed methods approaches. Research Design Qualitative Quantitative and Mixed Methods Approaches","given":"3–26. http://doi.org/10.3109/08941939.2012.723954","non-dropping-particle":"","parse-names":false,"suffix":""},{"dropping-particle":"","family":"Creswel, J. W. (2008). The Selection of a Research Approach. Research Design: Qualitative, Quantitative, and Mixed Methods Approaches","given":"3–22. http://doi.org/45593:01","non-dropping-particle":"","parse-names":false,"suffix":""},{"dropping-particle":"","family":"Provost, S. E. (2007). Book Reviews: Goodheart, C. D., Kazdin, A. E., &amp;amp; Sternberg, R. J. (2006). Evidence-Based Psychotherapy: Where Practice and Research Meet. Washington, DC: American Psychological Association. (296 pp., $59.95 hardback, ISBN: 1-591","given":"425–426. http://doi.org/10.1177/1049731506293730","non-dropping-particle":"","parse-names":false,"suffix":""},{"dropping-particle":"","family":"Groundwater‐Smith, S., &amp; Mockler, N. (2007). Ethics in practitioner research: an issue of quality. Research Papers in Education, 22(2)","given":"199–211. http://doi.org/10.1080/02671520701296171","non-dropping-particle":"","parse-names":false,"suffix":""},{"dropping-particle":"","family":"Gorard, S. (2002). Can we overcome the methodological schism? Four models for combining qualitative and quantitative evidence. Research Papers in Education, 17(4)","given":"345–361. http://doi.org/10.1080/0267152022000031405","non-dropping-particle":"","parse-names":false,"suffix":""},{"dropping-particle":"","family":"Jensen, M. B., Johnson, B., Lorenz, E., &amp; Lundvall, B. Å. (2007). Forms of knowledge and modes of innovation. Research Policy, 36(5)","given":"680–693. http://doi.org/10.1016/j.respol.2007.01.006","non-dropping-particle":"","parse-names":false,"suffix":""},{"dropping-particle":"","family":"Holt, J. (2012). Making Apprenticeships More Accessible To Small and Medium-Sized Enterprises May 2012. Review Holts Group of Companies","given":"(May). Retrieved from https://www.gov.uk/government/publications/making-apprenticeships-more-accessible-to-small-and-medium-sized-enterprises-a-review-by-jason-holt","non-dropping-particle":"","parse-names":false,"suffix":""},{"dropping-particle":"","family":"Richardson, J. T. . E. . (1999). The Concepts and Methods of Phenomenographic Research. Review of Educational Research, 69(1)","given":"53–82. http://doi.org/10.3102/00346543069001053","non-dropping-particle":"","parse-names":false,"suffix":""},{"dropping-particle":"","family":"Simonton, D. K. (2006). Scientific Status of Disciplines, Individuals, and Ideas: Empirical Analyses of the Potential Impact of Theory. Review of General Psychology, 10(2)","given":"98–112. http://doi.org/10.1037/1089-2680.10.2.98","non-dropping-particle":"","parse-names":false,"suffix":""},{"dropping-particle":"","family":"Nickerson, R. S. (1998). Confirmation bias: A ubiquitous phenomenon in many guises. Review of General Psychology, 2(2)","given":"175–220. http://doi.org/10.1037/1089-2680.2.2.175","non-dropping-particle":"","parse-names":false,"suffix":""},{"dropping-particle":"","family":"Wallace, W. (1996). Truth and power, monks and technocrats: theory and practice in international relations. Review of International Studies, 22(3)","given":"301–321. http://doi.org/10.1017/S026021050011856X","non-dropping-particle":"","parse-names":false,"suffix":""},{"dropping-particle":"","family":"Weber, A. M., &amp; Vosgerau, G. (2012). Grounding Action Representations. Review of Philosophy and Psychology, 3(1)","given":"53–69. http://doi.org/10.1007/s13164-012-0088-1","non-dropping-particle":"","parse-names":false,"suffix":""},{"dropping-particle":"","family":"P., S., M.L., F., E., P., Slovic, P., Finucane, M. L., Peters, E., &amp; MacGregor, D. G. (2004). Risk as analysis and risk as feelings: some thoughts about affect, reason, risk, and rationality. Risk Analysis : An Official Publication of the Society for Risk","given":"311–322. Retrieved from http://ovidsp.ovid.com/ovidweb.cgi?T=JS&amp;PAGE=reference&amp;D=med5&amp;NEWS=N&amp;AN=15078302%0Ahttp://ovidsp.ovid.com/ovidweb.cgi?T=JS&amp;PAGE=reference&amp;D=emed9&amp;NEWS=N&amp;AN=38620129","non-dropping-particle":"","parse-names":false,"suffix":""},{"dropping-particle":"","family":"Nuovo, S. Di. (2007). Research in psychotherapy: some thoughts on scientificness. Rivista Di Psicologia Clinica, 1","given":"9–16. Retrieved from http://scholar.google.com/scholar?hl=en&amp;btnG=Search&amp;q=intitle:Research+in+psychotherapy:+some+thoughts+on+scientificness#0","non-dropping-particle":"","parse-names":false,"suffix":""},{"dropping-particle":"","family":"Truneckova, D., &amp; Viney, L. L. (2008). Substance abuse: Personal construct processes and psychotherapy with children and adolescents. Round Table, Substance Abuse: Exploring Consequences and Remedies, March","given":"9–14. Retrieved from http://www.forumonpublicpolicy.com/spring2010.vol2010/spring2010archive/truneckova.pdf","non-dropping-particle":"","parse-names":false,"suffix":""},{"dropping-particle":"","family":"Cohen, J. (2010). Rousseau: A Free Community of Equals. Rousseau: A Free Community of Equals, (February 2014)","given":"1–224. http://doi.org/10.1093/acprof:oso/9780199581498.001.0001","non-dropping-particle":"","parse-names":false,"suffix":""},{"dropping-particle":"","family":"Bird, W. (2007). Natural Thinking. Royal Society for the Protection of Birds, (June)","given":"1–116. Retrieved from www.naturalengland.org.uk","non-dropping-particle":"","parse-names":false,"suffix":""},{"dropping-particle":"","family":"Creswell, J. W., John W. Cresswell, &amp; Creswell, J. W. (2000). Research design. Sage","given":"1–246. http://doi.org/10.1016/j.math.2010.09.003","non-dropping-particle":"","parse-names":false,"suffix":""},{"dropping-particle":"","family":"O’Reilly, K., Johnson, J., &amp; Sanborn, G. (2012). Improving University Research Value: A Case Study. SAGE Open, 2(3)","given":"1–13. http://doi.org/10.1177/2158244012452576","non-dropping-particle":"","parse-names":false,"suffix":""},{"dropping-particle":"","family":"Nestor, P. G., Piech, R., Allen, C., Niznikiewicz, M., Shenton, M., &amp; McCarley, R. W. (2005). Retrieval-induced forgetting in schizophrenia. Schizophrenia Research, 75(2–3)","given":"199–209. http://doi.org/10.1016/j.schres.2005.01.011","non-dropping-particle":"","parse-names":false,"suffix":""},{"dropping-particle":"","family":"Plowright, D. (2008). Using self-evaluation for inspection: how well prepared are primary school headteachers? School Leadership &amp; Management, 28(2)","given":"101–126. http://doi.org/10.1080/13632430801969799","non-dropping-particle":"","parse-names":false,"suffix":""},{"dropping-particle":"","family":"Pelleg, D., &amp; Moore, A. (2004). Scalable and Practical Probability Density Estimators for Scientific Anomaly Detection. Science","given":"(May).","non-dropping-particle":"","parse-names":false,"suffix":""},{"dropping-particle":"","family":"Martin, B. R., &amp; Tang, P. (2007). The benefits from publicly funded research. Science, 44(161)","given":"46. Retrieved from http://www.sussex.ac.uk/spru/","non-dropping-particle":"","parse-names":false,"suffix":""},{"dropping-particle":"","family":"Computers, B. (1971). History of the Conflict Between Religion and Science. Science","given":"1–302. http://doi.org/10.1111/j.1467-9744.2005.00690.x","non-dropping-particle":"","parse-names":false,"suffix":""},{"dropping-particle":"","family":"Gilbert, D. T., &amp; Wilson, T. D. (2007). Prospection: Experiencing the future. Science, 317(5843)","given":"1351–4. http://doi.org/10.1126/science.1144161","non-dropping-particle":"","parse-names":false,"suffix":""},{"dropping-particle":"","family":"Bertalanffy, L. (1950). The theory of open systems in physics and biology. Science, 111(1)","given":"23–29. http://doi.org/10.1126/science.111.2872.23","non-dropping-particle":"Von","parse-names":false,"suffix":""},{"dropping-particle":"","family":"Clough, M. P., &amp; Olson, J. K. (2008). Teaching and assessing the nature of science: An introduction. Science &amp; Education, 17(2–3)","given":"143–145. http://doi.org/10.1007/s11191-007-9083-9","non-dropping-particle":"","parse-names":false,"suffix":""},{"dropping-particle":"","family":"McComas, W. F. (2008). Seeking historical examples to illustrate key aspects of the nature of science. Science and Education, 17(2–3)","given":"249–263. http://doi.org/10.1007/s11191-007-9081-y","non-dropping-particle":"","parse-names":false,"suffix":""},{"dropping-particle":"","family":"Kampourakis, K., &amp; McComas, W. F. (2010). Charles Darwin and evolution: Illustrating human aspects of science. Science and Education, 19(6)","given":"637–654. http://doi.org/10.1007/s11191-009-9201-y","non-dropping-particle":"","parse-names":false,"suffix":""},{"dropping-particle":"","family":"Weil, V. (2001). Mentoring: some ethical considerations. Science and Engineering Ethics, 7(4)","given":"471–82. http://doi.org/10.1007/s11948-001-0004-z","non-dropping-particle":"","parse-names":false,"suffix":""},{"dropping-particle":"","family":"Sources, I. (2012). Science and Technology: Public Attitudes and Understanding. Science and Engineering Indicators 2012","given":"1–51. Retrieved from http://www.nsf.gov/statistics/seind12/pdf/c07.pdf","non-dropping-particle":"","parse-names":false,"suffix":""},{"dropping-particle":"","family":"Hunter, A., Laursen, S. L., &amp; Seymour, E. (2007). Becoming a scientist: The role of undergraduate research in students’ cognitive, personal, and professional development. Science Education, 91(1)","given":"36–74. http://doi.org/10.1002/sce","non-dropping-particle":"","parse-names":false,"suffix":""},{"dropping-particle":"","family":"Gallagher, S. (2012). Empathy, Simulation, and Narrative. Science in Context, 25(3)","given":"355–381. http://doi.org/10.1017/S0269889712000117","non-dropping-particle":"","parse-names":false,"suffix":""},{"dropping-particle":"","family":"Glasersfeld, E. (2001). The Radical Constructivist View of Science. Scientific Reasoning Research Institute University of Massachusetts, 6(1)","given":"1–12. http://doi.org/10.1023/A:1011345023932","non-dropping-particle":"von","parse-names":false,"suffix":""},{"dropping-particle":"","family":"Fraassen, B. C. (2008). Scientific Representation: Paradoxes of Perspective. Scientific Representation: Paradoxes of Perspective, 70(3)","given":"1–416. http://doi.org/10.1093/acprof:oso/9780199278220.001.0001","non-dropping-particle":"van","parse-names":false,"suffix":""},{"dropping-particle":"","family":"Kupimai, S., &amp; Piboongungon, T. (2013). A Case Study of IT Outsourcing in Southeast Asia. Scottish Journal of Arts, Social Sciences and Scientific Studies, 7(2)","given":"1–92.","non-dropping-particle":"","parse-names":false,"suffix":""},{"dropping-particle":"","family":"Tinkham, T. (1997). The effect of semantic and thematic clustering on the learning of second language vocabulary. Second Language Research, 13(2)","given":"138–163. http://doi.org/10.1016/0346-251X(93)90027-E","non-dropping-particle":"","parse-names":false,"suffix":""},{"dropping-particle":"","family":"Krifka, M. (1989). Nominal Reference , Temporal Constitution and Quantification in Event Semantics. Semantics and Contextual Expression","given":"75–115.","non-dropping-particle":"","parse-names":false,"suffix":""},{"dropping-particle":"","family":"Richards, C., Blackstock, K.L. e Carter, C. E. (2004). Practical Approaches to Participation. SERG Policy Brief No. 1;, (1)","given":"23. http://doi.org/ISBN 0-7084-0661-0","non-dropping-particle":"","parse-names":false,"suffix":""},{"dropping-particle":"","family":"Hoffman, R., &amp; Moon, B. (2010). Knowledge capture for the utilities. Seventh American Nuclear Society International Topical Meeting on Nuclear Plant Instrumentation, Control and Human-Machine Interface Technologies NPIC&amp;HMIT","given":"10. Retrieved from http://cmaps.perigeantechnologies.com/rid=1HRTCL3RP-94F7CT-5BC/Knowledge Capture for the Utilities.pdf","non-dropping-particle":"","parse-names":false,"suffix":""},{"dropping-particle":"","family":"Maturana, H. R., &amp; Varela, F. J. (1987). The tree of knowledge: the biological roots of human understanding. Shambhala Publications","given":"263. http://doi.org/EB T MATUR","non-dropping-particle":"","parse-names":false,"suffix":""},{"dropping-particle":"","family":"Bolla, K. I., Lesage, S. R., Gamaldo, C. E., Neubauer, D. N., Funderburk, F. R., Cadet, J. L., … Benbrook, A. R. (2008). Sleep disturbance in heavy marijuana users. Sleep, 31(6)","given":"901–8. Retrieved from http://www.pubmedcentral.nih.gov/articlerender.fcgi?artid=2442418&amp;tool=pmcentrez&amp;rendertype=abstract","non-dropping-particle":"","parse-names":false,"suffix":""},{"dropping-particle":"","family":"Willott, S. R. (2007). Experienced and inexperienced therapists: a comparison of attitude toward and use of countertransference disclosure. Smith College School for Social Work Northampton","given":"Massachusetts 01063 2007. Retrieved from http://dspace.nitle.org/handle/10090/1025%5Cnhttps://dspace.smith.edu/handle/11020/1025","non-dropping-particle":"","parse-names":false,"suffix":""},{"dropping-particle":"","family":"Lauer","given":"R. H. (1974). Rate of change and stress: A test of the “future shock” thesis. Social Forces. http://doi.org/10.1093/sf/52.4.510","non-dropping-particle":"","parse-names":false,"suffix":""},{"dropping-particle":"","family":"Ole??, M. (2015). Dimensions of Identity and Subjective Quality of Life in Adolescents. Social Indicators Research, (December 2015)","given":"1401–1419. http://doi.org/10.1007/s11205-015-0942-5","non-dropping-particle":"","parse-names":false,"suffix":""},{"dropping-particle":"","family":"Hedström, P., &amp; Swedberg","given":"R. (1998). Social Mechanisms: An introductory essay. Social Mechanisms An Analytical Approach to Social Theory. http://doi.org/10.1017/CBO9780511663901.001","non-dropping-particle":"","parse-names":false,"suffix":""},{"dropping-particle":"","family":"Bråten, I., Gil, L., Strømsø, H. I., &amp; Vidal-Abarca, E. (2009). Personal epistemology across cultures: Exploring Norwegian and Spanish university students’ epistemic beliefs about climate change. Social Psychology of Education, 12(4)","given":"529–560. http://doi.org/10.1007/s11218-009-9097-z","non-dropping-particle":"","parse-names":false,"suffix":""},{"dropping-particle":"","family":"Petty, R. E., Briñol, P., Tormala, Z. L., &amp; Wegener, D. T. (2007). The role of metacognition in social judgment. Social Psychology: Handbook of Basic Principles, (1994)","given":"254–284. Retrieved from http://psycnet.apa.org/psycinfo/2007-11239-011","non-dropping-particle":"","parse-names":false,"suffix":""},{"dropping-particle":"","family":"Elizabeth, P., Lovell, K., Lidbetter, N., Easton, K., &amp; Gask, L. (2010). Social Science &amp; Medicine You can ’ t get anything perfect : “ User perspectives on the delivery of cognitive behavioural therapy by telephone .” Social Science &amp; Medicine, 71(7)","given":"1308–1315. http://doi.org/10.1016/j.socscimed.2010.06.031","non-dropping-particle":"","parse-names":false,"suffix":""},{"dropping-particle":"","family":"Mykhalovskiy, E., Armstrong, P., Armstrong, H., Bourgeault, I., Choiniere, J., Lexchin, J., … White, J. (2008). Qualitative research and the politics of knowledge in an age of evidence: Developing a research-based practice of immanent critique. Social Sci","given":"195–203. http://doi.org/10.1016/j.socscimed.2008.03.002","non-dropping-particle":"","parse-names":false,"suffix":""},{"dropping-particle":"","family":"Pieterse, A. H., de Vries, M., Kunneman, M., Stiggelbout, A. M., &amp; Feldman-Stewart, D. (2013). Theory-informed design of values clarification methods: A cognitive psychological perspective on patient health-related decision making. Social Science and Medi","given":"156–163. http://doi.org/10.1016/j.socscimed.2012.11.020","non-dropping-particle":"","parse-names":false,"suffix":""},{"dropping-particle":"","family":"Tittle, C. R., Antonaccio, O., Botchkovar, E., &amp; Kranidioti, M. (2010). Expected utility, self-control, morality, and criminal probability. Social Science Research, 39(6)","given":"1029–1046. http://doi.org/10.1016/j.ssresearch.2010.08.007","non-dropping-particle":"","parse-names":false,"suffix":""},{"dropping-particle":"","family":"Power, P., Davies, L., Leonard, P., &amp; Fook","given":"J. (2002). Social Work in a Corporate Era Critical Reflection and Transformative Possibilities. Social Work Education.","non-dropping-particle":"","parse-names":false,"suffix":""},{"dropping-particle":"","family":"Wiles, F. (2012). “Not easily put into a box”: Constructing professional identity. Social Work Education, 0(0)","given":"1–13. http://doi.org/10.1080/02615479.2012.705273","non-dropping-particle":"","parse-names":false,"suffix":""},{"dropping-particle":"","family":"Whyte, W. F. (1989). Advancing scientific knowledge through participatory action research. Sociological Forum, 4(3)","given":"367–385. http://doi.org/10.1007/bf01115015","non-dropping-particle":"","parse-names":false,"suffix":""},{"dropping-particle":"","family":"Kilminster, R. (2011). Norbert Elias’s post-philosophical sociology: From “critique” to relative detachment. Sociological Review, 59(SUPPL. 1)","given":"91–116. http://doi.org/10.1111/j.1467-954X.2011.01980.x","non-dropping-particle":"","parse-names":false,"suffix":""},{"dropping-particle":"","family":"Vree, W. (2011). Meetings: The frontline of civilization. Sociological Review, 59(SUPPL. 1)","given":"241–262. http://doi.org/10.1111/j.1467-954X.2011.01987.x","non-dropping-particle":"Van","parse-names":false,"suffix":""},{"dropping-particle":"","family":"Mauthner, N. S., &amp; Doucet, A. (2003). Reflexive Accounts and Accounts of Reflexivity in Qualitative Data Analysis. Sociology, 37(3)","given":"413–431. http://doi.org/10.1177/00380385030373002","non-dropping-particle":"","parse-names":false,"suffix":""},{"dropping-particle":"","family":"Harrison, B., &amp; Lyon, E. S. (1993). A Note on Ethical Issues in the Use of Autobiography in Sociological-Research. Sociology-the Journal of the British Sociological Association, 27(1)","given":"101–109. http://doi.org/10.1177/003803859302700110","non-dropping-particle":"","parse-names":false,"suffix":""},{"dropping-particle":"","family":"Some answers to the questions above … Thematic roles / theta-roles / f-. (n.d.). Source","given":"1–8.","non-dropping-particle":"","parse-names":false,"suffix":""},{"dropping-particle":"","family":"Creswell, J. W., &amp; Garrett, A. L. (2008). The “ movement ” of mixed methods research and the role of educators. South African Journal of Education, 28(3)","given":"321–333. Retrieved from http://ajol.info/index.php/saje/article/view/25155","non-dropping-particle":"","parse-names":false,"suffix":""},{"dropping-particle":"","family":"Gross, J. T. (1982). A Note on the Nature of Soviet Totalitarianism. Soviet Studies, 34(3)","given":"367–376. http://doi.org/10.1080/09668138208411424","non-dropping-particle":"","parse-names":false,"suffix":""},{"dropping-particle":"","family":"Diggle, P. (2000). Overview of statistical methods for disease mapping and its relationship to cluster detection. Spatial Epidemiology: Methods and Applications","given":"87–103. http://doi.org/10.1093/ISBN","non-dropping-particle":"","parse-names":false,"suffix":""},{"dropping-particle":"","family":"Campbell, A. (2008). The right to be heard: Australian children’s views about their involvement in decision-making following parental separation. Special Issue: Improving Services for Children When Parents Are Separating, 14(3)","given":"237–255. http://doi.org/10.1080/13575270802042496","non-dropping-particle":"","parse-names":false,"suffix":""},{"dropping-particle":"","family":"Savin-Baden, M., &amp; Major","given":"C. H. (2004). Foundations of problem-based learning. SRHE and Open University Press Imprint. Retrieved from http://www.worldcat.org/oclc/56965887","non-dropping-particle":"","parse-names":false,"suffix":""},{"dropping-particle":"","family":"Report, S. (2012). Research Income of Physics Cost Centres in UK Higher Education Institutions. Statistical Report Institute of Physics","given":"(February).","non-dropping-particle":"","parse-names":false,"suffix":""},{"dropping-particle":"","family":"Murphy, K. R., &amp; Davidshofer","given":"C. O. (1997). Psychological Testing: Principles and Applications. Statistics.","non-dropping-particle":"","parse-names":false,"suffix":""},{"dropping-particle":"","family":"Bingham, C. B., Eisenhardt, K. M., &amp; Furr, N. R. (2007). What makes a process a capability? Heuristics, Strategy and Effective Capture of Opportunities. Strategic Entrepreneurship Journal, 1(1)","given":"27–47. http://doi.org/10.1002/sej","non-dropping-particle":"","parse-names":false,"suffix":""},{"dropping-particle":"","family":"Mackey, A. (2008). The effect of CEOS on firm performance. Strategic Management Journal, 29(12)","given":"1356–1367. http://doi.org/10.1002/smj.708","non-dropping-particle":"","parse-names":false,"suffix":""},{"dropping-particle":"","family":"Grant, R. M. (1996). Towards a Knowledge-based Theory of the Frim. Strategic Management Journal, 17(February)","given":"109–122. http://doi.org/10.2307/2486994","non-dropping-particle":"","parse-names":false,"suffix":""},{"dropping-particle":"","family":"Evans, T. (1997). Studies in Continuing Education Flexible doctoral research: emerging issues in professional doctorate programs Flexible doctoral research: emerging issues in professional doctorate programs. Studies in Continuing Education","given":"19(2). http://doi.org/10.1080/0158037970190207","non-dropping-particle":"","parse-names":false,"suffix":""},{"dropping-particle":"","family":"Maxwell, T. (2003). Studies in Higher Education From First to Second Generation Professional Doctorate From First to Second Generation Professional Doctorate. Studies in Higher Education","given":"28(3). http://doi.org/10.1080/03075070309292","non-dropping-particle":"","parse-names":false,"suffix":""},{"dropping-particle":"","family":"Costley, C., &amp; Gibbs, P. (2006). Researching others : care as an ethic for practitioner researchers. Studies in Higher Education, 31(1)","given":"89–98. http://doi.org/10.1080/03075070500392375","non-dropping-particle":"","parse-names":false,"suffix":""},{"dropping-particle":"","family":"Lester, S. (2002). Middlesex University Doctor of Professional Studies. Studies in Higher Education, 29(6)","given":"750–777.","non-dropping-particle":"","parse-names":false,"suffix":""},{"dropping-particle":"","family":"Outer, B., Handley, K., &amp; Price, M. (2012). Situational analysis and mapping for use in education research: a reflexive methodology? Studies in Higher Education, 5079(October 2014)","given":"1–18. http://doi.org/10.1080/03075079.2011.641527","non-dropping-particle":"den","parse-names":false,"suffix":""},{"dropping-particle":"","family":"Bourner, T., Bowden, R., &amp; Laing, S. (2001). Studies in Higher Education Professional Doctorates in England Professional Doctorates in England. Studies in Higher Education","given":"26(1). http://doi.org/10.1080/03075070124819","non-dropping-particle":"","parse-names":false,"suffix":""},{"dropping-particle":"","family":"Wellington, J., &amp; Sikes, P. (2006). “A doctorate in a tight compartment”: why do students choose a professional doctorate and what impact does it have on their personal and professional lives? Studies in Higher Education, 31(6)","given":"723–734. http://doi.org/10.1080/03075070601004358","non-dropping-particle":"","parse-names":false,"suffix":""},{"dropping-particle":"","family":"Bokulich, A. (2004). Open or closed? Dirac, Heisenberg, and the relation between classical and quantum mechanics. Studies in History and Philosophy of Science Part B - Studies in History and Philosophy of Modern Physics, 35(3)","given":"377–396. http://doi.org/10.1016/j.shpsb.2003.11.002","non-dropping-particle":"","parse-names":false,"suffix":""},{"dropping-particle":"","family":"Tchangani, A. P. (2011). A model to support risk management decision-making. Studies in Informatics and Control","given":"20(3). Retrieved from http://sic.ici.ro/sic2011_3/art02.php","non-dropping-particle":"","parse-names":false,"suffix":""},{"dropping-particle":"","family":"Tomasello, M. (2004). What kind of evidence could refute the UG hypothesis?: Commentary on Wunderlich. Studies in Language, 28","given":"642–645. http://doi.org/10.1075/sl.28.3.13tom","non-dropping-particle":"","parse-names":false,"suffix":""},{"dropping-particle":"","family":"McClellan","given":"J. E. (1972). Education and the Political. Studies in Philosophy and Education (Vol. 7). http://doi.org/10.1007/BF00368033","non-dropping-particle":"","parse-names":false,"suffix":""},{"dropping-particle":"","family":"Ruitenberg, C. (2010). Conflict, Affect and the Political: On Disagreement as Democratic Capacity. Studies in Philosophy and Education, 4(1)","given":"40–55.","non-dropping-particle":"","parse-names":false,"suffix":""},{"dropping-particle":"","family":"Cruz, H., &amp; de Smedt, J. (2012). Mathematical symbols as epistemic actions. Synthese, 190(1)","given":"3–19. http://doi.org/10.1007/s11229-010-9837-9","non-dropping-particle":"de","parse-names":false,"suffix":""},{"dropping-particle":"","family":"Walton","given":"D. (2007). Evaluating practical reasoning. Synthese (Vol. 157). http://doi.org/10.1007/s11229-007-9157-x","non-dropping-particle":"","parse-names":false,"suffix":""},{"dropping-particle":"","family":"Page 1 1. (2010). System","given":"3–4.","non-dropping-particle":"","parse-names":false,"suffix":""},{"dropping-particle":"","family":"Kullman, J. (1998). Mentoring and the development of reflective practice: concepts and context. System, 26(4)","given":"471–484. http://doi.org/10.1016/S0346-251X(98)00033-5","non-dropping-particle":"","parse-names":false,"suffix":""},{"dropping-particle":"","family":"Corporation, I. (2011). [2]Intel ® 64 and IA-32 Architectures Software Developer ’ s Manual Volume 2 (2A, 2B &amp; 2C): Instruction Set Reference, A-Z. System","given":"3(253665).","non-dropping-particle":"","parse-names":false,"suffix":""},{"dropping-particle":"","family":"Kluge, a G. (2001). Philosophical conjectures and their refutation. Systematic Biology, 50(3)","given":"322–330. http://doi.org/10.1080/10635150119615","non-dropping-particle":"","parse-names":false,"suffix":""},{"dropping-particle":"","family":"Flood, R. L. (2010). The relationship of “systems thinking” to action research. Systemic Practice and Action Research, 23(4)","given":"269–284. http://doi.org/10.1007/s11213-010-9169-1","non-dropping-particle":"","parse-names":false,"suffix":""},{"dropping-particle":"","family":"Cao, G. (2007). The pattern-matching role of systems thinking in improving research trustworthiness. Systemic Practice and Action Research, 20(6)","given":"441–453. http://doi.org/10.1007/s11213-007-9069-1","non-dropping-particle":"","parse-names":false,"suffix":""},{"dropping-particle":"","family":"Midgley, G. (2011). Theoretical Pluralism in Systemic Action Research. Systemic Practice and Action Research, 24(1)","given":"1–15. http://doi.org/10.1007/s11213-010-9176-2","non-dropping-particle":"","parse-names":false,"suffix":""},{"dropping-particle":"","family":"Midgley, G. (1997). Dealing with coercion: Critical Systems Heuristics and beyond. Systems Practice, 10(1)","given":"37–57. http://doi.org/10.1007/BF02557850","non-dropping-particle":"","parse-names":false,"suffix":""},{"dropping-particle":"","family":"Holwell, S. (2000). Soft Systems Methodology : Other Voices. Systems Practice and Action Research, 13(6)","given":"773–797.","non-dropping-particle":"","parse-names":false,"suffix":""},{"dropping-particle":"","family":"Parker-Katz, M., &amp; Bay, M. (2008). Conceptualizing mentor knowledge: Learning from the insiders. Teaching and Teacher Education, 24(5)","given":"1259–1269. http://doi.org/10.1016/j.tate.2007.05.006","non-dropping-particle":"","parse-names":false,"suffix":""},{"dropping-particle":"","family":"Sundli, L. (2007). Mentoring-A new mantra for education? Teaching and Teacher Education, 23(2)","given":"201–214. http://doi.org/10.1016/j.tate.2006.04.016","non-dropping-particle":"","parse-names":false,"suffix":""},{"dropping-particle":"","family":"Colwell, S. (1998). Mentoring, Socialisation and the mentor/protege relationship. Teaching in Higher Education, 3(3)","given":"313–324. Retrieved from http://www.tandfonline.com/doi/abs/10.1080/1356215980030303","non-dropping-particle":"","parse-names":false,"suffix":""},{"dropping-particle":"","family":"Caraca, J., Lundvall, B. A., &amp; Mendonca, S. (2009). The changing role of science in the innovation process: from Queen to Cinderella? Technological Forecasting and Social Change, 76(6)","given":"861–867. http://doi.org/10.1016/j.techfore.2008.08.003","non-dropping-particle":"","parse-names":false,"suffix":""},{"dropping-particle":"","family":"Petrović, S. P. (2012). Pluralism in structuring the management problem situations. Teme, (41010)","given":"797–814. Retrieved from http://scindeks.ceon.rs/article.aspx?artid=0353-79191202797P","non-dropping-particle":"","parse-names":false,"suffix":""},{"dropping-particle":"","family":"Gorman, M. (1995). Problem solving. TES Newspaper","given":"289–298. http://doi.org/10.1007/SpringerReference_6006","non-dropping-particle":"","parse-names":false,"suffix":""},{"dropping-particle":"","family":"Connor, U., &amp; Lauer","given":"J. (1985). Understanding persuasive essay writing: Linguistic/rhetorical approach. Text. http://doi.org/10.1515/text.1.1985.5.4.309","non-dropping-particle":"","parse-names":false,"suffix":""},{"dropping-particle":"","family":"Göran Goldkuhl, S. C. (2003). Multi-grounded theory – Adding theoretical grounding to grounded theory.pdf. The 2nd European Conference on Research Methods in Business and Management, (Ecrm)","given":"12.","non-dropping-particle":"","parse-names":false,"suffix":""},{"dropping-particle":"","family":"Ford, J. D., Ford, L. W., &amp; D’Amelio, A. (2008). To Change : Resistance the Rest of the Story. The Academy of Management Review, 33(2)","given":"362–377. http://doi.org/10.5465/AMR.2008.31193235","non-dropping-particle":"","parse-names":false,"suffix":""},{"dropping-particle":"","family":"Tooby, J., &amp; Cosmides, L. (1992). The psychological foundations of culture. The Adapted Mind : Evolutionary Psychology and the Generation of Culture: Evolutionary Psychology and the Generation of Culture","given":"19–136. http://doi.org/10.4324/9781410608994","non-dropping-particle":"","parse-names":false,"suffix":""},{"dropping-particle":"","family":"Cosmides, L., &amp; Tooby, J. (1992). Cognitive adaptations for social exchange. The Adapted Mind: Evolutionary Psychology and the Generation of Culture","given":"163–228. http://doi.org/10.1098/rstb.2006.1991","non-dropping-particle":"","parse-names":false,"suffix":""},{"dropping-particle":"","family":"Hoffman, R., Casnocha, B., &amp; Yeh, C. (n.d.). Employment in the Networked Age. The Alliance","given":"1–20.","non-dropping-particle":"","parse-names":false,"suffix":""},{"dropping-particle":"","family":"Fay, S. B. (1947). The Idea of Progress. The American Historical Review The American Historical Review","given":"52(2).","non-dropping-particle":"","parse-names":false,"suffix":""},{"dropping-particle":"","family":"Darwin, C. (1872). The expression of the emotions in man and animals. The American Journal of the Medical Sciences, 232(4)","given":"477. http://doi.org/10.1097/00000441-195610000-00024","non-dropping-particle":"","parse-names":false,"suffix":""},{"dropping-particle":"","family":"Kazak, A. E., Hoagwood, K., Weisz, J. R., Hood, K., Kratochwill, T. R., Vargas, L. a, &amp; Banez, G. a. (1970). A meta-systems approach to evidence-based practice for children and adolescents. The American Psychologist, 65(2)","given":"85–97. http://doi.org/10.1037/a0017784","non-dropping-particle":"","parse-names":false,"suffix":""},{"dropping-particle":"","family":"Stuart, R. B., &amp; Lilienfeld, S. O. (2007). The evidence missing from evidence-based practice. The American Psychologist, 62(6)","given":"615–616. http://doi.org/10.1037/0003-066X62.6.615","non-dropping-particle":"","parse-names":false,"suffix":""},{"dropping-particle":"","family":"Rogers, C. R. (1946). Significant aspects of client-centered therapy. The American Psychologist, 1(10)","given":"415–422. http://doi.org/10.1037/h0060866","non-dropping-particle":"","parse-names":false,"suffix":""},{"dropping-particle":"","family":"New horizons. (1955). The Analyst, 80(952)","given":"489. http://doi.org/10.1039/an9558000489","non-dropping-particle":"","parse-names":false,"suffix":""},{"dropping-particle":"","family":"Gosnell, H. F. (1952). Participation in the Forthcoming Election. The ANNALS of the American Academy of Political and Social Science, 283(1)","given":"156–160. http://doi.org/10.1177/000271625228300118","non-dropping-particle":"","parse-names":false,"suffix":""},{"dropping-particle":"","family":"Marsh, K. R., &amp; Pastor, D. A. (2011). Stanovich and West’s (2007) Actively Open-Minded Thinking Scale: An Examination of Factor Structure. The Annual Meeting of the Association for Psychological Science, (May)","given":"1–22.","non-dropping-particle":"","parse-names":false,"suffix":""},{"dropping-particle":"","family":"Byrne, R. M. J. (2007). Précis of The rational imagination: how people create alternatives to reality. The Behavioral and Brain Sciences, 30(5–6)","given":"439–476. http://doi.org/10.1017/S0140525X07002579","non-dropping-particle":"","parse-names":false,"suffix":""},{"dropping-particle":"","family":"Penn, D. C., Holyoak, K. J., &amp; Povinelli, D. J. (2008). Darwin’s mistake: explaining the discontinuity between human and nonhuman minds. The Behavioral and Brain Sciences, 31(2)","given":"109-30-178. http://doi.org/10.1017/S0140525X08003543","non-dropping-particle":"","parse-names":false,"suffix":""},{"dropping-particle":"","family":"Byrne, R. W., &amp; Russon, a E. (1998). Learning by imitation: a hierarchical approach. The Behavioral and Brain Sciences, 21(5)","given":"667-684-721. http://doi.org/10.1017/S0140525X98001745","non-dropping-particle":"","parse-names":false,"suffix":""},{"dropping-particle":"","family":"Hurley, S. (2008). The shared circuits model (SCM): how control, mirroring, and simulation can enable imitation, deliberation, and mindreading. The Behavioral and Brain Sciences, 31(1)","given":"1–58. http://doi.org/10.1017/S0140525X07003123","non-dropping-particle":"","parse-names":false,"suffix":""},{"dropping-particle":"","family":"Symonds, J. E., &amp; Gorard, S. (2010). The death of mixed methods: research labels and their casualties. The British Educational Research Association","given":"1–19. http://doi.org/10.1080/09500790.2010.483514","non-dropping-particle":"","parse-names":false,"suffix":""},{"dropping-particle":"","family":"Hutton, S. (1989). Charles B. Schmitt (general editor), Quentin Skinner, Eckhard Kessler (editors) and Jill Kraye (associate editor). The Cambridge History of Renaissance Philosophy. Cambridge: Cambridge University Press, 1988. Pp. xii + 968. ISBN 0-521-2","given":"377. http://doi.org/10.1017/S0007087400026212","non-dropping-particle":"","parse-names":false,"suffix":""},{"dropping-particle":"","family":"Eraut, M. (2000). Non-formal learning and tacit knowledge in professional work. The British Journal of Educational Psychology, 70 ( Pt 1)(September)","given":"113–36. http://doi.org/10.1348/000709900158001","non-dropping-particle":"","parse-names":false,"suffix":""},{"dropping-particle":"","family":"Mitra, S., &amp; Rana, V. (2001). Children and the Internet: Experiments with minimally invasive education in India. The British Journal of Educational Technology, 32(2)","given":"221–232. http://doi.org/10.1111/1467-8535.00192","non-dropping-particle":"","parse-names":false,"suffix":""},{"dropping-particle":"","family":"Churchill","given":"D. (2001). Evidence-Based Counselling and Psychological Therapies: Research and Applications. The British Journal of Psychiatry. http://doi.org/10.1192/bjp.179.2.184-a","non-dropping-particle":"","parse-names":false,"suffix":""},{"dropping-particle":"","family":"Sirois, F. M. (2004). Procrastination and counterfactual thinking: avoiding what might have been. The British Journal of Social Psychology / the British Psychological Society, 43(Pt 2)","given":"269–86. http://doi.org/10.1348/0144666041501660","non-dropping-particle":"","parse-names":false,"suffix":""},{"dropping-particle":"","family":"Meissner, C. A., &amp; Russano, M. B. (2003). The Psychology of Interrogations and False Confessions : The Canadian Journal of Police &amp; Security Services, 1(1)","given":"53–64. http://doi.org/10.1016/0191-8869(93)90055-8","non-dropping-particle":"","parse-names":false,"suffix":""},{"dropping-particle":"","family":"Knight, C. (2012). Therapeutic Use of Self: Theoretical and Evidence-Based Considerations for Clinical Practice and Supervision. The Clinical Supervisor, 31(1)","given":"1–24. http://doi.org/10.1080/07325223.2012.676370","non-dropping-particle":"","parse-names":false,"suffix":""},{"dropping-particle":"","family":"Albert, T., &amp; Wager, E. (2003). How to handle authorship disputes : a guide for new researchers. The COPE Report 2003","given":"32–34.","non-dropping-particle":"","parse-names":false,"suffix":""},{"dropping-particle":"","family":"Ridley, C. R., &amp; Shaw-Ridley, M. (2009). Clinical Judgment Accuracy From Meta-Analysis to Metatheory. The Counseling Psychologist, 37(3)","given":"400–409. http://doi.org/10.1177/0011000008330830","non-dropping-particle":"","parse-names":false,"suffix":""},{"dropping-particle":"","family":"Creswell, J. W., Hanson, W. E., Clark Plano, V. L., &amp; Morales, A. (2007). Qualitative Research Designs: Selection and Implementation. The Counseling Psychologist, 35(2)","given":"236–264. http://doi.org/10.1177/0011000006287390","non-dropping-particle":"","parse-names":false,"suffix":""},{"dropping-particle":"","family":"Spengler, P. M., White, M. J., Aegisdottir, S., Maugherman, a. S., Anderson, L. a., Cook, R. S., … Rush, J. D. (2007). The Meta-Analysis of Clinical Judgment Project: Effects of Experience on Judgment Accuracy. The Counseling Psychologist, 37(3)","given":"350–399. http://doi.org/10.1177/0011000006295149","non-dropping-particle":"","parse-names":false,"suffix":""},{"dropping-particle":"","family":"Hooley, T., &amp; Horspool, P. (2006). Two sides of the same story? Staff and student perceptions of the non-native speakers experience of the British academic system. The East Asian Learner, 2(2)","given":"1–10. Retrieved from http://161.73.1.13/schools/education/eal/eal-2-2/vol2_2_hooley_horspool.pdf%5Cnhttp://owww.brookes.ac.uk/schools/education/eal/eal-2-2/vol2_2_hooley_horspool.pdf","non-dropping-particle":"","parse-names":false,"suffix":""},{"dropping-particle":"","family":"Prinz","given":"J. (2009). Naturalism and hume’s law. The Emotional Construction of Morals. http://doi.org/10.1093/acprof:oso/9780199571543.001.0001","non-dropping-particle":"","parse-names":false,"suffix":""},{"dropping-particle":"","family":"Eaton, J. (1998). Gadamer: Psychotherapy as conversation. The European Journal of Psychotherapy, Counselling \\ldots, 1(3)","given":"421–433. http://doi.org/10.1080/13642539808400529","non-dropping-particle":"","parse-names":false,"suffix":""},{"dropping-particle":"","family":"Dreier, O. (1998). Client perspectives and uses of psychotherapy. The European Journal of Psychotherapy, Counselling …, 1(March 2015)","given":"295–310. http://doi.org/10.1080/13642539808402315","non-dropping-particle":"","parse-names":false,"suffix":""},{"dropping-particle":"","family":"Ames, D. L., Fiske, S. T., &amp; Todorov, A. (2010). Impression Formation: A Focus on Others’ Intents. The Handbook of Social Neuroscience","given":"1–41. http://doi.org/10.1093/oxfordhb/9780195342161.001.0001","non-dropping-particle":"","parse-names":false,"suffix":""},{"dropping-particle":"","family":"Romanyshyn, R. D. (2010). The Wounded Researcher: Making a Place for Unconscious Dynamics in the Research Process. The Humanistic Psychologist, 38(4)","given":"275–304. http://doi.org/10.1080/08873267.2010.523282","non-dropping-particle":"","parse-names":false,"suffix":""},{"dropping-particle":"","family":"Wharne, S., Langdridge, D., &amp; Motzkau, J. (2012). Decision-making in mental healthcare: a phenomenological investigation of service user perspectives. The Humanistic Psychologist, 40(May 2013)","given":"153–165. http://doi.org/10.1080/08873267.2012.669357","non-dropping-particle":"","parse-names":false,"suffix":""},{"dropping-particle":"","family":"Kiser, S. (2007). Sacred Dialectic: The Centrality of Paradox in the Worldview of Rollo May. The Humanistic Psychologist, 35(2)","given":"191–201. http://doi.org/10.1080/08873260701274033","non-dropping-particle":"","parse-names":false,"suffix":""},{"dropping-particle":"","family":"Collings, D. G., Scullion, H., &amp; Dowling, P. J. (2009). Global staffing: a review and thematic research agenda. The International Journal of Human Resource Management, 20(6)","given":"1253–1272. http://doi.org/10.1080/09585190902909806","non-dropping-particle":"","parse-names":false,"suffix":""},{"dropping-particle":"","family":"Grossman, W. I. (1995). Psychological vicissitudes of theory in clinical work. The International Journal of Psycho-Analysis, 76 ( Pt 5)","given":"885–899.","non-dropping-particle":"","parse-names":false,"suffix":""},{"dropping-particle":"","family":"Kim, J.-H., &amp; Latta, M. M. (2009). Narrative Inquiry: Seeking Relations as Modes of Interactions. The Journal of Educational Research, 103(2)","given":"69–71. http://doi.org/10.1080/00220670903323164","non-dropping-particle":"","parse-names":false,"suffix":""},{"dropping-particle":"","family":"Hendry, P. M. (2009). Narrative as Inquiry. The Journal of Educational Research, 103(2)","given":"72–80. http://doi.org/10.1080/00220670903323354","non-dropping-particle":"","parse-names":false,"suffix":""},{"dropping-particle":"","family":"Clandinin, D. J., Murphy, M. S., Huber, J., &amp; Orr, A. M. (2009). Negotiating narrative inquiries: Living in a tension-filled midst. The Journal of Educational Research, 103(2)","given":"81–90. http://doi.org/10.1080/00220670903323404","non-dropping-particle":"","parse-names":false,"suffix":""},{"dropping-particle":"","family":"Sperry","given":"R. W. (1987). Structure and significance of the consciousness revolution. The Journal of Mind and Behavior. Retrieved from http://people.uncw.edu/puente/sperry/sperrypapers/80s-90s/254-1987.pdf (1995). The Riddle of Consciousness and the Changing Scientif","non-dropping-particle":"","parse-names":false,"suffix":""},{"dropping-particle":"","family":"Dillon, R. S., &amp; Stines, P. W. (1996). A phenomenological study of faculty-student caring interactions. The Journal of Nursing Education, 35(3)","given":"113–8. Retrieved from http://www.ncbi.nlm.nih.gov/pubmed/8676206","non-dropping-particle":"","parse-names":false,"suffix":""},{"dropping-particle":"","family":"Carr","given":"A. (2006). Review of Positive psychology in practice. The Journal of Positive Psychology (Vol. 1). http://doi.org/10.1002/9780470939338","non-dropping-particle":"","parse-names":false,"suffix":""},{"dropping-particle":"","family":"Trentham, S., &amp; Larwood, L. (2001). Power and gender influences on responsibility attributions: the case of disagreements in relationships. The Journal of Social Psychology, 141(6)","given":"730–751. http://doi.org/10.1080/00224540109600585","non-dropping-particle":"","parse-names":false,"suffix":""},{"dropping-particle":"","family":"Cherry, E. C. (1953). Some Experiments on the Recognition of Speech","given":"with One and with Two Ears. The Journal of the Acoustical Society of America. http://doi.org/10.1121/1.1907229","non-dropping-particle":"","parse-names":false,"suffix":""},{"dropping-particle":"","family":"Horvath, J. (2000). Working with tacit knowledge. The Knowledge Management Yearbook 2000-2001","given":"34–51.","non-dropping-particle":"","parse-names":false,"suffix":""},{"dropping-particle":"","family":"Gross","given":"S. (2003). Is Context-Sensitivity Eliminable? Some Remarks. The Legitimacy of Truth: Die Legitimität Der Wahrheit: …. Retrieved from http://books.google.com/books?hl=en&amp;lr=&amp;id=ZOzvvDSw-XYC&amp;oi=fnd&amp;pg=PA21&amp;dq=Is+Context-Sensitivity+Eliminable?+Some+Remarks&amp;","non-dropping-particle":"","parse-names":false,"suffix":""},{"dropping-particle":"","family":"Mccomas, W. F. (1998). The principal elements of the nature of science : dispelling the myths. The Nature of Science in Science Education, (1986)","given":"53–70. http://doi.org/10.1007/0-306-47215-5_3","non-dropping-particle":"","parse-names":false,"suffix":""},{"dropping-particle":"","family":"Sperry, R. W. (1975). In search of psyche. The Neurosciences: Paths of Discovery","given":"I. Retrieved from http://link.springer.com/chapter/10.1007/978-1-4684-6817-5_24","non-dropping-particle":"","parse-names":false,"suffix":""},{"dropping-particle":"","family":"Yendol-Hoppey, D., Jacobs, J., &amp; Dana, N. F. (2009). Critical Concepts of Mentoring in an Urban Context. The New Educator, 5(1)","given":"25–44. http://doi.org/10.1080/1547688X.2009.10399562","non-dropping-particle":"","parse-names":false,"suffix":""},{"dropping-particle":"","family":"Dizon, J. M., Grimmer-somers, K., &amp; Kumar, S. (2012). A Qualitative Study Physiotherapists on Evidence Based Practice for Filipino Physiotherapists. The Open Education Journal, 5","given":"1–8.","non-dropping-particle":"","parse-names":false,"suffix":""},{"dropping-particle":"","family":"Linnet, K., Andersen, L., &amp; Balslev, T. (2012). Cognitive Apprenticeship Learning in Paediatric Clinical Settings. The Open Medical Education Journal, 5","given":"1–4. Retrieved from http://benthamscience.com/open/tomededuj/articles/V005/1TOMEDEDUJ.pdf","non-dropping-particle":"","parse-names":false,"suffix":""},{"dropping-particle":"","family":"Stanovich, K. E. (2012). On the Distinction Between Rationality and Intelligence: Implications for Understanding Individual Differences in Reasoning. The Oxford Handbook of Thinking and Reasoning","given":"343–365. http://doi.org/10.1093/oxfordhb/9780199734689.013.0022","non-dropping-particle":"","parse-names":false,"suffix":""},{"dropping-particle":"","family":"Popper, K. (2009). Science: conjectures and refutations. The Philosophy of Science: An Historical Anthology","given":"1–22. http://doi.org/10.1063/1.3050617","non-dropping-particle":"","parse-names":false,"suffix":""},{"dropping-particle":"","family":"Heidelberger, M. (2003). Theory-Ladenness and Scientific Instruments in Experimentation. The Philosophy of Scientific Experimentation, 151(chapter 7)","given":"138–151.","non-dropping-particle":"","parse-names":false,"suffix":""},{"dropping-particle":"","family":"Ward, V., Smith, S., Foy, R., House, A., &amp; Hamer, S. (2010). Planning for knowledge translation: a researcher. The Policy Press, 6(4)","given":"527–541. http://doi.org/10.1332/174426410X535882","non-dropping-particle":"","parse-names":false,"suffix":""},{"dropping-particle":"","family":"Barry, J. (2012). The Politics of Actually Existing Unsustainability: Human Flourishing in a Climate-Changed, Carbon Constrained World. The Politics of Actually Existing Unsustainability: Human Flourishing in a Climate-Changed, Carbon Constrained World","given":"1–352. http://doi.org/10.1093/acprof:oso/9780199695393.001.0001","non-dropping-particle":"","parse-names":false,"suffix":""},{"dropping-particle":"","family":"Zimmermann, J. (2012). Meaning, Hermeneutics, and Ethics: Post-postmodern subjectivity. The Positive Psychology of Meaning and Spirituality, 1(2)","given":"57–71.","non-dropping-particle":"","parse-names":false,"suffix":""},{"dropping-particle":"","family":"Leontiev, D. a. (2012). The Phenomenon of Meaning: how Psychology Can Make Sense of It. The Positive Psychology of Meaning and Spirituality: Selected Papers from Meaning Conferences, 1(2)","given":"33–44.","non-dropping-particle":"","parse-names":false,"suffix":""},{"dropping-particle":"","family":"Pile, S. (2010). Intimate distance: the unconscious dimensions of the rapport between researcher and researched. The Professional Geographer, 62(4)","given":"483–495. http://doi.org/10.1080/00330124.2010.501252","non-dropping-particle":"","parse-names":false,"suffix":""},{"dropping-particle":"","family":"Plous","given":"S. (1993). Expected Utility Theory. The Psychology of Judgement and Decision Making.","non-dropping-particle":"","parse-names":false,"suffix":""},{"dropping-particle":"","family":"Robbennolt, J. K., MacCoun, R. J., &amp; Darley, J. M. (2010). Multiple Constraint Satisfaction in Judging. The Psychology of Judicial Decision Making","given":"(8). http://doi.org/10.1093/acprof:oso/9780195367584.003.0002","non-dropping-particle":"","parse-names":false,"suffix":""},{"dropping-particle":"","family":"Allen, L. M. (2010). A Critique of Four Grounded Theory Texts. The Qualitative Report, 15(6)","given":"1606–1620.","non-dropping-particle":"","parse-names":false,"suffix":""},{"dropping-particle":"","family":"Gearity, B. T., &amp; Mertz, N. (2012). From “ Bitch ” to “ Mentor ”: A Doctoral Student ’ s Story of Self-Change and Mentoring From “ Bitch ” to “ Mentor ”: A Doctoral Student ’ s Story of Self-Change and. The Qualitative Report, 17(30)","given":"1–27. Retrieved from http://search.proquest.com/openview/4bb68df94d6773e0e89e66470ef9cf76/1?pq-origsite=gscholar%5Cnhttp://nsuworks.nova.edu/cgi/viewcontent.cgi?article=1748&amp;context=tqr","non-dropping-particle":"","parse-names":false,"suffix":""},{"dropping-particle":"","family":"Walsh, C. A., Hewson, J., Shier, M., &amp; Morales, E. (2008). Unraveling Ethics : Reflections from a Community-based Participatory Research Project with Youth. The Qualitative Report, 13(3)","given":"379–393. Retrieved from http://www.nova.edu/ssss/QR/QR13-3/walsh.pdf","non-dropping-particle":"","parse-names":false,"suffix":""},{"dropping-particle":"","family":"Bakir, A., &amp; Bakir, V. (2006). A critique of the capacity of Strauss’ grounded theory for prediction, change, and control in organisational strategy via a grounded theorisation of leisure and cultural. The Qualitative Report, 11(4)","given":"687–719. Retrieved from http://dspace.bucks.ac.uk/dspace/handle/123456789/1418","non-dropping-particle":"","parse-names":false,"suffix":""},{"dropping-particle":"","family":"Onwuegbuzie, A. J., &amp; Leech, N. (2006). Linking research questions to mixed methods data analysis procedures. The Qualitative Report, 11(3)","given":"474–498.","non-dropping-particle":"","parse-names":false,"suffix":""},{"dropping-particle":"","family":"Onwuegbuzie, A. J., &amp; Leech, N. L. (2007). Sampling Designs in Qualitative Research : Making the Sampling Process More Public. The Qualitative Report, 12(2)","given":"19–20. http://doi.org/10.1007/s11135-006-9000-3","non-dropping-particle":"","parse-names":false,"suffix":""},{"dropping-particle":"","family":"Fram, S. M. (2013). The Constant Comparative Analysis Method Outside of Grounded Theory. The Qualitative Report, 18(Article 1)","given":"1–25. Retrieved from http://www.nova.edu/ssss/QR/QR18/fram1.pdf","non-dropping-particle":"","parse-names":false,"suffix":""},{"dropping-particle":"","family":"Zweck, C., Paterson, M., &amp; Pentland, W. (2008). The Use of Hermeneutics in a Mixed Methods Design. The Qualitative Report, 13(1)","given":"116–134.","non-dropping-particle":"von","parse-names":false,"suffix":""},{"dropping-particle":"","family":"Paterson, M., &amp; Higgs, J. (2005). Using Hermeneutics as a Qualitative Research Approach in Professional Practice. The Qualitative Report, 10(2)","given":"339–357.","non-dropping-particle":"","parse-names":false,"suffix":""},{"dropping-particle":"","family":"Johnson-Laird, P. N., &amp; Oakhill, J. (1986). Children’s syllogistic reasoning. The Quarterly Journal of, (June 2012)","given":"37–41. http://doi.org/10.1080/14640748608401584","non-dropping-particle":"","parse-names":false,"suffix":""},{"dropping-particle":"","family":"Outhwaite","given":"W. (1985). Hans-Georg Gadamer. The Return of Grand Theory in the Human Sciences. Retrieved from http://www.uky.edu/~addesa01/documents/Outhwaite.pdf","non-dropping-particle":"","parse-names":false,"suffix":""},{"dropping-particle":"","family":"Mason, K., Sripada, C. S., &amp; Stich, S. (1999). The philosophy of psychology. The Routledge Companion to Twentieth-Century Philosophy","given":"1–46. Retrieved from http://books.google.com/books?hl=en&amp;lr=&amp;id=ZW3HZpqDUKUC&amp;oi=fnd&amp;pg=PR9&amp;dq=The+Philosophy+of+Psychology&amp;ots=INW3-fJ_ce&amp;sig=3LmqLOb7KrGYvVkWD1EBZ26Cf6U","non-dropping-particle":"","parse-names":false,"suffix":""},{"dropping-particle":"","family":"Pascale, C.-M. (2010). Epistemology and the politics of knowledge. The Sociological Review, 58","given":"154–165. http://doi.org/10.1111/j.1467-954X.2011.01967.x","non-dropping-particle":"","parse-names":false,"suffix":""},{"dropping-particle":"","family":"Freud, S. (1958). Observations on transference-love. The Standard Edition of the Complete Psychological Works of Sigmund Freudrks of Sigmund Freud, 12","given":"159–173. http://doi.org/10.1097/00005721-198107000-00006","non-dropping-particle":"","parse-names":false,"suffix":""},{"dropping-particle":"","family":"Ramberg, B. (2009). Richard Rorty. The Stanford Encyclopedia of Philosophy","given":"(Ac 59). Retrieved from http://plato.stanford.edu/archives/spr2009/entries/rorty/","non-dropping-particle":"","parse-names":false,"suffix":""},{"dropping-particle":"","family":"Patterson, C. (n.d.). THERAPIST SELF-DISCLOSURE C. H. Patterson From. The Therapeutic Relationship, (15)","given":"80–84.","non-dropping-particle":"","parse-names":false,"suffix":""},{"dropping-particle":"","family":"Ferrance","given":"E. (2000). Action Research. Themes in Education. http://doi.org/10.1177/1476750311414740","non-dropping-particle":"","parse-names":false,"suffix":""},{"dropping-particle":"","family":"Michell, J. (2000). Normal Science, Pathological Science and Psychometrics. Theory &amp; Psychology, 10(5)","given":"639–667. http://doi.org/10.1177/0959354300105004","non-dropping-particle":"","parse-names":false,"suffix":""},{"dropping-particle":"","family":"Durrheim, K. (1997). Cognition and Ideology: A Rhetorical Approach to Critical Theory. Theory &amp; Psychology, 7","given":"747–768. http://doi.org/10.1177/0959354397076002","non-dropping-particle":"","parse-names":false,"suffix":""},{"dropping-particle":"","family":"Rennie, D. (2000). Grounded Theory Methodology as Methodical Hermeneutics. Theory &amp; Psychology, 10(4)","given":"481–502. http://doi.org/10.1177/0959354300104003","non-dropping-particle":"","parse-names":false,"suffix":""},{"dropping-particle":"","family":"Hussein, B. A.-S. (2012). The Sapir-Whorf Hypothesis Today. Theory and Practice in Language Studies, 2(3)","given":"642–646. http://doi.org/10.4304/tpls.2.3.642-646","non-dropping-particle":"","parse-names":false,"suffix":""},{"dropping-particle":"","family":"Gay, G., &amp; Kirkland, K. (2003). Consciousness and Self-Reflection in Preservice Teacher Education. Theory Into Practice, 42(3)","given":"181–187. http://doi.org/10.1207/s15430421tip4203","non-dropping-particle":"","parse-names":false,"suffix":""},{"dropping-particle":"","family":"Gilbert, A. (2010). Teaching students to become self-reflective practitioners. Therapeutic Recreation Journal, 46(4)","given":"303–309. Retrieved from http://www.cabdirect.org/abstracts/20113130442.html","non-dropping-particle":"","parse-names":false,"suffix":""},{"dropping-particle":"","family":"Ventegodt, S., Andersen, N. J., &amp; Merrick, J. (2003). The life mission theory V. Theory of the anti-self (the shadow) or the evil side of man. TheScientificWorldJournal, 3","given":"1302–1313. http://doi.org/10.1100/tsw.2003.117","non-dropping-particle":"","parse-names":false,"suffix":""},{"dropping-particle":"","family":"Barnett, S. M., &amp; Koslowski","given":"B. (2002). Adaptive expertise: Effects of type of experience and the level of theoretical understanding it generates. Thinking &amp; Reasoning (Vol. 8). http://doi.org/10.1080/13546780244000088","non-dropping-particle":"","parse-names":false,"suffix":""},{"dropping-particle":"","family":"Stanovich, K. E., &amp; West, R. F. (2007). Natural myside bias is independent of cognitive ability. Thinking &amp; Reasoning, 13(3)","given":"225–247. http://doi.org/10.1080/13546780600780796","non-dropping-particle":"","parse-names":false,"suffix":""},{"dropping-particle":"","family":"Feeney, A., Evans, J., &amp; Venn, S. (2008). Rarity, pseudodiagnosticity and Bayesian reasoning. Thinking &amp; Reasoning, 14(3)","given":"209–230. http://doi.org/10.1080/13546780801934549","non-dropping-particle":"","parse-names":false,"suffix":""},{"dropping-particle":"","family":"Wolfe, C. R., &amp; Britt, M. A. (2008). The locus of the myside bias in written argumentation. Thinking &amp; Reasoning, 14(1)","given":"1–27. http://doi.org/10.1080/13546780701527674","non-dropping-particle":"","parse-names":false,"suffix":""},{"dropping-particle":"","family":"Tweney, R. D., Doherty, M. E., &amp; Kleiter, G. D. (2010). The pseudodiagnosticity trap: Should participants consider alternative hypotheses? Thinking &amp; Reasoning, 16(4)","given":"332–345. http://doi.org/10.1080/13546783.2010.525860","non-dropping-particle":"","parse-names":false,"suffix":""},{"dropping-particle":"","family":"Reilly, R. C. (2008). Is expertise a necessary precondition for creativity?. A case of four novice learning group facilitators. Thinking Skills and Creativity, 3(1)","given":"59–76. http://doi.org/10.1016/j.tsc.2008.02.002","non-dropping-particle":"","parse-names":false,"suffix":""},{"dropping-particle":"","family":"Creswell, J. W. (2009). How SAGE has shaped Research Methods. A 40-Year History. Thousand Oaks","given":"40.","non-dropping-particle":"","parse-names":false,"suffix":""},{"dropping-particle":"","family":"Hutchins, E. (2010). Choosing units of analysis for cognition. Topics in Cognitive Science, 2(4)","given":"705–715. http://doi.org/10.1111/j.1756-8765.2010.01089.x","non-dropping-particle":"","parse-names":false,"suffix":""},{"dropping-particle":"","family":"Cooper, R. P. (2010). Cognitive Control: Componential or Emergent? Topics in Cognitive Science, 2(4)","given":"598–613. http://doi.org/10.1111/j.1756-8765.2010.01110.x","non-dropping-particle":"","parse-names":false,"suffix":""},{"dropping-particle":"","family":"Juvina, I. (2011). Cognitive control: Componential and yet emergent. Topics in Cognitive Science, 3(2)","given":"242–246. http://doi.org/10.1111/j.1756-8765.2011.01144.x","non-dropping-particle":"","parse-names":false,"suffix":""},{"dropping-particle":"","family":"Davelaar, E. J. (2011). Processes versus representations: Cognitive control as emergent, yet componential. Topics in Cognitive Science, 3(2)","given":"247–252. http://doi.org/10.1111/j.1756-8765.2011.01138.x","non-dropping-particle":"","parse-names":false,"suffix":""},{"dropping-particle":"","family":"Thompson, E., &amp; Stapleton, M. (2009). Making sense of sense-making: Reflections on enactive and extended mind theories. Topoi, 28(1)","given":"23–30. http://doi.org/10.1007/s11245-008-9043-2","non-dropping-particle":"","parse-names":false,"suffix":""},{"dropping-particle":"","family":"Xiao, H., &amp; Smith, S. L. J. (2006). Case studies in tourism research: A state-of-the-art analysis. Tourism Management, 27(5)","given":"738–749. http://doi.org/10.1016/j.tourman.2005.11.002","non-dropping-particle":"","parse-names":false,"suffix":""},{"dropping-particle":"","family":"Jamal, T., &amp; Hollinshead, K. (2001). Tourism and the forbidden zone: the underserved power of qualitative inquiry. Tourism Management, 22(1)","given":"63–82. http://doi.org/10.1016/S0261-5177(00)00020-0","non-dropping-particle":"","parse-names":false,"suffix":""},{"dropping-particle":"","family":"Decrop, A. (1999). Triangulation in qualitative tourism research. Tourism Management, 20(1)","given":"157–161. http://doi.org/10.1016/S0261-5177(98)00102-2","non-dropping-particle":"","parse-names":false,"suffix":""},{"dropping-particle":"","family":"Martin, W., &amp; House, S. (2006). Hermeneutic Conditions and Phenomenological Necessity. TPN Phenomenology Workshop, …","given":"1–13. Retrieved from http://privatewww.essex.ac.uk/~wmartin/PhenomenologicalNecessity.pdf","non-dropping-particle":"","parse-names":false,"suffix":""},{"dropping-particle":"","family":"Cosimato, S., &amp; Troisi, O. (2015). Green supply chain management. TQM Journal, 27(2)","given":"256–276. http://doi.org/10.1108/TQM-01-2015-0007","non-dropping-particle":"","parse-names":false,"suffix":""},{"dropping-particle":"","family":"Byrne, B. M., Oakland, T., Leong, F. T. L., van de Vijver, F. J. R., Hambleton, R. K., Cheung, F. M., &amp; Bartram, D. (2009). A critical analysis of cross-cultural research and testing practices: Implications for improved education and training in psycholog","given":"94–105. http://doi.org/10.1037/a0014516","non-dropping-particle":"","parse-names":false,"suffix":""},{"dropping-particle":"","family":"Pidano, A. E., &amp; Whitcomb, J. M. (2012). Training to work with children and families: Results from a survey of psychologists and doctoral students. Training and Education in Professional Psychology, 6(1)","given":"8–17. http://doi.org/10.1037/a0026961","non-dropping-particle":"","parse-names":false,"suffix":""},{"dropping-particle":"","family":"McIlvried, E. J., Wall, J. R., Kohout, J., Keys, S., &amp; Goreczny, A. (2010). Graduate training in clinical psychology: Student perspectives on selecting a program. Training and Education in Professional Psychology, 4(2)","given":"105–115. http://doi.org/10.1037/a0016155","non-dropping-particle":"","parse-names":false,"suffix":""},{"dropping-particle":"","family":"Waltman, S. H. ., Williams, A. ., &amp; Christiansen, L. R. . (2013). Comparing student clinician and licensed psychologist clinical judgment. Training and Education in Professional Psychology, 7(1)","given":"33–41. http://doi.org/10.1037/a0032072","non-dropping-particle":"","parse-names":false,"suffix":""},{"dropping-particle":"","family":"Cassin, S. E., Singer, A. R., Dobson, K. S., &amp; Altmaier, E. M. (2007). Professional interests and career aspirations of graduate students in professional psychology: An exploratory survey. Training and Education in Professional Psychology, 1(1)","given":"26–37. http://doi.org/10.1037/1931-3918.1.1.26","non-dropping-particle":"","parse-names":false,"suffix":""},{"dropping-particle":"","family":"Šitavancová, Z., &amp; Hájek, M. (2010). Thematic Research Summary: “Intelligent Transport Systems.” Transport Research Knowledge Centre","given":"223–234. http://doi.org/10.1002/9781118557495.ch6","non-dropping-particle":"","parse-names":false,"suffix":""},{"dropping-particle":"","family":"Nir, Y., &amp; Tononi","given":"G. (2010). AdobeID.pdf. Trends in Cognitive Sciences.","non-dropping-particle":"","parse-names":false,"suffix":""},{"dropping-particle":"","family":"Jaegher, H., Di Paolo, E., &amp; Gallagher, S. (2010). Can social interaction constitute social cognition? Trends in Cognitive Sciences, 14(10)","given":"441–447. http://doi.org/10.1016/j.tics.2010.06.009","non-dropping-particle":"De","parse-names":false,"suffix":""},{"dropping-particle":"","family":"Halford, G. S., Wilson, W. H., &amp; Phillips, S. (2010). Relational knowledge: The foundation of higher cognition. Trends in Cognitive Sciences, 14(11)","given":"497–505. http://doi.org/10.1016/j.tics.2010.08.005","non-dropping-particle":"","parse-names":false,"suffix":""},{"dropping-particle":"","family":"Byrne, R. M. J., &amp; Johnson-Laird, P. N. (2009). “If” and the problems of conditional reasoning. Trends in Cognitive Sciences, 13(7)","given":"282–287. http://doi.org/10.1016/j.tics.2009.04.003","non-dropping-particle":"","parse-names":false,"suffix":""},{"dropping-particle":"","family":"Goldman, A., &amp; de Vignemont, F. (2009). Is social cognition embodied? Trends in Cognitive Sciences, 13(4)","given":"154–159. http://doi.org/10.1016/j.tics.2009.01.007","non-dropping-particle":"","parse-names":false,"suffix":""},{"dropping-particle":"","family":"Gallese, V., &amp; Sinigaglia, C. (2011). What is so special about embodied simulation? Trends in Cognitive Sciences, 15(11)","given":"512–519. http://doi.org/10.1016/j.tics.2011.09.003","non-dropping-particle":"","parse-names":false,"suffix":""},{"dropping-particle":"","family":"Stevens, J. R., &amp; Hauser, M. D. (2004). Why be nice? Psychological constraints on the evolution of cooperation. Trends in Cognitive Sciences, 8(2)","given":"60–65. http://doi.org/10.1016/j.tics.2003.12.003","non-dropping-particle":"","parse-names":false,"suffix":""},{"dropping-particle":"","family":"Gallese, V., &amp; Goldman, A. (1998). Mirror neurons and the mind-reading. Trens in Cognitive Sciences, 2(12)","given":"493–501. http://doi.org/10.1016/S1364-6613(98)01262-5","non-dropping-particle":"","parse-names":false,"suffix":""},{"dropping-particle":"","family":"Taljaard, M., Weijer, C., Grimshaw, J. M., Belle Brown, J., Binik, A., Boruch, R., … Grimshaw, J. (2009). Ethical and policy issues in cluster randomized trials: rationale and design of a mixed methods research study. Trials, 10(1)","given":"61. http://doi.org/10.1186/1745-6215-10-61","non-dropping-particle":"","parse-names":false,"suffix":""},{"dropping-particle":"","family":"Hall, W. P. (2003). Organizational Autopoiesis and Knowledge Management. Twelfth Int. Conf.. Info. Syst. Dev.","given":"1–8.","non-dropping-particle":"","parse-names":false,"suffix":""},{"dropping-particle":"","family":"Programmes, T. (2011). RIGHTS RESPONSIBILITIES AND REGULATIONS for Students on Taught Programmes. University of Derby, (September 2011)","given":"1–46.","non-dropping-particle":"","parse-names":false,"suffix":""},{"dropping-particle":"","family":"Lawton, M. (2010). Of sea anemones and clownfish: exploring a mutually beneficial approach to educational development through soft systems methodology. University of Wolverhampton","given":"(December). Retrieved from http://eprints.mdx.ac.uk/7980/","non-dropping-particle":"","parse-names":false,"suffix":""},{"dropping-particle":"","family":"Bracha, A. (2004). Affective decision making in insurance markets. Unpublished Manuscript, Yale University, …","given":"0–47. Retrieved from http://econ.hevra.haifa.ac.il/~mbengad/seminars/Bracha.pdf","non-dropping-particle":"","parse-names":false,"suffix":""},{"dropping-particle":"","family":"Wild, D., Grove, A., Martin, M., Eremenco, S., McElroy, S., Verjee-Lorenz, A., &amp; Erikson, P. (2005). Principles of Good Practice for the Translation and Cultural Adaptation Process for Patient-Reported Outcomes (PRO) Measures: report of the ISPOR task for","given":"94–104. Retrieved from http://www.ispor.org/workpaper/research_practices/pro_tca.asp","non-dropping-particle":"","parse-names":false,"suffix":""},{"dropping-particle":"","family":"Garrison, L. P., Neumann, P. J., Erickson, P., Marshall, D., &amp; Mullins, C. D. (2007). Using Real World Data for Coverage and Payment Decisions: the ISPOR Real World Data Task Force Report. Value in Health, 10(5)","given":"326–335.","non-dropping-particle":"","parse-names":false,"suffix":""},{"dropping-particle":"","family":"Cardeña, E., Lynn, S., &amp; Krippner, S. (2000). Varieties of anomalous experience: Examining the scientific evidence. Varieties of Anomalous Experience: Examining the Scientific Evidence, 15(1)","given":"143–146. http://doi.org/10.1037/10371-000","non-dropping-particle":"","parse-names":false,"suffix":""},{"dropping-particle":"","family":"Collins, C., Viégas, F. B., &amp; Wattenberg, M. (2009). Parallel tag clouds to explore and analyze faceted text corpora. VAST 09 - IEEE Symposium on Visual Analytics Science and Technology, Proceedings","given":"91–98. http://doi.org/10.1109/VAST.2009.5333443","non-dropping-particle":"","parse-names":false,"suffix":""},{"dropping-particle":"","family":"Usoro, A., &amp; Majewski, G. (2011). Intensive knowledge sharing: Finnish Laurea lab case study. Vine, 41(1)","given":"7–25. http://doi.org/10.1108/03055721111115520","non-dropping-particle":"","parse-names":false,"suffix":""},{"dropping-particle":"","family":"Hill, T. E. (2012). Virtue, Rules, and Justice: Kantian Aspirations. Virtue, Rules, and Justice: Kantian Aspirations, (February 2014)","given":"1–388. http://doi.org/10.1093/acprof:oso/9780199692002.001.0001","non-dropping-particle":"","parse-names":false,"suffix":""},{"dropping-particle":"","family":"Raven, J. (2008). Fundamental problems in psychometrics. WebPsychEmpiricist, 19(00 44)","given":"16–17. http://doi.org/10.1037/e508562012-009","non-dropping-particle":"","parse-names":false,"suffix":""},{"dropping-particle":"","family":"Shanton, K., &amp; Goldman, A. (2010). Simulation theory. Wiley Interdisciplinary Reviews: Cognitive Science, 1(4)","given":"527–538. http://doi.org/10.1002/wcs.33","non-dropping-particle":"","parse-names":false,"suffix":""},{"dropping-particle":"","family":"Ammereller","given":"E. (2004). A Cognitive Self-Therapy - PI 138-97. Wittgenstein at Work. Method in the Philosophical Investigations. http://doi.org/10.4324/9780203569443","non-dropping-particle":"","parse-names":false,"suffix":""},{"dropping-particle":"","family":"House, F., Road, C., &amp; Ls, L. (2012). Application Form 2012. Work","given":"1–7.","non-dropping-particle":"","parse-names":false,"suffix":""},{"dropping-particle":"","family":"Keshav, S. (2007). How to Read a Paper. Work, 37(3)","given":"83–84. http://doi.org/10.1145/1273445.1273458","non-dropping-particle":"","parse-names":false,"suffix":""},{"dropping-particle":"","family":"Network Rail","given":"","non-dropping-particle":"","parse-names":false,"suffix":""},{"dropping-particle":"","family":"Pertamina","given":"PT","non-dropping-particle":"","parse-names":false,"suffix":""},{"dropping-particle":"","family":"Khan","given":"sana. h","non-dropping-particle":"","parse-names":false,"suffix":""},{"dropping-particle":"","family":"Shahid","given":"Zahraa","non-dropping-particle":"","parse-names":false,"suffix":""},{"dropping-particle":"","family":"Hedstrom","given":"Karin","non-dropping-particle":"","parse-names":false,"suffix":""},{"dropping-particle":"","family":"Andersson","given":"Annika","non-dropping-particle":"","parse-names":false,"suffix":""},{"dropping-particle":"","family":"Norman","given":"I D","non-dropping-particle":"","parse-names":false,"suffix":""},{"dropping-particle":"","family":"Aikins","given":"M K","non-dropping-particle":"","parse-names":false,"suffix":""},{"dropping-particle":"","family":"Binka","given":"F N","non-dropping-particle":"","parse-names":false,"suffix":""},{"dropping-particle":"","family":"Wireless","given":"Verizon","non-dropping-particle":"","parse-names":false,"suffix":""},{"dropping-particle":"","family":"Nykänen","given":"Pirkko","non-dropping-particle":"","parse-names":false,"suffix":""},{"dropping-particle":"","family":"Brender","given":"Jytte","non-dropping-particle":"","parse-names":false,"suffix":""},{"dropping-particle":"","family":"Talmon","given":"Jan","non-dropping-particle":"","parse-names":false,"suffix":""},{"dropping-particle":"","family":"Keizer","given":"Nicolette","non-dropping-particle":"de","parse-names":false,"suffix":""},{"dropping-particle":"","family":"Rigby","given":"Michael","non-dropping-particle":"","parse-names":false,"suffix":""},{"dropping-particle":"","family":"Beuscart-Zephir","given":"Marie Catherine","non-dropping-particle":"","parse-names":false,"suffix":""},{"dropping-particle":"","family":"Ammenwerth","given":"Elske","non-dropping-particle":"","parse-names":false,"suffix":""},{"dropping-particle":"","family":"Decarli","given":"A","non-dropping-particle":"","parse-names":false,"suffix":""},{"dropping-particle":"","family":"Rowlands","given":"Mark","non-dropping-particle":"","parse-names":false,"suffix":""},{"dropping-particle":"","family":"WHO","given":"","non-dropping-particle":"","parse-names":false,"suffix":""},{"dropping-particle":"","family":"Hall","given":"Robert E.","non-dropping-particle":"","parse-names":false,"suffix":""},{"dropping-particle":"","family":"Smith","given":"Stephen C.","non-dropping-particle":"","parse-names":false,"suffix":""},{"dropping-particle":"","family":"Todaro","given":"Michael P.","non-dropping-particle":"","parse-names":false,"suffix":""},{"dropping-particle":"","family":"Hansen","given":"Bruce E","non-dropping-particle":"","parse-names":false,"suffix":""},{"dropping-particle":"","family":"Roie","given":"T H E","non-dropping-particle":"","parse-names":false,"suffix":""},{"dropping-particle":"","family":"In","given":"Stakeholders","non-dropping-particle":"","parse-names":false,"suffix":""},{"dropping-particle":"","family":"Fight","given":"T H E","non-dropping-particle":"","parse-names":false,"suffix":""},{"dropping-particle":"","family":"Deadly","given":"Against T H E","non-dropping-particle":"","parse-names":false,"suffix":""},{"dropping-particle":"","family":"The","given":"Acting O N","non-dropping-particle":"","parse-names":false,"suffix":""},{"dropping-particle":"","family":"Sexual","given":"Linkages Between","non-dropping-particle":"","parse-names":false,"suffix":""},{"dropping-particle":"","family":"Rights","given":"Reproductive Health","non-dropping-particle":"","parse-names":false,"suffix":""},{"dropping-particle":"","family":"Forjuoh","given":"Samuel N","non-dropping-particle":"","parse-names":false,"suffix":""},{"dropping-particle":"","family":"Executive","given":"The Chief","non-dropping-particle":"","parse-names":false,"suffix":""},{"dropping-particle":"","family":"Hospital","given":"Korle-bu Teaching","non-dropping-particle":"","parse-names":false,"suffix":""},{"dropping-particle":"","family":"Executive","given":"The Chief","non-dropping-particle":"","parse-names":false,"suffix":""},{"dropping-particle":"","family":"Anokye","given":"Komfo","non-dropping-particle":"","parse-names":false,"suffix":""},{"dropping-particle":"","family":"Hospital","given":"Tamale Teaching","non-dropping-particle":"","parse-names":false,"suffix":""},{"dropping-particle":"","family":"Executive","given":"The Chief","non-dropping-particle":"","parse-names":false,"suffix":""},{"dropping-particle":"","family":"Hospital","given":"Tamale Teaching","non-dropping-particle":"","parse-names":false,"suffix":""},{"dropping-particle":"","family":"Executive","given":"The Chief","non-dropping-particle":"","parse-names":false,"suffix":""},{"dropping-particle":"","family":"Health","given":"National","non-dropping-particle":"","parse-names":false,"suffix":""},{"dropping-particle":"","family":"Authority","given":"Insurance","non-dropping-particle":"","parse-names":false,"suffix":""},{"dropping-particle":"","family":"Executive","given":"The Chief","non-dropping-particle":"","parse-names":false,"suffix":""},{"dropping-particle":"","family":"Authority","given":"Drug","non-dropping-particle":"","parse-names":false,"suffix":""},{"dropping-particle":"","family":"Chief","given":"The","non-dropping-particle":"","parse-names":false,"suffix":""},{"dropping-particle":"","family":"Secretary","given":"Executive","non-dropping-particle":"","parse-names":false,"suffix":""},{"dropping-particle":"","family":"Rector","given":"The","non-dropping-particle":"","parse-names":false,"suffix":""},{"dropping-particle":"","family":"Registrar","given":"The","non-dropping-particle":"","parse-names":false,"suffix":""},{"dropping-particle":"","family":"Registrar","given":"The","non-dropping-particle":"","parse-names":false,"suffix":""},{"dropping-particle":"","family":"Registrar","given":"The","non-dropping-particle":"","parse-names":false,"suffix":""},{"dropping-particle":"","family":"Council","given":"Dental","non-dropping-particle":"","parse-names":false,"suffix":""},{"dropping-particle":"","family":"Registrar","given":"The","non-dropping-particle":"","parse-names":false,"suffix":""},{"dropping-particle":"","family":"Council","given":"Medicine Practices","non-dropping-particle":"","parse-names":false,"suffix":""},{"dropping-particle":"","family":"Health","given":"Allied","non-dropping-particle":"","parse-names":false,"suffix":""},{"dropping-particle":"","family":"Council","given":"Professionals","non-dropping-particle":"","parse-names":false,"suffix":""},{"dropping-particle":"","family":"Service","given":"National Blood Ambulance","non-dropping-particle":"","parse-names":false,"suffix":""},{"dropping-particle":"","family":"Coast","given":"Cape","non-dropping-particle":"","parse-names":false,"suffix":""},{"dropping-particle":"","family":"Hospital","given":"Tamale Teaching","non-dropping-particle":"","parse-names":false,"suffix":""},{"dropping-particle":"","family":"President","given":"The","non-dropping-particle":"","parse-names":false,"suffix":""},{"dropping-particle":"","family":"Service","given":"National Blood Ambulance","non-dropping-particle":"","parse-names":false,"suffix":""},{"dropping-particle":"","family":"Traditional","given":"Registrar","non-dropping-particle":"","parse-names":false,"suffix":""},{"dropping-particle":"","family":"Practitioners","given":"Medicine","non-dropping-particle":"","parse-names":false,"suffix":""},{"dropping-particle":"","family":"Food","given":"The","non-dropping-particle":"","parse-names":false,"suffix":""},{"dropping-particle":"","family":"Taft","given":"Earl J","non-dropping-particle":"","parse-names":false,"suffix":""},{"dropping-particle":"","family":"Cronin","given":"Jane","non-dropping-particle":"","parse-names":false,"suffix":""},{"dropping-particle":"","family":"Hale","given":"Jack K","non-dropping-particle":"","parse-names":false,"suffix":""},{"dropping-particle":"","family":"Hirsch","given":"Morris W.","non-dropping-particle":"","parse-names":false,"suffix":""},{"dropping-particle":"","family":"Smale","given":"Stephen","non-dropping-particle":"","parse-names":false,"suffix":""},{"dropping-particle":"","family":"Devaney","given":"Robert L.","non-dropping-particle":"","parse-names":false,"suffix":""},{"dropping-particle":"","family":"Survey","given":"Health","non-dropping-particle":"","parse-names":false,"suffix":""},{"dropping-particle":"","family":"Questions","given":"Objective Type","non-dropping-particle":"","parse-names":false,"suffix":""},{"dropping-particle":"","family":"Jobs for the future","given":"","non-dropping-particle":"","parse-names":false,"suffix":""},{"dropping-particle":"","family":"Coalition","given":"Health","non-dropping-particle":"","parse-names":false,"suffix":""},{"dropping-particle":"","family":"Giffen","given":"Janice","non-dropping-particle":"","parse-names":false,"suffix":""},{"dropping-particle":"","family":"Judge","given":"Ruth","non-dropping-particle":"","parse-names":false,"suffix":""},{"dropping-particle":"","family":"Women","given":"Afghan","non-dropping-particle":"","parse-names":false,"suffix":""},{"dropping-particle":"","family":"Burton","given":"P. R.","non-dropping-particle":"","parse-names":false,"suffix":""},{"dropping-particle":"","family":"Bowden","given":"J. M.","non-dropping-particle":"","parse-names":false,"suffix":""},{"dropping-particle":"","family":"Tobin","given":"M. D.","non-dropping-particle":"","parse-names":false,"suffix":""},{"dropping-particle":"","family":"Christopher","given":"Busiinge","non-dropping-particle":"","parse-names":false,"suffix":""},{"dropping-particle":"","family":"Doob","given":"J. L.","non-dropping-particle":"","parse-names":false,"suffix":""},{"dropping-particle":"","family":"Looney","given":"Stephen W","non-dropping-particle":"","parse-names":false,"suffix":""},{"dropping-particle":"","family":"Scheme","given":"Service","non-dropping-particle":"","parse-names":false,"suffix":""},{"dropping-particle":"","family":"Montgomery","given":"Douglas C","non-dropping-particle":"","parse-names":false,"suffix":""},{"dropping-particle":"","family":"Council","given":"Christian","non-dropping-particle":"","parse-names":false,"suffix":""},{"dropping-particle":"","family":"Fuad","given":"Anis","non-dropping-particle":"","parse-names":false,"suffix":""},{"dropping-particle":"","family":"Lazuardi","given":"Lutfan","non-dropping-particle":"","parse-names":false,"suffix":""},{"dropping-particle":"","family":"Sanjaya","given":"Guardian Y","non-dropping-particle":"","parse-names":false,"suffix":""},{"dropping-particle":"","family":"Jeffrey","given":"Alan","non-dropping-particle":"","parse-names":false,"suffix":""},{"dropping-particle":"","family":"Anim","given":"Jerry Jacob","non-dropping-particle":"","parse-names":false,"suffix":""},{"dropping-particle":"","family":"Mary","given":"Queen","non-dropping-particle":"","parse-names":false,"suffix":""},{"dropping-particle":"","family":"Adetunji","given":"Hamed A.","non-dropping-particle":"","parse-names":false,"suffix":""},{"dropping-particle":"","family":"Guizzardi","given":"Silvia","non-dropping-particle":"","parse-names":false,"suffix":""},{"dropping-particle":"","family":"Hradsky","given":"James","non-dropping-particle":"","parse-names":false,"suffix":""},{"dropping-particle":"","family":"Boesen","given":"Nils","non-dropping-particle":"","parse-names":false,"suffix":""},{"dropping-particle":"","family":"Land","given":"Anthony","non-dropping-particle":"","parse-names":false,"suffix":""},{"dropping-particle":"","family":"Baser","given":"Heather","non-dropping-particle":"","parse-names":false,"suffix":""},{"dropping-particle":"","family":"Sorgenfrei","given":"Mia","non-dropping-particle":"","parse-names":false,"suffix":""},{"dropping-particle":"","family":"Lazarus","given":"Es","non-dropping-particle":"","parse-names":false,"suffix":""},{"dropping-particle":"","family":"Zabin","given":"Laurie Schwab","non-dropping-particle":"","parse-names":false,"suffix":""},{"dropping-particle":"","family":"Kiragu","given":"Karungari","non-dropping-particle":"","parse-names":false,"suffix":""},{"dropping-particle":"","family":"Vest","given":"Joshua","non-dropping-particle":"","parse-names":false,"suffix":""},{"dropping-particle":"","family":"Issel","given":"L. Michele","non-dropping-particle":"","parse-names":false,"suffix":""},{"dropping-particle":"","family":"Lee","given":"Sean","non-dropping-particle":"","parse-names":false,"suffix":""},{"dropping-particle":"","family":"Al-Banoon","given":"Sharma JN","non-dropping-particle":"","parse-names":false,"suffix":""},{"dropping-particle":"","family":"Geingob","given":"Hage","non-dropping-particle":"","parse-names":false,"suffix":""},{"dropping-particle":"","family":"NHIA","given":"","non-dropping-particle":"","parse-names":false,"suffix":""},{"dropping-particle":"","family":"Paller","given":"Jeffrey","non-dropping-particle":"","parse-names":false,"suffix":""},{"dropping-particle":"","family":"United Nations","given":"","non-dropping-particle":"","parse-names":false,"suffix":""}],"container-title":"World Health Organization","id":"ITEM-1","issued":{"date-parts":[["2014"]]},"title":"CSOs HSS support proposal","type":"article-journal"},"uris":["http://www.mendeley.com/documents/?uuid=7bc0e928-698a-4ecc-93bb-0c9e6dad98df","http://www.mendeley.com/documents/?uuid=a327d37f-230f-4446-a257-2e825d31b46d"]}],"mendeley":{"formattedCitation":"(Ojakaa &lt;i&gt;et al.&lt;/i&gt;, 2014)","plainTextFormattedCitation":"(Ojakaa et al., 2014)","previouslyFormattedCitation":"(Ojakaa &lt;i&gt;et al.&lt;/i&gt;, 2014)"},"properties":{"noteIndex":0},"schema":"https://github.com/citation-style-language/schema/raw/master/csl-citation.json"}</w:instrText>
      </w:r>
      <w:r w:rsidR="0087087F" w:rsidRPr="001A62EA">
        <w:rPr>
          <w:rFonts w:cs="Times New Roman"/>
          <w:szCs w:val="24"/>
          <w:lang w:val="en-GB"/>
        </w:rPr>
        <w:fldChar w:fldCharType="separate"/>
      </w:r>
      <w:r w:rsidR="0087087F" w:rsidRPr="001A62EA">
        <w:rPr>
          <w:rFonts w:cs="Times New Roman"/>
          <w:szCs w:val="24"/>
          <w:lang w:val="en-GB"/>
        </w:rPr>
        <w:t xml:space="preserve">(Ojakaa </w:t>
      </w:r>
      <w:r w:rsidR="0087087F" w:rsidRPr="001A62EA">
        <w:rPr>
          <w:rFonts w:cs="Times New Roman"/>
          <w:i/>
          <w:szCs w:val="24"/>
          <w:lang w:val="en-GB"/>
        </w:rPr>
        <w:t>et al.</w:t>
      </w:r>
      <w:r w:rsidR="0087087F" w:rsidRPr="001A62EA">
        <w:rPr>
          <w:rFonts w:cs="Times New Roman"/>
          <w:szCs w:val="24"/>
          <w:lang w:val="en-GB"/>
        </w:rPr>
        <w:t>, 2014)</w:t>
      </w:r>
      <w:r w:rsidR="0087087F" w:rsidRPr="001A62EA">
        <w:rPr>
          <w:rFonts w:cs="Times New Roman"/>
          <w:szCs w:val="24"/>
          <w:lang w:val="en-GB"/>
        </w:rPr>
        <w:fldChar w:fldCharType="end"/>
      </w:r>
      <w:r w:rsidRPr="001A62EA">
        <w:rPr>
          <w:rFonts w:cs="Times New Roman"/>
          <w:szCs w:val="24"/>
          <w:lang w:val="en-GB"/>
        </w:rPr>
        <w:t>.</w:t>
      </w:r>
    </w:p>
    <w:bookmarkEnd w:id="4"/>
    <w:p w14:paraId="470A42C7" w14:textId="77777777" w:rsidR="00817B91" w:rsidRPr="001A62EA" w:rsidRDefault="00817B91" w:rsidP="00930D75">
      <w:pPr>
        <w:spacing w:after="0"/>
        <w:rPr>
          <w:rFonts w:cs="Times New Roman"/>
          <w:szCs w:val="24"/>
          <w:lang w:val="en-GB" w:eastAsia="zh-CN"/>
        </w:rPr>
      </w:pPr>
    </w:p>
    <w:p w14:paraId="6FB09A84" w14:textId="77777777" w:rsidR="004D5455" w:rsidRPr="001A62EA" w:rsidRDefault="005B4C59" w:rsidP="00930D75">
      <w:pPr>
        <w:pStyle w:val="Heading2"/>
        <w:spacing w:before="0" w:beforeAutospacing="0" w:after="0" w:afterAutospacing="0" w:line="480" w:lineRule="auto"/>
        <w:rPr>
          <w:color w:val="auto"/>
          <w:szCs w:val="24"/>
          <w:lang w:val="en-GB" w:eastAsia="zh-CN"/>
        </w:rPr>
      </w:pPr>
      <w:bookmarkStart w:id="5" w:name="_Toc38552404"/>
      <w:bookmarkStart w:id="6" w:name="_Toc60697863"/>
      <w:r w:rsidRPr="001A62EA">
        <w:rPr>
          <w:color w:val="auto"/>
          <w:szCs w:val="24"/>
          <w:lang w:val="en-GB" w:eastAsia="zh-CN"/>
        </w:rPr>
        <w:t xml:space="preserve">The Culture and Context of </w:t>
      </w:r>
      <w:bookmarkEnd w:id="5"/>
      <w:r w:rsidRPr="001A62EA">
        <w:rPr>
          <w:color w:val="auto"/>
          <w:szCs w:val="24"/>
          <w:lang w:val="en-GB" w:eastAsia="zh-CN"/>
        </w:rPr>
        <w:t>Unilever</w:t>
      </w:r>
      <w:bookmarkEnd w:id="6"/>
    </w:p>
    <w:p w14:paraId="6524AC11" w14:textId="77777777" w:rsidR="00930FAF" w:rsidRPr="001A62EA" w:rsidRDefault="005B4C59" w:rsidP="00930D75">
      <w:pPr>
        <w:spacing w:after="0"/>
        <w:ind w:firstLine="720"/>
        <w:jc w:val="both"/>
        <w:rPr>
          <w:rFonts w:cs="Times New Roman"/>
          <w:szCs w:val="24"/>
          <w:lang w:val="en-GB"/>
        </w:rPr>
      </w:pPr>
      <w:bookmarkStart w:id="7" w:name="_Toc59973392"/>
      <w:r w:rsidRPr="001A62EA">
        <w:rPr>
          <w:rFonts w:cs="Times New Roman"/>
          <w:szCs w:val="24"/>
          <w:lang w:val="en-GB"/>
        </w:rPr>
        <w:t xml:space="preserve">Every association has its one in all a type character, in gatherings of folks that cooperate; a hierarchical way of life is undetectable yet ground-breaking electricity that affects the conduct of the individuals from that collecting. Each association creates and keeps a fantastic subculture, which gives regulations and bounds to the conduct of the people from the association (Wong, 2020). Unilever is one of the groups/associations which have proven with its powerful human asset the executive's techniques that it's miles possibly the most appealing bosses on the earth. </w:t>
      </w:r>
      <w:r w:rsidR="008C3095" w:rsidRPr="001A62EA">
        <w:rPr>
          <w:rFonts w:cs="Times New Roman"/>
          <w:szCs w:val="24"/>
          <w:lang w:val="en-GB"/>
        </w:rPr>
        <w:t xml:space="preserve">The execution of Unilever's </w:t>
      </w:r>
      <w:r w:rsidRPr="001A62EA">
        <w:rPr>
          <w:rFonts w:cs="Times New Roman"/>
          <w:szCs w:val="24"/>
          <w:lang w:val="en-GB"/>
        </w:rPr>
        <w:t xml:space="preserve">culture of has the accompanying </w:t>
      </w:r>
      <w:r w:rsidR="008C3095" w:rsidRPr="001A62EA">
        <w:rPr>
          <w:rFonts w:cs="Times New Roman"/>
          <w:szCs w:val="24"/>
          <w:lang w:val="en-GB"/>
        </w:rPr>
        <w:t>abilities</w:t>
      </w:r>
      <w:r w:rsidRPr="001A62EA">
        <w:rPr>
          <w:rFonts w:cs="Times New Roman"/>
          <w:szCs w:val="24"/>
          <w:lang w:val="en-GB"/>
        </w:rPr>
        <w:t xml:space="preserve">: </w:t>
      </w:r>
    </w:p>
    <w:p w14:paraId="4AE9FA97" w14:textId="77777777" w:rsidR="00930FAF" w:rsidRPr="001A62EA" w:rsidRDefault="005B4C59" w:rsidP="00930D75">
      <w:pPr>
        <w:pStyle w:val="ListParagraph"/>
        <w:numPr>
          <w:ilvl w:val="0"/>
          <w:numId w:val="36"/>
        </w:numPr>
        <w:spacing w:after="0"/>
        <w:jc w:val="both"/>
        <w:rPr>
          <w:rFonts w:cs="Times New Roman"/>
          <w:szCs w:val="24"/>
          <w:lang w:val="en-GB"/>
        </w:rPr>
      </w:pPr>
      <w:r w:rsidRPr="001A62EA">
        <w:rPr>
          <w:rFonts w:cs="Times New Roman"/>
          <w:szCs w:val="24"/>
          <w:lang w:val="en-GB"/>
        </w:rPr>
        <w:t>Cognizance on execution – singular and</w:t>
      </w:r>
      <w:r w:rsidR="004A4476" w:rsidRPr="001A62EA">
        <w:rPr>
          <w:rFonts w:cs="Times New Roman"/>
          <w:szCs w:val="24"/>
          <w:lang w:val="en-GB"/>
        </w:rPr>
        <w:t xml:space="preserve"> organisational</w:t>
      </w:r>
      <w:r w:rsidRPr="001A62EA">
        <w:rPr>
          <w:rFonts w:cs="Times New Roman"/>
          <w:szCs w:val="24"/>
          <w:lang w:val="en-GB"/>
        </w:rPr>
        <w:t xml:space="preserve"> execution </w:t>
      </w:r>
    </w:p>
    <w:p w14:paraId="0D3F5AB6" w14:textId="77777777" w:rsidR="00930FAF" w:rsidRPr="001A62EA" w:rsidRDefault="005B4C59" w:rsidP="00930D75">
      <w:pPr>
        <w:pStyle w:val="ListParagraph"/>
        <w:numPr>
          <w:ilvl w:val="0"/>
          <w:numId w:val="36"/>
        </w:numPr>
        <w:spacing w:after="0"/>
        <w:jc w:val="both"/>
        <w:rPr>
          <w:rFonts w:cs="Times New Roman"/>
          <w:szCs w:val="24"/>
          <w:lang w:val="en-GB"/>
        </w:rPr>
      </w:pPr>
      <w:r w:rsidRPr="001A62EA">
        <w:rPr>
          <w:rFonts w:cs="Times New Roman"/>
          <w:szCs w:val="24"/>
          <w:lang w:val="en-GB"/>
        </w:rPr>
        <w:lastRenderedPageBreak/>
        <w:t>focus on pleasant –yield</w:t>
      </w:r>
      <w:r w:rsidR="004A4476" w:rsidRPr="001A62EA">
        <w:rPr>
          <w:rFonts w:cs="Times New Roman"/>
          <w:szCs w:val="24"/>
          <w:lang w:val="en-GB"/>
        </w:rPr>
        <w:t xml:space="preserve"> nature</w:t>
      </w:r>
      <w:r w:rsidRPr="001A62EA">
        <w:rPr>
          <w:rFonts w:cs="Times New Roman"/>
          <w:szCs w:val="24"/>
          <w:lang w:val="en-GB"/>
        </w:rPr>
        <w:t xml:space="preserve"> in all territories </w:t>
      </w:r>
    </w:p>
    <w:p w14:paraId="5287A227" w14:textId="77777777" w:rsidR="00930FAF" w:rsidRPr="001A62EA" w:rsidRDefault="005B4C59" w:rsidP="00930D75">
      <w:pPr>
        <w:pStyle w:val="ListParagraph"/>
        <w:numPr>
          <w:ilvl w:val="0"/>
          <w:numId w:val="36"/>
        </w:numPr>
        <w:spacing w:after="0"/>
        <w:jc w:val="both"/>
        <w:rPr>
          <w:rFonts w:cs="Times New Roman"/>
          <w:szCs w:val="24"/>
          <w:lang w:val="en-GB"/>
        </w:rPr>
      </w:pPr>
      <w:r w:rsidRPr="001A62EA">
        <w:rPr>
          <w:rFonts w:cs="Times New Roman"/>
          <w:szCs w:val="24"/>
          <w:lang w:val="en-GB"/>
        </w:rPr>
        <w:t xml:space="preserve">Performance – productive paintings via innovation and another tool </w:t>
      </w:r>
    </w:p>
    <w:p w14:paraId="38648830" w14:textId="77777777" w:rsidR="00930FAF" w:rsidRPr="001A62EA" w:rsidRDefault="005B4C59" w:rsidP="00930D75">
      <w:pPr>
        <w:spacing w:after="0"/>
        <w:ind w:firstLine="720"/>
        <w:jc w:val="both"/>
        <w:rPr>
          <w:rFonts w:cs="Times New Roman"/>
          <w:szCs w:val="24"/>
          <w:lang w:val="en-GB"/>
        </w:rPr>
      </w:pPr>
      <w:r w:rsidRPr="001A62EA">
        <w:rPr>
          <w:rFonts w:cs="Times New Roman"/>
          <w:szCs w:val="24"/>
          <w:lang w:val="en-GB"/>
        </w:rPr>
        <w:t>Unilever’s corporate way of life is great i</w:t>
      </w:r>
      <w:r w:rsidR="004A4476" w:rsidRPr="001A62EA">
        <w:rPr>
          <w:rFonts w:cs="Times New Roman"/>
          <w:szCs w:val="24"/>
          <w:lang w:val="en-GB"/>
        </w:rPr>
        <w:t>nside the lengthy enterprise history</w:t>
      </w:r>
      <w:r w:rsidRPr="001A62EA">
        <w:rPr>
          <w:rFonts w:cs="Times New Roman"/>
          <w:szCs w:val="24"/>
          <w:lang w:val="en-GB"/>
        </w:rPr>
        <w:t>. The enterprise has developed from a touch firm to an international pr</w:t>
      </w:r>
      <w:r w:rsidR="004A4476" w:rsidRPr="001A62EA">
        <w:rPr>
          <w:rFonts w:cs="Times New Roman"/>
          <w:szCs w:val="24"/>
          <w:lang w:val="en-GB"/>
        </w:rPr>
        <w:t xml:space="preserve">essure to be reckoned with. </w:t>
      </w:r>
      <w:r w:rsidRPr="001A62EA">
        <w:rPr>
          <w:rFonts w:cs="Times New Roman"/>
          <w:szCs w:val="24"/>
          <w:lang w:val="en-GB"/>
        </w:rPr>
        <w:t xml:space="preserve"> </w:t>
      </w:r>
      <w:r w:rsidR="004A4476" w:rsidRPr="001A62EA">
        <w:rPr>
          <w:rFonts w:cs="Times New Roman"/>
          <w:szCs w:val="24"/>
          <w:lang w:val="en-GB"/>
        </w:rPr>
        <w:t>Success</w:t>
      </w:r>
      <w:r w:rsidRPr="001A62EA">
        <w:rPr>
          <w:rFonts w:cs="Times New Roman"/>
          <w:szCs w:val="24"/>
          <w:lang w:val="en-GB"/>
        </w:rPr>
        <w:t xml:space="preserve"> is essentially based on the capability of Unilever's culture to </w:t>
      </w:r>
      <w:r w:rsidR="004A4476" w:rsidRPr="001A62EA">
        <w:rPr>
          <w:rFonts w:cs="Times New Roman"/>
          <w:szCs w:val="24"/>
          <w:lang w:val="en-GB"/>
        </w:rPr>
        <w:t>influence</w:t>
      </w:r>
      <w:r w:rsidRPr="001A62EA">
        <w:rPr>
          <w:rFonts w:cs="Times New Roman"/>
          <w:szCs w:val="24"/>
          <w:lang w:val="en-GB"/>
        </w:rPr>
        <w:t xml:space="preserve"> advanced and excellent in representatives' difficult working mind-set to expand business yield. This accentua</w:t>
      </w:r>
      <w:r w:rsidR="003C76AD" w:rsidRPr="001A62EA">
        <w:rPr>
          <w:rFonts w:cs="Times New Roman"/>
          <w:szCs w:val="24"/>
          <w:lang w:val="en-GB"/>
        </w:rPr>
        <w:t xml:space="preserve">tion on pleasant is likewise an </w:t>
      </w:r>
      <w:r w:rsidRPr="001A62EA">
        <w:rPr>
          <w:rFonts w:cs="Times New Roman"/>
          <w:szCs w:val="24"/>
          <w:lang w:val="en-GB"/>
        </w:rPr>
        <w:t xml:space="preserve">accentuation </w:t>
      </w:r>
      <w:r w:rsidR="003C76AD" w:rsidRPr="001A62EA">
        <w:rPr>
          <w:rFonts w:cs="Times New Roman"/>
          <w:szCs w:val="24"/>
          <w:lang w:val="en-GB"/>
        </w:rPr>
        <w:t xml:space="preserve">impression </w:t>
      </w:r>
      <w:r w:rsidRPr="001A62EA">
        <w:rPr>
          <w:rFonts w:cs="Times New Roman"/>
          <w:szCs w:val="24"/>
          <w:lang w:val="en-GB"/>
        </w:rPr>
        <w:t xml:space="preserve">on viability </w:t>
      </w:r>
      <w:r w:rsidR="00C80989" w:rsidRPr="001A62EA">
        <w:rPr>
          <w:rFonts w:cs="Times New Roman"/>
          <w:szCs w:val="24"/>
          <w:lang w:val="en-GB"/>
        </w:rPr>
        <w:t xml:space="preserve">of products </w:t>
      </w:r>
      <w:r w:rsidRPr="001A62EA">
        <w:rPr>
          <w:rFonts w:cs="Times New Roman"/>
          <w:szCs w:val="24"/>
          <w:lang w:val="en-GB"/>
        </w:rPr>
        <w:t xml:space="preserve">within the association's declaration of purpose. </w:t>
      </w:r>
      <w:r w:rsidR="00DB3E4A" w:rsidRPr="001A62EA">
        <w:rPr>
          <w:rFonts w:cs="Times New Roman"/>
          <w:szCs w:val="24"/>
          <w:lang w:val="en-GB"/>
        </w:rPr>
        <w:t>It has</w:t>
      </w:r>
      <w:r w:rsidRPr="001A62EA">
        <w:rPr>
          <w:rFonts w:cs="Times New Roman"/>
          <w:szCs w:val="24"/>
          <w:lang w:val="en-GB"/>
        </w:rPr>
        <w:t xml:space="preserve"> moreover dominated talent through innovation and development in its inner business measures, consisting of human asset improvement (Gregory, 2017). Market-primarily based uses market</w:t>
      </w:r>
      <w:r w:rsidR="00231D0D" w:rsidRPr="001A62EA">
        <w:rPr>
          <w:rFonts w:cs="Times New Roman"/>
          <w:szCs w:val="24"/>
          <w:lang w:val="en-GB"/>
        </w:rPr>
        <w:t xml:space="preserve"> of management</w:t>
      </w:r>
      <w:r w:rsidRPr="001A62EA">
        <w:rPr>
          <w:rFonts w:cs="Times New Roman"/>
          <w:szCs w:val="24"/>
          <w:lang w:val="en-GB"/>
        </w:rPr>
        <w:t xml:space="preserve"> statistics to make management </w:t>
      </w:r>
      <w:r w:rsidR="00857CFF" w:rsidRPr="001A62EA">
        <w:rPr>
          <w:rFonts w:cs="Times New Roman"/>
          <w:szCs w:val="24"/>
          <w:lang w:val="en-GB"/>
        </w:rPr>
        <w:t xml:space="preserve">changes in </w:t>
      </w:r>
      <w:r w:rsidR="007A1100" w:rsidRPr="001A62EA">
        <w:rPr>
          <w:rFonts w:cs="Times New Roman"/>
          <w:szCs w:val="24"/>
          <w:lang w:val="en-GB"/>
        </w:rPr>
        <w:t xml:space="preserve">its </w:t>
      </w:r>
      <w:r w:rsidRPr="001A62EA">
        <w:rPr>
          <w:rFonts w:cs="Times New Roman"/>
          <w:szCs w:val="24"/>
          <w:lang w:val="en-GB"/>
        </w:rPr>
        <w:t>approaches. Consequently, Unilever’s tactics</w:t>
      </w:r>
      <w:r w:rsidR="00B63E50" w:rsidRPr="001A62EA">
        <w:rPr>
          <w:rFonts w:cs="Times New Roman"/>
          <w:szCs w:val="24"/>
          <w:lang w:val="en-GB"/>
        </w:rPr>
        <w:t xml:space="preserve"> and leadership</w:t>
      </w:r>
      <w:r w:rsidRPr="001A62EA">
        <w:rPr>
          <w:rFonts w:cs="Times New Roman"/>
          <w:szCs w:val="24"/>
          <w:lang w:val="en-GB"/>
        </w:rPr>
        <w:t xml:space="preserve"> are an aspect that maintains the organization’s lifestyle. Interestingly, Unilever is locating that executives from rising economies, wherein humans have regularly had early exposure to the terrible effects of environmental </w:t>
      </w:r>
      <w:r w:rsidR="0084243C" w:rsidRPr="001A62EA">
        <w:rPr>
          <w:rFonts w:cs="Times New Roman"/>
          <w:szCs w:val="24"/>
          <w:lang w:val="en-GB"/>
        </w:rPr>
        <w:t xml:space="preserve">and social </w:t>
      </w:r>
      <w:r w:rsidRPr="001A62EA">
        <w:rPr>
          <w:rFonts w:cs="Times New Roman"/>
          <w:szCs w:val="24"/>
          <w:lang w:val="en-GB"/>
        </w:rPr>
        <w:t xml:space="preserve">troubles, are proving to be higher-prepared for the </w:t>
      </w:r>
      <w:r w:rsidR="002605B4" w:rsidRPr="001A62EA">
        <w:rPr>
          <w:rFonts w:cs="Times New Roman"/>
          <w:szCs w:val="24"/>
          <w:lang w:val="en-GB"/>
        </w:rPr>
        <w:t xml:space="preserve">future </w:t>
      </w:r>
      <w:r w:rsidRPr="001A62EA">
        <w:rPr>
          <w:rFonts w:cs="Times New Roman"/>
          <w:szCs w:val="24"/>
          <w:lang w:val="en-GB"/>
        </w:rPr>
        <w:t>commerc</w:t>
      </w:r>
      <w:r w:rsidR="002605B4" w:rsidRPr="001A62EA">
        <w:rPr>
          <w:rFonts w:cs="Times New Roman"/>
          <w:szCs w:val="24"/>
          <w:lang w:val="en-GB"/>
        </w:rPr>
        <w:t xml:space="preserve">ial enterprise realities </w:t>
      </w:r>
      <w:r w:rsidRPr="001A62EA">
        <w:rPr>
          <w:rFonts w:cs="Times New Roman"/>
          <w:szCs w:val="24"/>
          <w:lang w:val="en-GB"/>
        </w:rPr>
        <w:t>than their friends in completely-dev</w:t>
      </w:r>
      <w:r w:rsidR="0054564C" w:rsidRPr="001A62EA">
        <w:rPr>
          <w:rFonts w:cs="Times New Roman"/>
          <w:szCs w:val="24"/>
          <w:lang w:val="en-GB"/>
        </w:rPr>
        <w:t>eloped economies</w:t>
      </w:r>
      <w:r w:rsidR="0087087F" w:rsidRPr="001A62EA">
        <w:rPr>
          <w:rFonts w:cs="Times New Roman"/>
          <w:szCs w:val="24"/>
          <w:lang w:val="en-GB"/>
        </w:rPr>
        <w:t xml:space="preserve"> </w:t>
      </w:r>
      <w:r w:rsidR="0087087F" w:rsidRPr="001A62EA">
        <w:rPr>
          <w:rFonts w:cs="Times New Roman"/>
          <w:szCs w:val="24"/>
          <w:lang w:val="en-GB"/>
        </w:rPr>
        <w:fldChar w:fldCharType="begin" w:fldLock="1"/>
      </w:r>
      <w:r w:rsidR="0087087F" w:rsidRPr="001A62EA">
        <w:rPr>
          <w:rFonts w:cs="Times New Roman"/>
          <w:szCs w:val="24"/>
          <w:lang w:val="en-GB"/>
        </w:rPr>
        <w:instrText>ADDIN CSL_CITATION {"citationItems":[{"id":"ITEM-1","itemData":{"DOI":"10.5204/mcj.915","ISSN":"1441-2616","abstract":"Permaculture is a creative design process that is based on ethics and design principles. It guides us to mimic the patterns and relationships we can find in nature and can be applied to all aspects of human habitation, from agriculture to ecological building, from appropriate technology to education and even economics. (permacultureprinciples.com)This paper considers permaculture as an example of counterculture in Australia. Permaculture is a neologism, the result of a contraction of ‘permanent’ and ‘agriculture’. In accordance with David Holmgren and Richard Telford definition quoted above, we intend permaculture as a design process based on a set of ethical and design principles. Rather than describing the history of permaculture, we choose two moments as paradigmatic of its evolution in relation to counterculture.The first moment is permaculture’s beginnings steeped in the same late 1960s turbulence that saw some people pursue an alternative lifestyle in Northern NSW and a rural idyll in Tasmania (Grayson and Payne). Ideas of a return to the land circulating in this first moment coalesced around the publication in 1978 of the book Permaculture One: A Perennial Agriculture for Human Settlements by Bill Mollison and David Holmgren, which functioned as “a disruptive technology, an idea that threatened to disrupt business as usual, to change the way we thought and did things”, as Russ Grayson writes in his contextual history of permaculture. The second moment is best exemplified by the definitions of permaculture as “a holistic system of design … most often applied to basic human needs such as water, food and shelter … also used to design more abstract systems such as community and economic structures” (Milkwood) and as “also a world wide network and movement of individuals and groups working in both rich and poor countries on all continents” (Holmgren).We argue that the shift in understanding of permaculture from the “back to the land movement” (Grayson) as a more wholesome alternative to consumer society to the contemporary conceptualisation of permaculture as an assemblage and global network of practices, is representative of the shifting dynamic between dominant paradigms and counterculture from the 1970s to the present. While counterculture was a useful way to understand the agency of subcultures (i.e. by countering mainstream culture and society) contemporary forms of globalised capitalism demand different models and vocabularies within which the i…","author":[{"dropping-particle":"","family":"Crosby","given":"Alexandra","non-dropping-particle":"","parse-names":false,"suffix":""},{"dropping-particle":"","family":"Lorber-Kasunic","given":"Jacquie","non-dropping-particle":"","parse-names":false,"suffix":""},{"dropping-particle":"","family":"Vanni Accarigi","given":"Ilaria","non-dropping-particle":"","parse-names":false,"suffix":""}],"container-title":"M/C Journal","id":"ITEM-1","issued":{"date-parts":[["2014"]]},"title":"Value the Edge: Permaculture as Counterculture in Australia","type":"article-journal"},"uris":["http://www.mendeley.com/documents/?uuid=3d007004-2b0b-4a4d-82a2-0e84bb279d4f","http://www.mendeley.com/documents/?uuid=68fdd194-3962-405d-9431-7706a9b26b80"]}],"mendeley":{"formattedCitation":"(Crosby, Lorber-Kasunic and Vanni Accarigi, 2014)","plainTextFormattedCitation":"(Crosby, Lorber-Kasunic and Vanni Accarigi, 2014)","previouslyFormattedCitation":"(Crosby, Lorber-Kasunic and Vanni Accarigi, 2014)"},"properties":{"noteIndex":0},"schema":"https://github.com/citation-style-language/schema/raw/master/csl-citation.json"}</w:instrText>
      </w:r>
      <w:r w:rsidR="0087087F" w:rsidRPr="001A62EA">
        <w:rPr>
          <w:rFonts w:cs="Times New Roman"/>
          <w:szCs w:val="24"/>
          <w:lang w:val="en-GB"/>
        </w:rPr>
        <w:fldChar w:fldCharType="separate"/>
      </w:r>
      <w:r w:rsidR="0087087F" w:rsidRPr="001A62EA">
        <w:rPr>
          <w:rFonts w:cs="Times New Roman"/>
          <w:szCs w:val="24"/>
          <w:lang w:val="en-GB"/>
        </w:rPr>
        <w:t>(Crosby, Lorber-Kasunic and Vanni Accarigi, 2014)</w:t>
      </w:r>
      <w:r w:rsidR="0087087F" w:rsidRPr="001A62EA">
        <w:rPr>
          <w:rFonts w:cs="Times New Roman"/>
          <w:szCs w:val="24"/>
          <w:lang w:val="en-GB"/>
        </w:rPr>
        <w:fldChar w:fldCharType="end"/>
      </w:r>
      <w:r w:rsidRPr="001A62EA">
        <w:rPr>
          <w:rFonts w:cs="Times New Roman"/>
          <w:szCs w:val="24"/>
          <w:lang w:val="en-GB"/>
        </w:rPr>
        <w:t>.</w:t>
      </w:r>
    </w:p>
    <w:p w14:paraId="03C960FF" w14:textId="77777777" w:rsidR="00930FAF" w:rsidRPr="001A62EA" w:rsidRDefault="005B4C59" w:rsidP="00930D75">
      <w:pPr>
        <w:spacing w:after="0"/>
        <w:ind w:firstLine="720"/>
        <w:jc w:val="both"/>
        <w:rPr>
          <w:rFonts w:cs="Times New Roman"/>
          <w:szCs w:val="24"/>
          <w:lang w:val="en-GB"/>
        </w:rPr>
      </w:pPr>
      <w:r w:rsidRPr="001A62EA">
        <w:rPr>
          <w:rFonts w:cs="Times New Roman"/>
          <w:szCs w:val="24"/>
          <w:lang w:val="en-GB"/>
        </w:rPr>
        <w:t xml:space="preserve">Unilever's leadership-based methodologies uphold the respectability of company way of life execution, mainly in consolidations and acquisitions. Uprightness is extensive in consolidations and acquisitions, in which human asset becoming a member of is needed for effective hierarchical combining. For instance, </w:t>
      </w:r>
      <w:r w:rsidR="00404F6F" w:rsidRPr="001A62EA">
        <w:rPr>
          <w:rFonts w:cs="Times New Roman"/>
          <w:szCs w:val="24"/>
          <w:lang w:val="en-GB"/>
        </w:rPr>
        <w:t>according</w:t>
      </w:r>
      <w:r w:rsidR="0054564C" w:rsidRPr="001A62EA">
        <w:rPr>
          <w:rFonts w:cs="Times New Roman"/>
          <w:szCs w:val="24"/>
          <w:lang w:val="en-GB"/>
        </w:rPr>
        <w:t xml:space="preserve"> to Donaldson, </w:t>
      </w:r>
      <w:r w:rsidRPr="001A62EA">
        <w:rPr>
          <w:rFonts w:cs="Times New Roman"/>
          <w:szCs w:val="24"/>
          <w:lang w:val="en-GB"/>
        </w:rPr>
        <w:t xml:space="preserve">Unilever applies effects-primarily based management to actualize its hierarchical culture at some stage in the recently combined association. Unilever moreover has various management programs that manipulate trying out conditions, and one application, for instance, utilizes proper contextual investigations </w:t>
      </w:r>
      <w:r w:rsidRPr="001A62EA">
        <w:rPr>
          <w:rFonts w:cs="Times New Roman"/>
          <w:szCs w:val="24"/>
          <w:lang w:val="en-GB"/>
        </w:rPr>
        <w:lastRenderedPageBreak/>
        <w:t>from the Unilever commercial enterprise to feature a part of the problems it has seemed inside the new beyond (Donaldson, 2014).</w:t>
      </w:r>
    </w:p>
    <w:p w14:paraId="5F9ADC05" w14:textId="77777777" w:rsidR="00930FAF" w:rsidRPr="001A62EA" w:rsidRDefault="005B4C59" w:rsidP="00930D75">
      <w:pPr>
        <w:spacing w:after="0"/>
        <w:ind w:firstLine="720"/>
        <w:jc w:val="both"/>
        <w:rPr>
          <w:rFonts w:cs="Times New Roman"/>
          <w:szCs w:val="24"/>
          <w:lang w:val="en-GB"/>
        </w:rPr>
      </w:pPr>
      <w:r w:rsidRPr="001A62EA">
        <w:rPr>
          <w:rFonts w:cs="Times New Roman"/>
          <w:szCs w:val="24"/>
          <w:lang w:val="en-GB"/>
        </w:rPr>
        <w:t>Management strengthens the development of the hierarchical subculture of Unilever. This hierarchical culture impacts human asset systems and practices. Unilever fortifies the company way of life of execution and satisfactory via pioneers' preferred staring at and assessments, simply as responsibility and backing. As an example, the results of checks are applied for controlling human resource rehearses that reinforce Unilever's authoritative lifestyle of execution and satisfactory. People' requirements are distinguished and integrated into human resource application improvements.</w:t>
      </w:r>
      <w:r w:rsidR="0087087F" w:rsidRPr="001A62EA">
        <w:rPr>
          <w:rFonts w:cs="Times New Roman"/>
          <w:szCs w:val="24"/>
          <w:lang w:val="en-GB"/>
        </w:rPr>
        <w:t xml:space="preserve"> </w:t>
      </w:r>
      <w:r w:rsidRPr="001A62EA">
        <w:rPr>
          <w:rFonts w:cs="Times New Roman"/>
          <w:szCs w:val="24"/>
          <w:lang w:val="en-GB"/>
        </w:rPr>
        <w:t>Via this social support, the organization ingrains fine as a characterizing element in employees' presentation and performance</w:t>
      </w:r>
      <w:r w:rsidR="0087087F" w:rsidRPr="001A62EA">
        <w:rPr>
          <w:rFonts w:cs="Times New Roman"/>
          <w:szCs w:val="24"/>
          <w:lang w:val="en-GB"/>
        </w:rPr>
        <w:t xml:space="preserve"> </w:t>
      </w:r>
      <w:r w:rsidR="0087087F" w:rsidRPr="001A62EA">
        <w:rPr>
          <w:rFonts w:cs="Times New Roman"/>
          <w:szCs w:val="24"/>
          <w:lang w:val="en-GB"/>
        </w:rPr>
        <w:fldChar w:fldCharType="begin" w:fldLock="1"/>
      </w:r>
      <w:r w:rsidR="0087087F" w:rsidRPr="001A62EA">
        <w:rPr>
          <w:rFonts w:cs="Times New Roman"/>
          <w:szCs w:val="24"/>
          <w:lang w:val="en-GB"/>
        </w:rPr>
        <w:instrText>ADDIN CSL_CITATION {"citationItems":[{"id":"ITEM-1","itemData":{"DOI":"10.1146/annurev-orgpsych-032414-111316","ISSN":"23270608","abstract":"Over two decades of research has indicated that group affect is an important factor that shapes group processes and outcomes. We review and synthesize research on group affect, encompassing trait affect, moods, and emotions at a collective level in purposive teams. We begin by defining group affect and examining four major types of collective affective constructs: (a) convergence in group affect; (b) affective diversity, that is, divergence in group affect; (c) emotional culture; and (d) group affect as a dynamic process that changes over time. We describe the nomological network of group affect, examining both its group-level antecedents and group-level consequences. Antecedents include group leadership, group member attributes, and interactions between and relationships among group members. Consequences of group affect include attitudes about the group and group-level cooperation and conflict, creativity, decision making, and performance. We close by discussing current research knowns, research needs, and what lies on the conceptual and methodological frontiers of this domain.","author":[{"dropping-particle":"","family":"Barsade","given":"Sigal G.","non-dropping-particle":"","parse-names":false,"suffix":""},{"dropping-particle":"","family":"Knight","given":"Andrew P.","non-dropping-particle":"","parse-names":false,"suffix":""}],"container-title":"Annual Review of Organizational Psychology and Organizational Behavior","id":"ITEM-1","issued":{"date-parts":[["2015"]]},"title":"Group Affect","type":"article"},"uris":["http://www.mendeley.com/documents/?uuid=be6f9a67-2b1a-4a41-957d-3c7c1b7ce1a0","http://www.mendeley.com/documents/?uuid=cd9cbe6c-3928-4483-b7da-fbbc7b5e7375"]}],"mendeley":{"formattedCitation":"(Barsade and Knight, 2015)","plainTextFormattedCitation":"(Barsade and Knight, 2015)","previouslyFormattedCitation":"(Barsade and Knight, 2015)"},"properties":{"noteIndex":0},"schema":"https://github.com/citation-style-language/schema/raw/master/csl-citation.json"}</w:instrText>
      </w:r>
      <w:r w:rsidR="0087087F" w:rsidRPr="001A62EA">
        <w:rPr>
          <w:rFonts w:cs="Times New Roman"/>
          <w:szCs w:val="24"/>
          <w:lang w:val="en-GB"/>
        </w:rPr>
        <w:fldChar w:fldCharType="separate"/>
      </w:r>
      <w:r w:rsidR="0087087F" w:rsidRPr="001A62EA">
        <w:rPr>
          <w:rFonts w:cs="Times New Roman"/>
          <w:szCs w:val="24"/>
          <w:lang w:val="en-GB"/>
        </w:rPr>
        <w:t>(Barsade and Knight, 2015)</w:t>
      </w:r>
      <w:r w:rsidR="0087087F" w:rsidRPr="001A62EA">
        <w:rPr>
          <w:rFonts w:cs="Times New Roman"/>
          <w:szCs w:val="24"/>
          <w:lang w:val="en-GB"/>
        </w:rPr>
        <w:fldChar w:fldCharType="end"/>
      </w:r>
      <w:r w:rsidRPr="001A62EA">
        <w:rPr>
          <w:rFonts w:cs="Times New Roman"/>
          <w:szCs w:val="24"/>
          <w:lang w:val="en-GB"/>
        </w:rPr>
        <w:t>. Unilever's manner of life is a lifestyle of execution. The diverse parts of the commercial enterprise are focused on improving monetary execution and nature of objects. Thru a hit initiative, singular execution is upheld. Thru collective endeavours of pioneers from diverse divisions, the company moreover guarantees a hierarchical lifestyle of execution. Consequently, this way of life of execution is showed on the person and authoritative tiers in Unilever's consumer products b</w:t>
      </w:r>
      <w:r w:rsidR="006D793B" w:rsidRPr="001A62EA">
        <w:rPr>
          <w:rFonts w:cs="Times New Roman"/>
          <w:szCs w:val="24"/>
          <w:lang w:val="en-GB"/>
        </w:rPr>
        <w:t>usiness. For pretty some time, U</w:t>
      </w:r>
      <w:r w:rsidRPr="001A62EA">
        <w:rPr>
          <w:rFonts w:cs="Times New Roman"/>
          <w:szCs w:val="24"/>
          <w:lang w:val="en-GB"/>
        </w:rPr>
        <w:t>nilever has given a scope of property to representatives, which includes valid, economic, and dating (among others), simply as devices round prosper</w:t>
      </w:r>
      <w:r w:rsidR="006D793B" w:rsidRPr="001A62EA">
        <w:rPr>
          <w:rFonts w:cs="Times New Roman"/>
          <w:szCs w:val="24"/>
          <w:lang w:val="en-GB"/>
        </w:rPr>
        <w:t>ity and mental properly-being (W</w:t>
      </w:r>
      <w:r w:rsidRPr="001A62EA">
        <w:rPr>
          <w:rFonts w:cs="Times New Roman"/>
          <w:szCs w:val="24"/>
          <w:lang w:val="en-GB"/>
        </w:rPr>
        <w:t>ebber</w:t>
      </w:r>
      <w:r w:rsidR="006D793B" w:rsidRPr="001A62EA">
        <w:rPr>
          <w:rFonts w:cs="Times New Roman"/>
          <w:szCs w:val="24"/>
          <w:lang w:val="en-GB"/>
        </w:rPr>
        <w:t>, 2020</w:t>
      </w:r>
      <w:r w:rsidRPr="001A62EA">
        <w:rPr>
          <w:rFonts w:cs="Times New Roman"/>
          <w:szCs w:val="24"/>
          <w:lang w:val="en-GB"/>
        </w:rPr>
        <w:t>).</w:t>
      </w:r>
    </w:p>
    <w:p w14:paraId="52F78D4C" w14:textId="77777777" w:rsidR="0054564C" w:rsidRPr="001A62EA" w:rsidRDefault="0054564C" w:rsidP="00930D75">
      <w:pPr>
        <w:spacing w:after="0"/>
        <w:jc w:val="both"/>
        <w:rPr>
          <w:rFonts w:cs="Times New Roman"/>
          <w:szCs w:val="24"/>
          <w:lang w:val="en-GB"/>
        </w:rPr>
      </w:pPr>
    </w:p>
    <w:p w14:paraId="7DF48282" w14:textId="77777777" w:rsidR="00571E78" w:rsidRPr="001A62EA" w:rsidRDefault="005B4C59" w:rsidP="00930D75">
      <w:pPr>
        <w:pStyle w:val="Heading2"/>
        <w:spacing w:before="0" w:beforeAutospacing="0" w:after="0" w:afterAutospacing="0" w:line="480" w:lineRule="auto"/>
        <w:rPr>
          <w:rStyle w:val="Strong"/>
          <w:b w:val="0"/>
          <w:bCs/>
          <w:color w:val="auto"/>
          <w:szCs w:val="24"/>
          <w:lang w:val="en-GB"/>
        </w:rPr>
      </w:pPr>
      <w:bookmarkStart w:id="8" w:name="_Toc60697864"/>
      <w:bookmarkEnd w:id="7"/>
      <w:r w:rsidRPr="001A62EA">
        <w:rPr>
          <w:rStyle w:val="Strong"/>
          <w:b w:val="0"/>
          <w:bCs/>
          <w:color w:val="auto"/>
          <w:szCs w:val="24"/>
          <w:lang w:val="en-GB"/>
        </w:rPr>
        <w:t xml:space="preserve">The ‘COVID </w:t>
      </w:r>
      <w:r w:rsidR="0054564C" w:rsidRPr="001A62EA">
        <w:rPr>
          <w:rStyle w:val="Strong"/>
          <w:b w:val="0"/>
          <w:bCs/>
          <w:color w:val="auto"/>
          <w:szCs w:val="24"/>
          <w:lang w:val="en-GB"/>
        </w:rPr>
        <w:t>Factor’</w:t>
      </w:r>
      <w:bookmarkEnd w:id="8"/>
    </w:p>
    <w:p w14:paraId="283FB6A1" w14:textId="77777777" w:rsidR="00930FAF" w:rsidRPr="001A62EA" w:rsidRDefault="005B4C59" w:rsidP="00930D75">
      <w:pPr>
        <w:spacing w:after="0"/>
        <w:ind w:firstLine="720"/>
        <w:jc w:val="both"/>
        <w:rPr>
          <w:rFonts w:cs="Times New Roman"/>
          <w:szCs w:val="24"/>
          <w:lang w:val="en-GB"/>
        </w:rPr>
      </w:pPr>
      <w:r w:rsidRPr="001A62EA">
        <w:rPr>
          <w:rFonts w:cs="Times New Roman"/>
          <w:szCs w:val="24"/>
          <w:lang w:val="en-GB"/>
        </w:rPr>
        <w:t xml:space="preserve">Unilever's supportability plan hasn't modified due to the pandemic, yet the agency has set up some extra restricted term activities to assist conflict it and at ease its worth chain. Those comprise giving €100m worth of client gadgets to the ones out of a good fortune and furnishing </w:t>
      </w:r>
      <w:r w:rsidRPr="001A62EA">
        <w:rPr>
          <w:rFonts w:cs="Times New Roman"/>
          <w:szCs w:val="24"/>
          <w:lang w:val="en-GB"/>
        </w:rPr>
        <w:lastRenderedPageBreak/>
        <w:t>little carriers and dispersion accomplices with capital help. It is moreover assisting exclusive public governments and wellness experts, for instance, working with the department for international improvement to provide hand-washing and cleanliness practice for 1 billion individuals around the sector (Rathbones, 2020)</w:t>
      </w:r>
      <w:r w:rsidR="00444F89" w:rsidRPr="001A62EA">
        <w:rPr>
          <w:rFonts w:cs="Times New Roman"/>
          <w:szCs w:val="24"/>
          <w:lang w:val="en-GB"/>
        </w:rPr>
        <w:t>.</w:t>
      </w:r>
    </w:p>
    <w:p w14:paraId="341EAEB9" w14:textId="77777777" w:rsidR="0054564C" w:rsidRPr="001A62EA" w:rsidRDefault="0054564C" w:rsidP="00930D75">
      <w:pPr>
        <w:shd w:val="clear" w:color="auto" w:fill="FFFFFF"/>
        <w:spacing w:after="0"/>
        <w:jc w:val="both"/>
        <w:rPr>
          <w:rFonts w:eastAsia="Times New Roman" w:cs="Times New Roman"/>
          <w:szCs w:val="24"/>
          <w:lang w:val="en-GB"/>
        </w:rPr>
      </w:pPr>
    </w:p>
    <w:p w14:paraId="1821B8B7" w14:textId="77777777" w:rsidR="004D5455" w:rsidRPr="001A62EA" w:rsidRDefault="005B4C59" w:rsidP="00930D75">
      <w:pPr>
        <w:pStyle w:val="Heading2"/>
        <w:spacing w:before="0" w:beforeAutospacing="0" w:after="0" w:afterAutospacing="0" w:line="480" w:lineRule="auto"/>
        <w:rPr>
          <w:color w:val="auto"/>
          <w:szCs w:val="24"/>
          <w:lang w:val="en-GB" w:eastAsia="zh-CN"/>
        </w:rPr>
      </w:pPr>
      <w:bookmarkStart w:id="9" w:name="_Toc38552405"/>
      <w:bookmarkStart w:id="10" w:name="_Toc59973397"/>
      <w:bookmarkStart w:id="11" w:name="_Toc60697865"/>
      <w:r w:rsidRPr="001A62EA">
        <w:rPr>
          <w:color w:val="auto"/>
          <w:szCs w:val="24"/>
          <w:lang w:val="en-GB" w:eastAsia="zh-CN"/>
        </w:rPr>
        <w:t xml:space="preserve">Organisation Operates and its Impact on </w:t>
      </w:r>
      <w:bookmarkEnd w:id="9"/>
      <w:bookmarkEnd w:id="10"/>
      <w:r w:rsidRPr="001A62EA">
        <w:rPr>
          <w:color w:val="auto"/>
          <w:szCs w:val="24"/>
          <w:lang w:val="en-GB" w:eastAsia="zh-CN"/>
        </w:rPr>
        <w:t>Unilever</w:t>
      </w:r>
      <w:bookmarkEnd w:id="11"/>
    </w:p>
    <w:p w14:paraId="60B7FF39" w14:textId="73EA057E" w:rsidR="00930FAF" w:rsidRPr="001A62EA" w:rsidRDefault="00A64A07" w:rsidP="00930D75">
      <w:pPr>
        <w:spacing w:after="0"/>
        <w:ind w:firstLine="720"/>
        <w:jc w:val="both"/>
        <w:rPr>
          <w:rFonts w:cs="Times New Roman"/>
          <w:szCs w:val="24"/>
          <w:highlight w:val="yellow"/>
          <w:shd w:val="clear" w:color="auto" w:fill="FFFFFF"/>
          <w:lang w:val="en-GB"/>
        </w:rPr>
      </w:pPr>
      <w:r w:rsidRPr="001A62EA">
        <w:rPr>
          <w:rFonts w:cs="Times New Roman"/>
          <w:szCs w:val="24"/>
          <w:highlight w:val="yellow"/>
          <w:shd w:val="clear" w:color="auto" w:fill="FFFFFF"/>
          <w:lang w:val="en-GB"/>
        </w:rPr>
        <w:t xml:space="preserve">Model of </w:t>
      </w:r>
      <w:r w:rsidR="005B4C59" w:rsidRPr="001A62EA">
        <w:rPr>
          <w:rFonts w:cs="Times New Roman"/>
          <w:szCs w:val="24"/>
          <w:highlight w:val="yellow"/>
          <w:shd w:val="clear" w:color="auto" w:fill="FFFFFF"/>
          <w:lang w:val="en-GB"/>
        </w:rPr>
        <w:t xml:space="preserve">PESTLE Analysis is an instrument for directors to comprehend the </w:t>
      </w:r>
      <w:r w:rsidRPr="001A62EA">
        <w:rPr>
          <w:rFonts w:cs="Times New Roman"/>
          <w:szCs w:val="24"/>
          <w:highlight w:val="yellow"/>
          <w:shd w:val="clear" w:color="auto" w:fill="FFFFFF"/>
          <w:lang w:val="en-GB"/>
        </w:rPr>
        <w:t>influence</w:t>
      </w:r>
      <w:r w:rsidR="005B4C59" w:rsidRPr="001A62EA">
        <w:rPr>
          <w:rFonts w:cs="Times New Roman"/>
          <w:szCs w:val="24"/>
          <w:highlight w:val="yellow"/>
          <w:shd w:val="clear" w:color="auto" w:fill="FFFFFF"/>
          <w:lang w:val="en-GB"/>
        </w:rPr>
        <w:t xml:space="preserve"> of the outer </w:t>
      </w:r>
      <w:r w:rsidR="00201A42" w:rsidRPr="001A62EA">
        <w:rPr>
          <w:rFonts w:cs="Times New Roman"/>
          <w:szCs w:val="24"/>
          <w:highlight w:val="yellow"/>
          <w:shd w:val="clear" w:color="auto" w:fill="FFFFFF"/>
          <w:lang w:val="en-GB"/>
        </w:rPr>
        <w:t>atmosphere</w:t>
      </w:r>
      <w:r w:rsidR="005B4C59" w:rsidRPr="001A62EA">
        <w:rPr>
          <w:rFonts w:cs="Times New Roman"/>
          <w:szCs w:val="24"/>
          <w:highlight w:val="yellow"/>
          <w:shd w:val="clear" w:color="auto" w:fill="FFFFFF"/>
          <w:lang w:val="en-GB"/>
        </w:rPr>
        <w:t xml:space="preserve"> on Unilever components differ essentially, the</w:t>
      </w:r>
      <w:r w:rsidR="0054564C" w:rsidRPr="001A62EA">
        <w:rPr>
          <w:rFonts w:cs="Times New Roman"/>
          <w:szCs w:val="24"/>
          <w:highlight w:val="yellow"/>
          <w:shd w:val="clear" w:color="auto" w:fill="FFFFFF"/>
          <w:lang w:val="en-GB"/>
        </w:rPr>
        <w:t xml:space="preserve"> global business</w:t>
      </w:r>
      <w:r w:rsidR="00152A28" w:rsidRPr="001A62EA">
        <w:rPr>
          <w:rFonts w:cs="Times New Roman"/>
          <w:szCs w:val="24"/>
          <w:highlight w:val="yellow"/>
          <w:shd w:val="clear" w:color="auto" w:fill="FFFFFF"/>
          <w:lang w:val="en-GB"/>
        </w:rPr>
        <w:t xml:space="preserve"> extent</w:t>
      </w:r>
      <w:r w:rsidR="0054564C" w:rsidRPr="001A62EA">
        <w:rPr>
          <w:rFonts w:cs="Times New Roman"/>
          <w:szCs w:val="24"/>
          <w:highlight w:val="yellow"/>
          <w:shd w:val="clear" w:color="auto" w:fill="FFFFFF"/>
          <w:lang w:val="en-GB"/>
        </w:rPr>
        <w:t>.</w:t>
      </w:r>
      <w:r w:rsidR="005B4C59" w:rsidRPr="001A62EA">
        <w:rPr>
          <w:rFonts w:cs="Times New Roman"/>
          <w:szCs w:val="24"/>
          <w:highlight w:val="yellow"/>
          <w:lang w:val="en-GB"/>
        </w:rPr>
        <w:t xml:space="preserve"> This investigation is utilized to survey those four outside components</w:t>
      </w:r>
      <w:r w:rsidR="005341A2" w:rsidRPr="001A62EA">
        <w:rPr>
          <w:rFonts w:cs="Times New Roman"/>
          <w:szCs w:val="24"/>
          <w:highlight w:val="yellow"/>
          <w:lang w:val="en-GB"/>
        </w:rPr>
        <w:t xml:space="preserve"> and impact of </w:t>
      </w:r>
      <w:r w:rsidR="001A62EA" w:rsidRPr="001A62EA">
        <w:rPr>
          <w:rFonts w:cs="Times New Roman"/>
          <w:szCs w:val="24"/>
          <w:highlight w:val="yellow"/>
          <w:lang w:val="en-GB"/>
        </w:rPr>
        <w:t>Covid</w:t>
      </w:r>
      <w:r w:rsidR="005B4C59" w:rsidRPr="001A62EA">
        <w:rPr>
          <w:rFonts w:cs="Times New Roman"/>
          <w:szCs w:val="24"/>
          <w:highlight w:val="yellow"/>
          <w:lang w:val="en-GB"/>
        </w:rPr>
        <w:t xml:space="preserve"> </w:t>
      </w:r>
      <w:r w:rsidR="005341A2" w:rsidRPr="001A62EA">
        <w:rPr>
          <w:rFonts w:cs="Times New Roman"/>
          <w:szCs w:val="24"/>
          <w:highlight w:val="yellow"/>
          <w:lang w:val="en-GB"/>
        </w:rPr>
        <w:t xml:space="preserve">19 on it </w:t>
      </w:r>
      <w:r w:rsidR="005B4C59" w:rsidRPr="001A62EA">
        <w:rPr>
          <w:rFonts w:cs="Times New Roman"/>
          <w:szCs w:val="24"/>
          <w:highlight w:val="yellow"/>
          <w:lang w:val="en-GB"/>
        </w:rPr>
        <w:t>(Frue, 2020).</w:t>
      </w:r>
    </w:p>
    <w:p w14:paraId="0DC71722" w14:textId="77777777" w:rsidR="00041CE4" w:rsidRPr="001A62EA" w:rsidRDefault="005B4C59" w:rsidP="00930D75">
      <w:pPr>
        <w:spacing w:after="0"/>
        <w:jc w:val="center"/>
        <w:rPr>
          <w:rFonts w:cs="Times New Roman"/>
          <w:szCs w:val="24"/>
          <w:highlight w:val="yellow"/>
          <w:shd w:val="clear" w:color="auto" w:fill="FFFFFF"/>
          <w:lang w:val="en-GB"/>
        </w:rPr>
      </w:pPr>
      <w:r w:rsidRPr="001A62EA">
        <w:rPr>
          <w:rFonts w:cs="Times New Roman"/>
          <w:noProof/>
          <w:szCs w:val="24"/>
          <w:highlight w:val="yellow"/>
          <w:shd w:val="clear" w:color="auto" w:fill="FFFFFF"/>
          <w:lang w:val="en-GB"/>
        </w:rPr>
        <w:drawing>
          <wp:inline distT="0" distB="0" distL="0" distR="0" wp14:anchorId="7973F1B9" wp14:editId="700D333A">
            <wp:extent cx="3028950" cy="2105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44275" name="EN-PESTEL.png"/>
                    <pic:cNvPicPr/>
                  </pic:nvPicPr>
                  <pic:blipFill>
                    <a:blip r:embed="rId8" cstate="print">
                      <a:extLst>
                        <a:ext uri="{28A0092B-C50C-407E-A947-70E740481C1C}">
                          <a14:useLocalDpi xmlns:a14="http://schemas.microsoft.com/office/drawing/2010/main" val="0"/>
                        </a:ext>
                      </a:extLst>
                    </a:blip>
                    <a:srcRect l="35262" t="6845" r="14221" b="9102"/>
                    <a:stretch>
                      <a:fillRect/>
                    </a:stretch>
                  </pic:blipFill>
                  <pic:spPr bwMode="auto">
                    <a:xfrm>
                      <a:off x="0" y="0"/>
                      <a:ext cx="3031444" cy="2106758"/>
                    </a:xfrm>
                    <a:prstGeom prst="rect">
                      <a:avLst/>
                    </a:prstGeom>
                    <a:ln>
                      <a:noFill/>
                    </a:ln>
                    <a:extLst>
                      <a:ext uri="{53640926-AAD7-44D8-BBD7-CCE9431645EC}">
                        <a14:shadowObscured xmlns:a14="http://schemas.microsoft.com/office/drawing/2010/main"/>
                      </a:ext>
                    </a:extLst>
                  </pic:spPr>
                </pic:pic>
              </a:graphicData>
            </a:graphic>
          </wp:inline>
        </w:drawing>
      </w:r>
    </w:p>
    <w:p w14:paraId="29CF3CA2" w14:textId="77777777" w:rsidR="00041CE4" w:rsidRPr="001A62EA" w:rsidRDefault="005B4C59" w:rsidP="00930D75">
      <w:pPr>
        <w:spacing w:after="0"/>
        <w:jc w:val="center"/>
        <w:rPr>
          <w:rFonts w:cs="Times New Roman"/>
          <w:szCs w:val="24"/>
          <w:highlight w:val="yellow"/>
          <w:shd w:val="clear" w:color="auto" w:fill="FFFFFF"/>
          <w:lang w:val="en-GB"/>
        </w:rPr>
      </w:pPr>
      <w:r w:rsidRPr="001A62EA">
        <w:rPr>
          <w:rFonts w:cs="Times New Roman"/>
          <w:szCs w:val="24"/>
          <w:highlight w:val="yellow"/>
          <w:shd w:val="clear" w:color="auto" w:fill="FFFFFF"/>
          <w:lang w:val="en-GB"/>
        </w:rPr>
        <w:t xml:space="preserve">Figure 2: Shows the PESTLE Analysis Model </w:t>
      </w:r>
    </w:p>
    <w:p w14:paraId="0E55DF0F" w14:textId="77777777" w:rsidR="0054564C" w:rsidRPr="001A62EA" w:rsidRDefault="005B4C59" w:rsidP="00930D75">
      <w:pPr>
        <w:spacing w:after="0"/>
        <w:jc w:val="center"/>
        <w:rPr>
          <w:rFonts w:cs="Times New Roman"/>
          <w:szCs w:val="24"/>
          <w:highlight w:val="yellow"/>
          <w:shd w:val="clear" w:color="auto" w:fill="FFFFFF"/>
          <w:lang w:val="en-GB"/>
        </w:rPr>
      </w:pPr>
      <w:r w:rsidRPr="001A62EA">
        <w:rPr>
          <w:rFonts w:cs="Times New Roman"/>
          <w:szCs w:val="24"/>
          <w:highlight w:val="yellow"/>
          <w:shd w:val="clear" w:color="auto" w:fill="FFFFFF"/>
          <w:lang w:val="en-GB"/>
        </w:rPr>
        <w:t>Source: Study.com</w:t>
      </w:r>
    </w:p>
    <w:p w14:paraId="0F5AEB83" w14:textId="77777777" w:rsidR="00C31FE2" w:rsidRPr="001A62EA" w:rsidRDefault="005B4C59" w:rsidP="00930D75">
      <w:pPr>
        <w:pStyle w:val="Heading2"/>
        <w:spacing w:before="0" w:beforeAutospacing="0" w:after="0" w:afterAutospacing="0" w:line="480" w:lineRule="auto"/>
        <w:rPr>
          <w:rStyle w:val="Emphasis"/>
          <w:i/>
          <w:iCs w:val="0"/>
          <w:color w:val="auto"/>
          <w:szCs w:val="24"/>
          <w:highlight w:val="yellow"/>
          <w:lang w:val="en-GB"/>
        </w:rPr>
      </w:pPr>
      <w:bookmarkStart w:id="12" w:name="_Toc60697866"/>
      <w:r w:rsidRPr="001A62EA">
        <w:rPr>
          <w:rStyle w:val="Emphasis"/>
          <w:i/>
          <w:iCs w:val="0"/>
          <w:color w:val="auto"/>
          <w:szCs w:val="24"/>
          <w:highlight w:val="yellow"/>
          <w:lang w:val="en-GB"/>
        </w:rPr>
        <w:t>PESTLE analysis of Unilever</w:t>
      </w:r>
      <w:bookmarkEnd w:id="12"/>
    </w:p>
    <w:p w14:paraId="2E09C8BF" w14:textId="44C1BCBF" w:rsidR="0054564C" w:rsidRPr="001A62EA" w:rsidRDefault="005B4C59" w:rsidP="00930D75">
      <w:pPr>
        <w:spacing w:after="0"/>
        <w:ind w:firstLine="720"/>
        <w:jc w:val="both"/>
        <w:rPr>
          <w:rStyle w:val="Emphasis"/>
          <w:rFonts w:cs="Times New Roman"/>
          <w:i w:val="0"/>
          <w:iCs w:val="0"/>
          <w:szCs w:val="24"/>
          <w:highlight w:val="yellow"/>
          <w:lang w:val="en-GB"/>
        </w:rPr>
      </w:pPr>
      <w:r w:rsidRPr="001A62EA">
        <w:rPr>
          <w:rFonts w:cs="Times New Roman"/>
          <w:szCs w:val="24"/>
          <w:highlight w:val="yellow"/>
          <w:lang w:val="en-GB"/>
        </w:rPr>
        <w:t xml:space="preserve">Pestle analysis of Unilever diagrams development openings within the worldwide consumer merchandise marketplace. Whilst the business enterprise faces dangers in it's a long way off </w:t>
      </w:r>
      <w:r w:rsidR="00BA5705" w:rsidRPr="001A62EA">
        <w:rPr>
          <w:rFonts w:cs="Times New Roman"/>
          <w:szCs w:val="24"/>
          <w:highlight w:val="yellow"/>
          <w:lang w:val="en-GB"/>
        </w:rPr>
        <w:t xml:space="preserve">due to COVID-19 </w:t>
      </w:r>
      <w:r w:rsidRPr="001A62EA">
        <w:rPr>
          <w:rFonts w:cs="Times New Roman"/>
          <w:szCs w:val="24"/>
          <w:highlight w:val="yellow"/>
          <w:lang w:val="en-GB"/>
        </w:rPr>
        <w:t xml:space="preserve">or large scale </w:t>
      </w:r>
      <w:r w:rsidR="00BA5705" w:rsidRPr="001A62EA">
        <w:rPr>
          <w:rFonts w:cs="Times New Roman"/>
          <w:szCs w:val="24"/>
          <w:highlight w:val="yellow"/>
          <w:lang w:val="en-GB"/>
        </w:rPr>
        <w:t xml:space="preserve">impact on </w:t>
      </w:r>
      <w:r w:rsidRPr="001A62EA">
        <w:rPr>
          <w:rFonts w:cs="Times New Roman"/>
          <w:szCs w:val="24"/>
          <w:highlight w:val="yellow"/>
          <w:lang w:val="en-GB"/>
        </w:rPr>
        <w:t xml:space="preserve">climate, improvement is feasible using </w:t>
      </w:r>
      <w:r w:rsidRPr="001A62EA">
        <w:rPr>
          <w:rFonts w:cs="Times New Roman"/>
          <w:szCs w:val="24"/>
          <w:highlight w:val="yellow"/>
          <w:lang w:val="en-GB"/>
        </w:rPr>
        <w:lastRenderedPageBreak/>
        <w:t>zeroing in on item development, among one-of-a-kind methodologies</w:t>
      </w:r>
      <w:r w:rsidR="0087087F" w:rsidRPr="001A62EA">
        <w:rPr>
          <w:rFonts w:cs="Times New Roman"/>
          <w:szCs w:val="24"/>
          <w:highlight w:val="yellow"/>
          <w:lang w:val="en-GB"/>
        </w:rPr>
        <w:t xml:space="preserve"> </w:t>
      </w:r>
      <w:r w:rsidR="0087087F" w:rsidRPr="001A62EA">
        <w:rPr>
          <w:rStyle w:val="Emphasis"/>
          <w:rFonts w:cs="Times New Roman"/>
          <w:i w:val="0"/>
          <w:iCs w:val="0"/>
          <w:szCs w:val="24"/>
          <w:highlight w:val="yellow"/>
          <w:lang w:val="en-GB"/>
        </w:rPr>
        <w:fldChar w:fldCharType="begin" w:fldLock="1"/>
      </w:r>
      <w:r w:rsidR="0087087F" w:rsidRPr="001A62EA">
        <w:rPr>
          <w:rStyle w:val="Emphasis"/>
          <w:rFonts w:cs="Times New Roman"/>
          <w:i w:val="0"/>
          <w:iCs w:val="0"/>
          <w:szCs w:val="24"/>
          <w:highlight w:val="yellow"/>
          <w:lang w:val="en-GB"/>
        </w:rPr>
        <w:instrText>ADDIN CSL_CITATION {"citationItems":[{"id":"ITEM-1","itemData":{"abstract":"An organization's corporate culture reflects the values and norms that become the company's vision and mission in achieving its goals. Implementation of suitable organizational culture will have a positive impact on work motivation so as to improve employeeperformance in the company. Indeed companies that have a strong organizational culture will have a great influence on the behavior of its employee because of the high level of togetherness and intensity of creating an internal climate of high behavioral control. Employees who have good performance then create the increasing performance of the organization because employees become mover of organizational operations. Many variables affect employee performance, one of them is organizational culture. Organizational culture is a common perception owned by all employees of the organization, so that every employee who becomes a member of the organization will have value, belief and behavior in accordance with the organization. This study analyzed the influence of organizational culture on work motivation and its impact on employee performance in AUTO2000 Sutoyo Malang, East Java. This research perspective refers to employees of the AUTO2000 company.","author":[{"dropping-particle":"","family":"Sagita","given":"Alinvia Ayu","non-dropping-particle":"","parse-names":false,"suffix":""},{"dropping-particle":"","family":"Susilo","given":"Heru","non-dropping-particle":"","parse-names":false,"suffix":""},{"dropping-particle":"","family":"Cahyo","given":"Muhammad","non-dropping-particle":"","parse-names":false,"suffix":""}],"container-title":"Jurnal Administrasi Bisnis (JAB)|Vol","id":"ITEM-1","issued":{"date-parts":[["2018"]]},"title":"PENGARUH BUDAYA ORGANISASI TERHADAP KINERJA KARYAWAN DENGAN MOTIVASI KERJA SEBAGAI VARIABEL MEDIATOR (Studi Pada PT Astra Internasional, Tbk-Toyota (Auto2000) Cabang Sutoyo Malang)","type":"report"},"uris":["http://www.mendeley.com/documents/?uuid=0e6e9d59-ce9a-4eaf-a898-217dd6de71d7","http://www.mendeley.com/documents/?uuid=b28d4179-be28-4c1c-a4c7-4a123e96bc9e"]}],"mendeley":{"formattedCitation":"(Sagita, Susilo and Cahyo, 2018)","plainTextFormattedCitation":"(Sagita, Susilo and Cahyo, 2018)","previouslyFormattedCitation":"(Sagita, Susilo and Cahyo, 2018)"},"properties":{"noteIndex":0},"schema":"https://github.com/citation-style-language/schema/raw/master/csl-citation.json"}</w:instrText>
      </w:r>
      <w:r w:rsidR="0087087F" w:rsidRPr="001A62EA">
        <w:rPr>
          <w:rStyle w:val="Emphasis"/>
          <w:rFonts w:cs="Times New Roman"/>
          <w:i w:val="0"/>
          <w:iCs w:val="0"/>
          <w:szCs w:val="24"/>
          <w:highlight w:val="yellow"/>
          <w:lang w:val="en-GB"/>
        </w:rPr>
        <w:fldChar w:fldCharType="separate"/>
      </w:r>
      <w:r w:rsidR="0087087F" w:rsidRPr="001A62EA">
        <w:rPr>
          <w:rStyle w:val="Emphasis"/>
          <w:rFonts w:cs="Times New Roman"/>
          <w:i w:val="0"/>
          <w:iCs w:val="0"/>
          <w:szCs w:val="24"/>
          <w:highlight w:val="yellow"/>
          <w:lang w:val="en-GB"/>
        </w:rPr>
        <w:t>(Sagita, Susilo and Cahyo, 2018)</w:t>
      </w:r>
      <w:r w:rsidR="0087087F" w:rsidRPr="001A62EA">
        <w:rPr>
          <w:rStyle w:val="Emphasis"/>
          <w:rFonts w:cs="Times New Roman"/>
          <w:i w:val="0"/>
          <w:iCs w:val="0"/>
          <w:szCs w:val="24"/>
          <w:highlight w:val="yellow"/>
          <w:lang w:val="en-GB"/>
        </w:rPr>
        <w:fldChar w:fldCharType="end"/>
      </w:r>
    </w:p>
    <w:p w14:paraId="48671E27" w14:textId="77777777" w:rsidR="00E50BA3" w:rsidRPr="001A62EA" w:rsidRDefault="005B4C59" w:rsidP="00930D75">
      <w:pPr>
        <w:pStyle w:val="Heading3"/>
        <w:spacing w:before="0"/>
        <w:rPr>
          <w:rFonts w:eastAsia="Times New Roman" w:cs="Times New Roman"/>
          <w:color w:val="auto"/>
          <w:szCs w:val="24"/>
          <w:highlight w:val="yellow"/>
          <w:lang w:val="en-GB"/>
        </w:rPr>
      </w:pPr>
      <w:bookmarkStart w:id="13" w:name="_Toc60697867"/>
      <w:r w:rsidRPr="001A62EA">
        <w:rPr>
          <w:rFonts w:eastAsia="Times New Roman" w:cs="Times New Roman"/>
          <w:color w:val="auto"/>
          <w:szCs w:val="24"/>
          <w:highlight w:val="yellow"/>
          <w:lang w:val="en-GB"/>
        </w:rPr>
        <w:t>Political Factors</w:t>
      </w:r>
      <w:bookmarkEnd w:id="13"/>
      <w:r w:rsidRPr="001A62EA">
        <w:rPr>
          <w:rFonts w:eastAsia="Times New Roman" w:cs="Times New Roman"/>
          <w:color w:val="auto"/>
          <w:szCs w:val="24"/>
          <w:highlight w:val="yellow"/>
          <w:lang w:val="en-GB"/>
        </w:rPr>
        <w:t xml:space="preserve"> </w:t>
      </w:r>
    </w:p>
    <w:p w14:paraId="36FCA50C" w14:textId="5743630F" w:rsidR="00D74C50" w:rsidRPr="001A62EA" w:rsidRDefault="005B4C59" w:rsidP="00930D75">
      <w:pPr>
        <w:spacing w:after="0"/>
        <w:ind w:firstLine="720"/>
        <w:rPr>
          <w:rFonts w:cs="Times New Roman"/>
          <w:szCs w:val="24"/>
          <w:highlight w:val="yellow"/>
          <w:lang w:val="en-GB"/>
        </w:rPr>
      </w:pPr>
      <w:r w:rsidRPr="001A62EA">
        <w:rPr>
          <w:rFonts w:cs="Times New Roman"/>
          <w:szCs w:val="24"/>
          <w:highlight w:val="yellow"/>
          <w:lang w:val="en-GB"/>
        </w:rPr>
        <w:t>Unilever has a huge portfolio</w:t>
      </w:r>
      <w:r w:rsidR="0046184F" w:rsidRPr="001A62EA">
        <w:rPr>
          <w:rFonts w:cs="Times New Roman"/>
          <w:szCs w:val="24"/>
          <w:highlight w:val="yellow"/>
          <w:lang w:val="en-GB"/>
        </w:rPr>
        <w:t xml:space="preserve"> of products</w:t>
      </w:r>
      <w:r w:rsidRPr="001A62EA">
        <w:rPr>
          <w:rFonts w:cs="Times New Roman"/>
          <w:szCs w:val="24"/>
          <w:highlight w:val="yellow"/>
          <w:lang w:val="en-GB"/>
        </w:rPr>
        <w:t xml:space="preserve"> with chiefly working in the accompanying </w:t>
      </w:r>
      <w:r w:rsidR="0046184F" w:rsidRPr="001A62EA">
        <w:rPr>
          <w:rFonts w:cs="Times New Roman"/>
          <w:szCs w:val="24"/>
          <w:highlight w:val="yellow"/>
          <w:lang w:val="en-GB"/>
        </w:rPr>
        <w:t>sections</w:t>
      </w:r>
      <w:r w:rsidRPr="001A62EA">
        <w:rPr>
          <w:rFonts w:cs="Times New Roman"/>
          <w:szCs w:val="24"/>
          <w:highlight w:val="yellow"/>
          <w:lang w:val="en-GB"/>
        </w:rPr>
        <w:t>: Personal Care</w:t>
      </w:r>
      <w:r w:rsidR="00894789" w:rsidRPr="001A62EA">
        <w:rPr>
          <w:rFonts w:cs="Times New Roman"/>
          <w:szCs w:val="24"/>
          <w:highlight w:val="yellow"/>
          <w:lang w:val="en-GB"/>
        </w:rPr>
        <w:t xml:space="preserve"> and Beauty</w:t>
      </w:r>
      <w:r w:rsidRPr="001A62EA">
        <w:rPr>
          <w:rFonts w:cs="Times New Roman"/>
          <w:szCs w:val="24"/>
          <w:highlight w:val="yellow"/>
          <w:lang w:val="en-GB"/>
        </w:rPr>
        <w:t>, reward</w:t>
      </w:r>
      <w:r w:rsidR="00894789" w:rsidRPr="001A62EA">
        <w:rPr>
          <w:rFonts w:cs="Times New Roman"/>
          <w:szCs w:val="24"/>
          <w:highlight w:val="yellow"/>
          <w:lang w:val="en-GB"/>
        </w:rPr>
        <w:t xml:space="preserve"> and Food</w:t>
      </w:r>
      <w:r w:rsidRPr="001A62EA">
        <w:rPr>
          <w:rFonts w:cs="Times New Roman"/>
          <w:szCs w:val="24"/>
          <w:highlight w:val="yellow"/>
          <w:lang w:val="en-GB"/>
        </w:rPr>
        <w:t>, Water purifier</w:t>
      </w:r>
      <w:r w:rsidR="006912EE" w:rsidRPr="001A62EA">
        <w:rPr>
          <w:rFonts w:cs="Times New Roman"/>
          <w:szCs w:val="24"/>
          <w:highlight w:val="yellow"/>
          <w:lang w:val="en-GB"/>
        </w:rPr>
        <w:t xml:space="preserve"> and Home Care</w:t>
      </w:r>
      <w:r w:rsidRPr="001A62EA">
        <w:rPr>
          <w:rFonts w:cs="Times New Roman"/>
          <w:szCs w:val="24"/>
          <w:highlight w:val="yellow"/>
          <w:lang w:val="en-GB"/>
        </w:rPr>
        <w:t xml:space="preserve">. A large portion of the </w:t>
      </w:r>
      <w:r w:rsidR="00185370" w:rsidRPr="001A62EA">
        <w:rPr>
          <w:rFonts w:cs="Times New Roman"/>
          <w:szCs w:val="24"/>
          <w:highlight w:val="yellow"/>
          <w:lang w:val="en-GB"/>
        </w:rPr>
        <w:t>revenue</w:t>
      </w:r>
      <w:r w:rsidRPr="001A62EA">
        <w:rPr>
          <w:rFonts w:cs="Times New Roman"/>
          <w:szCs w:val="24"/>
          <w:highlight w:val="yellow"/>
          <w:lang w:val="en-GB"/>
        </w:rPr>
        <w:t xml:space="preserve"> which it creates is from the </w:t>
      </w:r>
      <w:r w:rsidR="00404F6F" w:rsidRPr="001A62EA">
        <w:rPr>
          <w:rFonts w:cs="Times New Roman"/>
          <w:szCs w:val="24"/>
          <w:highlight w:val="yellow"/>
          <w:lang w:val="en-GB"/>
        </w:rPr>
        <w:t>Fast-Moving</w:t>
      </w:r>
      <w:r w:rsidRPr="001A62EA">
        <w:rPr>
          <w:rFonts w:cs="Times New Roman"/>
          <w:szCs w:val="24"/>
          <w:highlight w:val="yellow"/>
          <w:lang w:val="en-GB"/>
        </w:rPr>
        <w:t xml:space="preserve"> products</w:t>
      </w:r>
      <w:r w:rsidR="00D62AD0" w:rsidRPr="001A62EA">
        <w:rPr>
          <w:rFonts w:cs="Times New Roman"/>
          <w:szCs w:val="24"/>
          <w:highlight w:val="yellow"/>
          <w:lang w:val="en-GB"/>
        </w:rPr>
        <w:t xml:space="preserve"> for Consumer</w:t>
      </w:r>
      <w:r w:rsidRPr="001A62EA">
        <w:rPr>
          <w:rFonts w:cs="Times New Roman"/>
          <w:szCs w:val="24"/>
          <w:highlight w:val="yellow"/>
          <w:lang w:val="en-GB"/>
        </w:rPr>
        <w:t xml:space="preserve">. Along these lines, </w:t>
      </w:r>
      <w:r w:rsidR="004E46F4" w:rsidRPr="001A62EA">
        <w:rPr>
          <w:rFonts w:cs="Times New Roman"/>
          <w:szCs w:val="24"/>
          <w:highlight w:val="yellow"/>
          <w:lang w:val="en-GB"/>
        </w:rPr>
        <w:t>it</w:t>
      </w:r>
      <w:r w:rsidRPr="001A62EA">
        <w:rPr>
          <w:rFonts w:cs="Times New Roman"/>
          <w:szCs w:val="24"/>
          <w:highlight w:val="yellow"/>
          <w:lang w:val="en-GB"/>
        </w:rPr>
        <w:t xml:space="preserve"> needs to submit to the </w:t>
      </w:r>
      <w:r w:rsidR="00032680" w:rsidRPr="001A62EA">
        <w:rPr>
          <w:rFonts w:cs="Times New Roman"/>
          <w:szCs w:val="24"/>
          <w:highlight w:val="yellow"/>
          <w:lang w:val="en-GB"/>
        </w:rPr>
        <w:t>instructions</w:t>
      </w:r>
      <w:r w:rsidRPr="001A62EA">
        <w:rPr>
          <w:rFonts w:cs="Times New Roman"/>
          <w:szCs w:val="24"/>
          <w:highlight w:val="yellow"/>
          <w:lang w:val="en-GB"/>
        </w:rPr>
        <w:t xml:space="preserve"> set by the Drug </w:t>
      </w:r>
      <w:r w:rsidR="00D45B2D" w:rsidRPr="001A62EA">
        <w:rPr>
          <w:rFonts w:cs="Times New Roman"/>
          <w:szCs w:val="24"/>
          <w:highlight w:val="yellow"/>
          <w:lang w:val="en-GB"/>
        </w:rPr>
        <w:t xml:space="preserve">and Food </w:t>
      </w:r>
      <w:r w:rsidRPr="001A62EA">
        <w:rPr>
          <w:rFonts w:cs="Times New Roman"/>
          <w:szCs w:val="24"/>
          <w:highlight w:val="yellow"/>
          <w:lang w:val="en-GB"/>
        </w:rPr>
        <w:t xml:space="preserve">Administration. </w:t>
      </w:r>
      <w:r w:rsidR="00040297" w:rsidRPr="001A62EA">
        <w:rPr>
          <w:rFonts w:cs="Times New Roman"/>
          <w:szCs w:val="24"/>
          <w:highlight w:val="yellow"/>
          <w:lang w:val="en-GB"/>
        </w:rPr>
        <w:t>Major</w:t>
      </w:r>
      <w:r w:rsidRPr="001A62EA">
        <w:rPr>
          <w:rFonts w:cs="Times New Roman"/>
          <w:szCs w:val="24"/>
          <w:highlight w:val="yellow"/>
          <w:lang w:val="en-GB"/>
        </w:rPr>
        <w:t xml:space="preserve"> political </w:t>
      </w:r>
      <w:r w:rsidR="00764EB6" w:rsidRPr="001A62EA">
        <w:rPr>
          <w:rFonts w:cs="Times New Roman"/>
          <w:szCs w:val="24"/>
          <w:highlight w:val="yellow"/>
          <w:lang w:val="en-GB"/>
        </w:rPr>
        <w:t>features</w:t>
      </w:r>
      <w:r w:rsidRPr="001A62EA">
        <w:rPr>
          <w:rFonts w:cs="Times New Roman"/>
          <w:szCs w:val="24"/>
          <w:highlight w:val="yellow"/>
          <w:lang w:val="en-GB"/>
        </w:rPr>
        <w:t xml:space="preserve"> which will hit </w:t>
      </w:r>
      <w:r w:rsidR="00C50C05" w:rsidRPr="001A62EA">
        <w:rPr>
          <w:rFonts w:cs="Times New Roman"/>
          <w:szCs w:val="24"/>
          <w:highlight w:val="yellow"/>
          <w:lang w:val="en-GB"/>
        </w:rPr>
        <w:t>the organisation</w:t>
      </w:r>
      <w:r w:rsidR="004369D2" w:rsidRPr="001A62EA">
        <w:rPr>
          <w:rFonts w:cs="Times New Roman"/>
          <w:szCs w:val="24"/>
          <w:highlight w:val="yellow"/>
          <w:lang w:val="en-GB"/>
        </w:rPr>
        <w:t xml:space="preserve"> scarcely </w:t>
      </w:r>
      <w:r w:rsidRPr="001A62EA">
        <w:rPr>
          <w:rFonts w:cs="Times New Roman"/>
          <w:szCs w:val="24"/>
          <w:highlight w:val="yellow"/>
          <w:lang w:val="en-GB"/>
        </w:rPr>
        <w:t>of present U.S.A. government</w:t>
      </w:r>
      <w:r w:rsidR="004369D2" w:rsidRPr="001A62EA">
        <w:rPr>
          <w:rFonts w:cs="Times New Roman"/>
          <w:szCs w:val="24"/>
          <w:highlight w:val="yellow"/>
          <w:lang w:val="en-GB"/>
        </w:rPr>
        <w:t xml:space="preserve"> position</w:t>
      </w:r>
      <w:r w:rsidRPr="001A62EA">
        <w:rPr>
          <w:rFonts w:cs="Times New Roman"/>
          <w:szCs w:val="24"/>
          <w:highlight w:val="yellow"/>
          <w:lang w:val="en-GB"/>
        </w:rPr>
        <w:t xml:space="preserve">. </w:t>
      </w:r>
      <w:r w:rsidR="00BA5705" w:rsidRPr="001A62EA">
        <w:rPr>
          <w:rFonts w:cs="Times New Roman"/>
          <w:szCs w:val="24"/>
          <w:highlight w:val="yellow"/>
          <w:lang w:val="en-GB"/>
        </w:rPr>
        <w:t xml:space="preserve">The impact of Political factors on the </w:t>
      </w:r>
      <w:r w:rsidR="001A62EA">
        <w:rPr>
          <w:rFonts w:cs="Times New Roman"/>
          <w:szCs w:val="24"/>
          <w:highlight w:val="yellow"/>
          <w:lang w:val="en-GB"/>
        </w:rPr>
        <w:t>Unilever</w:t>
      </w:r>
      <w:r w:rsidR="00BA5705" w:rsidRPr="001A62EA">
        <w:rPr>
          <w:rFonts w:cs="Times New Roman"/>
          <w:szCs w:val="24"/>
          <w:highlight w:val="yellow"/>
          <w:lang w:val="en-GB"/>
        </w:rPr>
        <w:t xml:space="preserve"> consumer marketplace due to the </w:t>
      </w:r>
      <w:r w:rsidR="001A62EA" w:rsidRPr="001A62EA">
        <w:rPr>
          <w:rFonts w:cs="Times New Roman"/>
          <w:szCs w:val="24"/>
          <w:highlight w:val="yellow"/>
          <w:lang w:val="en-GB"/>
        </w:rPr>
        <w:t>epidemic</w:t>
      </w:r>
      <w:r w:rsidR="00BA5705" w:rsidRPr="001A62EA">
        <w:rPr>
          <w:rFonts w:cs="Times New Roman"/>
          <w:szCs w:val="24"/>
          <w:highlight w:val="yellow"/>
          <w:lang w:val="en-GB"/>
        </w:rPr>
        <w:t xml:space="preserve"> situation of COVID-19 shows so many various political changes, which is troubling the company financial condition, on other hand company is concerned over the uncertain political changes of COVID-19 and making political managing strategies to handle the financial crisis situation of the company. On other hands the changes made by the coronavirus in the political situation of many countries are also impacting the situation of employees and affecting their </w:t>
      </w:r>
      <w:r w:rsidR="001A62EA" w:rsidRPr="001A62EA">
        <w:rPr>
          <w:rFonts w:cs="Times New Roman"/>
          <w:szCs w:val="24"/>
          <w:highlight w:val="yellow"/>
          <w:lang w:val="en-GB"/>
        </w:rPr>
        <w:t>livelihoods</w:t>
      </w:r>
      <w:r w:rsidR="00BA5705" w:rsidRPr="001A62EA">
        <w:rPr>
          <w:rFonts w:cs="Times New Roman"/>
          <w:szCs w:val="24"/>
          <w:highlight w:val="yellow"/>
          <w:lang w:val="en-GB"/>
        </w:rPr>
        <w:t xml:space="preserve">. The government of many countries is taking actions to provide relief to its people due to the epidemic situation to industries and people related to it. </w:t>
      </w:r>
    </w:p>
    <w:p w14:paraId="15547FE6" w14:textId="77777777" w:rsidR="00930FAF" w:rsidRPr="001A62EA" w:rsidRDefault="005B4C59" w:rsidP="00930D75">
      <w:pPr>
        <w:spacing w:after="0"/>
        <w:ind w:firstLine="720"/>
        <w:rPr>
          <w:rFonts w:cs="Times New Roman"/>
          <w:szCs w:val="24"/>
          <w:highlight w:val="yellow"/>
          <w:lang w:val="en-GB"/>
        </w:rPr>
      </w:pPr>
      <w:r w:rsidRPr="001A62EA">
        <w:rPr>
          <w:rFonts w:cs="Times New Roman"/>
          <w:szCs w:val="24"/>
          <w:highlight w:val="yellow"/>
          <w:lang w:val="en-GB"/>
        </w:rPr>
        <w:t>Following are the political factors which affect Unilever's product</w:t>
      </w:r>
      <w:r w:rsidR="00237775" w:rsidRPr="001A62EA">
        <w:rPr>
          <w:rFonts w:cs="Times New Roman"/>
          <w:szCs w:val="24"/>
          <w:highlight w:val="yellow"/>
          <w:lang w:val="en-GB"/>
        </w:rPr>
        <w:t>ion</w:t>
      </w:r>
      <w:r w:rsidRPr="001A62EA">
        <w:rPr>
          <w:rFonts w:cs="Times New Roman"/>
          <w:szCs w:val="24"/>
          <w:highlight w:val="yellow"/>
          <w:lang w:val="en-GB"/>
        </w:rPr>
        <w:t xml:space="preserve"> business</w:t>
      </w:r>
      <w:r w:rsidR="00237775" w:rsidRPr="001A62EA">
        <w:rPr>
          <w:rFonts w:cs="Times New Roman"/>
          <w:szCs w:val="24"/>
          <w:highlight w:val="yellow"/>
          <w:lang w:val="en-GB"/>
        </w:rPr>
        <w:t xml:space="preserve"> for customer</w:t>
      </w:r>
      <w:r w:rsidRPr="001A62EA">
        <w:rPr>
          <w:rFonts w:cs="Times New Roman"/>
          <w:szCs w:val="24"/>
          <w:highlight w:val="yellow"/>
          <w:lang w:val="en-GB"/>
        </w:rPr>
        <w:t>.</w:t>
      </w:r>
    </w:p>
    <w:p w14:paraId="65BB596B" w14:textId="77777777" w:rsidR="00930FAF" w:rsidRPr="001A62EA" w:rsidRDefault="005B4C59" w:rsidP="00930D75">
      <w:pPr>
        <w:spacing w:after="0"/>
        <w:rPr>
          <w:rFonts w:cs="Times New Roman"/>
          <w:szCs w:val="24"/>
          <w:highlight w:val="yellow"/>
          <w:lang w:val="en-GB"/>
        </w:rPr>
      </w:pPr>
      <w:r w:rsidRPr="001A62EA">
        <w:rPr>
          <w:rFonts w:eastAsia="Times New Roman" w:cs="Times New Roman"/>
          <w:szCs w:val="24"/>
          <w:highlight w:val="yellow"/>
          <w:lang w:val="en-GB"/>
        </w:rPr>
        <w:t>•</w:t>
      </w:r>
      <w:r w:rsidRPr="001A62EA">
        <w:rPr>
          <w:rFonts w:eastAsia="Times New Roman" w:cs="Times New Roman"/>
          <w:szCs w:val="24"/>
          <w:highlight w:val="yellow"/>
          <w:lang w:val="en-GB"/>
        </w:rPr>
        <w:tab/>
      </w:r>
      <w:r w:rsidRPr="001A62EA">
        <w:rPr>
          <w:rFonts w:cs="Times New Roman"/>
          <w:szCs w:val="24"/>
          <w:highlight w:val="yellow"/>
          <w:lang w:val="en-GB"/>
        </w:rPr>
        <w:t xml:space="preserve">Political balance of maximum nations </w:t>
      </w:r>
    </w:p>
    <w:p w14:paraId="5F6246EB" w14:textId="77777777" w:rsidR="00930FAF" w:rsidRPr="001A62EA" w:rsidRDefault="005B4C59" w:rsidP="00930D75">
      <w:pPr>
        <w:spacing w:after="0"/>
        <w:rPr>
          <w:rFonts w:cs="Times New Roman"/>
          <w:szCs w:val="24"/>
          <w:highlight w:val="yellow"/>
          <w:lang w:val="en-GB"/>
        </w:rPr>
      </w:pPr>
      <w:r w:rsidRPr="001A62EA">
        <w:rPr>
          <w:rFonts w:cs="Times New Roman"/>
          <w:szCs w:val="24"/>
          <w:highlight w:val="yellow"/>
          <w:lang w:val="en-GB"/>
        </w:rPr>
        <w:t>•</w:t>
      </w:r>
      <w:r w:rsidRPr="001A62EA">
        <w:rPr>
          <w:rFonts w:cs="Times New Roman"/>
          <w:szCs w:val="24"/>
          <w:highlight w:val="yellow"/>
          <w:lang w:val="en-GB"/>
        </w:rPr>
        <w:tab/>
        <w:t xml:space="preserve">Political problems in the </w:t>
      </w:r>
      <w:r w:rsidR="002F7B62" w:rsidRPr="001A62EA">
        <w:rPr>
          <w:rFonts w:cs="Times New Roman"/>
          <w:szCs w:val="24"/>
          <w:highlight w:val="yellow"/>
          <w:lang w:val="en-GB"/>
        </w:rPr>
        <w:t>EU</w:t>
      </w:r>
      <w:r w:rsidRPr="001A62EA">
        <w:rPr>
          <w:rFonts w:cs="Times New Roman"/>
          <w:szCs w:val="24"/>
          <w:highlight w:val="yellow"/>
          <w:lang w:val="en-GB"/>
        </w:rPr>
        <w:t xml:space="preserve"> </w:t>
      </w:r>
    </w:p>
    <w:p w14:paraId="58479889" w14:textId="2321AA7A" w:rsidR="00930FAF" w:rsidRPr="001A62EA" w:rsidRDefault="005B4C59" w:rsidP="00930D75">
      <w:pPr>
        <w:spacing w:after="0"/>
        <w:rPr>
          <w:rFonts w:cs="Times New Roman"/>
          <w:szCs w:val="24"/>
          <w:highlight w:val="yellow"/>
          <w:lang w:val="en-GB"/>
        </w:rPr>
      </w:pPr>
      <w:r w:rsidRPr="001A62EA">
        <w:rPr>
          <w:rFonts w:cs="Times New Roman"/>
          <w:szCs w:val="24"/>
          <w:highlight w:val="yellow"/>
          <w:lang w:val="en-GB"/>
        </w:rPr>
        <w:t>•</w:t>
      </w:r>
      <w:r w:rsidRPr="001A62EA">
        <w:rPr>
          <w:rFonts w:cs="Times New Roman"/>
          <w:szCs w:val="24"/>
          <w:highlight w:val="yellow"/>
          <w:lang w:val="en-GB"/>
        </w:rPr>
        <w:tab/>
      </w:r>
      <w:r w:rsidR="00424FBC" w:rsidRPr="001A62EA">
        <w:rPr>
          <w:rFonts w:cs="Times New Roman"/>
          <w:szCs w:val="24"/>
          <w:highlight w:val="yellow"/>
          <w:lang w:val="en-GB"/>
        </w:rPr>
        <w:t>Improving</w:t>
      </w:r>
      <w:r w:rsidRPr="001A62EA">
        <w:rPr>
          <w:rFonts w:cs="Times New Roman"/>
          <w:szCs w:val="24"/>
          <w:highlight w:val="yellow"/>
          <w:lang w:val="en-GB"/>
        </w:rPr>
        <w:t xml:space="preserve"> deregulation </w:t>
      </w:r>
      <w:r w:rsidR="00BA5705" w:rsidRPr="001A62EA">
        <w:rPr>
          <w:rFonts w:cs="Times New Roman"/>
          <w:szCs w:val="24"/>
          <w:highlight w:val="yellow"/>
          <w:lang w:val="en-GB"/>
        </w:rPr>
        <w:t>domestic and global</w:t>
      </w:r>
      <w:r w:rsidRPr="001A62EA">
        <w:rPr>
          <w:rFonts w:cs="Times New Roman"/>
          <w:szCs w:val="24"/>
          <w:highlight w:val="yellow"/>
          <w:lang w:val="en-GB"/>
        </w:rPr>
        <w:t xml:space="preserve"> members </w:t>
      </w:r>
    </w:p>
    <w:p w14:paraId="7F241B50" w14:textId="2325F0A7" w:rsidR="00F479BF" w:rsidRPr="001A62EA" w:rsidRDefault="00293FA0" w:rsidP="007825DE">
      <w:pPr>
        <w:spacing w:after="0"/>
        <w:ind w:firstLine="720"/>
        <w:jc w:val="both"/>
        <w:rPr>
          <w:rFonts w:cs="Times New Roman"/>
          <w:szCs w:val="24"/>
          <w:highlight w:val="yellow"/>
          <w:lang w:val="en-GB"/>
        </w:rPr>
      </w:pPr>
      <w:r w:rsidRPr="001A62EA">
        <w:rPr>
          <w:rFonts w:cs="Times New Roman"/>
          <w:szCs w:val="24"/>
          <w:highlight w:val="yellow"/>
          <w:lang w:val="en-GB"/>
        </w:rPr>
        <w:t>Most</w:t>
      </w:r>
      <w:r w:rsidR="005B4C59" w:rsidRPr="001A62EA">
        <w:rPr>
          <w:rFonts w:cs="Times New Roman"/>
          <w:szCs w:val="24"/>
          <w:highlight w:val="yellow"/>
          <w:lang w:val="en-GB"/>
        </w:rPr>
        <w:t xml:space="preserve"> nations </w:t>
      </w:r>
      <w:r w:rsidR="00404F6F" w:rsidRPr="001A62EA">
        <w:rPr>
          <w:rFonts w:cs="Times New Roman"/>
          <w:szCs w:val="24"/>
          <w:highlight w:val="yellow"/>
          <w:lang w:val="en-GB"/>
        </w:rPr>
        <w:t>give</w:t>
      </w:r>
      <w:r w:rsidRPr="001A62EA">
        <w:rPr>
          <w:rFonts w:cs="Times New Roman"/>
          <w:szCs w:val="24"/>
          <w:highlight w:val="yellow"/>
          <w:lang w:val="en-GB"/>
        </w:rPr>
        <w:t xml:space="preserve"> the political security and</w:t>
      </w:r>
      <w:r w:rsidR="005B4C59" w:rsidRPr="001A62EA">
        <w:rPr>
          <w:rFonts w:cs="Times New Roman"/>
          <w:szCs w:val="24"/>
          <w:highlight w:val="yellow"/>
          <w:lang w:val="en-GB"/>
        </w:rPr>
        <w:t xml:space="preserve"> open door for Unilever to fill in these </w:t>
      </w:r>
      <w:r w:rsidR="007825DE" w:rsidRPr="001A62EA">
        <w:rPr>
          <w:rFonts w:cs="Times New Roman"/>
          <w:szCs w:val="24"/>
          <w:highlight w:val="yellow"/>
          <w:lang w:val="en-GB"/>
        </w:rPr>
        <w:t>uncertain circumstances of coronavirus</w:t>
      </w:r>
      <w:r w:rsidR="005B4C59" w:rsidRPr="001A62EA">
        <w:rPr>
          <w:rFonts w:cs="Times New Roman"/>
          <w:szCs w:val="24"/>
          <w:highlight w:val="yellow"/>
          <w:lang w:val="en-GB"/>
        </w:rPr>
        <w:t xml:space="preserve">. Anyways, </w:t>
      </w:r>
      <w:r w:rsidR="00950435" w:rsidRPr="001A62EA">
        <w:rPr>
          <w:rFonts w:cs="Times New Roman"/>
          <w:szCs w:val="24"/>
          <w:highlight w:val="yellow"/>
          <w:lang w:val="en-GB"/>
        </w:rPr>
        <w:t>it</w:t>
      </w:r>
      <w:r w:rsidR="005B4C59" w:rsidRPr="001A62EA">
        <w:rPr>
          <w:rFonts w:cs="Times New Roman"/>
          <w:szCs w:val="24"/>
          <w:highlight w:val="yellow"/>
          <w:lang w:val="en-GB"/>
        </w:rPr>
        <w:t xml:space="preserve"> has an open door for global</w:t>
      </w:r>
      <w:r w:rsidR="007825DE" w:rsidRPr="001A62EA">
        <w:rPr>
          <w:rFonts w:cs="Times New Roman"/>
          <w:szCs w:val="24"/>
          <w:highlight w:val="yellow"/>
          <w:lang w:val="en-GB"/>
        </w:rPr>
        <w:t xml:space="preserve"> support</w:t>
      </w:r>
      <w:r w:rsidR="005B4C59" w:rsidRPr="001A62EA">
        <w:rPr>
          <w:rFonts w:cs="Times New Roman"/>
          <w:szCs w:val="24"/>
          <w:highlight w:val="yellow"/>
          <w:lang w:val="en-GB"/>
        </w:rPr>
        <w:t xml:space="preserve"> </w:t>
      </w:r>
      <w:r w:rsidR="005B4C59" w:rsidRPr="001A62EA">
        <w:rPr>
          <w:rFonts w:cs="Times New Roman"/>
          <w:szCs w:val="24"/>
          <w:highlight w:val="yellow"/>
          <w:lang w:val="en-GB"/>
        </w:rPr>
        <w:lastRenderedPageBreak/>
        <w:t xml:space="preserve">development dependent on the </w:t>
      </w:r>
      <w:r w:rsidR="00035D91" w:rsidRPr="001A62EA">
        <w:rPr>
          <w:rFonts w:cs="Times New Roman"/>
          <w:szCs w:val="24"/>
          <w:highlight w:val="yellow"/>
          <w:lang w:val="en-GB"/>
        </w:rPr>
        <w:t>growing</w:t>
      </w:r>
      <w:r w:rsidR="005B4C59" w:rsidRPr="001A62EA">
        <w:rPr>
          <w:rFonts w:cs="Times New Roman"/>
          <w:szCs w:val="24"/>
          <w:highlight w:val="yellow"/>
          <w:lang w:val="en-GB"/>
        </w:rPr>
        <w:t xml:space="preserve"> </w:t>
      </w:r>
      <w:r w:rsidR="007825DE" w:rsidRPr="001A62EA">
        <w:rPr>
          <w:rFonts w:cs="Times New Roman"/>
          <w:szCs w:val="24"/>
          <w:highlight w:val="yellow"/>
          <w:lang w:val="en-GB"/>
        </w:rPr>
        <w:t>cases of COVID-19</w:t>
      </w:r>
      <w:r w:rsidR="005B4C59" w:rsidRPr="001A62EA">
        <w:rPr>
          <w:rFonts w:cs="Times New Roman"/>
          <w:szCs w:val="24"/>
          <w:highlight w:val="yellow"/>
          <w:lang w:val="en-GB"/>
        </w:rPr>
        <w:t>, especially those inclusive of agricultural international locations</w:t>
      </w:r>
      <w:r w:rsidR="0087087F" w:rsidRPr="001A62EA">
        <w:rPr>
          <w:rFonts w:cs="Times New Roman"/>
          <w:szCs w:val="24"/>
          <w:highlight w:val="yellow"/>
          <w:lang w:val="en-GB"/>
        </w:rPr>
        <w:t xml:space="preserve"> </w:t>
      </w:r>
      <w:r w:rsidR="0087087F" w:rsidRPr="001A62EA">
        <w:rPr>
          <w:rFonts w:cs="Times New Roman"/>
          <w:szCs w:val="24"/>
          <w:highlight w:val="yellow"/>
          <w:lang w:val="en-GB"/>
        </w:rPr>
        <w:fldChar w:fldCharType="begin" w:fldLock="1"/>
      </w:r>
      <w:r w:rsidR="0087087F" w:rsidRPr="001A62EA">
        <w:rPr>
          <w:rFonts w:cs="Times New Roman"/>
          <w:szCs w:val="24"/>
          <w:highlight w:val="yellow"/>
          <w:lang w:val="en-GB"/>
        </w:rPr>
        <w:instrText>ADDIN CSL_CITATION {"citationItems":[{"id":"ITEM-1","itemData":{"DOI":"10.1108/IJLMA-12-2016-0174","ISSN":"17542448","abstract":"Purpose: This paper aims to examine factors that affect employee performance at Bank Tabungan Negara (BTN). Design/methodology/approach: A quantitative research approach was used with generalized structure component analysis (GSCA) as the analysis tool. This study was specific to Jabodetabek (Jakarta, Bogor, Depok, Tangerang, Bekasi) areas, considering that 60 per cent of employees of BTN, who were also the study population, resided in the Jabodetabek areas. This study was conducted for a month in 2016. By using the representative sample, the results could be generalized. Findings: The results of the analysis suggested that the structural model showed that the servant leadership (X1) significantly affected rewards (Y1) and organizational culture (Y2), but it had no significant effect on employee performance (Y3). Other results showed that there was a significant effect of rewards (Y1) on organizational culture (Y2) and employee performance (Y3), and that there was a significant effect of organizational culture (Y2) on employee performance (Y3). Originality/value: Russell and Stone (2002) studied the servant leadership in a review of servant leadership attributes, and McCann et al. (2014) studied servant leadership, employee satisfaction and organizational performance in rural community hospitals. Thereby, the originality of this paper is shown on servant leadership variable for relationship between rewards, organizational culture and employee’s performance. The method used is GSCA and the location of this research is at BTN throughout Indonesia, where there are no previous research studies that have discussed the same topic on these locations.","author":[{"dropping-particle":"","family":"Sihombing","given":"Sahat","non-dropping-particle":"","parse-names":false,"suffix":""},{"dropping-particle":"","family":"Astuti","given":"Endang Siti","non-dropping-particle":"","parse-names":false,"suffix":""},{"dropping-particle":"","family":"Musadieq","given":"Mochammad","non-dropping-particle":"Al","parse-names":false,"suffix":""},{"dropping-particle":"","family":"Hamied","given":"Djamhur","non-dropping-particle":"","parse-names":false,"suffix":""},{"dropping-particle":"","family":"Rahardjo","given":"Kusdi","non-dropping-particle":"","parse-names":false,"suffix":""}],"container-title":"International Journal of Law and Management","id":"ITEM-1","issued":{"date-parts":[["2018"]]},"title":"The effect of servant leadership on rewards, organizational culture and its implication for employee’s performance","type":"article-journal"},"uris":["http://www.mendeley.com/documents/?uuid=98e98b98-ae42-4bc0-9f92-3692ce5a7e99","http://www.mendeley.com/documents/?uuid=c29802c5-2136-48f8-8033-733c8e71050a"]}],"mendeley":{"formattedCitation":"(Sihombing &lt;i&gt;et al.&lt;/i&gt;, 2018)","plainTextFormattedCitation":"(Sihombing et al., 2018)","previouslyFormattedCitation":"(Sihombing &lt;i&gt;et al.&lt;/i&gt;, 2018)"},"properties":{"noteIndex":0},"schema":"https://github.com/citation-style-language/schema/raw/master/csl-citation.json"}</w:instrText>
      </w:r>
      <w:r w:rsidR="0087087F" w:rsidRPr="001A62EA">
        <w:rPr>
          <w:rFonts w:cs="Times New Roman"/>
          <w:szCs w:val="24"/>
          <w:highlight w:val="yellow"/>
          <w:lang w:val="en-GB"/>
        </w:rPr>
        <w:fldChar w:fldCharType="separate"/>
      </w:r>
      <w:r w:rsidR="0087087F" w:rsidRPr="001A62EA">
        <w:rPr>
          <w:rFonts w:cs="Times New Roman"/>
          <w:szCs w:val="24"/>
          <w:highlight w:val="yellow"/>
          <w:lang w:val="en-GB"/>
        </w:rPr>
        <w:t xml:space="preserve">(Sihombing </w:t>
      </w:r>
      <w:r w:rsidR="0087087F" w:rsidRPr="001A62EA">
        <w:rPr>
          <w:rFonts w:cs="Times New Roman"/>
          <w:i/>
          <w:szCs w:val="24"/>
          <w:highlight w:val="yellow"/>
          <w:lang w:val="en-GB"/>
        </w:rPr>
        <w:t>et al.</w:t>
      </w:r>
      <w:r w:rsidR="0087087F" w:rsidRPr="001A62EA">
        <w:rPr>
          <w:rFonts w:cs="Times New Roman"/>
          <w:szCs w:val="24"/>
          <w:highlight w:val="yellow"/>
          <w:lang w:val="en-GB"/>
        </w:rPr>
        <w:t>, 2018)</w:t>
      </w:r>
      <w:r w:rsidR="0087087F" w:rsidRPr="001A62EA">
        <w:rPr>
          <w:rFonts w:cs="Times New Roman"/>
          <w:szCs w:val="24"/>
          <w:highlight w:val="yellow"/>
          <w:lang w:val="en-GB"/>
        </w:rPr>
        <w:fldChar w:fldCharType="end"/>
      </w:r>
      <w:r w:rsidR="005B4C59" w:rsidRPr="001A62EA">
        <w:rPr>
          <w:rFonts w:cs="Times New Roman"/>
          <w:szCs w:val="24"/>
          <w:highlight w:val="yellow"/>
          <w:lang w:val="en-GB"/>
        </w:rPr>
        <w:t>.</w:t>
      </w:r>
    </w:p>
    <w:p w14:paraId="2738CC31" w14:textId="77777777" w:rsidR="00E50BA3" w:rsidRPr="001A62EA" w:rsidRDefault="005B4C59" w:rsidP="00930D75">
      <w:pPr>
        <w:pStyle w:val="Heading3"/>
        <w:spacing w:before="0"/>
        <w:rPr>
          <w:rFonts w:eastAsia="Times New Roman" w:cs="Times New Roman"/>
          <w:color w:val="auto"/>
          <w:szCs w:val="24"/>
          <w:highlight w:val="yellow"/>
          <w:lang w:val="en-GB"/>
        </w:rPr>
      </w:pPr>
      <w:bookmarkStart w:id="14" w:name="_Toc60697868"/>
      <w:r w:rsidRPr="001A62EA">
        <w:rPr>
          <w:rFonts w:eastAsia="Times New Roman" w:cs="Times New Roman"/>
          <w:color w:val="auto"/>
          <w:szCs w:val="24"/>
          <w:highlight w:val="yellow"/>
          <w:lang w:val="en-GB"/>
        </w:rPr>
        <w:t>Economic Factors</w:t>
      </w:r>
      <w:bookmarkEnd w:id="14"/>
      <w:r w:rsidRPr="001A62EA">
        <w:rPr>
          <w:rFonts w:eastAsia="Times New Roman" w:cs="Times New Roman"/>
          <w:color w:val="auto"/>
          <w:szCs w:val="24"/>
          <w:highlight w:val="yellow"/>
          <w:lang w:val="en-GB"/>
        </w:rPr>
        <w:t xml:space="preserve"> </w:t>
      </w:r>
    </w:p>
    <w:p w14:paraId="48FE3EA7" w14:textId="3297BEA6" w:rsidR="00930FAF" w:rsidRPr="001A62EA" w:rsidRDefault="00035D91" w:rsidP="00930D75">
      <w:pPr>
        <w:spacing w:after="0"/>
        <w:ind w:firstLine="720"/>
        <w:jc w:val="both"/>
        <w:rPr>
          <w:rFonts w:cs="Times New Roman"/>
          <w:szCs w:val="24"/>
          <w:highlight w:val="yellow"/>
          <w:lang w:val="en-GB"/>
        </w:rPr>
      </w:pPr>
      <w:r w:rsidRPr="001A62EA">
        <w:rPr>
          <w:rFonts w:cs="Times New Roman"/>
          <w:szCs w:val="24"/>
          <w:highlight w:val="yellow"/>
          <w:lang w:val="en-GB"/>
        </w:rPr>
        <w:t>The</w:t>
      </w:r>
      <w:r w:rsidR="005B4C59" w:rsidRPr="001A62EA">
        <w:rPr>
          <w:rFonts w:cs="Times New Roman"/>
          <w:szCs w:val="24"/>
          <w:highlight w:val="yellow"/>
          <w:lang w:val="en-GB"/>
        </w:rPr>
        <w:t xml:space="preserve"> economic</w:t>
      </w:r>
      <w:r w:rsidRPr="001A62EA">
        <w:rPr>
          <w:rFonts w:cs="Times New Roman"/>
          <w:szCs w:val="24"/>
          <w:highlight w:val="yellow"/>
          <w:lang w:val="en-GB"/>
        </w:rPr>
        <w:t xml:space="preserve"> </w:t>
      </w:r>
      <w:r w:rsidR="005B4C59" w:rsidRPr="001A62EA">
        <w:rPr>
          <w:rFonts w:cs="Times New Roman"/>
          <w:szCs w:val="24"/>
          <w:highlight w:val="yellow"/>
          <w:lang w:val="en-GB"/>
        </w:rPr>
        <w:t>conditions</w:t>
      </w:r>
      <w:r w:rsidRPr="001A62EA">
        <w:rPr>
          <w:rFonts w:cs="Times New Roman"/>
          <w:szCs w:val="24"/>
          <w:highlight w:val="yellow"/>
          <w:lang w:val="en-GB"/>
        </w:rPr>
        <w:t xml:space="preserve"> impact</w:t>
      </w:r>
      <w:r w:rsidR="005B4C59" w:rsidRPr="001A62EA">
        <w:rPr>
          <w:rFonts w:cs="Times New Roman"/>
          <w:szCs w:val="24"/>
          <w:highlight w:val="yellow"/>
          <w:lang w:val="en-GB"/>
        </w:rPr>
        <w:t xml:space="preserve"> on corporations </w:t>
      </w:r>
      <w:r w:rsidR="007825DE" w:rsidRPr="001A62EA">
        <w:rPr>
          <w:rFonts w:cs="Times New Roman"/>
          <w:szCs w:val="24"/>
          <w:highlight w:val="yellow"/>
          <w:lang w:val="en-GB"/>
        </w:rPr>
        <w:t xml:space="preserve">due to COVID-19 and various industries and governments around the globe looking for possible solutions for financial </w:t>
      </w:r>
      <w:r w:rsidR="001A62EA" w:rsidRPr="001A62EA">
        <w:rPr>
          <w:rFonts w:cs="Times New Roman"/>
          <w:szCs w:val="24"/>
          <w:highlight w:val="yellow"/>
          <w:lang w:val="en-GB"/>
        </w:rPr>
        <w:t>crisis</w:t>
      </w:r>
      <w:r w:rsidR="007825DE" w:rsidRPr="001A62EA">
        <w:rPr>
          <w:rFonts w:cs="Times New Roman"/>
          <w:szCs w:val="24"/>
          <w:highlight w:val="yellow"/>
          <w:lang w:val="en-GB"/>
        </w:rPr>
        <w:t xml:space="preserve"> in the nation</w:t>
      </w:r>
      <w:r w:rsidR="005B4C59" w:rsidRPr="001A62EA">
        <w:rPr>
          <w:rFonts w:cs="Times New Roman"/>
          <w:szCs w:val="24"/>
          <w:highlight w:val="yellow"/>
          <w:lang w:val="en-GB"/>
        </w:rPr>
        <w:t>.</w:t>
      </w:r>
      <w:r w:rsidR="007825DE" w:rsidRPr="001A62EA">
        <w:rPr>
          <w:rFonts w:cs="Times New Roman"/>
          <w:szCs w:val="24"/>
          <w:highlight w:val="yellow"/>
          <w:lang w:val="en-GB"/>
        </w:rPr>
        <w:t xml:space="preserve"> The economic condition of </w:t>
      </w:r>
      <w:r w:rsidR="001A62EA">
        <w:rPr>
          <w:rFonts w:cs="Times New Roman"/>
          <w:szCs w:val="24"/>
          <w:highlight w:val="yellow"/>
          <w:lang w:val="en-GB"/>
        </w:rPr>
        <w:t>Unilever</w:t>
      </w:r>
      <w:r w:rsidR="007825DE" w:rsidRPr="001A62EA">
        <w:rPr>
          <w:rFonts w:cs="Times New Roman"/>
          <w:szCs w:val="24"/>
          <w:highlight w:val="yellow"/>
          <w:lang w:val="en-GB"/>
        </w:rPr>
        <w:t xml:space="preserve"> consumer market is largely disturbed due to the impact of COVID-19 and facing </w:t>
      </w:r>
      <w:r w:rsidR="001A62EA">
        <w:rPr>
          <w:rFonts w:cs="Times New Roman"/>
          <w:szCs w:val="24"/>
          <w:highlight w:val="yellow"/>
          <w:lang w:val="en-GB"/>
        </w:rPr>
        <w:t>economic</w:t>
      </w:r>
      <w:r w:rsidR="007825DE" w:rsidRPr="001A62EA">
        <w:rPr>
          <w:rFonts w:cs="Times New Roman"/>
          <w:szCs w:val="24"/>
          <w:highlight w:val="yellow"/>
          <w:lang w:val="en-GB"/>
        </w:rPr>
        <w:t xml:space="preserve"> crisis due to following reasons</w:t>
      </w:r>
      <w:r w:rsidR="005B4C59" w:rsidRPr="001A62EA">
        <w:rPr>
          <w:rFonts w:cs="Times New Roman"/>
          <w:szCs w:val="24"/>
          <w:highlight w:val="yellow"/>
          <w:lang w:val="en-GB"/>
        </w:rPr>
        <w:t xml:space="preserve">: </w:t>
      </w:r>
    </w:p>
    <w:p w14:paraId="5CB6781D" w14:textId="0DE1180D" w:rsidR="00930FAF" w:rsidRPr="001A62EA" w:rsidRDefault="005B4C59" w:rsidP="00930D75">
      <w:pPr>
        <w:spacing w:after="0"/>
        <w:jc w:val="both"/>
        <w:rPr>
          <w:rFonts w:cs="Times New Roman"/>
          <w:szCs w:val="24"/>
          <w:highlight w:val="yellow"/>
          <w:lang w:val="en-GB"/>
        </w:rPr>
      </w:pPr>
      <w:r w:rsidRPr="001A62EA">
        <w:rPr>
          <w:rFonts w:cs="Times New Roman"/>
          <w:szCs w:val="24"/>
          <w:highlight w:val="yellow"/>
          <w:lang w:val="en-GB"/>
        </w:rPr>
        <w:t>•</w:t>
      </w:r>
      <w:r w:rsidRPr="001A62EA">
        <w:rPr>
          <w:rFonts w:cs="Times New Roman"/>
          <w:szCs w:val="24"/>
          <w:highlight w:val="yellow"/>
          <w:lang w:val="en-GB"/>
        </w:rPr>
        <w:tab/>
      </w:r>
      <w:r w:rsidR="001A62EA" w:rsidRPr="001A62EA">
        <w:rPr>
          <w:rFonts w:cs="Times New Roman"/>
          <w:szCs w:val="24"/>
          <w:highlight w:val="yellow"/>
          <w:lang w:val="en-GB"/>
        </w:rPr>
        <w:t>Growing cases</w:t>
      </w:r>
      <w:r w:rsidR="007825DE" w:rsidRPr="001A62EA">
        <w:rPr>
          <w:rFonts w:cs="Times New Roman"/>
          <w:szCs w:val="24"/>
          <w:highlight w:val="yellow"/>
          <w:lang w:val="en-GB"/>
        </w:rPr>
        <w:t xml:space="preserve"> of COVID-19 in </w:t>
      </w:r>
      <w:r w:rsidRPr="001A62EA">
        <w:rPr>
          <w:rFonts w:cs="Times New Roman"/>
          <w:szCs w:val="24"/>
          <w:highlight w:val="yellow"/>
          <w:lang w:val="en-GB"/>
        </w:rPr>
        <w:t xml:space="preserve">industrial nations </w:t>
      </w:r>
    </w:p>
    <w:p w14:paraId="5F2ADC81" w14:textId="7DA1B795" w:rsidR="00930FAF" w:rsidRPr="001A62EA" w:rsidRDefault="005B4C59" w:rsidP="00930D75">
      <w:pPr>
        <w:spacing w:after="0"/>
        <w:jc w:val="both"/>
        <w:rPr>
          <w:rFonts w:cs="Times New Roman"/>
          <w:szCs w:val="24"/>
          <w:highlight w:val="yellow"/>
          <w:lang w:val="en-GB"/>
        </w:rPr>
      </w:pPr>
      <w:r w:rsidRPr="001A62EA">
        <w:rPr>
          <w:rFonts w:cs="Times New Roman"/>
          <w:szCs w:val="24"/>
          <w:highlight w:val="yellow"/>
          <w:lang w:val="en-GB"/>
        </w:rPr>
        <w:t>•</w:t>
      </w:r>
      <w:r w:rsidRPr="001A62EA">
        <w:rPr>
          <w:rFonts w:cs="Times New Roman"/>
          <w:szCs w:val="24"/>
          <w:highlight w:val="yellow"/>
          <w:lang w:val="en-GB"/>
        </w:rPr>
        <w:tab/>
      </w:r>
      <w:r w:rsidR="007825DE" w:rsidRPr="001A62EA">
        <w:rPr>
          <w:rFonts w:cs="Times New Roman"/>
          <w:szCs w:val="24"/>
          <w:highlight w:val="yellow"/>
          <w:lang w:val="en-GB"/>
        </w:rPr>
        <w:t>non awareness of</w:t>
      </w:r>
      <w:r w:rsidRPr="001A62EA">
        <w:rPr>
          <w:rFonts w:cs="Times New Roman"/>
          <w:szCs w:val="24"/>
          <w:highlight w:val="yellow"/>
          <w:lang w:val="en-GB"/>
        </w:rPr>
        <w:t xml:space="preserve"> </w:t>
      </w:r>
      <w:r w:rsidR="007825DE" w:rsidRPr="001A62EA">
        <w:rPr>
          <w:rFonts w:cs="Times New Roman"/>
          <w:szCs w:val="24"/>
          <w:highlight w:val="yellow"/>
          <w:lang w:val="en-GB"/>
        </w:rPr>
        <w:t>basic information</w:t>
      </w:r>
      <w:r w:rsidRPr="001A62EA">
        <w:rPr>
          <w:rFonts w:cs="Times New Roman"/>
          <w:szCs w:val="24"/>
          <w:highlight w:val="yellow"/>
          <w:lang w:val="en-GB"/>
        </w:rPr>
        <w:t xml:space="preserve"> </w:t>
      </w:r>
    </w:p>
    <w:p w14:paraId="0A5A3741" w14:textId="3F81615F" w:rsidR="00930FAF" w:rsidRPr="001A62EA" w:rsidRDefault="005B4C59" w:rsidP="00930D75">
      <w:pPr>
        <w:spacing w:after="0"/>
        <w:jc w:val="both"/>
        <w:rPr>
          <w:rFonts w:cs="Times New Roman"/>
          <w:szCs w:val="24"/>
          <w:highlight w:val="yellow"/>
          <w:lang w:val="en-GB"/>
        </w:rPr>
      </w:pPr>
      <w:r w:rsidRPr="001A62EA">
        <w:rPr>
          <w:rFonts w:cs="Times New Roman"/>
          <w:szCs w:val="24"/>
          <w:highlight w:val="yellow"/>
          <w:lang w:val="en-GB"/>
        </w:rPr>
        <w:t>•</w:t>
      </w:r>
      <w:r w:rsidRPr="001A62EA">
        <w:rPr>
          <w:rFonts w:cs="Times New Roman"/>
          <w:szCs w:val="24"/>
          <w:highlight w:val="yellow"/>
          <w:lang w:val="en-GB"/>
        </w:rPr>
        <w:tab/>
      </w:r>
      <w:r w:rsidR="007825DE" w:rsidRPr="001A62EA">
        <w:rPr>
          <w:rFonts w:cs="Times New Roman"/>
          <w:szCs w:val="24"/>
          <w:highlight w:val="yellow"/>
          <w:lang w:val="en-GB"/>
        </w:rPr>
        <w:t>Economic</w:t>
      </w:r>
      <w:r w:rsidRPr="001A62EA">
        <w:rPr>
          <w:rFonts w:cs="Times New Roman"/>
          <w:szCs w:val="24"/>
          <w:highlight w:val="yellow"/>
          <w:lang w:val="en-GB"/>
        </w:rPr>
        <w:t xml:space="preserve"> </w:t>
      </w:r>
      <w:r w:rsidR="007825DE" w:rsidRPr="001A62EA">
        <w:rPr>
          <w:rFonts w:cs="Times New Roman"/>
          <w:szCs w:val="24"/>
          <w:highlight w:val="yellow"/>
          <w:lang w:val="en-GB"/>
        </w:rPr>
        <w:t>un</w:t>
      </w:r>
      <w:r w:rsidRPr="001A62EA">
        <w:rPr>
          <w:rFonts w:cs="Times New Roman"/>
          <w:szCs w:val="24"/>
          <w:highlight w:val="yellow"/>
          <w:lang w:val="en-GB"/>
        </w:rPr>
        <w:t xml:space="preserve">safety </w:t>
      </w:r>
      <w:r w:rsidR="007825DE" w:rsidRPr="001A62EA">
        <w:rPr>
          <w:rFonts w:cs="Times New Roman"/>
          <w:szCs w:val="24"/>
          <w:highlight w:val="yellow"/>
          <w:lang w:val="en-GB"/>
        </w:rPr>
        <w:t>due to COVID-19</w:t>
      </w:r>
      <w:r w:rsidRPr="001A62EA">
        <w:rPr>
          <w:rFonts w:cs="Times New Roman"/>
          <w:szCs w:val="24"/>
          <w:highlight w:val="yellow"/>
          <w:lang w:val="en-GB"/>
        </w:rPr>
        <w:t xml:space="preserve"> </w:t>
      </w:r>
    </w:p>
    <w:p w14:paraId="42066BCA" w14:textId="6E9F6412" w:rsidR="00930FAF" w:rsidRPr="001A62EA" w:rsidRDefault="007825DE" w:rsidP="00930D75">
      <w:pPr>
        <w:spacing w:after="0"/>
        <w:ind w:firstLine="720"/>
        <w:jc w:val="both"/>
        <w:rPr>
          <w:rFonts w:cs="Times New Roman"/>
          <w:szCs w:val="24"/>
          <w:highlight w:val="yellow"/>
          <w:lang w:val="en-GB"/>
        </w:rPr>
      </w:pPr>
      <w:r w:rsidRPr="001A62EA">
        <w:rPr>
          <w:rFonts w:cs="Times New Roman"/>
          <w:szCs w:val="24"/>
          <w:highlight w:val="yellow"/>
          <w:lang w:val="en-GB"/>
        </w:rPr>
        <w:t xml:space="preserve">Maintaining and developing </w:t>
      </w:r>
      <w:r w:rsidR="001A62EA">
        <w:rPr>
          <w:rFonts w:cs="Times New Roman"/>
          <w:szCs w:val="24"/>
          <w:highlight w:val="yellow"/>
          <w:lang w:val="en-GB"/>
        </w:rPr>
        <w:t>Unilever</w:t>
      </w:r>
      <w:r w:rsidR="001A62EA" w:rsidRPr="001A62EA">
        <w:rPr>
          <w:rFonts w:cs="Times New Roman"/>
          <w:szCs w:val="24"/>
          <w:highlight w:val="yellow"/>
          <w:lang w:val="en-GB"/>
        </w:rPr>
        <w:t xml:space="preserve"> </w:t>
      </w:r>
      <w:r w:rsidRPr="001A62EA">
        <w:rPr>
          <w:rFonts w:cs="Times New Roman"/>
          <w:szCs w:val="24"/>
          <w:highlight w:val="yellow"/>
          <w:lang w:val="en-GB"/>
        </w:rPr>
        <w:t xml:space="preserve">image is a significant part of a company’s success today to support their employees in the situation of financial. If a company does not invest in recruitment processes or the retention of its employees through its own image, operations and development, it creates a challenge in finding potential employees and becomes costly for the company, which can result in great economic loss for the </w:t>
      </w:r>
      <w:r w:rsidR="001A62EA">
        <w:rPr>
          <w:rFonts w:cs="Times New Roman"/>
          <w:szCs w:val="24"/>
          <w:highlight w:val="yellow"/>
          <w:lang w:val="en-GB"/>
        </w:rPr>
        <w:t>Unilever</w:t>
      </w:r>
      <w:r w:rsidR="001A62EA" w:rsidRPr="001A62EA">
        <w:rPr>
          <w:rFonts w:cs="Times New Roman"/>
          <w:szCs w:val="24"/>
          <w:highlight w:val="yellow"/>
          <w:lang w:val="en-GB"/>
        </w:rPr>
        <w:t xml:space="preserve"> </w:t>
      </w:r>
      <w:r w:rsidRPr="001A62EA">
        <w:rPr>
          <w:rFonts w:cs="Times New Roman"/>
          <w:szCs w:val="24"/>
          <w:highlight w:val="yellow"/>
          <w:lang w:val="en-GB"/>
        </w:rPr>
        <w:t xml:space="preserve">consumer market. Skilled employees have a direct impact on the efficiency of the company's business. That’s why it’s important for </w:t>
      </w:r>
      <w:r w:rsidR="001A62EA">
        <w:rPr>
          <w:rFonts w:cs="Times New Roman"/>
          <w:szCs w:val="24"/>
          <w:highlight w:val="yellow"/>
          <w:lang w:val="en-GB"/>
        </w:rPr>
        <w:t>Unilever</w:t>
      </w:r>
      <w:r w:rsidR="001A62EA" w:rsidRPr="001A62EA">
        <w:rPr>
          <w:rFonts w:cs="Times New Roman"/>
          <w:szCs w:val="24"/>
          <w:highlight w:val="yellow"/>
          <w:lang w:val="en-GB"/>
        </w:rPr>
        <w:t xml:space="preserve"> </w:t>
      </w:r>
      <w:r w:rsidRPr="001A62EA">
        <w:rPr>
          <w:rFonts w:cs="Times New Roman"/>
          <w:szCs w:val="24"/>
          <w:highlight w:val="yellow"/>
          <w:lang w:val="en-GB"/>
        </w:rPr>
        <w:t xml:space="preserve">to show job seekers a good place to work in order to attract potential professionals to work. The company needs to </w:t>
      </w:r>
      <w:r w:rsidR="001A62EA" w:rsidRPr="001A62EA">
        <w:rPr>
          <w:rFonts w:cs="Times New Roman"/>
          <w:szCs w:val="24"/>
          <w:highlight w:val="yellow"/>
          <w:lang w:val="en-GB"/>
        </w:rPr>
        <w:t>stay</w:t>
      </w:r>
      <w:r w:rsidRPr="001A62EA">
        <w:rPr>
          <w:rFonts w:cs="Times New Roman"/>
          <w:szCs w:val="24"/>
          <w:highlight w:val="yellow"/>
          <w:lang w:val="en-GB"/>
        </w:rPr>
        <w:t xml:space="preserve"> calm in this economic crisis </w:t>
      </w:r>
      <w:r w:rsidR="001A62EA" w:rsidRPr="001A62EA">
        <w:rPr>
          <w:rFonts w:cs="Times New Roman"/>
          <w:szCs w:val="24"/>
          <w:highlight w:val="yellow"/>
          <w:lang w:val="en-GB"/>
        </w:rPr>
        <w:t>situation</w:t>
      </w:r>
      <w:r w:rsidRPr="001A62EA">
        <w:rPr>
          <w:rFonts w:cs="Times New Roman"/>
          <w:szCs w:val="24"/>
          <w:highlight w:val="yellow"/>
          <w:lang w:val="en-GB"/>
        </w:rPr>
        <w:t xml:space="preserve"> of corona virus and support its employees and image of the company to overcome economic changes of the company </w:t>
      </w:r>
      <w:r w:rsidR="0087087F" w:rsidRPr="001A62EA">
        <w:rPr>
          <w:rFonts w:cs="Times New Roman"/>
          <w:szCs w:val="24"/>
          <w:highlight w:val="yellow"/>
          <w:lang w:val="en-GB"/>
        </w:rPr>
        <w:fldChar w:fldCharType="begin" w:fldLock="1"/>
      </w:r>
      <w:r w:rsidR="0087087F" w:rsidRPr="001A62EA">
        <w:rPr>
          <w:rFonts w:cs="Times New Roman"/>
          <w:szCs w:val="24"/>
          <w:highlight w:val="yellow"/>
          <w:lang w:val="en-GB"/>
        </w:rPr>
        <w:instrText>ADDIN CSL_CITATION {"citationItems":[{"id":"ITEM-1","itemData":{"DOI":"10.1177/0734371X13511088","ISSN":"1552759X","abstract":"The purpose of this article is to explore the link between diversity management in public organizations and employees’ affective commitment by testing hypotheses on the mediating roles of transformational leadership and inclusive organizational culture. By combining theories on human resource management and performance with theories on diversity and inclusiveness, a theoretical model is built explaining when and why diversity management should positively affect employees’ affective commitment. Survey data from a representative sample of 10,976 Dutch public sector employees were used in testing our hypotheses using structural equation modeling techniques. Results show that the effect of diversity management on employees’ affective commitment can partially be explained by its impact on the inclusiveness of the organizational culture. In addition, the impact is influenced through the transformational leadership shown by supervisors who can be considered as the implementers of diversity management and as agents in creating inclusiveness. The implications for future research and management practice are further discussed.","author":[{"dropping-particle":"","family":"Ashikali","given":"Tanachia","non-dropping-particle":"","parse-names":false,"suffix":""},{"dropping-particle":"","family":"Groeneveld","given":"Sandra","non-dropping-particle":"","parse-names":false,"suffix":""}],"container-title":"Review of Public Personnel Administration","id":"ITEM-1","issued":{"date-parts":[["2015"]]},"title":"Diversity Management in Public Organizations and Its Effect on Employees’ Affective Commitment: The Role of Transformational Leadership and the Inclusiveness of the Organizational Culture","type":"article-journal"},"uris":["http://www.mendeley.com/documents/?uuid=b8260ce0-d16f-41f2-b95c-22e5e9a95082","http://www.mendeley.com/documents/?uuid=ef725a3d-4ed2-428b-93ce-3bd181ccbeb7"]}],"mendeley":{"formattedCitation":"(Ashikali and Groeneveld, 2015)","plainTextFormattedCitation":"(Ashikali and Groeneveld, 2015)","previouslyFormattedCitation":"(Ashikali and Groeneveld, 2015)"},"properties":{"noteIndex":0},"schema":"https://github.com/citation-style-language/schema/raw/master/csl-citation.json"}</w:instrText>
      </w:r>
      <w:r w:rsidR="0087087F" w:rsidRPr="001A62EA">
        <w:rPr>
          <w:rFonts w:cs="Times New Roman"/>
          <w:szCs w:val="24"/>
          <w:highlight w:val="yellow"/>
          <w:lang w:val="en-GB"/>
        </w:rPr>
        <w:fldChar w:fldCharType="separate"/>
      </w:r>
      <w:r w:rsidR="0087087F" w:rsidRPr="001A62EA">
        <w:rPr>
          <w:rFonts w:cs="Times New Roman"/>
          <w:szCs w:val="24"/>
          <w:highlight w:val="yellow"/>
          <w:lang w:val="en-GB"/>
        </w:rPr>
        <w:t>(Ashikali and Groeneveld, 2015)</w:t>
      </w:r>
      <w:r w:rsidR="0087087F" w:rsidRPr="001A62EA">
        <w:rPr>
          <w:rFonts w:cs="Times New Roman"/>
          <w:szCs w:val="24"/>
          <w:highlight w:val="yellow"/>
          <w:lang w:val="en-GB"/>
        </w:rPr>
        <w:fldChar w:fldCharType="end"/>
      </w:r>
      <w:r w:rsidR="005B4C59" w:rsidRPr="001A62EA">
        <w:rPr>
          <w:rFonts w:cs="Times New Roman"/>
          <w:szCs w:val="24"/>
          <w:highlight w:val="yellow"/>
          <w:lang w:val="en-GB"/>
        </w:rPr>
        <w:t xml:space="preserve">. </w:t>
      </w:r>
    </w:p>
    <w:p w14:paraId="0B62008C" w14:textId="77777777" w:rsidR="001C1862" w:rsidRPr="001A62EA" w:rsidRDefault="001C1862" w:rsidP="00930D75">
      <w:pPr>
        <w:spacing w:after="0"/>
        <w:jc w:val="both"/>
        <w:rPr>
          <w:rFonts w:cs="Times New Roman"/>
          <w:szCs w:val="24"/>
          <w:highlight w:val="yellow"/>
          <w:lang w:val="en-GB"/>
        </w:rPr>
      </w:pPr>
    </w:p>
    <w:p w14:paraId="49BBBE5F" w14:textId="77777777" w:rsidR="00E50BA3" w:rsidRPr="001A62EA" w:rsidRDefault="005B4C59" w:rsidP="00930D75">
      <w:pPr>
        <w:pStyle w:val="Heading3"/>
        <w:spacing w:before="0"/>
        <w:rPr>
          <w:rFonts w:eastAsia="Times New Roman" w:cs="Times New Roman"/>
          <w:color w:val="auto"/>
          <w:szCs w:val="24"/>
          <w:highlight w:val="yellow"/>
          <w:lang w:val="en-GB"/>
        </w:rPr>
      </w:pPr>
      <w:bookmarkStart w:id="15" w:name="_Toc60697869"/>
      <w:r w:rsidRPr="001A62EA">
        <w:rPr>
          <w:rFonts w:eastAsia="Times New Roman" w:cs="Times New Roman"/>
          <w:color w:val="auto"/>
          <w:szCs w:val="24"/>
          <w:highlight w:val="yellow"/>
          <w:lang w:val="en-GB"/>
        </w:rPr>
        <w:lastRenderedPageBreak/>
        <w:t>Social/Sociocultural Factors</w:t>
      </w:r>
      <w:bookmarkEnd w:id="15"/>
      <w:r w:rsidRPr="001A62EA">
        <w:rPr>
          <w:rFonts w:eastAsia="Times New Roman" w:cs="Times New Roman"/>
          <w:color w:val="auto"/>
          <w:szCs w:val="24"/>
          <w:highlight w:val="yellow"/>
          <w:lang w:val="en-GB"/>
        </w:rPr>
        <w:t xml:space="preserve"> </w:t>
      </w:r>
    </w:p>
    <w:p w14:paraId="4E137099" w14:textId="0D63579F" w:rsidR="00422D6C" w:rsidRPr="001A62EA" w:rsidRDefault="005B4C59" w:rsidP="004F4D03">
      <w:pPr>
        <w:spacing w:after="0"/>
        <w:ind w:firstLine="720"/>
        <w:rPr>
          <w:rFonts w:cs="Times New Roman"/>
          <w:szCs w:val="24"/>
          <w:highlight w:val="yellow"/>
          <w:lang w:val="en-GB"/>
        </w:rPr>
      </w:pPr>
      <w:r w:rsidRPr="001A62EA">
        <w:rPr>
          <w:rFonts w:cs="Times New Roman"/>
          <w:szCs w:val="24"/>
          <w:highlight w:val="yellow"/>
          <w:lang w:val="en-GB"/>
        </w:rPr>
        <w:t xml:space="preserve">With such countless brands, </w:t>
      </w:r>
      <w:r w:rsidR="001A62EA">
        <w:rPr>
          <w:rFonts w:cs="Times New Roman"/>
          <w:szCs w:val="24"/>
          <w:highlight w:val="yellow"/>
          <w:lang w:val="en-GB"/>
        </w:rPr>
        <w:t>Unilever</w:t>
      </w:r>
      <w:r w:rsidR="001A62EA" w:rsidRPr="001A62EA">
        <w:rPr>
          <w:rFonts w:cs="Times New Roman"/>
          <w:szCs w:val="24"/>
          <w:highlight w:val="yellow"/>
          <w:lang w:val="en-GB"/>
        </w:rPr>
        <w:t xml:space="preserve"> </w:t>
      </w:r>
      <w:r w:rsidRPr="001A62EA">
        <w:rPr>
          <w:rFonts w:cs="Times New Roman"/>
          <w:szCs w:val="24"/>
          <w:highlight w:val="yellow"/>
          <w:lang w:val="en-GB"/>
        </w:rPr>
        <w:t xml:space="preserve">chosen to zero in on building up a </w:t>
      </w:r>
      <w:r w:rsidR="00F3013A" w:rsidRPr="001A62EA">
        <w:rPr>
          <w:rFonts w:cs="Times New Roman"/>
          <w:szCs w:val="24"/>
          <w:highlight w:val="yellow"/>
          <w:lang w:val="en-GB"/>
        </w:rPr>
        <w:t>strong</w:t>
      </w:r>
      <w:r w:rsidRPr="001A62EA">
        <w:rPr>
          <w:rFonts w:cs="Times New Roman"/>
          <w:szCs w:val="24"/>
          <w:highlight w:val="yellow"/>
          <w:lang w:val="en-GB"/>
        </w:rPr>
        <w:t xml:space="preserve"> standing. They accentuate </w:t>
      </w:r>
      <w:r w:rsidR="0011582B" w:rsidRPr="001A62EA">
        <w:rPr>
          <w:rFonts w:cs="Times New Roman"/>
          <w:szCs w:val="24"/>
          <w:highlight w:val="yellow"/>
          <w:lang w:val="en-GB"/>
        </w:rPr>
        <w:t>problems</w:t>
      </w:r>
      <w:r w:rsidRPr="001A62EA">
        <w:rPr>
          <w:rFonts w:cs="Times New Roman"/>
          <w:szCs w:val="24"/>
          <w:highlight w:val="yellow"/>
          <w:lang w:val="en-GB"/>
        </w:rPr>
        <w:t xml:space="preserve"> </w:t>
      </w:r>
      <w:r w:rsidR="00603BAA" w:rsidRPr="001A62EA">
        <w:rPr>
          <w:rFonts w:cs="Times New Roman"/>
          <w:szCs w:val="24"/>
          <w:highlight w:val="yellow"/>
          <w:lang w:val="en-GB"/>
        </w:rPr>
        <w:t>analyse</w:t>
      </w:r>
      <w:r w:rsidRPr="001A62EA">
        <w:rPr>
          <w:rFonts w:cs="Times New Roman"/>
          <w:szCs w:val="24"/>
          <w:highlight w:val="yellow"/>
          <w:lang w:val="en-GB"/>
        </w:rPr>
        <w:t xml:space="preserve"> with natural </w:t>
      </w:r>
      <w:r w:rsidR="00603BAA" w:rsidRPr="001A62EA">
        <w:rPr>
          <w:rFonts w:cs="Times New Roman"/>
          <w:szCs w:val="24"/>
          <w:highlight w:val="yellow"/>
          <w:lang w:val="en-GB"/>
        </w:rPr>
        <w:t xml:space="preserve">and social </w:t>
      </w:r>
      <w:r w:rsidRPr="001A62EA">
        <w:rPr>
          <w:rFonts w:cs="Times New Roman"/>
          <w:szCs w:val="24"/>
          <w:highlight w:val="yellow"/>
          <w:lang w:val="en-GB"/>
        </w:rPr>
        <w:t xml:space="preserve">components. Considering a large number of Unilever's </w:t>
      </w:r>
      <w:r w:rsidR="00603BAA" w:rsidRPr="001A62EA">
        <w:rPr>
          <w:rFonts w:cs="Times New Roman"/>
          <w:szCs w:val="24"/>
          <w:highlight w:val="yellow"/>
          <w:lang w:val="en-GB"/>
        </w:rPr>
        <w:t>products</w:t>
      </w:r>
      <w:r w:rsidRPr="001A62EA">
        <w:rPr>
          <w:rFonts w:cs="Times New Roman"/>
          <w:szCs w:val="24"/>
          <w:highlight w:val="yellow"/>
          <w:lang w:val="en-GB"/>
        </w:rPr>
        <w:t xml:space="preserve"> </w:t>
      </w:r>
      <w:r w:rsidR="00404F6F" w:rsidRPr="001A62EA">
        <w:rPr>
          <w:rFonts w:cs="Times New Roman"/>
          <w:szCs w:val="24"/>
          <w:highlight w:val="yellow"/>
          <w:lang w:val="en-GB"/>
        </w:rPr>
        <w:t>centre</w:t>
      </w:r>
      <w:r w:rsidRPr="001A62EA">
        <w:rPr>
          <w:rFonts w:cs="Times New Roman"/>
          <w:szCs w:val="24"/>
          <w:highlight w:val="yellow"/>
          <w:lang w:val="en-GB"/>
        </w:rPr>
        <w:t xml:space="preserve"> around close to home prosperity</w:t>
      </w:r>
      <w:r w:rsidR="002363C2" w:rsidRPr="001A62EA">
        <w:rPr>
          <w:rFonts w:cs="Times New Roman"/>
          <w:szCs w:val="24"/>
          <w:highlight w:val="yellow"/>
          <w:lang w:val="en-GB"/>
        </w:rPr>
        <w:t xml:space="preserve"> and consideration</w:t>
      </w:r>
      <w:r w:rsidRPr="001A62EA">
        <w:rPr>
          <w:rFonts w:cs="Times New Roman"/>
          <w:szCs w:val="24"/>
          <w:highlight w:val="yellow"/>
          <w:lang w:val="en-GB"/>
        </w:rPr>
        <w:t xml:space="preserve">, </w:t>
      </w:r>
      <w:r w:rsidR="002363C2" w:rsidRPr="001A62EA">
        <w:rPr>
          <w:rFonts w:cs="Times New Roman"/>
          <w:szCs w:val="24"/>
          <w:highlight w:val="yellow"/>
          <w:lang w:val="en-GB"/>
        </w:rPr>
        <w:t xml:space="preserve">Unilever </w:t>
      </w:r>
      <w:r w:rsidRPr="001A62EA">
        <w:rPr>
          <w:rFonts w:cs="Times New Roman"/>
          <w:szCs w:val="24"/>
          <w:highlight w:val="yellow"/>
          <w:lang w:val="en-GB"/>
        </w:rPr>
        <w:t xml:space="preserve">communicates a powerful urge to </w:t>
      </w:r>
      <w:r w:rsidR="00A737AB" w:rsidRPr="001A62EA">
        <w:rPr>
          <w:rFonts w:cs="Times New Roman"/>
          <w:szCs w:val="24"/>
          <w:highlight w:val="yellow"/>
          <w:lang w:val="en-GB"/>
        </w:rPr>
        <w:t>support</w:t>
      </w:r>
      <w:r w:rsidRPr="001A62EA">
        <w:rPr>
          <w:rFonts w:cs="Times New Roman"/>
          <w:szCs w:val="24"/>
          <w:highlight w:val="yellow"/>
          <w:lang w:val="en-GB"/>
        </w:rPr>
        <w:t xml:space="preserve"> </w:t>
      </w:r>
      <w:r w:rsidR="00636EF0" w:rsidRPr="001A62EA">
        <w:rPr>
          <w:rFonts w:cs="Times New Roman"/>
          <w:szCs w:val="24"/>
          <w:highlight w:val="yellow"/>
          <w:lang w:val="en-GB"/>
        </w:rPr>
        <w:t>individual’s</w:t>
      </w:r>
      <w:r w:rsidRPr="001A62EA">
        <w:rPr>
          <w:rFonts w:cs="Times New Roman"/>
          <w:szCs w:val="24"/>
          <w:highlight w:val="yellow"/>
          <w:lang w:val="en-GB"/>
        </w:rPr>
        <w:t xml:space="preserve"> look </w:t>
      </w:r>
      <w:r w:rsidR="0065587D" w:rsidRPr="001A62EA">
        <w:rPr>
          <w:rFonts w:cs="Times New Roman"/>
          <w:szCs w:val="24"/>
          <w:highlight w:val="yellow"/>
          <w:lang w:val="en-GB"/>
        </w:rPr>
        <w:t xml:space="preserve">and feel </w:t>
      </w:r>
      <w:r w:rsidRPr="001A62EA">
        <w:rPr>
          <w:rFonts w:cs="Times New Roman"/>
          <w:szCs w:val="24"/>
          <w:highlight w:val="yellow"/>
          <w:lang w:val="en-GB"/>
        </w:rPr>
        <w:t>great</w:t>
      </w:r>
      <w:r w:rsidR="004F4D03" w:rsidRPr="001A62EA">
        <w:rPr>
          <w:rFonts w:cs="Times New Roman"/>
          <w:szCs w:val="24"/>
          <w:highlight w:val="yellow"/>
          <w:lang w:val="en-GB"/>
        </w:rPr>
        <w:t xml:space="preserve"> in this crisis situation of the COVID-19</w:t>
      </w:r>
      <w:r w:rsidRPr="001A62EA">
        <w:rPr>
          <w:rFonts w:cs="Times New Roman"/>
          <w:szCs w:val="24"/>
          <w:highlight w:val="yellow"/>
          <w:lang w:val="en-GB"/>
        </w:rPr>
        <w:t xml:space="preserve">, </w:t>
      </w:r>
      <w:r w:rsidR="004F4D03" w:rsidRPr="001A62EA">
        <w:rPr>
          <w:rFonts w:cs="Times New Roman"/>
          <w:szCs w:val="24"/>
          <w:highlight w:val="yellow"/>
          <w:lang w:val="en-GB"/>
        </w:rPr>
        <w:t xml:space="preserve">on other hands company is running various social </w:t>
      </w:r>
      <w:r w:rsidR="001A62EA" w:rsidRPr="001A62EA">
        <w:rPr>
          <w:rFonts w:cs="Times New Roman"/>
          <w:szCs w:val="24"/>
          <w:highlight w:val="yellow"/>
          <w:lang w:val="en-GB"/>
        </w:rPr>
        <w:t>campaigns</w:t>
      </w:r>
      <w:r w:rsidR="004F4D03" w:rsidRPr="001A62EA">
        <w:rPr>
          <w:rFonts w:cs="Times New Roman"/>
          <w:szCs w:val="24"/>
          <w:highlight w:val="yellow"/>
          <w:lang w:val="en-GB"/>
        </w:rPr>
        <w:t xml:space="preserve"> to help and support the global community in this crisis situation of the COVID-19,  by mean of giving discounts on their products and supporting different welfare organization across the globe by funding them to support the community. The company have serious concerned to the support the global society in this epidemic situation of COVID-19 </w:t>
      </w:r>
      <w:r w:rsidR="0087087F" w:rsidRPr="001A62EA">
        <w:rPr>
          <w:rFonts w:cs="Times New Roman"/>
          <w:szCs w:val="24"/>
          <w:highlight w:val="yellow"/>
          <w:lang w:val="en-GB"/>
        </w:rPr>
        <w:t xml:space="preserve"> </w:t>
      </w:r>
      <w:r w:rsidR="0087087F" w:rsidRPr="001A62EA">
        <w:rPr>
          <w:rFonts w:cs="Times New Roman"/>
          <w:szCs w:val="24"/>
          <w:highlight w:val="yellow"/>
          <w:lang w:val="en-GB"/>
        </w:rPr>
        <w:fldChar w:fldCharType="begin" w:fldLock="1"/>
      </w:r>
      <w:r w:rsidR="0087087F" w:rsidRPr="001A62EA">
        <w:rPr>
          <w:rFonts w:cs="Times New Roman"/>
          <w:szCs w:val="24"/>
          <w:highlight w:val="yellow"/>
          <w:lang w:val="en-GB"/>
        </w:rPr>
        <w:instrText>ADDIN CSL_CITATION {"citationItems":[{"id":"ITEM-1","itemData":{"DOI":"10.1177/0734371X13511088","ISSN":"1552759X","abstract":"The purpose of this article is to explore the link between diversity management in public organizations and employees’ affective commitment by testing hypotheses on the mediating roles of transformational leadership and inclusive organizational culture. By combining theories on human resource management and performance with theories on diversity and inclusiveness, a theoretical model is built explaining when and why diversity management should positively affect employees’ affective commitment. Survey data from a representative sample of 10,976 Dutch public sector employees were used in testing our hypotheses using structural equation modeling techniques. Results show that the effect of diversity management on employees’ affective commitment can partially be explained by its impact on the inclusiveness of the organizational culture. In addition, the impact is influenced through the transformational leadership shown by supervisors who can be considered as the implementers of diversity management and as agents in creating inclusiveness. The implications for future research and management practice are further discussed.","author":[{"dropping-particle":"","family":"Ashikali","given":"Tanachia","non-dropping-particle":"","parse-names":false,"suffix":""},{"dropping-particle":"","family":"Groeneveld","given":"Sandra","non-dropping-particle":"","parse-names":false,"suffix":""}],"container-title":"Review of Public Personnel Administration","id":"ITEM-1","issued":{"date-parts":[["2015"]]},"title":"Diversity Management in Public Organizations and Its Effect on Employees’ Affective Commitment: The Role of Transformational Leadership and the Inclusiveness of the Organizational Culture","type":"article-journal"},"uris":["http://www.mendeley.com/documents/?uuid=ef725a3d-4ed2-428b-93ce-3bd181ccbeb7"]}],"mendeley":{"formattedCitation":"(Ashikali and Groeneveld, 2015)","plainTextFormattedCitation":"(Ashikali and Groeneveld, 2015)","previouslyFormattedCitation":"(Ashikali and Groeneveld, 2015)"},"properties":{"noteIndex":0},"schema":"https://github.com/citation-style-language/schema/raw/master/csl-citation.json"}</w:instrText>
      </w:r>
      <w:r w:rsidR="0087087F" w:rsidRPr="001A62EA">
        <w:rPr>
          <w:rFonts w:cs="Times New Roman"/>
          <w:szCs w:val="24"/>
          <w:highlight w:val="yellow"/>
          <w:lang w:val="en-GB"/>
        </w:rPr>
        <w:fldChar w:fldCharType="separate"/>
      </w:r>
      <w:r w:rsidR="0087087F" w:rsidRPr="001A62EA">
        <w:rPr>
          <w:rFonts w:cs="Times New Roman"/>
          <w:szCs w:val="24"/>
          <w:highlight w:val="yellow"/>
          <w:lang w:val="en-GB"/>
        </w:rPr>
        <w:t>(Ashikali and Groeneveld, 2015)</w:t>
      </w:r>
      <w:r w:rsidR="0087087F" w:rsidRPr="001A62EA">
        <w:rPr>
          <w:rFonts w:cs="Times New Roman"/>
          <w:szCs w:val="24"/>
          <w:highlight w:val="yellow"/>
          <w:lang w:val="en-GB"/>
        </w:rPr>
        <w:fldChar w:fldCharType="end"/>
      </w:r>
      <w:r w:rsidRPr="001A62EA">
        <w:rPr>
          <w:rFonts w:cs="Times New Roman"/>
          <w:szCs w:val="24"/>
          <w:highlight w:val="yellow"/>
          <w:lang w:val="en-GB"/>
        </w:rPr>
        <w:t>.</w:t>
      </w:r>
      <w:r w:rsidR="00E97FF8" w:rsidRPr="001A62EA">
        <w:rPr>
          <w:rFonts w:cs="Times New Roman"/>
          <w:szCs w:val="24"/>
          <w:highlight w:val="yellow"/>
          <w:lang w:val="en-GB"/>
        </w:rPr>
        <w:t xml:space="preserve"> </w:t>
      </w:r>
    </w:p>
    <w:p w14:paraId="5AD38FB2" w14:textId="77777777" w:rsidR="001C1862" w:rsidRPr="001A62EA" w:rsidRDefault="001C1862" w:rsidP="00930D75">
      <w:pPr>
        <w:spacing w:after="0"/>
        <w:jc w:val="both"/>
        <w:rPr>
          <w:rFonts w:cs="Times New Roman"/>
          <w:szCs w:val="24"/>
          <w:highlight w:val="yellow"/>
          <w:lang w:val="en-GB"/>
        </w:rPr>
      </w:pPr>
    </w:p>
    <w:p w14:paraId="013C9202" w14:textId="77777777" w:rsidR="00E50BA3" w:rsidRPr="001A62EA" w:rsidRDefault="005B4C59" w:rsidP="00930D75">
      <w:pPr>
        <w:pStyle w:val="Heading3"/>
        <w:spacing w:before="0"/>
        <w:rPr>
          <w:rFonts w:eastAsia="Times New Roman" w:cs="Times New Roman"/>
          <w:color w:val="auto"/>
          <w:szCs w:val="24"/>
          <w:highlight w:val="yellow"/>
          <w:lang w:val="en-GB"/>
        </w:rPr>
      </w:pPr>
      <w:bookmarkStart w:id="16" w:name="_Toc60697870"/>
      <w:r w:rsidRPr="001A62EA">
        <w:rPr>
          <w:rFonts w:eastAsia="Times New Roman" w:cs="Times New Roman"/>
          <w:color w:val="auto"/>
          <w:szCs w:val="24"/>
          <w:highlight w:val="yellow"/>
          <w:lang w:val="en-GB"/>
        </w:rPr>
        <w:t>Technological Factors</w:t>
      </w:r>
      <w:bookmarkEnd w:id="16"/>
      <w:r w:rsidRPr="001A62EA">
        <w:rPr>
          <w:rFonts w:eastAsia="Times New Roman" w:cs="Times New Roman"/>
          <w:color w:val="auto"/>
          <w:szCs w:val="24"/>
          <w:highlight w:val="yellow"/>
          <w:lang w:val="en-GB"/>
        </w:rPr>
        <w:t xml:space="preserve"> </w:t>
      </w:r>
    </w:p>
    <w:p w14:paraId="0BBA1140" w14:textId="411FBF1A" w:rsidR="008E5946" w:rsidRPr="001A62EA" w:rsidRDefault="005B4C59" w:rsidP="00930D75">
      <w:pPr>
        <w:spacing w:after="0"/>
        <w:ind w:firstLine="720"/>
        <w:jc w:val="both"/>
        <w:rPr>
          <w:rFonts w:cs="Times New Roman"/>
          <w:szCs w:val="24"/>
          <w:highlight w:val="yellow"/>
          <w:lang w:val="en-GB"/>
        </w:rPr>
      </w:pPr>
      <w:r w:rsidRPr="001A62EA">
        <w:rPr>
          <w:rFonts w:cs="Times New Roman"/>
          <w:szCs w:val="24"/>
          <w:highlight w:val="yellow"/>
          <w:lang w:val="en-GB"/>
        </w:rPr>
        <w:t>This section of the pestle research distinguishes the impact of mechanical patterns on firms and their some distance off or complete-scale climate</w:t>
      </w:r>
      <w:r w:rsidR="0087087F" w:rsidRPr="001A62EA">
        <w:rPr>
          <w:rFonts w:cs="Times New Roman"/>
          <w:szCs w:val="24"/>
          <w:highlight w:val="yellow"/>
          <w:lang w:val="en-GB"/>
        </w:rPr>
        <w:t xml:space="preserve"> </w:t>
      </w:r>
      <w:r w:rsidR="0087087F" w:rsidRPr="001A62EA">
        <w:rPr>
          <w:rFonts w:cs="Times New Roman"/>
          <w:szCs w:val="24"/>
          <w:highlight w:val="yellow"/>
          <w:lang w:val="en-GB"/>
        </w:rPr>
        <w:fldChar w:fldCharType="begin" w:fldLock="1"/>
      </w:r>
      <w:r w:rsidR="00137D62" w:rsidRPr="001A62EA">
        <w:rPr>
          <w:rFonts w:cs="Times New Roman"/>
          <w:szCs w:val="24"/>
          <w:highlight w:val="yellow"/>
          <w:lang w:val="en-GB"/>
        </w:rPr>
        <w:instrText>ADDIN CSL_CITATION {"citationItems":[{"id":"ITEM-1","itemData":{"DOI":"10.1108/MD-02-2014-0060","ISSN":"00251747","abstract":"Purpose: The purpose of this paper is to develop an original framework to explore corporate social responsibility (CSR) plays a mediation role between green organizational culture and green product innovation performance. Design/methodology/approach: This study divides CSR into proactive CSR and reactive CSR. This research employs an empirical study by means of the questionnaire survey method to verify the hypotheses and to explore its managerial implications in Taiwanese manufacturing companies. Structural equation modeling is applied to verify the research framework. Findings: The empirical results verify that green organizational culture positively affects proactive CSR and green product innovation performance. This study shows that proactive CSR mediates the positive relationship between green organizational culture and green product innovation performance, but reactive CSR does not. Green organizational culture is a driving force for proactive CSR and green product innovation performance. Organizational members in Taiwanese companies are exposed to green organizational culture which influences CSR activities. Moreover, this study verifies that proactive CSR of large companies are significantly higher than those of small and medium enterprises (SMEs). Research limitations/implications: There are three limitations of this study. First, this study verifies the hypotheses by means of questionnaire survey which only includes cross-sectional data. Second, this study utilize self-reported data may suffer the problems of common method variance. Third, this study applies a “five-point Likert scale” ranging from 1 to 5 to measure the constructs. Future research can apply a “seven-point Likert scale” to measure the constructs and compare with this study to test the significance of the variability of the data. There are two implications emerging from the study. First, proactive CSR has a positive effect on green product innovation performance, but reactive CSR does not. Second, green organizational culture is a driving force for proactive CSR and green product innovation performance. Originality/value: This study summarizes the literature of CSR into a new managerial framework and highlights the importance of proactive CSR. Therefore, green organizational culture cannot only affect green product innovation performance directly, but also influence it indirectly via proactive CSR in the Taiwanese manufacturing industry. Taiwanese manufacturing companies can incr…","author":[{"dropping-particle":"","family":"Chang","given":"Ching Hsun","non-dropping-particle":"","parse-names":false,"suffix":""}],"container-title":"Management Decision","id":"ITEM-1","issued":{"date-parts":[["2015"]]},"title":"Proactive and reactive corporate social responsibility: Antecedent and consequence","type":"article-journal"},"uris":["http://www.mendeley.com/documents/?uuid=b83d2a9f-f339-4f16-9395-ab1c6cb1e003","http://www.mendeley.com/documents/?uuid=be181460-c9e7-43c5-a7f0-c0f48ac6ad5c"]}],"mendeley":{"formattedCitation":"(Chang, 2015)","plainTextFormattedCitation":"(Chang, 2015)","previouslyFormattedCitation":"(Chang, 2015)"},"properties":{"noteIndex":0},"schema":"https://github.com/citation-style-language/schema/raw/master/csl-citation.json"}</w:instrText>
      </w:r>
      <w:r w:rsidR="0087087F" w:rsidRPr="001A62EA">
        <w:rPr>
          <w:rFonts w:cs="Times New Roman"/>
          <w:szCs w:val="24"/>
          <w:highlight w:val="yellow"/>
          <w:lang w:val="en-GB"/>
        </w:rPr>
        <w:fldChar w:fldCharType="separate"/>
      </w:r>
      <w:r w:rsidR="0087087F" w:rsidRPr="001A62EA">
        <w:rPr>
          <w:rFonts w:cs="Times New Roman"/>
          <w:szCs w:val="24"/>
          <w:highlight w:val="yellow"/>
          <w:lang w:val="en-GB"/>
        </w:rPr>
        <w:t>(Chang, 2015)</w:t>
      </w:r>
      <w:r w:rsidR="0087087F" w:rsidRPr="001A62EA">
        <w:rPr>
          <w:rFonts w:cs="Times New Roman"/>
          <w:szCs w:val="24"/>
          <w:highlight w:val="yellow"/>
          <w:lang w:val="en-GB"/>
        </w:rPr>
        <w:fldChar w:fldCharType="end"/>
      </w:r>
      <w:r w:rsidRPr="001A62EA">
        <w:rPr>
          <w:rFonts w:cs="Times New Roman"/>
          <w:szCs w:val="24"/>
          <w:highlight w:val="yellow"/>
          <w:lang w:val="en-GB"/>
        </w:rPr>
        <w:t xml:space="preserve">. For </w:t>
      </w:r>
      <w:r w:rsidR="00B97010" w:rsidRPr="001A62EA">
        <w:rPr>
          <w:rFonts w:cs="Times New Roman"/>
          <w:szCs w:val="24"/>
          <w:highlight w:val="yellow"/>
          <w:lang w:val="en-GB"/>
        </w:rPr>
        <w:t>the organisation</w:t>
      </w:r>
      <w:r w:rsidRPr="001A62EA">
        <w:rPr>
          <w:rFonts w:cs="Times New Roman"/>
          <w:szCs w:val="24"/>
          <w:highlight w:val="yellow"/>
          <w:lang w:val="en-GB"/>
        </w:rPr>
        <w:t xml:space="preserve"> situation</w:t>
      </w:r>
      <w:r w:rsidR="004F4D03" w:rsidRPr="001A62EA">
        <w:rPr>
          <w:rFonts w:cs="Times New Roman"/>
          <w:szCs w:val="24"/>
          <w:highlight w:val="yellow"/>
          <w:lang w:val="en-GB"/>
        </w:rPr>
        <w:t xml:space="preserve"> in COVID-19</w:t>
      </w:r>
      <w:r w:rsidRPr="001A62EA">
        <w:rPr>
          <w:rFonts w:cs="Times New Roman"/>
          <w:szCs w:val="24"/>
          <w:highlight w:val="yellow"/>
          <w:lang w:val="en-GB"/>
        </w:rPr>
        <w:t xml:space="preserve">, the </w:t>
      </w:r>
      <w:r w:rsidR="004F4D03" w:rsidRPr="001A62EA">
        <w:rPr>
          <w:rFonts w:cs="Times New Roman"/>
          <w:szCs w:val="24"/>
          <w:highlight w:val="yellow"/>
          <w:lang w:val="en-GB"/>
        </w:rPr>
        <w:t xml:space="preserve">need of digital technologies in this global pandemic situation is necessary and </w:t>
      </w:r>
      <w:r w:rsidR="001A62EA">
        <w:rPr>
          <w:rFonts w:cs="Times New Roman"/>
          <w:szCs w:val="24"/>
          <w:highlight w:val="yellow"/>
          <w:lang w:val="en-GB"/>
        </w:rPr>
        <w:t>Unilever</w:t>
      </w:r>
      <w:r w:rsidR="001A62EA" w:rsidRPr="001A62EA">
        <w:rPr>
          <w:rFonts w:cs="Times New Roman"/>
          <w:szCs w:val="24"/>
          <w:highlight w:val="yellow"/>
          <w:lang w:val="en-GB"/>
        </w:rPr>
        <w:t xml:space="preserve"> </w:t>
      </w:r>
      <w:r w:rsidR="004F4D03" w:rsidRPr="001A62EA">
        <w:rPr>
          <w:rFonts w:cs="Times New Roman"/>
          <w:szCs w:val="24"/>
          <w:highlight w:val="yellow"/>
          <w:lang w:val="en-GB"/>
        </w:rPr>
        <w:t xml:space="preserve">is </w:t>
      </w:r>
      <w:r w:rsidR="001A62EA" w:rsidRPr="001A62EA">
        <w:rPr>
          <w:rFonts w:cs="Times New Roman"/>
          <w:szCs w:val="24"/>
          <w:highlight w:val="yellow"/>
          <w:lang w:val="en-GB"/>
        </w:rPr>
        <w:t>digitalising</w:t>
      </w:r>
      <w:r w:rsidR="004F4D03" w:rsidRPr="001A62EA">
        <w:rPr>
          <w:rFonts w:cs="Times New Roman"/>
          <w:szCs w:val="24"/>
          <w:highlight w:val="yellow"/>
          <w:lang w:val="en-GB"/>
        </w:rPr>
        <w:t xml:space="preserve"> its consumer market to overcome the COVID-19 situation</w:t>
      </w:r>
      <w:r w:rsidRPr="001A62EA">
        <w:rPr>
          <w:rFonts w:cs="Times New Roman"/>
          <w:szCs w:val="24"/>
          <w:highlight w:val="yellow"/>
          <w:lang w:val="en-GB"/>
        </w:rPr>
        <w:t xml:space="preserve">: </w:t>
      </w:r>
    </w:p>
    <w:p w14:paraId="7C347267" w14:textId="77777777" w:rsidR="008E5946" w:rsidRPr="001A62EA" w:rsidRDefault="005B4C59" w:rsidP="00930D75">
      <w:pPr>
        <w:pStyle w:val="ListParagraph"/>
        <w:numPr>
          <w:ilvl w:val="0"/>
          <w:numId w:val="25"/>
        </w:numPr>
        <w:spacing w:after="0"/>
        <w:jc w:val="both"/>
        <w:rPr>
          <w:rFonts w:cs="Times New Roman"/>
          <w:szCs w:val="24"/>
          <w:highlight w:val="yellow"/>
          <w:lang w:val="en-GB"/>
        </w:rPr>
      </w:pPr>
      <w:r w:rsidRPr="001A62EA">
        <w:rPr>
          <w:rFonts w:cs="Times New Roman"/>
          <w:szCs w:val="24"/>
          <w:highlight w:val="yellow"/>
          <w:lang w:val="en-GB"/>
        </w:rPr>
        <w:t xml:space="preserve">Growing commercial enterprise computerization </w:t>
      </w:r>
    </w:p>
    <w:p w14:paraId="0315E0EE" w14:textId="77777777" w:rsidR="008E5946" w:rsidRPr="001A62EA" w:rsidRDefault="005B4C59" w:rsidP="00930D75">
      <w:pPr>
        <w:pStyle w:val="ListParagraph"/>
        <w:numPr>
          <w:ilvl w:val="0"/>
          <w:numId w:val="25"/>
        </w:numPr>
        <w:spacing w:after="0"/>
        <w:jc w:val="both"/>
        <w:rPr>
          <w:rFonts w:cs="Times New Roman"/>
          <w:szCs w:val="24"/>
          <w:highlight w:val="yellow"/>
          <w:lang w:val="en-GB"/>
        </w:rPr>
      </w:pPr>
      <w:r w:rsidRPr="001A62EA">
        <w:rPr>
          <w:rFonts w:cs="Times New Roman"/>
          <w:szCs w:val="24"/>
          <w:highlight w:val="yellow"/>
          <w:lang w:val="en-GB"/>
        </w:rPr>
        <w:t xml:space="preserve">Growing R&amp;D ventures </w:t>
      </w:r>
    </w:p>
    <w:p w14:paraId="7962BDEF" w14:textId="78F256EA" w:rsidR="008E5946" w:rsidRPr="001A62EA" w:rsidRDefault="005B4C59" w:rsidP="00930D75">
      <w:pPr>
        <w:spacing w:after="0"/>
        <w:ind w:firstLine="720"/>
        <w:jc w:val="both"/>
        <w:rPr>
          <w:rFonts w:cs="Times New Roman"/>
          <w:szCs w:val="24"/>
          <w:highlight w:val="yellow"/>
          <w:lang w:val="en-GB"/>
        </w:rPr>
      </w:pPr>
      <w:r w:rsidRPr="001A62EA">
        <w:rPr>
          <w:rFonts w:cs="Times New Roman"/>
          <w:szCs w:val="24"/>
          <w:highlight w:val="yellow"/>
          <w:lang w:val="en-GB"/>
        </w:rPr>
        <w:t xml:space="preserve">Rising commercial enterprise mechanization is an open door for </w:t>
      </w:r>
      <w:r w:rsidR="00521501" w:rsidRPr="001A62EA">
        <w:rPr>
          <w:rFonts w:cs="Times New Roman"/>
          <w:szCs w:val="24"/>
          <w:highlight w:val="yellow"/>
          <w:lang w:val="en-GB"/>
        </w:rPr>
        <w:t>the organisation</w:t>
      </w:r>
      <w:r w:rsidR="004268A0" w:rsidRPr="001A62EA">
        <w:rPr>
          <w:rFonts w:cs="Times New Roman"/>
          <w:szCs w:val="24"/>
          <w:highlight w:val="yellow"/>
          <w:lang w:val="en-GB"/>
        </w:rPr>
        <w:t xml:space="preserve"> to increment effectiveness of operation</w:t>
      </w:r>
      <w:r w:rsidRPr="001A62EA">
        <w:rPr>
          <w:rFonts w:cs="Times New Roman"/>
          <w:szCs w:val="24"/>
          <w:highlight w:val="yellow"/>
          <w:lang w:val="en-GB"/>
        </w:rPr>
        <w:t xml:space="preserve">. </w:t>
      </w:r>
      <w:r w:rsidR="00DD2865" w:rsidRPr="001A62EA">
        <w:rPr>
          <w:rFonts w:cs="Times New Roman"/>
          <w:szCs w:val="24"/>
          <w:highlight w:val="yellow"/>
          <w:lang w:val="en-GB"/>
        </w:rPr>
        <w:t>New</w:t>
      </w:r>
      <w:r w:rsidRPr="001A62EA">
        <w:rPr>
          <w:rFonts w:cs="Times New Roman"/>
          <w:szCs w:val="24"/>
          <w:highlight w:val="yellow"/>
          <w:lang w:val="en-GB"/>
        </w:rPr>
        <w:t xml:space="preserve"> enterprise handling gear can improve stock looking at to assist manufacturing community and </w:t>
      </w:r>
      <w:r w:rsidR="004F4D03" w:rsidRPr="001A62EA">
        <w:rPr>
          <w:rFonts w:cs="Times New Roman"/>
          <w:szCs w:val="24"/>
          <w:highlight w:val="yellow"/>
          <w:lang w:val="en-GB"/>
        </w:rPr>
        <w:t>increase the rate of efficiency in epidemic situation</w:t>
      </w:r>
      <w:r w:rsidRPr="001A62EA">
        <w:rPr>
          <w:rFonts w:cs="Times New Roman"/>
          <w:szCs w:val="24"/>
          <w:highlight w:val="yellow"/>
          <w:lang w:val="en-GB"/>
        </w:rPr>
        <w:t>. Regardless, the diminishing cost of transportation activates decrease operating expenses, which upload to enterprise development</w:t>
      </w:r>
      <w:r w:rsidR="00137D62" w:rsidRPr="001A62EA">
        <w:rPr>
          <w:rFonts w:cs="Times New Roman"/>
          <w:szCs w:val="24"/>
          <w:highlight w:val="yellow"/>
          <w:lang w:val="en-GB"/>
        </w:rPr>
        <w:t xml:space="preserve"> </w:t>
      </w:r>
      <w:r w:rsidR="00137D62" w:rsidRPr="001A62EA">
        <w:rPr>
          <w:rFonts w:cs="Times New Roman"/>
          <w:szCs w:val="24"/>
          <w:highlight w:val="yellow"/>
          <w:lang w:val="en-GB"/>
        </w:rPr>
        <w:fldChar w:fldCharType="begin" w:fldLock="1"/>
      </w:r>
      <w:r w:rsidR="00137D62" w:rsidRPr="001A62EA">
        <w:rPr>
          <w:rFonts w:cs="Times New Roman"/>
          <w:szCs w:val="24"/>
          <w:highlight w:val="yellow"/>
          <w:lang w:val="en-GB"/>
        </w:rPr>
        <w:instrText>ADDIN CSL_CITATION {"citationItems":[{"id":"ITEM-1","itemData":{"DOI":"10.1016/j.orgdyn.2020.100802","ISSN":"00902616","abstract":"The emergence of COVID-19 has presented employees and employers new challenges as many employees and managers were forced to work in a remote environment for the first time. For many reasons, managing virtual teams is different than managing employees in a traditional face-to-face office environment. Although many managers have been learning how to lead their virtual teams over the last several months, we offer five steps for leaders to follow for how to maximize the effectiveness of a remote workplace. By taking specific actions and ensuring the organization has a culture to support their virtual workforce, leaders can improve the performance output and engagement of their teams. The five steps are: first establish and explain the new reality; second, establish and maintain a culture of trust; third, upgrade leadership communication tools and techniques to better inform virtual employees; fourth, encourage shared leadership among team members; and fifth, to create and periodically perform alignment audits to ensure virtual employees are aligned with the organization's cultural values including its commitment to mission. All these steps start with the realization that managing a team is going to be different when the members are dispersed, and new leadership strategies, communication routines and tools are required.","author":[{"dropping-particle":"","family":"Newman","given":"Sean A.","non-dropping-particle":"","parse-names":false,"suffix":""},{"dropping-particle":"","family":"Ford","given":"Robert C.","non-dropping-particle":"","parse-names":false,"suffix":""}],"container-title":"Organizational Dynamics","id":"ITEM-1","issued":{"date-parts":[["2020"]]},"title":"Five Steps to Leading Your Team in the Virtual COVID-19 Workplace","type":"article-journal"},"uris":["http://www.mendeley.com/documents/?uuid=d91a922f-5602-4152-bd0a-dcc7269f7f36","http://www.mendeley.com/documents/?uuid=8b2f9f86-185f-4611-96d8-e80ed6cfad75"]}],"mendeley":{"formattedCitation":"(Newman and Ford, 2020)","plainTextFormattedCitation":"(Newman and Ford, 2020)","previouslyFormattedCitation":"(Newman and Ford, 2020)"},"properties":{"noteIndex":0},"schema":"https://github.com/citation-style-language/schema/raw/master/csl-citation.json"}</w:instrText>
      </w:r>
      <w:r w:rsidR="00137D62" w:rsidRPr="001A62EA">
        <w:rPr>
          <w:rFonts w:cs="Times New Roman"/>
          <w:szCs w:val="24"/>
          <w:highlight w:val="yellow"/>
          <w:lang w:val="en-GB"/>
        </w:rPr>
        <w:fldChar w:fldCharType="separate"/>
      </w:r>
      <w:r w:rsidR="00137D62" w:rsidRPr="001A62EA">
        <w:rPr>
          <w:rFonts w:cs="Times New Roman"/>
          <w:szCs w:val="24"/>
          <w:highlight w:val="yellow"/>
          <w:lang w:val="en-GB"/>
        </w:rPr>
        <w:t>(Newman and Ford, 2020)</w:t>
      </w:r>
      <w:r w:rsidR="00137D62" w:rsidRPr="001A62EA">
        <w:rPr>
          <w:rFonts w:cs="Times New Roman"/>
          <w:szCs w:val="24"/>
          <w:highlight w:val="yellow"/>
          <w:lang w:val="en-GB"/>
        </w:rPr>
        <w:fldChar w:fldCharType="end"/>
      </w:r>
      <w:r w:rsidRPr="001A62EA">
        <w:rPr>
          <w:rFonts w:cs="Times New Roman"/>
          <w:szCs w:val="24"/>
          <w:highlight w:val="yellow"/>
          <w:lang w:val="en-GB"/>
        </w:rPr>
        <w:t>. This a par</w:t>
      </w:r>
      <w:r w:rsidR="00A07A34" w:rsidRPr="001A62EA">
        <w:rPr>
          <w:rFonts w:cs="Times New Roman"/>
          <w:szCs w:val="24"/>
          <w:highlight w:val="yellow"/>
          <w:lang w:val="en-GB"/>
        </w:rPr>
        <w:t xml:space="preserve">t of the pestle </w:t>
      </w:r>
      <w:r w:rsidR="00A07A34" w:rsidRPr="001A62EA">
        <w:rPr>
          <w:rFonts w:cs="Times New Roman"/>
          <w:szCs w:val="24"/>
          <w:highlight w:val="yellow"/>
          <w:lang w:val="en-GB"/>
        </w:rPr>
        <w:lastRenderedPageBreak/>
        <w:t>examination of U</w:t>
      </w:r>
      <w:r w:rsidRPr="001A62EA">
        <w:rPr>
          <w:rFonts w:cs="Times New Roman"/>
          <w:szCs w:val="24"/>
          <w:highlight w:val="yellow"/>
          <w:lang w:val="en-GB"/>
        </w:rPr>
        <w:t xml:space="preserve">nilever capabilities development </w:t>
      </w:r>
      <w:r w:rsidR="004F4D03" w:rsidRPr="001A62EA">
        <w:rPr>
          <w:rFonts w:cs="Times New Roman"/>
          <w:szCs w:val="24"/>
          <w:highlight w:val="yellow"/>
          <w:lang w:val="en-GB"/>
        </w:rPr>
        <w:t xml:space="preserve">in epidemic </w:t>
      </w:r>
      <w:r w:rsidR="001A62EA" w:rsidRPr="001A62EA">
        <w:rPr>
          <w:rFonts w:cs="Times New Roman"/>
          <w:szCs w:val="24"/>
          <w:highlight w:val="yellow"/>
          <w:lang w:val="en-GB"/>
        </w:rPr>
        <w:t>situation</w:t>
      </w:r>
      <w:r w:rsidR="004F4D03" w:rsidRPr="001A62EA">
        <w:rPr>
          <w:rFonts w:cs="Times New Roman"/>
          <w:szCs w:val="24"/>
          <w:highlight w:val="yellow"/>
          <w:lang w:val="en-GB"/>
        </w:rPr>
        <w:t xml:space="preserve"> of COVID-19 </w:t>
      </w:r>
      <w:r w:rsidRPr="001A62EA">
        <w:rPr>
          <w:rFonts w:cs="Times New Roman"/>
          <w:szCs w:val="24"/>
          <w:highlight w:val="yellow"/>
          <w:lang w:val="en-GB"/>
        </w:rPr>
        <w:t>and severe risks dependent on mechanical patterns in the distant or massive scale weather.</w:t>
      </w:r>
      <w:r w:rsidR="00A07A34" w:rsidRPr="001A62EA">
        <w:rPr>
          <w:rFonts w:cs="Times New Roman"/>
          <w:szCs w:val="24"/>
          <w:highlight w:val="yellow"/>
          <w:lang w:val="en-GB"/>
        </w:rPr>
        <w:t xml:space="preserve"> Steady upgrades in the working cycles are </w:t>
      </w:r>
      <w:r w:rsidR="003C26B2" w:rsidRPr="001A62EA">
        <w:rPr>
          <w:rFonts w:cs="Times New Roman"/>
          <w:szCs w:val="24"/>
          <w:highlight w:val="yellow"/>
          <w:lang w:val="en-GB"/>
        </w:rPr>
        <w:t>needed</w:t>
      </w:r>
      <w:r w:rsidR="00A07A34" w:rsidRPr="001A62EA">
        <w:rPr>
          <w:rFonts w:cs="Times New Roman"/>
          <w:szCs w:val="24"/>
          <w:highlight w:val="yellow"/>
          <w:lang w:val="en-GB"/>
        </w:rPr>
        <w:t xml:space="preserve"> to build productivity </w:t>
      </w:r>
      <w:r w:rsidR="004F4D03" w:rsidRPr="001A62EA">
        <w:rPr>
          <w:rFonts w:cs="Times New Roman"/>
          <w:szCs w:val="24"/>
          <w:highlight w:val="yellow"/>
          <w:lang w:val="en-GB"/>
        </w:rPr>
        <w:t xml:space="preserve">in this situation of financial </w:t>
      </w:r>
      <w:r w:rsidR="001A62EA">
        <w:rPr>
          <w:rFonts w:cs="Times New Roman"/>
          <w:szCs w:val="24"/>
          <w:highlight w:val="yellow"/>
          <w:lang w:val="en-GB"/>
        </w:rPr>
        <w:t>crises</w:t>
      </w:r>
      <w:r w:rsidR="004F4D03" w:rsidRPr="001A62EA">
        <w:rPr>
          <w:rFonts w:cs="Times New Roman"/>
          <w:szCs w:val="24"/>
          <w:highlight w:val="yellow"/>
          <w:lang w:val="en-GB"/>
        </w:rPr>
        <w:t xml:space="preserve"> </w:t>
      </w:r>
      <w:r w:rsidR="00A07A34" w:rsidRPr="001A62EA">
        <w:rPr>
          <w:rFonts w:cs="Times New Roman"/>
          <w:szCs w:val="24"/>
          <w:highlight w:val="yellow"/>
          <w:lang w:val="en-GB"/>
        </w:rPr>
        <w:t>and lessening the expenses</w:t>
      </w:r>
      <w:r w:rsidR="004F4D03" w:rsidRPr="001A62EA">
        <w:rPr>
          <w:rFonts w:cs="Times New Roman"/>
          <w:szCs w:val="24"/>
          <w:highlight w:val="yellow"/>
          <w:lang w:val="en-GB"/>
        </w:rPr>
        <w:t xml:space="preserve"> </w:t>
      </w:r>
      <w:r w:rsidR="00137D62" w:rsidRPr="001A62EA">
        <w:rPr>
          <w:rFonts w:cs="Times New Roman"/>
          <w:szCs w:val="24"/>
          <w:highlight w:val="yellow"/>
          <w:lang w:val="en-GB"/>
        </w:rPr>
        <w:fldChar w:fldCharType="begin" w:fldLock="1"/>
      </w:r>
      <w:r w:rsidR="00137D62" w:rsidRPr="001A62EA">
        <w:rPr>
          <w:rFonts w:cs="Times New Roman"/>
          <w:szCs w:val="24"/>
          <w:highlight w:val="yellow"/>
          <w:lang w:val="en-GB"/>
        </w:rPr>
        <w:instrText>ADDIN CSL_CITATION {"citationItems":[{"id":"ITEM-1","itemData":{"DOI":"10.2308/jmar-51024","ISSN":"15588033","abstract":"While the construct of narcissism has existed for well over 100 years, it has become the most discussed personality disorder of recent times and has the potential to influence organizational culture and control systems. Although systematic research on narcissism has been conducted at the individual level, research on its effects within organizations is still in its nascent stages. Our objectives in this paper are threefold: (1) to present an overview of the narcissism construct and its causes, (2) to review how narcissistic employees behave differently in work settings compared to less narcissistic employees, and (3) to develop a framework for research from which we develop testable hypotheses about how increased levels of employee narcissism can affect the design and performance of management control systems.","author":[{"dropping-particle":"","family":"Young","given":"S. Mark","non-dropping-particle":"","parse-names":false,"suffix":""},{"dropping-particle":"","family":"Du","given":"Fei","non-dropping-particle":"","parse-names":false,"suffix":""},{"dropping-particle":"","family":"Dworkis","given":"Kelsey Kay","non-dropping-particle":"","parse-names":false,"suffix":""},{"dropping-particle":"","family":"Olsen","given":"Kari Joseph","non-dropping-particle":"","parse-names":false,"suffix":""}],"container-title":"Journal of Management Accounting Research","id":"ITEM-1","issued":{"date-parts":[["2016"]]},"title":"It’s all about all of us: The rise of narcissism and its implications for management control system research","type":"article-journal"},"uris":["http://www.mendeley.com/documents/?uuid=28fc79b0-ec36-4254-a983-e7f244f05569","http://www.mendeley.com/documents/?uuid=5edd0477-941c-4ded-a33d-fcc6061e4eca"]}],"mendeley":{"formattedCitation":"(Young &lt;i&gt;et al.&lt;/i&gt;, 2016)","plainTextFormattedCitation":"(Young et al., 2016)","previouslyFormattedCitation":"(Young &lt;i&gt;et al.&lt;/i&gt;, 2016)"},"properties":{"noteIndex":0},"schema":"https://github.com/citation-style-language/schema/raw/master/csl-citation.json"}</w:instrText>
      </w:r>
      <w:r w:rsidR="00137D62" w:rsidRPr="001A62EA">
        <w:rPr>
          <w:rFonts w:cs="Times New Roman"/>
          <w:szCs w:val="24"/>
          <w:highlight w:val="yellow"/>
          <w:lang w:val="en-GB"/>
        </w:rPr>
        <w:fldChar w:fldCharType="separate"/>
      </w:r>
      <w:r w:rsidR="00137D62" w:rsidRPr="001A62EA">
        <w:rPr>
          <w:rFonts w:cs="Times New Roman"/>
          <w:szCs w:val="24"/>
          <w:highlight w:val="yellow"/>
          <w:lang w:val="en-GB"/>
        </w:rPr>
        <w:t xml:space="preserve">(Young </w:t>
      </w:r>
      <w:r w:rsidR="00137D62" w:rsidRPr="001A62EA">
        <w:rPr>
          <w:rFonts w:cs="Times New Roman"/>
          <w:i/>
          <w:szCs w:val="24"/>
          <w:highlight w:val="yellow"/>
          <w:lang w:val="en-GB"/>
        </w:rPr>
        <w:t>et al.</w:t>
      </w:r>
      <w:r w:rsidR="00137D62" w:rsidRPr="001A62EA">
        <w:rPr>
          <w:rFonts w:cs="Times New Roman"/>
          <w:szCs w:val="24"/>
          <w:highlight w:val="yellow"/>
          <w:lang w:val="en-GB"/>
        </w:rPr>
        <w:t>, 2016)</w:t>
      </w:r>
      <w:r w:rsidR="00137D62" w:rsidRPr="001A62EA">
        <w:rPr>
          <w:rFonts w:cs="Times New Roman"/>
          <w:szCs w:val="24"/>
          <w:highlight w:val="yellow"/>
          <w:lang w:val="en-GB"/>
        </w:rPr>
        <w:fldChar w:fldCharType="end"/>
      </w:r>
      <w:r w:rsidR="00A07A34" w:rsidRPr="001A62EA">
        <w:rPr>
          <w:rFonts w:cs="Times New Roman"/>
          <w:szCs w:val="24"/>
          <w:highlight w:val="yellow"/>
          <w:lang w:val="en-GB"/>
        </w:rPr>
        <w:t>.</w:t>
      </w:r>
    </w:p>
    <w:p w14:paraId="5C1D71DC" w14:textId="77777777" w:rsidR="001C1862" w:rsidRPr="001A62EA" w:rsidRDefault="001C1862" w:rsidP="00930D75">
      <w:pPr>
        <w:spacing w:after="0"/>
        <w:jc w:val="both"/>
        <w:rPr>
          <w:rFonts w:cs="Times New Roman"/>
          <w:szCs w:val="24"/>
          <w:highlight w:val="yellow"/>
          <w:lang w:val="en-GB"/>
        </w:rPr>
      </w:pPr>
    </w:p>
    <w:p w14:paraId="70A5F563" w14:textId="77777777" w:rsidR="00E50BA3" w:rsidRPr="001A62EA" w:rsidRDefault="005B4C59" w:rsidP="00930D75">
      <w:pPr>
        <w:pStyle w:val="Heading3"/>
        <w:spacing w:before="0"/>
        <w:rPr>
          <w:rFonts w:eastAsia="Times New Roman" w:cs="Times New Roman"/>
          <w:color w:val="auto"/>
          <w:szCs w:val="24"/>
          <w:highlight w:val="yellow"/>
          <w:lang w:val="en-GB"/>
        </w:rPr>
      </w:pPr>
      <w:bookmarkStart w:id="17" w:name="_Toc60697871"/>
      <w:r w:rsidRPr="001A62EA">
        <w:rPr>
          <w:rFonts w:eastAsia="Times New Roman" w:cs="Times New Roman"/>
          <w:color w:val="auto"/>
          <w:szCs w:val="24"/>
          <w:highlight w:val="yellow"/>
          <w:lang w:val="en-GB"/>
        </w:rPr>
        <w:t>Ecological/Environmental</w:t>
      </w:r>
      <w:bookmarkEnd w:id="17"/>
      <w:r w:rsidRPr="001A62EA">
        <w:rPr>
          <w:rFonts w:eastAsia="Times New Roman" w:cs="Times New Roman"/>
          <w:color w:val="auto"/>
          <w:szCs w:val="24"/>
          <w:highlight w:val="yellow"/>
          <w:lang w:val="en-GB"/>
        </w:rPr>
        <w:t xml:space="preserve"> </w:t>
      </w:r>
    </w:p>
    <w:p w14:paraId="29C3C975" w14:textId="2E97A298" w:rsidR="008E5946" w:rsidRPr="001A62EA" w:rsidRDefault="004C3F29" w:rsidP="00930D75">
      <w:pPr>
        <w:spacing w:after="0"/>
        <w:ind w:firstLine="720"/>
        <w:jc w:val="both"/>
        <w:rPr>
          <w:rFonts w:cs="Times New Roman"/>
          <w:szCs w:val="24"/>
          <w:highlight w:val="yellow"/>
          <w:lang w:val="en-GB"/>
        </w:rPr>
      </w:pPr>
      <w:r w:rsidRPr="001A62EA">
        <w:rPr>
          <w:rFonts w:cs="Times New Roman"/>
          <w:szCs w:val="24"/>
          <w:highlight w:val="yellow"/>
          <w:lang w:val="en-GB"/>
        </w:rPr>
        <w:t>It has</w:t>
      </w:r>
      <w:r w:rsidR="005B4C59" w:rsidRPr="001A62EA">
        <w:rPr>
          <w:rFonts w:cs="Times New Roman"/>
          <w:szCs w:val="24"/>
          <w:highlight w:val="yellow"/>
          <w:lang w:val="en-GB"/>
        </w:rPr>
        <w:t xml:space="preserve"> been successfully</w:t>
      </w:r>
      <w:r w:rsidRPr="001A62EA">
        <w:rPr>
          <w:rFonts w:cs="Times New Roman"/>
          <w:szCs w:val="24"/>
          <w:highlight w:val="yellow"/>
          <w:lang w:val="en-GB"/>
        </w:rPr>
        <w:t xml:space="preserve"> </w:t>
      </w:r>
      <w:r w:rsidR="005B4C59" w:rsidRPr="001A62EA">
        <w:rPr>
          <w:rFonts w:cs="Times New Roman"/>
          <w:szCs w:val="24"/>
          <w:highlight w:val="yellow"/>
          <w:lang w:val="en-GB"/>
        </w:rPr>
        <w:t xml:space="preserve">able to </w:t>
      </w:r>
      <w:r w:rsidRPr="001A62EA">
        <w:rPr>
          <w:rFonts w:cs="Times New Roman"/>
          <w:szCs w:val="24"/>
          <w:highlight w:val="yellow"/>
          <w:lang w:val="en-GB"/>
        </w:rPr>
        <w:t xml:space="preserve">complete the </w:t>
      </w:r>
      <w:r w:rsidR="005B4C59" w:rsidRPr="001A62EA">
        <w:rPr>
          <w:rFonts w:cs="Times New Roman"/>
          <w:szCs w:val="24"/>
          <w:highlight w:val="yellow"/>
          <w:lang w:val="en-GB"/>
        </w:rPr>
        <w:t>project</w:t>
      </w:r>
      <w:r w:rsidR="00945C91" w:rsidRPr="001A62EA">
        <w:rPr>
          <w:rFonts w:cs="Times New Roman"/>
          <w:szCs w:val="24"/>
          <w:highlight w:val="yellow"/>
          <w:lang w:val="en-GB"/>
        </w:rPr>
        <w:t xml:space="preserve"> by</w:t>
      </w:r>
      <w:r w:rsidR="005B4C59" w:rsidRPr="001A62EA">
        <w:rPr>
          <w:rFonts w:cs="Times New Roman"/>
          <w:szCs w:val="24"/>
          <w:highlight w:val="yellow"/>
          <w:lang w:val="en-GB"/>
        </w:rPr>
        <w:t xml:space="preserve"> itself as an environmentally </w:t>
      </w:r>
      <w:r w:rsidR="000629BC" w:rsidRPr="001A62EA">
        <w:rPr>
          <w:rFonts w:cs="Times New Roman"/>
          <w:szCs w:val="24"/>
          <w:highlight w:val="yellow"/>
          <w:lang w:val="en-GB"/>
        </w:rPr>
        <w:t xml:space="preserve">the Unilever is a </w:t>
      </w:r>
      <w:r w:rsidR="005B4C59" w:rsidRPr="001A62EA">
        <w:rPr>
          <w:rFonts w:cs="Times New Roman"/>
          <w:szCs w:val="24"/>
          <w:highlight w:val="yellow"/>
          <w:lang w:val="en-GB"/>
        </w:rPr>
        <w:t xml:space="preserve">friendly company and </w:t>
      </w:r>
      <w:r w:rsidR="001A62EA">
        <w:rPr>
          <w:rFonts w:cs="Times New Roman"/>
          <w:szCs w:val="24"/>
          <w:highlight w:val="yellow"/>
          <w:lang w:val="en-GB"/>
        </w:rPr>
        <w:t>Unilever</w:t>
      </w:r>
      <w:r w:rsidR="001A62EA" w:rsidRPr="001A62EA">
        <w:rPr>
          <w:rFonts w:cs="Times New Roman"/>
          <w:szCs w:val="24"/>
          <w:highlight w:val="yellow"/>
          <w:lang w:val="en-GB"/>
        </w:rPr>
        <w:t xml:space="preserve"> </w:t>
      </w:r>
      <w:r w:rsidR="004F4D03" w:rsidRPr="001A62EA">
        <w:rPr>
          <w:rFonts w:cs="Times New Roman"/>
          <w:szCs w:val="24"/>
          <w:highlight w:val="yellow"/>
          <w:lang w:val="en-GB"/>
        </w:rPr>
        <w:t>has is completing its responsibility in this epidemic situation of COVID-19 by following safety measures</w:t>
      </w:r>
      <w:r w:rsidR="005B4C59" w:rsidRPr="001A62EA">
        <w:rPr>
          <w:rFonts w:cs="Times New Roman"/>
          <w:szCs w:val="24"/>
          <w:highlight w:val="yellow"/>
          <w:lang w:val="en-GB"/>
        </w:rPr>
        <w:t xml:space="preserve">. </w:t>
      </w:r>
      <w:r w:rsidR="004F4D03" w:rsidRPr="001A62EA">
        <w:rPr>
          <w:rFonts w:cs="Times New Roman"/>
          <w:szCs w:val="24"/>
          <w:highlight w:val="yellow"/>
          <w:lang w:val="en-GB"/>
        </w:rPr>
        <w:t>On other hands, i</w:t>
      </w:r>
      <w:r w:rsidR="006965C7" w:rsidRPr="001A62EA">
        <w:rPr>
          <w:rFonts w:cs="Times New Roman"/>
          <w:szCs w:val="24"/>
          <w:highlight w:val="yellow"/>
          <w:lang w:val="en-GB"/>
        </w:rPr>
        <w:t>t</w:t>
      </w:r>
      <w:r w:rsidR="005B4C59" w:rsidRPr="001A62EA">
        <w:rPr>
          <w:rFonts w:cs="Times New Roman"/>
          <w:szCs w:val="24"/>
          <w:highlight w:val="yellow"/>
          <w:lang w:val="en-GB"/>
        </w:rPr>
        <w:t xml:space="preserve"> is working towards </w:t>
      </w:r>
      <w:r w:rsidR="00DE62B3" w:rsidRPr="001A62EA">
        <w:rPr>
          <w:rFonts w:cs="Times New Roman"/>
          <w:szCs w:val="24"/>
          <w:highlight w:val="yellow"/>
          <w:lang w:val="en-GB"/>
        </w:rPr>
        <w:t xml:space="preserve">Sustainability goals of </w:t>
      </w:r>
      <w:r w:rsidR="005B4C59" w:rsidRPr="001A62EA">
        <w:rPr>
          <w:rFonts w:cs="Times New Roman"/>
          <w:szCs w:val="24"/>
          <w:highlight w:val="yellow"/>
          <w:lang w:val="en-GB"/>
        </w:rPr>
        <w:t>U</w:t>
      </w:r>
      <w:r w:rsidR="00DE62B3" w:rsidRPr="001A62EA">
        <w:rPr>
          <w:rFonts w:cs="Times New Roman"/>
          <w:szCs w:val="24"/>
          <w:highlight w:val="yellow"/>
          <w:lang w:val="en-GB"/>
        </w:rPr>
        <w:t xml:space="preserve">nited </w:t>
      </w:r>
      <w:r w:rsidR="005B4C59" w:rsidRPr="001A62EA">
        <w:rPr>
          <w:rFonts w:cs="Times New Roman"/>
          <w:szCs w:val="24"/>
          <w:highlight w:val="yellow"/>
          <w:lang w:val="en-GB"/>
        </w:rPr>
        <w:t>N</w:t>
      </w:r>
      <w:r w:rsidR="00DE62B3" w:rsidRPr="001A62EA">
        <w:rPr>
          <w:rFonts w:cs="Times New Roman"/>
          <w:szCs w:val="24"/>
          <w:highlight w:val="yellow"/>
          <w:lang w:val="en-GB"/>
        </w:rPr>
        <w:t>ation</w:t>
      </w:r>
      <w:r w:rsidR="005B4C59" w:rsidRPr="001A62EA">
        <w:rPr>
          <w:rFonts w:cs="Times New Roman"/>
          <w:szCs w:val="24"/>
          <w:highlight w:val="yellow"/>
          <w:lang w:val="en-GB"/>
        </w:rPr>
        <w:t xml:space="preserve"> which will </w:t>
      </w:r>
      <w:r w:rsidR="00C81F4D" w:rsidRPr="001A62EA">
        <w:rPr>
          <w:rFonts w:cs="Times New Roman"/>
          <w:szCs w:val="24"/>
          <w:highlight w:val="yellow"/>
          <w:lang w:val="en-GB"/>
        </w:rPr>
        <w:t>more</w:t>
      </w:r>
      <w:r w:rsidR="005B4C59" w:rsidRPr="001A62EA">
        <w:rPr>
          <w:rFonts w:cs="Times New Roman"/>
          <w:szCs w:val="24"/>
          <w:highlight w:val="yellow"/>
          <w:lang w:val="en-GB"/>
        </w:rPr>
        <w:t xml:space="preserve"> enhance its business</w:t>
      </w:r>
      <w:r w:rsidR="00F55996" w:rsidRPr="001A62EA">
        <w:rPr>
          <w:rFonts w:cs="Times New Roman"/>
          <w:szCs w:val="24"/>
          <w:highlight w:val="yellow"/>
          <w:lang w:val="en-GB"/>
        </w:rPr>
        <w:t xml:space="preserve"> and image</w:t>
      </w:r>
      <w:r w:rsidR="00137D62" w:rsidRPr="001A62EA">
        <w:rPr>
          <w:rFonts w:cs="Times New Roman"/>
          <w:szCs w:val="24"/>
          <w:highlight w:val="yellow"/>
          <w:lang w:val="en-GB"/>
        </w:rPr>
        <w:t xml:space="preserve"> </w:t>
      </w:r>
      <w:r w:rsidR="00137D62" w:rsidRPr="001A62EA">
        <w:rPr>
          <w:rFonts w:cs="Times New Roman"/>
          <w:szCs w:val="24"/>
          <w:highlight w:val="yellow"/>
          <w:lang w:val="en-GB"/>
        </w:rPr>
        <w:fldChar w:fldCharType="begin" w:fldLock="1"/>
      </w:r>
      <w:r w:rsidR="00137D62" w:rsidRPr="001A62EA">
        <w:rPr>
          <w:rFonts w:cs="Times New Roman"/>
          <w:szCs w:val="24"/>
          <w:highlight w:val="yellow"/>
          <w:lang w:val="en-GB"/>
        </w:rPr>
        <w:instrText>ADDIN CSL_CITATION {"citationItems":[{"id":"ITEM-1","itemData":{"ISSN":"2549-192X","abstract":"An organization's corporate culture reflects the values and norms that become the company's vision and mission in achieving its goals. Implementation of suitable organizational culture will have a positive impact on work motivation so as to improve employeeperformance in the company. Indeed companies that have a strong organizational culture will have a great influence on the behavior of its employee because of the high level of togetherness and intensity of creating an internal climate of high behavioral control. Employees who have good performance then create the increasing performance of the organization because employees become mover of organizational operations. Many variables affect employee performance, one of them is organizational culture. Organizational culture is a common perception owned by all employees of the organization, so that every employee who becomes a member of the organization will have value, belief and behavior in accordance with the organization. This study analyzed the influence of organizational culture on work motivation and its impact on employee performance in AUTO2000 Sutoyo Malang, East Java. This research perspective refers to employees of the AUTO2000 company. Kеywords:","author":[{"dropping-particle":"","family":"Alinvia Ayu Sagita","given":"Heru Susilo","non-dropping-particle":"","parse-names":false,"suffix":""},{"dropping-particle":"","family":"W.S","given":"Muhammad Cahyo","non-dropping-particle":"","parse-names":false,"suffix":""}],"container-title":"Jurnal Administrasi Bisnis (JAB)","id":"ITEM-1","issued":{"date-parts":[["2018"]]},"title":"Pengaruh Budaya Organisasi Terhadap Kinerja Karyawan Melalui Motivasi Kerja Sebagai Variabel Intervening","type":"article-journal"},"uris":["http://www.mendeley.com/documents/?uuid=20e1e2ad-6f1d-4cdf-aaad-4b84eebab5a3","http://www.mendeley.com/documents/?uuid=8a876e82-88f1-4367-9e99-628bfcc85b74"]}],"mendeley":{"formattedCitation":"(Alinvia Ayu Sagita and W.S, 2018)","plainTextFormattedCitation":"(Alinvia Ayu Sagita and W.S, 2018)","previouslyFormattedCitation":"(Alinvia Ayu Sagita and W.S, 2018)"},"properties":{"noteIndex":0},"schema":"https://github.com/citation-style-language/schema/raw/master/csl-citation.json"}</w:instrText>
      </w:r>
      <w:r w:rsidR="00137D62" w:rsidRPr="001A62EA">
        <w:rPr>
          <w:rFonts w:cs="Times New Roman"/>
          <w:szCs w:val="24"/>
          <w:highlight w:val="yellow"/>
          <w:lang w:val="en-GB"/>
        </w:rPr>
        <w:fldChar w:fldCharType="separate"/>
      </w:r>
      <w:r w:rsidR="00137D62" w:rsidRPr="001A62EA">
        <w:rPr>
          <w:rFonts w:cs="Times New Roman"/>
          <w:szCs w:val="24"/>
          <w:highlight w:val="yellow"/>
          <w:lang w:val="en-GB"/>
        </w:rPr>
        <w:t>(Alinvia</w:t>
      </w:r>
      <w:r w:rsidR="00404F6F" w:rsidRPr="001A62EA">
        <w:rPr>
          <w:rFonts w:cs="Times New Roman"/>
          <w:szCs w:val="24"/>
          <w:highlight w:val="yellow"/>
          <w:lang w:val="en-GB"/>
        </w:rPr>
        <w:t>,</w:t>
      </w:r>
      <w:r w:rsidR="00137D62" w:rsidRPr="001A62EA">
        <w:rPr>
          <w:rFonts w:cs="Times New Roman"/>
          <w:szCs w:val="24"/>
          <w:highlight w:val="yellow"/>
          <w:lang w:val="en-GB"/>
        </w:rPr>
        <w:t xml:space="preserve"> Ayu </w:t>
      </w:r>
      <w:r w:rsidR="00404F6F" w:rsidRPr="001A62EA">
        <w:rPr>
          <w:rFonts w:cs="Times New Roman"/>
          <w:szCs w:val="24"/>
          <w:highlight w:val="yellow"/>
          <w:lang w:val="en-GB"/>
        </w:rPr>
        <w:t xml:space="preserve">and </w:t>
      </w:r>
      <w:r w:rsidR="00137D62" w:rsidRPr="001A62EA">
        <w:rPr>
          <w:rFonts w:cs="Times New Roman"/>
          <w:szCs w:val="24"/>
          <w:highlight w:val="yellow"/>
          <w:lang w:val="en-GB"/>
        </w:rPr>
        <w:t>Sagita, 2018)</w:t>
      </w:r>
      <w:r w:rsidR="00137D62" w:rsidRPr="001A62EA">
        <w:rPr>
          <w:rFonts w:cs="Times New Roman"/>
          <w:szCs w:val="24"/>
          <w:highlight w:val="yellow"/>
          <w:lang w:val="en-GB"/>
        </w:rPr>
        <w:fldChar w:fldCharType="end"/>
      </w:r>
      <w:r w:rsidR="005B4C59" w:rsidRPr="001A62EA">
        <w:rPr>
          <w:rFonts w:cs="Times New Roman"/>
          <w:szCs w:val="24"/>
          <w:highlight w:val="yellow"/>
          <w:lang w:val="en-GB"/>
        </w:rPr>
        <w:t>.</w:t>
      </w:r>
      <w:r w:rsidR="00D74C50" w:rsidRPr="001A62EA">
        <w:rPr>
          <w:rFonts w:cs="Times New Roman"/>
          <w:szCs w:val="24"/>
          <w:highlight w:val="yellow"/>
          <w:lang w:val="en-GB"/>
        </w:rPr>
        <w:t xml:space="preserve"> </w:t>
      </w:r>
      <w:r w:rsidR="005B4C59" w:rsidRPr="001A62EA">
        <w:rPr>
          <w:rFonts w:cs="Times New Roman"/>
          <w:szCs w:val="24"/>
          <w:highlight w:val="yellow"/>
          <w:lang w:val="en-GB"/>
        </w:rPr>
        <w:t xml:space="preserve">The </w:t>
      </w:r>
      <w:r w:rsidR="004F4D03" w:rsidRPr="001A62EA">
        <w:rPr>
          <w:rFonts w:cs="Times New Roman"/>
          <w:szCs w:val="24"/>
          <w:highlight w:val="yellow"/>
          <w:lang w:val="en-GB"/>
        </w:rPr>
        <w:t>measure of COVID-19 out</w:t>
      </w:r>
      <w:r w:rsidR="005B4C59" w:rsidRPr="001A62EA">
        <w:rPr>
          <w:rFonts w:cs="Times New Roman"/>
          <w:szCs w:val="24"/>
          <w:highlight w:val="yellow"/>
          <w:lang w:val="en-GB"/>
        </w:rPr>
        <w:t xml:space="preserve">doors variables altogether </w:t>
      </w:r>
      <w:r w:rsidR="001A62EA" w:rsidRPr="001A62EA">
        <w:rPr>
          <w:rFonts w:cs="Times New Roman"/>
          <w:szCs w:val="24"/>
          <w:highlight w:val="yellow"/>
          <w:lang w:val="en-GB"/>
        </w:rPr>
        <w:t>affects</w:t>
      </w:r>
      <w:r w:rsidR="005B4C59" w:rsidRPr="001A62EA">
        <w:rPr>
          <w:rFonts w:cs="Times New Roman"/>
          <w:szCs w:val="24"/>
          <w:highlight w:val="yellow"/>
          <w:lang w:val="en-GB"/>
        </w:rPr>
        <w:t xml:space="preserve"> Unilever's client merchandise business: </w:t>
      </w:r>
    </w:p>
    <w:p w14:paraId="571455F5" w14:textId="7630E0F6" w:rsidR="008E5946" w:rsidRPr="001A62EA" w:rsidRDefault="005B4C59" w:rsidP="00930D75">
      <w:pPr>
        <w:pStyle w:val="ListParagraph"/>
        <w:numPr>
          <w:ilvl w:val="0"/>
          <w:numId w:val="25"/>
        </w:numPr>
        <w:spacing w:after="0"/>
        <w:jc w:val="both"/>
        <w:rPr>
          <w:rFonts w:cs="Times New Roman"/>
          <w:szCs w:val="24"/>
          <w:highlight w:val="yellow"/>
          <w:lang w:val="en-GB"/>
        </w:rPr>
      </w:pPr>
      <w:r w:rsidRPr="001A62EA">
        <w:rPr>
          <w:rFonts w:cs="Times New Roman"/>
          <w:szCs w:val="24"/>
          <w:highlight w:val="yellow"/>
          <w:lang w:val="en-GB"/>
        </w:rPr>
        <w:t xml:space="preserve">Rising </w:t>
      </w:r>
      <w:r w:rsidR="004F4D03" w:rsidRPr="001A62EA">
        <w:rPr>
          <w:rFonts w:cs="Times New Roman"/>
          <w:szCs w:val="24"/>
          <w:highlight w:val="yellow"/>
          <w:lang w:val="en-GB"/>
        </w:rPr>
        <w:t>need</w:t>
      </w:r>
      <w:r w:rsidRPr="001A62EA">
        <w:rPr>
          <w:rFonts w:cs="Times New Roman"/>
          <w:szCs w:val="24"/>
          <w:highlight w:val="yellow"/>
          <w:lang w:val="en-GB"/>
        </w:rPr>
        <w:t xml:space="preserve"> </w:t>
      </w:r>
      <w:r w:rsidR="004F4D03" w:rsidRPr="001A62EA">
        <w:rPr>
          <w:rFonts w:cs="Times New Roman"/>
          <w:szCs w:val="24"/>
          <w:highlight w:val="yellow"/>
          <w:lang w:val="en-GB"/>
        </w:rPr>
        <w:t>of</w:t>
      </w:r>
      <w:r w:rsidRPr="001A62EA">
        <w:rPr>
          <w:rFonts w:cs="Times New Roman"/>
          <w:szCs w:val="24"/>
          <w:highlight w:val="yellow"/>
          <w:lang w:val="en-GB"/>
        </w:rPr>
        <w:t xml:space="preserve"> </w:t>
      </w:r>
      <w:r w:rsidR="004F4D03" w:rsidRPr="001A62EA">
        <w:rPr>
          <w:rFonts w:cs="Times New Roman"/>
          <w:szCs w:val="24"/>
          <w:highlight w:val="yellow"/>
          <w:lang w:val="en-GB"/>
        </w:rPr>
        <w:t>safety measure of COVID-19</w:t>
      </w:r>
      <w:r w:rsidRPr="001A62EA">
        <w:rPr>
          <w:rFonts w:cs="Times New Roman"/>
          <w:szCs w:val="24"/>
          <w:highlight w:val="yellow"/>
          <w:lang w:val="en-GB"/>
        </w:rPr>
        <w:t xml:space="preserve"> </w:t>
      </w:r>
    </w:p>
    <w:p w14:paraId="42328AA5" w14:textId="6F883418" w:rsidR="008E5946" w:rsidRPr="001A62EA" w:rsidRDefault="005B4C59" w:rsidP="00930D75">
      <w:pPr>
        <w:pStyle w:val="ListParagraph"/>
        <w:numPr>
          <w:ilvl w:val="0"/>
          <w:numId w:val="25"/>
        </w:numPr>
        <w:spacing w:after="0"/>
        <w:jc w:val="both"/>
        <w:rPr>
          <w:rFonts w:cs="Times New Roman"/>
          <w:szCs w:val="24"/>
          <w:highlight w:val="yellow"/>
          <w:lang w:val="en-GB"/>
        </w:rPr>
      </w:pPr>
      <w:r w:rsidRPr="001A62EA">
        <w:rPr>
          <w:rFonts w:cs="Times New Roman"/>
          <w:szCs w:val="24"/>
          <w:highlight w:val="yellow"/>
          <w:lang w:val="en-GB"/>
        </w:rPr>
        <w:t xml:space="preserve">Growing enterprise </w:t>
      </w:r>
      <w:r w:rsidR="004F4D03" w:rsidRPr="001A62EA">
        <w:rPr>
          <w:rFonts w:cs="Times New Roman"/>
          <w:szCs w:val="24"/>
          <w:highlight w:val="yellow"/>
          <w:lang w:val="en-GB"/>
        </w:rPr>
        <w:t>while understanding global responsibility</w:t>
      </w:r>
      <w:r w:rsidRPr="001A62EA">
        <w:rPr>
          <w:rFonts w:cs="Times New Roman"/>
          <w:szCs w:val="24"/>
          <w:highlight w:val="yellow"/>
          <w:lang w:val="en-GB"/>
        </w:rPr>
        <w:t xml:space="preserve"> </w:t>
      </w:r>
    </w:p>
    <w:p w14:paraId="27FDB256" w14:textId="62BD904E" w:rsidR="008E5946" w:rsidRPr="001A62EA" w:rsidRDefault="005B4C59" w:rsidP="00930D75">
      <w:pPr>
        <w:pStyle w:val="ListParagraph"/>
        <w:numPr>
          <w:ilvl w:val="0"/>
          <w:numId w:val="25"/>
        </w:numPr>
        <w:spacing w:after="0"/>
        <w:jc w:val="both"/>
        <w:rPr>
          <w:rFonts w:cs="Times New Roman"/>
          <w:szCs w:val="24"/>
          <w:highlight w:val="yellow"/>
          <w:lang w:val="en-GB"/>
        </w:rPr>
      </w:pPr>
      <w:r w:rsidRPr="001A62EA">
        <w:rPr>
          <w:rFonts w:cs="Times New Roman"/>
          <w:szCs w:val="24"/>
          <w:highlight w:val="yellow"/>
          <w:lang w:val="en-GB"/>
        </w:rPr>
        <w:t xml:space="preserve">increasing </w:t>
      </w:r>
      <w:r w:rsidR="004F4D03" w:rsidRPr="001A62EA">
        <w:rPr>
          <w:rFonts w:cs="Times New Roman"/>
          <w:szCs w:val="24"/>
          <w:highlight w:val="yellow"/>
          <w:lang w:val="en-GB"/>
        </w:rPr>
        <w:t xml:space="preserve">efficiencies to support </w:t>
      </w:r>
      <w:r w:rsidR="00670EF9" w:rsidRPr="001A62EA">
        <w:rPr>
          <w:rFonts w:cs="Times New Roman"/>
          <w:szCs w:val="24"/>
          <w:highlight w:val="yellow"/>
          <w:lang w:val="en-GB"/>
        </w:rPr>
        <w:t xml:space="preserve">safety measure in COVID-19 </w:t>
      </w:r>
      <w:r w:rsidR="004F4D03" w:rsidRPr="001A62EA">
        <w:rPr>
          <w:rFonts w:cs="Times New Roman"/>
          <w:szCs w:val="24"/>
          <w:highlight w:val="yellow"/>
          <w:lang w:val="en-GB"/>
        </w:rPr>
        <w:t xml:space="preserve">environment </w:t>
      </w:r>
    </w:p>
    <w:p w14:paraId="4AAF5147" w14:textId="77777777" w:rsidR="001C1862" w:rsidRPr="001A62EA" w:rsidRDefault="001C1862" w:rsidP="00930D75">
      <w:pPr>
        <w:spacing w:after="0"/>
        <w:jc w:val="both"/>
        <w:rPr>
          <w:rFonts w:cs="Times New Roman"/>
          <w:szCs w:val="24"/>
          <w:highlight w:val="yellow"/>
          <w:lang w:val="en-GB"/>
        </w:rPr>
      </w:pPr>
    </w:p>
    <w:p w14:paraId="42CDE7EF" w14:textId="77777777" w:rsidR="00E50BA3" w:rsidRPr="001A62EA" w:rsidRDefault="005B4C59" w:rsidP="00930D75">
      <w:pPr>
        <w:pStyle w:val="Heading3"/>
        <w:spacing w:before="0"/>
        <w:rPr>
          <w:rFonts w:eastAsia="Times New Roman" w:cs="Times New Roman"/>
          <w:color w:val="auto"/>
          <w:szCs w:val="24"/>
          <w:highlight w:val="yellow"/>
          <w:lang w:val="en-GB"/>
        </w:rPr>
      </w:pPr>
      <w:bookmarkStart w:id="18" w:name="_Toc60697872"/>
      <w:r w:rsidRPr="001A62EA">
        <w:rPr>
          <w:rFonts w:eastAsia="Times New Roman" w:cs="Times New Roman"/>
          <w:color w:val="auto"/>
          <w:szCs w:val="24"/>
          <w:highlight w:val="yellow"/>
          <w:lang w:val="en-GB"/>
        </w:rPr>
        <w:t>Legal Factors Facing Unilever</w:t>
      </w:r>
      <w:bookmarkEnd w:id="18"/>
    </w:p>
    <w:p w14:paraId="70479F2D" w14:textId="07CBB27A" w:rsidR="008E5946" w:rsidRPr="001A62EA" w:rsidRDefault="005B4C59" w:rsidP="00930D75">
      <w:pPr>
        <w:spacing w:after="0"/>
        <w:ind w:firstLine="720"/>
        <w:jc w:val="both"/>
        <w:rPr>
          <w:rFonts w:cs="Times New Roman"/>
          <w:szCs w:val="24"/>
          <w:highlight w:val="yellow"/>
          <w:lang w:val="en-GB"/>
        </w:rPr>
      </w:pPr>
      <w:r w:rsidRPr="001A62EA">
        <w:rPr>
          <w:rFonts w:cs="Times New Roman"/>
          <w:szCs w:val="24"/>
          <w:highlight w:val="yellow"/>
          <w:lang w:val="en-GB"/>
        </w:rPr>
        <w:t xml:space="preserve">Unilever's corporate social responsibility device should successfully actualize those projects throughout the affiliation. As an instance, the method should think about </w:t>
      </w:r>
      <w:r w:rsidR="00670EF9" w:rsidRPr="001A62EA">
        <w:rPr>
          <w:rFonts w:cs="Times New Roman"/>
          <w:szCs w:val="24"/>
          <w:highlight w:val="yellow"/>
          <w:lang w:val="en-GB"/>
        </w:rPr>
        <w:t xml:space="preserve">COVID-19 safety measure </w:t>
      </w:r>
      <w:r w:rsidRPr="001A62EA">
        <w:rPr>
          <w:rFonts w:cs="Times New Roman"/>
          <w:szCs w:val="24"/>
          <w:highlight w:val="yellow"/>
          <w:lang w:val="en-GB"/>
        </w:rPr>
        <w:t xml:space="preserve">and </w:t>
      </w:r>
      <w:r w:rsidR="00670EF9" w:rsidRPr="001A62EA">
        <w:rPr>
          <w:rFonts w:cs="Times New Roman"/>
          <w:szCs w:val="24"/>
          <w:highlight w:val="yellow"/>
          <w:lang w:val="en-GB"/>
        </w:rPr>
        <w:t>must follow the legal factors as guided by the WHO and regulatory bodies</w:t>
      </w:r>
      <w:r w:rsidRPr="001A62EA">
        <w:rPr>
          <w:rFonts w:cs="Times New Roman"/>
          <w:szCs w:val="24"/>
          <w:highlight w:val="yellow"/>
          <w:lang w:val="en-GB"/>
        </w:rPr>
        <w:t xml:space="preserve">. Those </w:t>
      </w:r>
      <w:r w:rsidR="00670EF9" w:rsidRPr="001A62EA">
        <w:rPr>
          <w:rFonts w:cs="Times New Roman"/>
          <w:szCs w:val="24"/>
          <w:highlight w:val="yellow"/>
          <w:lang w:val="en-GB"/>
        </w:rPr>
        <w:t>attempts</w:t>
      </w:r>
      <w:r w:rsidRPr="001A62EA">
        <w:rPr>
          <w:rFonts w:cs="Times New Roman"/>
          <w:szCs w:val="24"/>
          <w:highlight w:val="yellow"/>
          <w:lang w:val="en-GB"/>
        </w:rPr>
        <w:t xml:space="preserve"> must likewise uphold Unilever's capability to meet</w:t>
      </w:r>
      <w:r w:rsidR="00137D62" w:rsidRPr="001A62EA">
        <w:rPr>
          <w:rFonts w:cs="Times New Roman"/>
          <w:szCs w:val="24"/>
          <w:highlight w:val="yellow"/>
          <w:lang w:val="en-GB"/>
        </w:rPr>
        <w:t xml:space="preserve"> steadily </w:t>
      </w:r>
      <w:r w:rsidR="00670EF9" w:rsidRPr="001A62EA">
        <w:rPr>
          <w:rFonts w:cs="Times New Roman"/>
          <w:szCs w:val="24"/>
          <w:highlight w:val="yellow"/>
          <w:lang w:val="en-GB"/>
        </w:rPr>
        <w:t>their various</w:t>
      </w:r>
      <w:r w:rsidR="00137D62" w:rsidRPr="001A62EA">
        <w:rPr>
          <w:rFonts w:cs="Times New Roman"/>
          <w:szCs w:val="24"/>
          <w:highlight w:val="yellow"/>
          <w:lang w:val="en-GB"/>
        </w:rPr>
        <w:t xml:space="preserve"> tasks. </w:t>
      </w:r>
      <w:r w:rsidRPr="001A62EA">
        <w:rPr>
          <w:rFonts w:cs="Times New Roman"/>
          <w:szCs w:val="24"/>
          <w:highlight w:val="yellow"/>
          <w:lang w:val="en-GB"/>
        </w:rPr>
        <w:t xml:space="preserve">Unilever ought to satisfy guidelines to limit boundaries to its </w:t>
      </w:r>
      <w:r w:rsidR="00670EF9" w:rsidRPr="001A62EA">
        <w:rPr>
          <w:rFonts w:cs="Times New Roman"/>
          <w:szCs w:val="24"/>
          <w:highlight w:val="yellow"/>
          <w:lang w:val="en-GB"/>
        </w:rPr>
        <w:t>supporter</w:t>
      </w:r>
      <w:r w:rsidRPr="001A62EA">
        <w:rPr>
          <w:rFonts w:cs="Times New Roman"/>
          <w:szCs w:val="24"/>
          <w:highlight w:val="yellow"/>
          <w:lang w:val="en-GB"/>
        </w:rPr>
        <w:t xml:space="preserve"> </w:t>
      </w:r>
      <w:r w:rsidR="00670EF9" w:rsidRPr="001A62EA">
        <w:rPr>
          <w:rFonts w:cs="Times New Roman"/>
          <w:szCs w:val="24"/>
          <w:highlight w:val="yellow"/>
          <w:lang w:val="en-GB"/>
        </w:rPr>
        <w:t>retail</w:t>
      </w:r>
      <w:r w:rsidRPr="001A62EA">
        <w:rPr>
          <w:rFonts w:cs="Times New Roman"/>
          <w:szCs w:val="24"/>
          <w:highlight w:val="yellow"/>
          <w:lang w:val="en-GB"/>
        </w:rPr>
        <w:t xml:space="preserve"> enterprise</w:t>
      </w:r>
      <w:r w:rsidR="00137D62" w:rsidRPr="001A62EA">
        <w:rPr>
          <w:rFonts w:cs="Times New Roman"/>
          <w:szCs w:val="24"/>
          <w:highlight w:val="yellow"/>
          <w:lang w:val="en-GB"/>
        </w:rPr>
        <w:t xml:space="preserve"> </w:t>
      </w:r>
      <w:r w:rsidR="00137D62" w:rsidRPr="001A62EA">
        <w:rPr>
          <w:rFonts w:cs="Times New Roman"/>
          <w:szCs w:val="24"/>
          <w:highlight w:val="yellow"/>
          <w:lang w:val="en-GB"/>
        </w:rPr>
        <w:fldChar w:fldCharType="begin" w:fldLock="1"/>
      </w:r>
      <w:r w:rsidR="00137D62" w:rsidRPr="001A62EA">
        <w:rPr>
          <w:rFonts w:cs="Times New Roman"/>
          <w:szCs w:val="24"/>
          <w:highlight w:val="yellow"/>
          <w:lang w:val="en-GB"/>
        </w:rPr>
        <w:instrText>ADDIN CSL_CITATION {"citationItems":[{"id":"ITEM-1","itemData":{"abstract":"This chapter reviews research into the happy worker-productive worker thesis, which suggests that individuals and groups with raised wellbeing perform better in their jobs than do those with lower wellbeing. We examine different types of context-free and job-related wellbeing, and explore work performance in terms of in-role and extra-role behaviors and through specific activities such as being creative or proactive. In studies of individual workers, small-to-moderate cross-sectional and longitudinal associations with performance are demonstrated, for example when focusing on wellbeing in the form of job satisfaction or certain types of affect. We also review research into potential moderators of these associations, finding that the magnitude of correlation depends, for example, on the opportunity for personal discretion, occupational grade, and expected benefits from good performance. However, in the absence of adequately controlled experiments in working organizations it is impossible to determine causal direction. Turning to group-level wellbeing, we find that group affective tone is also moderately related to performance. Some group characteristics, such as the number of members, have been suggested as important moderators, but group-level research into possible moderators has been extremely rare. We finish the chapter by suggesting some desirable developments in research, and offering an overall speculation about causal influences in this area. Performance in paid work has for many years been studied as an important form of individual and group behavior, with researchers and practitioners often aiming for its enhancement through job design, staff selection and development, or shaping managerial style and organizational culture. In parallel with this interest in performance, psychologists in employment settings have also worked to understand the sources and consequences of wellbeing, and the two variables will be examined together in this chapter.","author":[{"dropping-particle":"","family":"Warr","given":"Peter","non-dropping-particle":"","parse-names":false,"suffix":""},{"dropping-particle":"","family":"Nielsen","given":"Karina","non-dropping-particle":"","parse-names":false,"suffix":""}],"container-title":"Handbook of well-being","id":"ITEM-1","issued":{"date-parts":[["2018"]]},"title":"Wellbeing and work performance","type":"article-journal"},"uris":["http://www.mendeley.com/documents/?uuid=2bc66a25-855e-4b13-97af-752858b1270f","http://www.mendeley.com/documents/?uuid=f230206d-4ef7-4eb6-8f89-fd3b3e1b64bf"]}],"mendeley":{"formattedCitation":"(Warr and Nielsen, 2018)","plainTextFormattedCitation":"(Warr and Nielsen, 2018)","previouslyFormattedCitation":"(Warr and Nielsen, 2018)"},"properties":{"noteIndex":0},"schema":"https://github.com/citation-style-language/schema/raw/master/csl-citation.json"}</w:instrText>
      </w:r>
      <w:r w:rsidR="00137D62" w:rsidRPr="001A62EA">
        <w:rPr>
          <w:rFonts w:cs="Times New Roman"/>
          <w:szCs w:val="24"/>
          <w:highlight w:val="yellow"/>
          <w:lang w:val="en-GB"/>
        </w:rPr>
        <w:fldChar w:fldCharType="separate"/>
      </w:r>
      <w:r w:rsidR="00137D62" w:rsidRPr="001A62EA">
        <w:rPr>
          <w:rFonts w:cs="Times New Roman"/>
          <w:szCs w:val="24"/>
          <w:highlight w:val="yellow"/>
          <w:lang w:val="en-GB"/>
        </w:rPr>
        <w:t>(Warr and Nielsen, 2018)</w:t>
      </w:r>
      <w:r w:rsidR="00137D62" w:rsidRPr="001A62EA">
        <w:rPr>
          <w:rFonts w:cs="Times New Roman"/>
          <w:szCs w:val="24"/>
          <w:highlight w:val="yellow"/>
          <w:lang w:val="en-GB"/>
        </w:rPr>
        <w:fldChar w:fldCharType="end"/>
      </w:r>
      <w:r w:rsidRPr="001A62EA">
        <w:rPr>
          <w:rFonts w:cs="Times New Roman"/>
          <w:szCs w:val="24"/>
          <w:highlight w:val="yellow"/>
          <w:lang w:val="en-GB"/>
        </w:rPr>
        <w:t xml:space="preserve">. This a part of the pestle investigation </w:t>
      </w:r>
      <w:r w:rsidR="00404F6F" w:rsidRPr="001A62EA">
        <w:rPr>
          <w:rFonts w:cs="Times New Roman"/>
          <w:szCs w:val="24"/>
          <w:highlight w:val="yellow"/>
          <w:lang w:val="en-GB"/>
        </w:rPr>
        <w:t>decides</w:t>
      </w:r>
      <w:r w:rsidRPr="001A62EA">
        <w:rPr>
          <w:rFonts w:cs="Times New Roman"/>
          <w:szCs w:val="24"/>
          <w:highlight w:val="yellow"/>
          <w:lang w:val="en-GB"/>
        </w:rPr>
        <w:t xml:space="preserve"> the effect of standard units of </w:t>
      </w:r>
      <w:r w:rsidRPr="001A62EA">
        <w:rPr>
          <w:rFonts w:cs="Times New Roman"/>
          <w:szCs w:val="24"/>
          <w:highlight w:val="yellow"/>
          <w:lang w:val="en-GB"/>
        </w:rPr>
        <w:lastRenderedPageBreak/>
        <w:t xml:space="preserve">laws on companies' far off or </w:t>
      </w:r>
      <w:r w:rsidR="00404F6F" w:rsidRPr="001A62EA">
        <w:rPr>
          <w:rFonts w:cs="Times New Roman"/>
          <w:szCs w:val="24"/>
          <w:highlight w:val="yellow"/>
          <w:lang w:val="en-GB"/>
        </w:rPr>
        <w:t>large-scale</w:t>
      </w:r>
      <w:r w:rsidRPr="001A62EA">
        <w:rPr>
          <w:rFonts w:cs="Times New Roman"/>
          <w:szCs w:val="24"/>
          <w:highlight w:val="yellow"/>
          <w:lang w:val="en-GB"/>
        </w:rPr>
        <w:t xml:space="preserve"> climate. Unilever ought to satisfy the troubles depending on the accompanying lawful outdoor components</w:t>
      </w:r>
      <w:r w:rsidR="00670EF9" w:rsidRPr="001A62EA">
        <w:rPr>
          <w:rFonts w:cs="Times New Roman"/>
          <w:szCs w:val="24"/>
          <w:highlight w:val="yellow"/>
          <w:lang w:val="en-GB"/>
        </w:rPr>
        <w:t xml:space="preserve"> set by the government due to COVID-19</w:t>
      </w:r>
      <w:r w:rsidRPr="001A62EA">
        <w:rPr>
          <w:rFonts w:cs="Times New Roman"/>
          <w:szCs w:val="24"/>
          <w:highlight w:val="yellow"/>
          <w:lang w:val="en-GB"/>
        </w:rPr>
        <w:t xml:space="preserve">: </w:t>
      </w:r>
    </w:p>
    <w:p w14:paraId="06B27C02" w14:textId="77777777" w:rsidR="008E5946" w:rsidRPr="001A62EA" w:rsidRDefault="005B4C59" w:rsidP="00930D75">
      <w:pPr>
        <w:pStyle w:val="ListParagraph"/>
        <w:numPr>
          <w:ilvl w:val="0"/>
          <w:numId w:val="25"/>
        </w:numPr>
        <w:spacing w:after="0"/>
        <w:jc w:val="both"/>
        <w:rPr>
          <w:rFonts w:cs="Times New Roman"/>
          <w:szCs w:val="24"/>
          <w:highlight w:val="yellow"/>
          <w:lang w:val="en-GB"/>
        </w:rPr>
      </w:pPr>
      <w:r w:rsidRPr="001A62EA">
        <w:rPr>
          <w:rFonts w:cs="Times New Roman"/>
          <w:szCs w:val="24"/>
          <w:highlight w:val="yellow"/>
          <w:lang w:val="en-GB"/>
        </w:rPr>
        <w:t xml:space="preserve">increasing unpredictability of natural recommendations </w:t>
      </w:r>
    </w:p>
    <w:p w14:paraId="084C198B" w14:textId="41E0CFCC" w:rsidR="008E5946" w:rsidRPr="001A62EA" w:rsidRDefault="005B4C59" w:rsidP="00930D75">
      <w:pPr>
        <w:pStyle w:val="ListParagraph"/>
        <w:numPr>
          <w:ilvl w:val="0"/>
          <w:numId w:val="25"/>
        </w:numPr>
        <w:spacing w:after="0"/>
        <w:jc w:val="both"/>
        <w:rPr>
          <w:rFonts w:cs="Times New Roman"/>
          <w:szCs w:val="24"/>
          <w:highlight w:val="yellow"/>
          <w:lang w:val="en-GB"/>
        </w:rPr>
      </w:pPr>
      <w:r w:rsidRPr="001A62EA">
        <w:rPr>
          <w:rFonts w:cs="Times New Roman"/>
          <w:szCs w:val="24"/>
          <w:highlight w:val="yellow"/>
          <w:lang w:val="en-GB"/>
        </w:rPr>
        <w:t xml:space="preserve">strengthening global legal guidelines </w:t>
      </w:r>
      <w:r w:rsidR="00670EF9" w:rsidRPr="001A62EA">
        <w:rPr>
          <w:rFonts w:cs="Times New Roman"/>
          <w:szCs w:val="24"/>
          <w:highlight w:val="yellow"/>
          <w:lang w:val="en-GB"/>
        </w:rPr>
        <w:t>of COVID-19</w:t>
      </w:r>
    </w:p>
    <w:p w14:paraId="6A7CA18A" w14:textId="0F61A870" w:rsidR="008E5946" w:rsidRPr="001A62EA" w:rsidRDefault="005B4C59" w:rsidP="00930D75">
      <w:pPr>
        <w:pStyle w:val="ListParagraph"/>
        <w:numPr>
          <w:ilvl w:val="0"/>
          <w:numId w:val="25"/>
        </w:numPr>
        <w:spacing w:after="0"/>
        <w:jc w:val="both"/>
        <w:rPr>
          <w:rFonts w:cs="Times New Roman"/>
          <w:szCs w:val="24"/>
          <w:highlight w:val="yellow"/>
          <w:lang w:val="en-GB"/>
        </w:rPr>
      </w:pPr>
      <w:r w:rsidRPr="001A62EA">
        <w:rPr>
          <w:rFonts w:cs="Times New Roman"/>
          <w:szCs w:val="24"/>
          <w:highlight w:val="yellow"/>
          <w:lang w:val="en-GB"/>
        </w:rPr>
        <w:t xml:space="preserve">strengthening </w:t>
      </w:r>
      <w:r w:rsidR="00670EF9" w:rsidRPr="001A62EA">
        <w:rPr>
          <w:rFonts w:cs="Times New Roman"/>
          <w:szCs w:val="24"/>
          <w:highlight w:val="yellow"/>
          <w:lang w:val="en-GB"/>
        </w:rPr>
        <w:t>consumer</w:t>
      </w:r>
      <w:r w:rsidRPr="001A62EA">
        <w:rPr>
          <w:rFonts w:cs="Times New Roman"/>
          <w:szCs w:val="24"/>
          <w:highlight w:val="yellow"/>
          <w:lang w:val="en-GB"/>
        </w:rPr>
        <w:t xml:space="preserve"> rights laws </w:t>
      </w:r>
      <w:r w:rsidR="00670EF9" w:rsidRPr="001A62EA">
        <w:rPr>
          <w:rFonts w:cs="Times New Roman"/>
          <w:szCs w:val="24"/>
          <w:highlight w:val="yellow"/>
          <w:lang w:val="en-GB"/>
        </w:rPr>
        <w:t>as set by government in COVID-19 situation</w:t>
      </w:r>
    </w:p>
    <w:p w14:paraId="331DDCB6" w14:textId="37521F60" w:rsidR="008E5946" w:rsidRPr="001A62EA" w:rsidRDefault="00FF4B5C" w:rsidP="00670EF9">
      <w:pPr>
        <w:spacing w:after="0"/>
        <w:ind w:firstLine="360"/>
        <w:jc w:val="both"/>
        <w:rPr>
          <w:rFonts w:cs="Times New Roman"/>
          <w:szCs w:val="24"/>
          <w:highlight w:val="yellow"/>
          <w:lang w:val="en-GB"/>
        </w:rPr>
      </w:pPr>
      <w:r w:rsidRPr="001A62EA">
        <w:rPr>
          <w:rFonts w:cs="Times New Roman"/>
          <w:szCs w:val="24"/>
          <w:highlight w:val="yellow"/>
          <w:lang w:val="en-GB"/>
        </w:rPr>
        <w:t xml:space="preserve">The </w:t>
      </w:r>
      <w:r w:rsidR="001A62EA">
        <w:rPr>
          <w:rFonts w:cs="Times New Roman"/>
          <w:szCs w:val="24"/>
          <w:highlight w:val="yellow"/>
          <w:lang w:val="en-GB"/>
        </w:rPr>
        <w:t xml:space="preserve">Unilever </w:t>
      </w:r>
      <w:r w:rsidR="005B4C59" w:rsidRPr="001A62EA">
        <w:rPr>
          <w:rFonts w:cs="Times New Roman"/>
          <w:szCs w:val="24"/>
          <w:highlight w:val="yellow"/>
          <w:lang w:val="en-GB"/>
        </w:rPr>
        <w:t>has to enhance its picture</w:t>
      </w:r>
      <w:r w:rsidR="00467F0C" w:rsidRPr="001A62EA">
        <w:rPr>
          <w:rFonts w:cs="Times New Roman"/>
          <w:szCs w:val="24"/>
          <w:highlight w:val="yellow"/>
          <w:lang w:val="en-GB"/>
        </w:rPr>
        <w:t xml:space="preserve"> of corporate</w:t>
      </w:r>
      <w:r w:rsidR="005B4C59" w:rsidRPr="001A62EA">
        <w:rPr>
          <w:rFonts w:cs="Times New Roman"/>
          <w:szCs w:val="24"/>
          <w:highlight w:val="yellow"/>
          <w:lang w:val="en-GB"/>
        </w:rPr>
        <w:t xml:space="preserve"> by way of association's corporate</w:t>
      </w:r>
      <w:r w:rsidR="005A2B92" w:rsidRPr="001A62EA">
        <w:rPr>
          <w:rFonts w:cs="Times New Roman"/>
          <w:szCs w:val="24"/>
          <w:highlight w:val="yellow"/>
          <w:lang w:val="en-GB"/>
        </w:rPr>
        <w:t xml:space="preserve"> coordinating and</w:t>
      </w:r>
      <w:r w:rsidR="005B4C59" w:rsidRPr="001A62EA">
        <w:rPr>
          <w:rFonts w:cs="Times New Roman"/>
          <w:szCs w:val="24"/>
          <w:highlight w:val="yellow"/>
          <w:lang w:val="en-GB"/>
        </w:rPr>
        <w:t xml:space="preserve"> social responsibility system with </w:t>
      </w:r>
      <w:r w:rsidR="00670EF9" w:rsidRPr="001A62EA">
        <w:rPr>
          <w:rFonts w:cs="Times New Roman"/>
          <w:szCs w:val="24"/>
          <w:highlight w:val="yellow"/>
          <w:lang w:val="en-GB"/>
        </w:rPr>
        <w:t>COVID-19 safety</w:t>
      </w:r>
      <w:r w:rsidR="005B4C59" w:rsidRPr="001A62EA">
        <w:rPr>
          <w:rFonts w:cs="Times New Roman"/>
          <w:szCs w:val="24"/>
          <w:highlight w:val="yellow"/>
          <w:lang w:val="en-GB"/>
        </w:rPr>
        <w:t xml:space="preserve"> tips. </w:t>
      </w:r>
      <w:r w:rsidR="00652FF9" w:rsidRPr="001A62EA">
        <w:rPr>
          <w:rFonts w:cs="Times New Roman"/>
          <w:szCs w:val="24"/>
          <w:highlight w:val="yellow"/>
          <w:lang w:val="en-GB"/>
        </w:rPr>
        <w:t>Fortifying</w:t>
      </w:r>
      <w:r w:rsidR="005B4C59" w:rsidRPr="001A62EA">
        <w:rPr>
          <w:rFonts w:cs="Times New Roman"/>
          <w:szCs w:val="24"/>
          <w:highlight w:val="yellow"/>
          <w:lang w:val="en-GB"/>
        </w:rPr>
        <w:t xml:space="preserve"> international legal guidelines can encourage the business enterprise's development</w:t>
      </w:r>
      <w:r w:rsidR="00670EF9" w:rsidRPr="001A62EA">
        <w:rPr>
          <w:rFonts w:cs="Times New Roman"/>
          <w:szCs w:val="24"/>
          <w:highlight w:val="yellow"/>
          <w:lang w:val="en-GB"/>
        </w:rPr>
        <w:t xml:space="preserve"> in financial crisis situation</w:t>
      </w:r>
      <w:r w:rsidR="005B4C59" w:rsidRPr="001A62EA">
        <w:rPr>
          <w:rFonts w:cs="Times New Roman"/>
          <w:szCs w:val="24"/>
          <w:highlight w:val="yellow"/>
          <w:lang w:val="en-GB"/>
        </w:rPr>
        <w:t xml:space="preserve">. As an instance, new patent guidelines in agricultural nations </w:t>
      </w:r>
      <w:r w:rsidR="006738A0" w:rsidRPr="001A62EA">
        <w:rPr>
          <w:rFonts w:cs="Times New Roman"/>
          <w:szCs w:val="24"/>
          <w:highlight w:val="yellow"/>
          <w:lang w:val="en-GB"/>
        </w:rPr>
        <w:t>support</w:t>
      </w:r>
      <w:r w:rsidR="005B4C59" w:rsidRPr="001A62EA">
        <w:rPr>
          <w:rFonts w:cs="Times New Roman"/>
          <w:szCs w:val="24"/>
          <w:highlight w:val="yellow"/>
          <w:lang w:val="en-GB"/>
        </w:rPr>
        <w:t xml:space="preserve"> lessen </w:t>
      </w:r>
      <w:r w:rsidR="00670EF9" w:rsidRPr="001A62EA">
        <w:rPr>
          <w:rFonts w:cs="Times New Roman"/>
          <w:szCs w:val="24"/>
          <w:highlight w:val="yellow"/>
          <w:lang w:val="en-GB"/>
        </w:rPr>
        <w:t>COVID</w:t>
      </w:r>
      <w:r w:rsidR="005B4C59" w:rsidRPr="001A62EA">
        <w:rPr>
          <w:rFonts w:cs="Times New Roman"/>
          <w:szCs w:val="24"/>
          <w:highlight w:val="yellow"/>
          <w:lang w:val="en-GB"/>
        </w:rPr>
        <w:t xml:space="preserve"> </w:t>
      </w:r>
      <w:r w:rsidR="00E01E0A" w:rsidRPr="001A62EA">
        <w:rPr>
          <w:rFonts w:cs="Times New Roman"/>
          <w:szCs w:val="24"/>
          <w:highlight w:val="yellow"/>
          <w:lang w:val="en-GB"/>
        </w:rPr>
        <w:t>problems</w:t>
      </w:r>
      <w:r w:rsidR="005B4C59" w:rsidRPr="001A62EA">
        <w:rPr>
          <w:rFonts w:cs="Times New Roman"/>
          <w:szCs w:val="24"/>
          <w:highlight w:val="yellow"/>
          <w:lang w:val="en-GB"/>
        </w:rPr>
        <w:t xml:space="preserve"> Unilever encounters in its some distanc</w:t>
      </w:r>
      <w:r w:rsidR="00C8473C" w:rsidRPr="001A62EA">
        <w:rPr>
          <w:rFonts w:cs="Times New Roman"/>
          <w:szCs w:val="24"/>
          <w:highlight w:val="yellow"/>
          <w:lang w:val="en-GB"/>
        </w:rPr>
        <w:t>e off or complete-scale climate</w:t>
      </w:r>
      <w:r w:rsidR="005B4C59" w:rsidRPr="001A62EA">
        <w:rPr>
          <w:rFonts w:cs="Times New Roman"/>
          <w:szCs w:val="24"/>
          <w:highlight w:val="yellow"/>
          <w:lang w:val="en-GB"/>
        </w:rPr>
        <w:t xml:space="preserve"> (Smithson, 2017).</w:t>
      </w:r>
      <w:r w:rsidR="003F75BA" w:rsidRPr="001A62EA">
        <w:rPr>
          <w:rFonts w:cs="Times New Roman"/>
          <w:szCs w:val="24"/>
          <w:highlight w:val="yellow"/>
          <w:lang w:val="en-GB"/>
        </w:rPr>
        <w:t xml:space="preserve"> </w:t>
      </w:r>
      <w:r w:rsidR="005B4C59" w:rsidRPr="001A62EA">
        <w:rPr>
          <w:rFonts w:cs="Times New Roman"/>
          <w:szCs w:val="24"/>
          <w:highlight w:val="yellow"/>
          <w:lang w:val="en-GB"/>
        </w:rPr>
        <w:t xml:space="preserve">However, </w:t>
      </w:r>
      <w:r w:rsidR="001A62EA">
        <w:rPr>
          <w:rFonts w:cs="Times New Roman"/>
          <w:szCs w:val="24"/>
          <w:highlight w:val="yellow"/>
          <w:lang w:val="en-GB"/>
        </w:rPr>
        <w:t xml:space="preserve">Unilever </w:t>
      </w:r>
      <w:r w:rsidR="005B4C59" w:rsidRPr="001A62EA">
        <w:rPr>
          <w:rFonts w:cs="Times New Roman"/>
          <w:szCs w:val="24"/>
          <w:highlight w:val="yellow"/>
          <w:lang w:val="en-GB"/>
        </w:rPr>
        <w:t xml:space="preserve">needs to </w:t>
      </w:r>
      <w:r w:rsidR="00670EF9" w:rsidRPr="001A62EA">
        <w:rPr>
          <w:rFonts w:cs="Times New Roman"/>
          <w:szCs w:val="24"/>
          <w:highlight w:val="yellow"/>
          <w:lang w:val="en-GB"/>
        </w:rPr>
        <w:t>understand</w:t>
      </w:r>
      <w:r w:rsidR="005B4C59" w:rsidRPr="001A62EA">
        <w:rPr>
          <w:rFonts w:cs="Times New Roman"/>
          <w:szCs w:val="24"/>
          <w:highlight w:val="yellow"/>
          <w:lang w:val="en-GB"/>
        </w:rPr>
        <w:t xml:space="preserve"> </w:t>
      </w:r>
      <w:r w:rsidR="00670EF9" w:rsidRPr="001A62EA">
        <w:rPr>
          <w:rFonts w:cs="Times New Roman"/>
          <w:szCs w:val="24"/>
          <w:highlight w:val="yellow"/>
          <w:lang w:val="en-GB"/>
        </w:rPr>
        <w:t>the</w:t>
      </w:r>
      <w:r w:rsidR="005B4C59" w:rsidRPr="001A62EA">
        <w:rPr>
          <w:rFonts w:cs="Times New Roman"/>
          <w:szCs w:val="24"/>
          <w:highlight w:val="yellow"/>
          <w:lang w:val="en-GB"/>
        </w:rPr>
        <w:t xml:space="preserve"> </w:t>
      </w:r>
      <w:r w:rsidR="00670EF9" w:rsidRPr="001A62EA">
        <w:rPr>
          <w:rFonts w:cs="Times New Roman"/>
          <w:szCs w:val="24"/>
          <w:highlight w:val="yellow"/>
          <w:lang w:val="en-GB"/>
        </w:rPr>
        <w:t>global guidelines of COVID-19</w:t>
      </w:r>
      <w:r w:rsidR="005B4C59" w:rsidRPr="001A62EA">
        <w:rPr>
          <w:rFonts w:cs="Times New Roman"/>
          <w:szCs w:val="24"/>
          <w:highlight w:val="yellow"/>
          <w:lang w:val="en-GB"/>
        </w:rPr>
        <w:t xml:space="preserve"> nicely. Additionally, customers have to be properly infor</w:t>
      </w:r>
      <w:r w:rsidR="00126790" w:rsidRPr="001A62EA">
        <w:rPr>
          <w:rFonts w:cs="Times New Roman"/>
          <w:szCs w:val="24"/>
          <w:highlight w:val="yellow"/>
          <w:lang w:val="en-GB"/>
        </w:rPr>
        <w:t xml:space="preserve">med about the </w:t>
      </w:r>
      <w:r w:rsidR="00670EF9" w:rsidRPr="001A62EA">
        <w:rPr>
          <w:rFonts w:cs="Times New Roman"/>
          <w:szCs w:val="24"/>
          <w:highlight w:val="yellow"/>
          <w:lang w:val="en-GB"/>
        </w:rPr>
        <w:t>safety measure of COVID-19 as described by the WHO</w:t>
      </w:r>
      <w:r w:rsidR="005B4C59" w:rsidRPr="001A62EA">
        <w:rPr>
          <w:rFonts w:cs="Times New Roman"/>
          <w:szCs w:val="24"/>
          <w:highlight w:val="yellow"/>
          <w:lang w:val="en-GB"/>
        </w:rPr>
        <w:t>. This cre</w:t>
      </w:r>
      <w:r w:rsidR="001C1862" w:rsidRPr="001A62EA">
        <w:rPr>
          <w:rFonts w:cs="Times New Roman"/>
          <w:szCs w:val="24"/>
          <w:highlight w:val="yellow"/>
          <w:lang w:val="en-GB"/>
        </w:rPr>
        <w:t xml:space="preserve">ates </w:t>
      </w:r>
      <w:r w:rsidR="005B4C59" w:rsidRPr="001A62EA">
        <w:rPr>
          <w:rFonts w:cs="Times New Roman"/>
          <w:szCs w:val="24"/>
          <w:highlight w:val="yellow"/>
          <w:lang w:val="en-GB"/>
        </w:rPr>
        <w:t xml:space="preserve">agree within the client's thoughts and </w:t>
      </w:r>
      <w:r w:rsidR="00670EF9" w:rsidRPr="001A62EA">
        <w:rPr>
          <w:rFonts w:cs="Times New Roman"/>
          <w:szCs w:val="24"/>
          <w:highlight w:val="yellow"/>
          <w:lang w:val="en-GB"/>
        </w:rPr>
        <w:t xml:space="preserve">results in the development of financial condition of the </w:t>
      </w:r>
      <w:r w:rsidR="001A62EA">
        <w:rPr>
          <w:rFonts w:cs="Times New Roman"/>
          <w:szCs w:val="24"/>
          <w:highlight w:val="yellow"/>
          <w:lang w:val="en-GB"/>
        </w:rPr>
        <w:t xml:space="preserve">Unilever </w:t>
      </w:r>
      <w:r w:rsidR="00670EF9" w:rsidRPr="001A62EA">
        <w:rPr>
          <w:rFonts w:cs="Times New Roman"/>
          <w:szCs w:val="24"/>
          <w:highlight w:val="yellow"/>
          <w:lang w:val="en-GB"/>
        </w:rPr>
        <w:t>in this epidemic situation of COVID-19</w:t>
      </w:r>
      <w:r w:rsidR="00641B1C" w:rsidRPr="001A62EA">
        <w:rPr>
          <w:rFonts w:cs="Times New Roman"/>
          <w:szCs w:val="24"/>
          <w:highlight w:val="yellow"/>
          <w:lang w:val="en-GB"/>
        </w:rPr>
        <w:t>.</w:t>
      </w:r>
    </w:p>
    <w:p w14:paraId="1BA8F0D6" w14:textId="77777777" w:rsidR="001C1862" w:rsidRPr="001A62EA" w:rsidRDefault="001C1862" w:rsidP="00930D75">
      <w:pPr>
        <w:spacing w:after="0"/>
        <w:jc w:val="both"/>
        <w:rPr>
          <w:rFonts w:cs="Times New Roman"/>
          <w:szCs w:val="24"/>
          <w:highlight w:val="yellow"/>
          <w:lang w:val="en-GB"/>
        </w:rPr>
      </w:pPr>
    </w:p>
    <w:p w14:paraId="69BE3D01" w14:textId="2DE57D17" w:rsidR="00934C98" w:rsidRPr="001A62EA" w:rsidRDefault="00934C98" w:rsidP="00934C98">
      <w:pPr>
        <w:pStyle w:val="Heading2"/>
        <w:rPr>
          <w:color w:val="auto"/>
          <w:szCs w:val="24"/>
          <w:highlight w:val="yellow"/>
          <w:lang w:val="en-GB"/>
        </w:rPr>
      </w:pPr>
      <w:bookmarkStart w:id="19" w:name="_Toc60697873"/>
      <w:r w:rsidRPr="001A62EA">
        <w:rPr>
          <w:color w:val="auto"/>
          <w:szCs w:val="24"/>
          <w:highlight w:val="yellow"/>
          <w:lang w:val="en-GB"/>
        </w:rPr>
        <w:t xml:space="preserve">The impact of the viral epidemic on the </w:t>
      </w:r>
      <w:r w:rsidR="001A62EA">
        <w:rPr>
          <w:color w:val="auto"/>
          <w:szCs w:val="24"/>
          <w:highlight w:val="yellow"/>
          <w:lang w:val="en-GB"/>
        </w:rPr>
        <w:t xml:space="preserve">Unilever </w:t>
      </w:r>
      <w:r w:rsidRPr="001A62EA">
        <w:rPr>
          <w:color w:val="auto"/>
          <w:szCs w:val="24"/>
          <w:highlight w:val="yellow"/>
          <w:lang w:val="en-GB"/>
        </w:rPr>
        <w:t>image</w:t>
      </w:r>
      <w:bookmarkEnd w:id="19"/>
    </w:p>
    <w:p w14:paraId="6C34EF58" w14:textId="2BFC3907" w:rsidR="00934C98" w:rsidRPr="001A62EA" w:rsidRDefault="00934C98" w:rsidP="007919B8">
      <w:pPr>
        <w:ind w:firstLine="720"/>
        <w:rPr>
          <w:rFonts w:cs="Times New Roman"/>
          <w:szCs w:val="24"/>
          <w:highlight w:val="yellow"/>
          <w:lang w:val="en-GB"/>
        </w:rPr>
      </w:pPr>
      <w:r w:rsidRPr="001A62EA">
        <w:rPr>
          <w:rFonts w:cs="Times New Roman"/>
          <w:szCs w:val="24"/>
          <w:highlight w:val="yellow"/>
          <w:lang w:val="en-GB"/>
        </w:rPr>
        <w:t xml:space="preserve">Cases of pneumonia caused by an unknown coronavirus were reported in China in December 2019 (Coronavirus Covid-19 2020). The coronavirus has spread into a pandemic and the epidemic situation in Finland has increased quantitatively during October 2020 according to the latest statistical day (Situation Report on the Coronavirus 2020). The corona epidemic has particularly affected the </w:t>
      </w:r>
      <w:r w:rsidR="001A62EA">
        <w:rPr>
          <w:rFonts w:cs="Times New Roman"/>
          <w:szCs w:val="24"/>
          <w:highlight w:val="yellow"/>
          <w:lang w:val="en-GB"/>
        </w:rPr>
        <w:t xml:space="preserve">Unilever </w:t>
      </w:r>
      <w:r w:rsidRPr="001A62EA">
        <w:rPr>
          <w:rFonts w:cs="Times New Roman"/>
          <w:szCs w:val="24"/>
          <w:highlight w:val="yellow"/>
          <w:lang w:val="en-GB"/>
        </w:rPr>
        <w:t xml:space="preserve">most of the sectors and severely limited their operations. </w:t>
      </w:r>
      <w:r w:rsidRPr="001A62EA">
        <w:rPr>
          <w:rFonts w:cs="Times New Roman"/>
          <w:szCs w:val="24"/>
          <w:highlight w:val="yellow"/>
          <w:lang w:val="en-GB"/>
        </w:rPr>
        <w:lastRenderedPageBreak/>
        <w:t>Service and sales workers in these sectors have been subject to restrictions, layoffs and periods of unemployment.</w:t>
      </w:r>
    </w:p>
    <w:p w14:paraId="524AE651" w14:textId="26C71D40" w:rsidR="00934C98" w:rsidRPr="001A62EA" w:rsidRDefault="00934C98" w:rsidP="00934C98">
      <w:pPr>
        <w:ind w:firstLine="720"/>
        <w:rPr>
          <w:rFonts w:cs="Times New Roman"/>
          <w:szCs w:val="24"/>
          <w:highlight w:val="yellow"/>
          <w:lang w:val="en-GB"/>
        </w:rPr>
      </w:pPr>
      <w:r w:rsidRPr="001A62EA">
        <w:rPr>
          <w:rFonts w:cs="Times New Roman"/>
          <w:szCs w:val="24"/>
          <w:highlight w:val="yellow"/>
          <w:lang w:val="en-GB"/>
        </w:rPr>
        <w:t xml:space="preserve">Due to the coronavirus pandemic, </w:t>
      </w:r>
      <w:r w:rsidR="001A62EA">
        <w:rPr>
          <w:rFonts w:cs="Times New Roman"/>
          <w:szCs w:val="24"/>
          <w:highlight w:val="yellow"/>
          <w:lang w:val="en-GB"/>
        </w:rPr>
        <w:t xml:space="preserve">Unilever </w:t>
      </w:r>
      <w:r w:rsidRPr="001A62EA">
        <w:rPr>
          <w:rFonts w:cs="Times New Roman"/>
          <w:szCs w:val="24"/>
          <w:highlight w:val="yellow"/>
          <w:lang w:val="en-GB"/>
        </w:rPr>
        <w:t xml:space="preserve">have faced challenges in attracting and retaining potential employees. Shaping and strengthening the employer image will be important for future recruitments until the exceptional circumstances caused by the pandemic end. All the experiences, feelings, and perceptions employees gain from the company will be more difficult to maintain during the exceptional circumstances caused by the corona. In order to maintain a good image of </w:t>
      </w:r>
      <w:r w:rsidR="001A62EA">
        <w:rPr>
          <w:rFonts w:cs="Times New Roman"/>
          <w:szCs w:val="24"/>
          <w:highlight w:val="yellow"/>
          <w:lang w:val="en-GB"/>
        </w:rPr>
        <w:t>Unilever</w:t>
      </w:r>
      <w:r w:rsidRPr="001A62EA">
        <w:rPr>
          <w:rFonts w:cs="Times New Roman"/>
          <w:szCs w:val="24"/>
          <w:highlight w:val="yellow"/>
          <w:lang w:val="en-GB"/>
        </w:rPr>
        <w:t xml:space="preserve">, </w:t>
      </w:r>
      <w:r w:rsidR="001A62EA">
        <w:rPr>
          <w:rFonts w:cs="Times New Roman"/>
          <w:szCs w:val="24"/>
          <w:highlight w:val="yellow"/>
          <w:lang w:val="en-GB"/>
        </w:rPr>
        <w:t xml:space="preserve">it </w:t>
      </w:r>
      <w:r w:rsidRPr="001A62EA">
        <w:rPr>
          <w:rFonts w:cs="Times New Roman"/>
          <w:szCs w:val="24"/>
          <w:highlight w:val="yellow"/>
          <w:lang w:val="en-GB"/>
        </w:rPr>
        <w:t>need to focus on communication, empathy and maintain a sense of belonging. This is further complicated by working remotely and interacting remotely.</w:t>
      </w:r>
    </w:p>
    <w:p w14:paraId="2E4C5F3C" w14:textId="47196B9E" w:rsidR="00934C98" w:rsidRPr="001A62EA" w:rsidRDefault="00934C98" w:rsidP="00934C98">
      <w:pPr>
        <w:ind w:firstLine="720"/>
        <w:rPr>
          <w:rFonts w:cs="Times New Roman"/>
          <w:szCs w:val="24"/>
          <w:highlight w:val="yellow"/>
          <w:lang w:val="en-GB"/>
        </w:rPr>
      </w:pPr>
      <w:r w:rsidRPr="001A62EA">
        <w:rPr>
          <w:rFonts w:cs="Times New Roman"/>
          <w:szCs w:val="24"/>
          <w:highlight w:val="yellow"/>
          <w:lang w:val="en-GB"/>
        </w:rPr>
        <w:t xml:space="preserve">The coronavirus epidemic has brought its own challenges to maintaining a good employer brand for </w:t>
      </w:r>
      <w:r w:rsidR="001A62EA">
        <w:rPr>
          <w:rFonts w:cs="Times New Roman"/>
          <w:szCs w:val="24"/>
          <w:highlight w:val="yellow"/>
          <w:lang w:val="en-GB"/>
        </w:rPr>
        <w:t>Unilever</w:t>
      </w:r>
      <w:r w:rsidRPr="001A62EA">
        <w:rPr>
          <w:rFonts w:cs="Times New Roman"/>
          <w:szCs w:val="24"/>
          <w:highlight w:val="yellow"/>
          <w:lang w:val="en-GB"/>
        </w:rPr>
        <w:t xml:space="preserve">. The exceptional situation has tested </w:t>
      </w:r>
      <w:r w:rsidR="001A62EA">
        <w:rPr>
          <w:rFonts w:cs="Times New Roman"/>
          <w:szCs w:val="24"/>
          <w:highlight w:val="yellow"/>
          <w:lang w:val="en-GB"/>
        </w:rPr>
        <w:t xml:space="preserve">Unilever’s </w:t>
      </w:r>
      <w:r w:rsidRPr="001A62EA">
        <w:rPr>
          <w:rFonts w:cs="Times New Roman"/>
          <w:szCs w:val="24"/>
          <w:highlight w:val="yellow"/>
          <w:lang w:val="en-GB"/>
        </w:rPr>
        <w:t xml:space="preserve">perceptions of authenticity and sensitivity to change. Expectations of </w:t>
      </w:r>
      <w:r w:rsidR="001A62EA">
        <w:rPr>
          <w:rFonts w:cs="Times New Roman"/>
          <w:szCs w:val="24"/>
          <w:highlight w:val="yellow"/>
          <w:lang w:val="en-GB"/>
        </w:rPr>
        <w:t>Unilever</w:t>
      </w:r>
      <w:r w:rsidRPr="001A62EA">
        <w:rPr>
          <w:rFonts w:cs="Times New Roman"/>
          <w:szCs w:val="24"/>
          <w:highlight w:val="yellow"/>
          <w:lang w:val="en-GB"/>
        </w:rPr>
        <w:t xml:space="preserve">’s operations have risen during exceptional circumstances, and transparency in </w:t>
      </w:r>
      <w:r w:rsidR="001A62EA">
        <w:rPr>
          <w:rFonts w:cs="Times New Roman"/>
          <w:szCs w:val="24"/>
          <w:highlight w:val="yellow"/>
          <w:lang w:val="en-GB"/>
        </w:rPr>
        <w:t>Unilever</w:t>
      </w:r>
      <w:r w:rsidR="001A62EA" w:rsidRPr="001A62EA">
        <w:rPr>
          <w:rFonts w:cs="Times New Roman"/>
          <w:szCs w:val="24"/>
          <w:highlight w:val="yellow"/>
          <w:lang w:val="en-GB"/>
        </w:rPr>
        <w:t xml:space="preserve">’s </w:t>
      </w:r>
      <w:r w:rsidRPr="001A62EA">
        <w:rPr>
          <w:rFonts w:cs="Times New Roman"/>
          <w:szCs w:val="24"/>
          <w:highlight w:val="yellow"/>
          <w:lang w:val="en-GB"/>
        </w:rPr>
        <w:t xml:space="preserve">operations is essential. The image of the </w:t>
      </w:r>
      <w:r w:rsidR="001A62EA">
        <w:rPr>
          <w:rFonts w:cs="Times New Roman"/>
          <w:szCs w:val="24"/>
          <w:highlight w:val="yellow"/>
          <w:lang w:val="en-GB"/>
        </w:rPr>
        <w:t xml:space="preserve">Unilever </w:t>
      </w:r>
      <w:r w:rsidRPr="001A62EA">
        <w:rPr>
          <w:rFonts w:cs="Times New Roman"/>
          <w:szCs w:val="24"/>
          <w:highlight w:val="yellow"/>
          <w:lang w:val="en-GB"/>
        </w:rPr>
        <w:t xml:space="preserve">experienced by employees plays a key role during an exceptional situation. In order to maintain a good image, </w:t>
      </w:r>
      <w:r w:rsidR="001A62EA">
        <w:rPr>
          <w:rFonts w:cs="Times New Roman"/>
          <w:szCs w:val="24"/>
          <w:highlight w:val="yellow"/>
          <w:lang w:val="en-GB"/>
        </w:rPr>
        <w:t xml:space="preserve">Unilever </w:t>
      </w:r>
      <w:r w:rsidRPr="001A62EA">
        <w:rPr>
          <w:rFonts w:cs="Times New Roman"/>
          <w:szCs w:val="24"/>
          <w:highlight w:val="yellow"/>
          <w:lang w:val="en-GB"/>
        </w:rPr>
        <w:t>must act prudently and make solutions to maintain a good employer image in market. (Lee Yohn 2020, 2-6.)</w:t>
      </w:r>
    </w:p>
    <w:p w14:paraId="523E76A1" w14:textId="5F985456" w:rsidR="00934C98" w:rsidRPr="001A62EA" w:rsidRDefault="00934C98" w:rsidP="007919B8">
      <w:pPr>
        <w:ind w:firstLine="720"/>
        <w:rPr>
          <w:rFonts w:cs="Times New Roman"/>
          <w:szCs w:val="24"/>
          <w:highlight w:val="yellow"/>
          <w:lang w:val="en-GB"/>
        </w:rPr>
      </w:pPr>
      <w:r w:rsidRPr="001A62EA">
        <w:rPr>
          <w:rFonts w:cs="Times New Roman"/>
          <w:szCs w:val="24"/>
          <w:highlight w:val="yellow"/>
          <w:lang w:val="en-GB"/>
        </w:rPr>
        <w:t xml:space="preserve">The </w:t>
      </w:r>
      <w:r w:rsidR="001A62EA">
        <w:rPr>
          <w:rFonts w:cs="Times New Roman"/>
          <w:szCs w:val="24"/>
          <w:highlight w:val="yellow"/>
          <w:lang w:val="en-GB"/>
        </w:rPr>
        <w:t>Unilever’s</w:t>
      </w:r>
      <w:r w:rsidRPr="001A62EA">
        <w:rPr>
          <w:rFonts w:cs="Times New Roman"/>
          <w:szCs w:val="24"/>
          <w:highlight w:val="yellow"/>
          <w:lang w:val="en-GB"/>
        </w:rPr>
        <w:t xml:space="preserve"> image is shaped from the beginning of the recruitment process to the end of the recruitment process, after which the </w:t>
      </w:r>
      <w:r w:rsidR="001A62EA">
        <w:rPr>
          <w:rFonts w:cs="Times New Roman"/>
          <w:szCs w:val="24"/>
          <w:highlight w:val="yellow"/>
          <w:lang w:val="en-GB"/>
        </w:rPr>
        <w:t>Unilever’s</w:t>
      </w:r>
      <w:r w:rsidRPr="001A62EA">
        <w:rPr>
          <w:rFonts w:cs="Times New Roman"/>
          <w:szCs w:val="24"/>
          <w:highlight w:val="yellow"/>
          <w:lang w:val="en-GB"/>
        </w:rPr>
        <w:t xml:space="preserve"> image is still shaped on the basis of the employer's follow-up measures. Employee experience is shaped by the quality of personnel service, services, communications, information systems and various internal measures. A well-managed recruitment process maintains and strengthens the image of the </w:t>
      </w:r>
      <w:r w:rsidR="001A62EA">
        <w:rPr>
          <w:rFonts w:cs="Times New Roman"/>
          <w:szCs w:val="24"/>
          <w:highlight w:val="yellow"/>
          <w:lang w:val="en-GB"/>
        </w:rPr>
        <w:t>Unilever</w:t>
      </w:r>
      <w:r w:rsidRPr="001A62EA">
        <w:rPr>
          <w:rFonts w:cs="Times New Roman"/>
          <w:szCs w:val="24"/>
          <w:highlight w:val="yellow"/>
          <w:lang w:val="en-GB"/>
        </w:rPr>
        <w:t xml:space="preserve">, which it is important to continue to maintain in order to maintain a good image of the </w:t>
      </w:r>
      <w:r w:rsidR="001A62EA">
        <w:rPr>
          <w:rFonts w:cs="Times New Roman"/>
          <w:szCs w:val="24"/>
          <w:highlight w:val="yellow"/>
          <w:lang w:val="en-GB"/>
        </w:rPr>
        <w:t>Unilever</w:t>
      </w:r>
      <w:r w:rsidRPr="001A62EA">
        <w:rPr>
          <w:rFonts w:cs="Times New Roman"/>
          <w:szCs w:val="24"/>
          <w:highlight w:val="yellow"/>
          <w:lang w:val="en-GB"/>
        </w:rPr>
        <w:t xml:space="preserve">. The study </w:t>
      </w:r>
      <w:r w:rsidRPr="001A62EA">
        <w:rPr>
          <w:rFonts w:cs="Times New Roman"/>
          <w:szCs w:val="24"/>
          <w:highlight w:val="yellow"/>
          <w:lang w:val="en-GB"/>
        </w:rPr>
        <w:lastRenderedPageBreak/>
        <w:t xml:space="preserve">shows that </w:t>
      </w:r>
      <w:r w:rsidR="001A62EA">
        <w:rPr>
          <w:rFonts w:cs="Times New Roman"/>
          <w:szCs w:val="24"/>
          <w:highlight w:val="yellow"/>
          <w:lang w:val="en-GB"/>
        </w:rPr>
        <w:t xml:space="preserve">Unilever </w:t>
      </w:r>
      <w:r w:rsidRPr="001A62EA">
        <w:rPr>
          <w:rFonts w:cs="Times New Roman"/>
          <w:szCs w:val="24"/>
          <w:highlight w:val="yellow"/>
          <w:lang w:val="en-GB"/>
        </w:rPr>
        <w:t xml:space="preserve">that focus on the experiences of existing employees about the image of the </w:t>
      </w:r>
      <w:r w:rsidR="001A62EA">
        <w:rPr>
          <w:rFonts w:cs="Times New Roman"/>
          <w:szCs w:val="24"/>
          <w:highlight w:val="yellow"/>
          <w:lang w:val="en-GB"/>
        </w:rPr>
        <w:t xml:space="preserve">Unilever </w:t>
      </w:r>
      <w:r w:rsidR="00641B1C" w:rsidRPr="001A62EA">
        <w:rPr>
          <w:rFonts w:cs="Times New Roman"/>
          <w:szCs w:val="24"/>
          <w:highlight w:val="yellow"/>
          <w:lang w:val="en-GB"/>
        </w:rPr>
        <w:t>is</w:t>
      </w:r>
      <w:r w:rsidRPr="001A62EA">
        <w:rPr>
          <w:rFonts w:cs="Times New Roman"/>
          <w:szCs w:val="24"/>
          <w:highlight w:val="yellow"/>
          <w:lang w:val="en-GB"/>
        </w:rPr>
        <w:t xml:space="preserve"> more attractive employers in the labor market. Therefore, maintaining good employee experience on an ongoing basis is beneficial in the event of a crisis situation, such as a coronavirus epidemic</w:t>
      </w:r>
      <w:r w:rsidR="00641B1C" w:rsidRPr="001A62EA">
        <w:rPr>
          <w:rFonts w:cs="Times New Roman"/>
          <w:szCs w:val="24"/>
          <w:highlight w:val="yellow"/>
          <w:lang w:val="en-GB"/>
        </w:rPr>
        <w:t xml:space="preserve">. </w:t>
      </w:r>
      <w:r w:rsidRPr="001A62EA">
        <w:rPr>
          <w:rFonts w:cs="Times New Roman"/>
          <w:szCs w:val="24"/>
          <w:highlight w:val="yellow"/>
          <w:lang w:val="en-GB"/>
        </w:rPr>
        <w:t>In this case, the negative effects on the employer's image are easier to deal with later.</w:t>
      </w:r>
    </w:p>
    <w:p w14:paraId="2079E9AF" w14:textId="619B1EA6" w:rsidR="00934C98" w:rsidRPr="001A62EA" w:rsidRDefault="00934C98" w:rsidP="00641B1C">
      <w:pPr>
        <w:pStyle w:val="Heading2"/>
        <w:rPr>
          <w:color w:val="auto"/>
          <w:szCs w:val="24"/>
          <w:highlight w:val="yellow"/>
          <w:lang w:val="en-GB"/>
        </w:rPr>
      </w:pPr>
      <w:bookmarkStart w:id="20" w:name="_Toc60697874"/>
      <w:r w:rsidRPr="001A62EA">
        <w:rPr>
          <w:color w:val="auto"/>
          <w:szCs w:val="24"/>
          <w:highlight w:val="yellow"/>
          <w:lang w:val="en-GB"/>
        </w:rPr>
        <w:t>Employee availability and permanence during a state of emergency</w:t>
      </w:r>
      <w:bookmarkEnd w:id="20"/>
    </w:p>
    <w:p w14:paraId="1C539264" w14:textId="65FC851D" w:rsidR="00934C98" w:rsidRPr="001A62EA" w:rsidRDefault="00934C98" w:rsidP="00641B1C">
      <w:pPr>
        <w:ind w:firstLine="720"/>
        <w:rPr>
          <w:rFonts w:cs="Times New Roman"/>
          <w:szCs w:val="24"/>
          <w:highlight w:val="yellow"/>
          <w:lang w:val="en-GB"/>
        </w:rPr>
      </w:pPr>
      <w:r w:rsidRPr="001A62EA">
        <w:rPr>
          <w:rFonts w:cs="Times New Roman"/>
          <w:szCs w:val="24"/>
          <w:highlight w:val="yellow"/>
          <w:lang w:val="en-GB"/>
        </w:rPr>
        <w:t xml:space="preserve">Due to the exceptional situation, the influence of social media in recruitment becomes very central. Different social media channels allow people to interact better with each other. More and more people are using social media channels, to which recruitment and recruitment marketing are also moving. Content in the marketing of the </w:t>
      </w:r>
      <w:r w:rsidR="001A62EA">
        <w:rPr>
          <w:rFonts w:cs="Times New Roman"/>
          <w:szCs w:val="24"/>
          <w:highlight w:val="yellow"/>
          <w:lang w:val="en-GB"/>
        </w:rPr>
        <w:t xml:space="preserve">Unilever </w:t>
      </w:r>
      <w:r w:rsidRPr="001A62EA">
        <w:rPr>
          <w:rFonts w:cs="Times New Roman"/>
          <w:szCs w:val="24"/>
          <w:highlight w:val="yellow"/>
          <w:lang w:val="en-GB"/>
        </w:rPr>
        <w:t xml:space="preserve">brand becomes important. In times of instability created by an emergency, people value stability and security, which is why they have a major impact on the </w:t>
      </w:r>
      <w:r w:rsidR="001A62EA">
        <w:rPr>
          <w:rFonts w:cs="Times New Roman"/>
          <w:szCs w:val="24"/>
          <w:highlight w:val="yellow"/>
          <w:lang w:val="en-GB"/>
        </w:rPr>
        <w:t>Unilever’s</w:t>
      </w:r>
      <w:r w:rsidRPr="001A62EA">
        <w:rPr>
          <w:rFonts w:cs="Times New Roman"/>
          <w:szCs w:val="24"/>
          <w:highlight w:val="yellow"/>
          <w:lang w:val="en-GB"/>
        </w:rPr>
        <w:t xml:space="preserve"> image. The </w:t>
      </w:r>
      <w:r w:rsidR="001A62EA">
        <w:rPr>
          <w:rFonts w:cs="Times New Roman"/>
          <w:szCs w:val="24"/>
          <w:highlight w:val="yellow"/>
          <w:lang w:val="en-GB"/>
        </w:rPr>
        <w:t xml:space="preserve">Unilever </w:t>
      </w:r>
      <w:r w:rsidRPr="001A62EA">
        <w:rPr>
          <w:rFonts w:cs="Times New Roman"/>
          <w:szCs w:val="24"/>
          <w:highlight w:val="yellow"/>
          <w:lang w:val="en-GB"/>
        </w:rPr>
        <w:t>should therefore market these values in order to attract applicants.</w:t>
      </w:r>
    </w:p>
    <w:p w14:paraId="6F70A992" w14:textId="2B3A0713" w:rsidR="00934C98" w:rsidRPr="001A62EA" w:rsidRDefault="00934C98" w:rsidP="00641B1C">
      <w:pPr>
        <w:ind w:firstLine="720"/>
        <w:rPr>
          <w:rFonts w:cs="Times New Roman"/>
          <w:szCs w:val="24"/>
          <w:highlight w:val="yellow"/>
          <w:lang w:val="en-GB"/>
        </w:rPr>
      </w:pPr>
      <w:r w:rsidRPr="001A62EA">
        <w:rPr>
          <w:rFonts w:cs="Times New Roman"/>
          <w:szCs w:val="24"/>
          <w:highlight w:val="yellow"/>
          <w:lang w:val="en-GB"/>
        </w:rPr>
        <w:t xml:space="preserve">In recruitment, the way the </w:t>
      </w:r>
      <w:r w:rsidR="001A62EA">
        <w:rPr>
          <w:rFonts w:cs="Times New Roman"/>
          <w:szCs w:val="24"/>
          <w:highlight w:val="yellow"/>
          <w:lang w:val="en-GB"/>
        </w:rPr>
        <w:t xml:space="preserve">Unilever </w:t>
      </w:r>
      <w:r w:rsidRPr="001A62EA">
        <w:rPr>
          <w:rFonts w:cs="Times New Roman"/>
          <w:szCs w:val="24"/>
          <w:highlight w:val="yellow"/>
          <w:lang w:val="en-GB"/>
        </w:rPr>
        <w:t xml:space="preserve">communicates about itself becomes important. If </w:t>
      </w:r>
      <w:r w:rsidR="001A62EA">
        <w:rPr>
          <w:rFonts w:cs="Times New Roman"/>
          <w:szCs w:val="24"/>
          <w:highlight w:val="yellow"/>
          <w:lang w:val="en-GB"/>
        </w:rPr>
        <w:t xml:space="preserve">Unilever </w:t>
      </w:r>
      <w:r w:rsidRPr="001A62EA">
        <w:rPr>
          <w:rFonts w:cs="Times New Roman"/>
          <w:szCs w:val="24"/>
          <w:highlight w:val="yellow"/>
          <w:lang w:val="en-GB"/>
        </w:rPr>
        <w:t xml:space="preserve">communicates empathy humanely and truly speaks for itself, it highlights the company's most important values and purpose, which attracts people. Communicating about the corporate culture is important, as it helps to reach applicants who have similar values. By sharing genuine and truthful content, applicants get a more realistic picture of how the </w:t>
      </w:r>
      <w:r w:rsidR="001A62EA">
        <w:rPr>
          <w:rFonts w:cs="Times New Roman"/>
          <w:szCs w:val="24"/>
          <w:highlight w:val="yellow"/>
          <w:lang w:val="en-GB"/>
        </w:rPr>
        <w:t xml:space="preserve">Unilever </w:t>
      </w:r>
      <w:r w:rsidRPr="001A62EA">
        <w:rPr>
          <w:rFonts w:cs="Times New Roman"/>
          <w:szCs w:val="24"/>
          <w:highlight w:val="yellow"/>
          <w:lang w:val="en-GB"/>
        </w:rPr>
        <w:t xml:space="preserve">operates, which makes it easier to attract people </w:t>
      </w:r>
    </w:p>
    <w:p w14:paraId="67F143CD" w14:textId="52EDD384" w:rsidR="00934C98" w:rsidRPr="001A62EA" w:rsidRDefault="00934C98" w:rsidP="00641B1C">
      <w:pPr>
        <w:ind w:firstLine="720"/>
        <w:rPr>
          <w:rFonts w:cs="Times New Roman"/>
          <w:szCs w:val="24"/>
          <w:highlight w:val="yellow"/>
          <w:lang w:val="en-GB"/>
        </w:rPr>
      </w:pPr>
      <w:r w:rsidRPr="001A62EA">
        <w:rPr>
          <w:rFonts w:cs="Times New Roman"/>
          <w:szCs w:val="24"/>
          <w:highlight w:val="yellow"/>
          <w:lang w:val="en-GB"/>
        </w:rPr>
        <w:t xml:space="preserve">Maintaining </w:t>
      </w:r>
      <w:r w:rsidR="001A62EA" w:rsidRPr="001A62EA">
        <w:rPr>
          <w:rFonts w:cs="Times New Roman"/>
          <w:szCs w:val="24"/>
          <w:highlight w:val="yellow"/>
          <w:lang w:val="en-GB"/>
        </w:rPr>
        <w:t>a</w:t>
      </w:r>
      <w:r w:rsidRPr="001A62EA">
        <w:rPr>
          <w:rFonts w:cs="Times New Roman"/>
          <w:szCs w:val="24"/>
          <w:highlight w:val="yellow"/>
          <w:lang w:val="en-GB"/>
        </w:rPr>
        <w:t xml:space="preserve"> </w:t>
      </w:r>
      <w:r w:rsidR="001A62EA">
        <w:rPr>
          <w:rFonts w:cs="Times New Roman"/>
          <w:szCs w:val="24"/>
          <w:highlight w:val="yellow"/>
          <w:lang w:val="en-GB"/>
        </w:rPr>
        <w:t xml:space="preserve">Unilever </w:t>
      </w:r>
      <w:r w:rsidRPr="001A62EA">
        <w:rPr>
          <w:rFonts w:cs="Times New Roman"/>
          <w:szCs w:val="24"/>
          <w:highlight w:val="yellow"/>
          <w:lang w:val="en-GB"/>
        </w:rPr>
        <w:t xml:space="preserve">image during the employment relationship is important. People increasingly want their work to matter and work to maintain motivation. Due to the state of emergency caused by the corona epidemic, maintaining the employer's image has become one of </w:t>
      </w:r>
      <w:r w:rsidRPr="001A62EA">
        <w:rPr>
          <w:rFonts w:cs="Times New Roman"/>
          <w:szCs w:val="24"/>
          <w:highlight w:val="yellow"/>
          <w:lang w:val="en-GB"/>
        </w:rPr>
        <w:lastRenderedPageBreak/>
        <w:t xml:space="preserve">the most important entities to manage so that good employees stay with their employer for as long as possible. Responsibility has become one of the most important features of </w:t>
      </w:r>
      <w:r w:rsidR="001A62EA">
        <w:rPr>
          <w:rFonts w:cs="Times New Roman"/>
          <w:szCs w:val="24"/>
          <w:highlight w:val="yellow"/>
          <w:lang w:val="en-GB"/>
        </w:rPr>
        <w:t>Unilever’s</w:t>
      </w:r>
      <w:r w:rsidRPr="001A62EA">
        <w:rPr>
          <w:rFonts w:cs="Times New Roman"/>
          <w:szCs w:val="24"/>
          <w:highlight w:val="yellow"/>
          <w:lang w:val="en-GB"/>
        </w:rPr>
        <w:t xml:space="preserve"> operations, which is valued by employees</w:t>
      </w:r>
      <w:r w:rsidR="00641B1C" w:rsidRPr="001A62EA">
        <w:rPr>
          <w:rFonts w:cs="Times New Roman"/>
          <w:szCs w:val="24"/>
          <w:highlight w:val="yellow"/>
          <w:lang w:val="en-GB"/>
        </w:rPr>
        <w:t>.</w:t>
      </w:r>
    </w:p>
    <w:p w14:paraId="2E151ED7" w14:textId="08D862F2" w:rsidR="00934C98" w:rsidRPr="001A62EA" w:rsidRDefault="00934C98" w:rsidP="00641B1C">
      <w:pPr>
        <w:ind w:firstLine="720"/>
        <w:rPr>
          <w:rFonts w:cs="Times New Roman"/>
          <w:szCs w:val="24"/>
          <w:highlight w:val="yellow"/>
          <w:lang w:val="en-GB"/>
        </w:rPr>
      </w:pPr>
      <w:r w:rsidRPr="001A62EA">
        <w:rPr>
          <w:rFonts w:cs="Times New Roman"/>
          <w:szCs w:val="24"/>
          <w:highlight w:val="yellow"/>
          <w:lang w:val="en-GB"/>
        </w:rPr>
        <w:t xml:space="preserve">Transparency of the </w:t>
      </w:r>
      <w:r w:rsidR="001A62EA">
        <w:rPr>
          <w:rFonts w:cs="Times New Roman"/>
          <w:szCs w:val="24"/>
          <w:highlight w:val="yellow"/>
          <w:lang w:val="en-GB"/>
        </w:rPr>
        <w:t>Unilever’s</w:t>
      </w:r>
      <w:r w:rsidRPr="001A62EA">
        <w:rPr>
          <w:rFonts w:cs="Times New Roman"/>
          <w:szCs w:val="24"/>
          <w:highlight w:val="yellow"/>
          <w:lang w:val="en-GB"/>
        </w:rPr>
        <w:t xml:space="preserve"> operations is important, as it says a lot about the </w:t>
      </w:r>
      <w:r w:rsidR="001A62EA">
        <w:rPr>
          <w:rFonts w:cs="Times New Roman"/>
          <w:szCs w:val="24"/>
          <w:highlight w:val="yellow"/>
          <w:lang w:val="en-GB"/>
        </w:rPr>
        <w:t>Unilever’s</w:t>
      </w:r>
      <w:r w:rsidRPr="001A62EA">
        <w:rPr>
          <w:rFonts w:cs="Times New Roman"/>
          <w:szCs w:val="24"/>
          <w:highlight w:val="yellow"/>
          <w:lang w:val="en-GB"/>
        </w:rPr>
        <w:t xml:space="preserve"> reliability and the way in which the company operates. Communicating also about what is going to happen and what will be done gives employees a safe and supported feeling that eliminates uncertainty and feelings of fear. Employees play a key role in directly influencing the external image of the </w:t>
      </w:r>
      <w:r w:rsidR="001A62EA">
        <w:rPr>
          <w:rFonts w:cs="Times New Roman"/>
          <w:szCs w:val="24"/>
          <w:highlight w:val="yellow"/>
          <w:lang w:val="en-GB"/>
        </w:rPr>
        <w:t xml:space="preserve">Unilever </w:t>
      </w:r>
      <w:r w:rsidRPr="001A62EA">
        <w:rPr>
          <w:rFonts w:cs="Times New Roman"/>
          <w:szCs w:val="24"/>
          <w:highlight w:val="yellow"/>
          <w:lang w:val="en-GB"/>
        </w:rPr>
        <w:t xml:space="preserve">and at the same time shaping and sharing the image more widely in public. A positive employee experience and the coherence of the company's operations are achieved when employees are listened to and involved in the </w:t>
      </w:r>
      <w:r w:rsidR="001A62EA">
        <w:rPr>
          <w:rFonts w:cs="Times New Roman"/>
          <w:szCs w:val="24"/>
          <w:highlight w:val="yellow"/>
          <w:lang w:val="en-GB"/>
        </w:rPr>
        <w:t>Unilever’s</w:t>
      </w:r>
      <w:r w:rsidRPr="001A62EA">
        <w:rPr>
          <w:rFonts w:cs="Times New Roman"/>
          <w:szCs w:val="24"/>
          <w:highlight w:val="yellow"/>
          <w:lang w:val="en-GB"/>
        </w:rPr>
        <w:t xml:space="preserve"> operations and are supported in the employment relationship. This results in employees genuinely communicating about employer to other potential stakeholders.</w:t>
      </w:r>
    </w:p>
    <w:p w14:paraId="5B2CCEB7" w14:textId="778E235B" w:rsidR="00934C98" w:rsidRPr="001A62EA" w:rsidRDefault="00934C98" w:rsidP="007919B8">
      <w:pPr>
        <w:ind w:firstLine="720"/>
        <w:rPr>
          <w:rFonts w:cs="Times New Roman"/>
          <w:szCs w:val="24"/>
          <w:lang w:val="en-GB"/>
        </w:rPr>
      </w:pPr>
      <w:r w:rsidRPr="001A62EA">
        <w:rPr>
          <w:rFonts w:cs="Times New Roman"/>
          <w:szCs w:val="24"/>
          <w:highlight w:val="yellow"/>
          <w:lang w:val="en-GB"/>
        </w:rPr>
        <w:t xml:space="preserve">Involving staff during an interest rate crisis is important to alleviate fear and insecurity. If the employee can make an impact, it creates a sense of control and creates hope. During the corona epidemic, the </w:t>
      </w:r>
      <w:r w:rsidR="001A62EA">
        <w:rPr>
          <w:rFonts w:cs="Times New Roman"/>
          <w:szCs w:val="24"/>
          <w:highlight w:val="yellow"/>
          <w:lang w:val="en-GB"/>
        </w:rPr>
        <w:t xml:space="preserve">Unilever </w:t>
      </w:r>
      <w:r w:rsidR="00641B1C" w:rsidRPr="001A62EA">
        <w:rPr>
          <w:rFonts w:cs="Times New Roman"/>
          <w:szCs w:val="24"/>
          <w:highlight w:val="yellow"/>
          <w:lang w:val="en-GB"/>
        </w:rPr>
        <w:t>as in consumer</w:t>
      </w:r>
      <w:r w:rsidRPr="001A62EA">
        <w:rPr>
          <w:rFonts w:cs="Times New Roman"/>
          <w:szCs w:val="24"/>
          <w:highlight w:val="yellow"/>
          <w:lang w:val="en-GB"/>
        </w:rPr>
        <w:t xml:space="preserve"> industry suffered greatly when jobs were closed. Therefore, finding a replacement job and temporarily redeploying staff to new positions helps to maintain the image of the </w:t>
      </w:r>
      <w:r w:rsidR="001A62EA">
        <w:rPr>
          <w:rFonts w:cs="Times New Roman"/>
          <w:szCs w:val="24"/>
          <w:highlight w:val="yellow"/>
          <w:lang w:val="en-GB"/>
        </w:rPr>
        <w:t>Unilever</w:t>
      </w:r>
      <w:r w:rsidRPr="001A62EA">
        <w:rPr>
          <w:rFonts w:cs="Times New Roman"/>
          <w:szCs w:val="24"/>
          <w:highlight w:val="yellow"/>
          <w:lang w:val="en-GB"/>
        </w:rPr>
        <w:t xml:space="preserve">. The significance of communication acts is largely during the state of emergency. It is important that employees are not left alone, as loneliness increases insecurity and fear. Keeping employees up to date and communicating continuously and transparently is an important part of creating a good image. Communication must be direct, yet bearing in mind the importance of empathy. In a corona epidemic, transparency and caring are key to </w:t>
      </w:r>
      <w:r w:rsidR="001A62EA">
        <w:rPr>
          <w:rFonts w:cs="Times New Roman"/>
          <w:szCs w:val="24"/>
          <w:highlight w:val="yellow"/>
          <w:lang w:val="en-GB"/>
        </w:rPr>
        <w:t>Unilever’s</w:t>
      </w:r>
      <w:r w:rsidRPr="001A62EA">
        <w:rPr>
          <w:rFonts w:cs="Times New Roman"/>
          <w:szCs w:val="24"/>
          <w:highlight w:val="yellow"/>
          <w:lang w:val="en-GB"/>
        </w:rPr>
        <w:t xml:space="preserve"> action</w:t>
      </w:r>
      <w:r w:rsidRPr="001A62EA">
        <w:rPr>
          <w:rFonts w:cs="Times New Roman"/>
          <w:szCs w:val="24"/>
          <w:lang w:val="en-GB"/>
        </w:rPr>
        <w:t>.</w:t>
      </w:r>
    </w:p>
    <w:p w14:paraId="1709DA90" w14:textId="77777777" w:rsidR="00817B91" w:rsidRPr="001A62EA" w:rsidRDefault="005B4C59" w:rsidP="00930D75">
      <w:pPr>
        <w:pStyle w:val="Heading2"/>
        <w:spacing w:before="0" w:beforeAutospacing="0" w:after="0" w:afterAutospacing="0" w:line="480" w:lineRule="auto"/>
        <w:rPr>
          <w:color w:val="auto"/>
          <w:szCs w:val="24"/>
          <w:lang w:val="en-GB" w:eastAsia="zh-CN"/>
        </w:rPr>
      </w:pPr>
      <w:bookmarkStart w:id="21" w:name="_Toc38552406"/>
      <w:bookmarkStart w:id="22" w:name="_Toc60697875"/>
      <w:r w:rsidRPr="001A62EA">
        <w:rPr>
          <w:color w:val="auto"/>
          <w:szCs w:val="24"/>
          <w:lang w:val="en-GB" w:eastAsia="zh-CN"/>
        </w:rPr>
        <w:lastRenderedPageBreak/>
        <w:t>Cultural and Ethical Behaviour to the Organization</w:t>
      </w:r>
      <w:bookmarkEnd w:id="21"/>
      <w:bookmarkEnd w:id="22"/>
    </w:p>
    <w:p w14:paraId="70128FF7" w14:textId="77777777" w:rsidR="002A25C7" w:rsidRPr="001A62EA" w:rsidRDefault="005B4C59" w:rsidP="00930D75">
      <w:pPr>
        <w:pStyle w:val="Heading3"/>
        <w:spacing w:before="0"/>
        <w:rPr>
          <w:rFonts w:eastAsia="SimSun" w:cs="Times New Roman"/>
          <w:color w:val="auto"/>
          <w:szCs w:val="24"/>
          <w:lang w:val="en-GB" w:eastAsia="zh-CN"/>
        </w:rPr>
      </w:pPr>
      <w:bookmarkStart w:id="23" w:name="_Toc60697876"/>
      <w:r w:rsidRPr="001A62EA">
        <w:rPr>
          <w:rFonts w:eastAsia="SimSun" w:cs="Times New Roman"/>
          <w:color w:val="auto"/>
          <w:szCs w:val="24"/>
          <w:lang w:val="en-GB" w:eastAsia="zh-CN"/>
        </w:rPr>
        <w:t xml:space="preserve">Policies, </w:t>
      </w:r>
      <w:r w:rsidR="00417F3E" w:rsidRPr="001A62EA">
        <w:rPr>
          <w:rFonts w:eastAsia="SimSun" w:cs="Times New Roman"/>
          <w:color w:val="auto"/>
          <w:szCs w:val="24"/>
          <w:lang w:val="en-GB" w:eastAsia="zh-CN"/>
        </w:rPr>
        <w:t xml:space="preserve">Procedures and Legislation </w:t>
      </w:r>
      <w:r w:rsidRPr="001A62EA">
        <w:rPr>
          <w:rFonts w:eastAsia="SimSun" w:cs="Times New Roman"/>
          <w:color w:val="auto"/>
          <w:szCs w:val="24"/>
          <w:lang w:val="en-GB" w:eastAsia="zh-CN"/>
        </w:rPr>
        <w:t xml:space="preserve">of </w:t>
      </w:r>
      <w:r w:rsidR="004F7245" w:rsidRPr="001A62EA">
        <w:rPr>
          <w:rFonts w:eastAsia="SimSun" w:cs="Times New Roman"/>
          <w:color w:val="auto"/>
          <w:szCs w:val="24"/>
          <w:lang w:val="en-GB" w:eastAsia="zh-CN"/>
        </w:rPr>
        <w:t>Unilever:</w:t>
      </w:r>
      <w:bookmarkEnd w:id="23"/>
    </w:p>
    <w:p w14:paraId="1329E5C7" w14:textId="77777777" w:rsidR="00235D13" w:rsidRPr="001A62EA" w:rsidRDefault="005B4C59" w:rsidP="00930D75">
      <w:pPr>
        <w:spacing w:after="0"/>
        <w:ind w:firstLine="720"/>
        <w:jc w:val="both"/>
        <w:rPr>
          <w:rFonts w:cs="Times New Roman"/>
          <w:szCs w:val="24"/>
          <w:lang w:val="en-GB"/>
        </w:rPr>
      </w:pPr>
      <w:r w:rsidRPr="001A62EA">
        <w:rPr>
          <w:rFonts w:cs="Times New Roman"/>
          <w:szCs w:val="24"/>
          <w:lang w:val="en-GB"/>
        </w:rPr>
        <w:t xml:space="preserve">Unilever's values of integrity, admire, responsibility and pioneering are the maximum trustworthy articulation of what our identity is. Unilever's code of commercial enterprise concepts is a truthful moral explanation of how </w:t>
      </w:r>
      <w:r w:rsidR="00404F6F" w:rsidRPr="001A62EA">
        <w:rPr>
          <w:rFonts w:cs="Times New Roman"/>
          <w:szCs w:val="24"/>
          <w:lang w:val="en-GB"/>
        </w:rPr>
        <w:t>the company</w:t>
      </w:r>
      <w:r w:rsidRPr="001A62EA">
        <w:rPr>
          <w:rFonts w:cs="Times New Roman"/>
          <w:szCs w:val="24"/>
          <w:lang w:val="en-GB"/>
        </w:rPr>
        <w:t xml:space="preserve"> ought to paintings. </w:t>
      </w:r>
      <w:r w:rsidR="00404F6F" w:rsidRPr="001A62EA">
        <w:rPr>
          <w:rFonts w:cs="Times New Roman"/>
          <w:szCs w:val="24"/>
          <w:lang w:val="en-GB"/>
        </w:rPr>
        <w:t>The company</w:t>
      </w:r>
      <w:r w:rsidRPr="001A62EA">
        <w:rPr>
          <w:rFonts w:cs="Times New Roman"/>
          <w:szCs w:val="24"/>
          <w:lang w:val="en-GB"/>
        </w:rPr>
        <w:t xml:space="preserve"> distribute this remotely and assume all other individuals who paintings with us to set themselves further excessive requirements. Unilever's code policies characterize the ethical practices that </w:t>
      </w:r>
      <w:r w:rsidR="00404F6F" w:rsidRPr="001A62EA">
        <w:rPr>
          <w:rFonts w:cs="Times New Roman"/>
          <w:szCs w:val="24"/>
          <w:lang w:val="en-GB"/>
        </w:rPr>
        <w:t>workers</w:t>
      </w:r>
      <w:r w:rsidRPr="001A62EA">
        <w:rPr>
          <w:rFonts w:cs="Times New Roman"/>
          <w:szCs w:val="24"/>
          <w:lang w:val="en-GB"/>
        </w:rPr>
        <w:t xml:space="preserve"> as a whole want to exhibit when working for Unilever. They're compulsory. While those are for internal use, </w:t>
      </w:r>
      <w:r w:rsidR="00404F6F" w:rsidRPr="001A62EA">
        <w:rPr>
          <w:rFonts w:cs="Times New Roman"/>
          <w:szCs w:val="24"/>
          <w:lang w:val="en-GB"/>
        </w:rPr>
        <w:t>the company</w:t>
      </w:r>
      <w:r w:rsidRPr="001A62EA">
        <w:rPr>
          <w:rFonts w:cs="Times New Roman"/>
          <w:szCs w:val="24"/>
          <w:lang w:val="en-GB"/>
        </w:rPr>
        <w:t xml:space="preserve"> moreover distribute them remotely at the side of straightforwardness (code of business ideas and code regulations cod</w:t>
      </w:r>
      <w:r w:rsidR="00417F3E" w:rsidRPr="001A62EA">
        <w:rPr>
          <w:rFonts w:cs="Times New Roman"/>
          <w:szCs w:val="24"/>
          <w:lang w:val="en-GB"/>
        </w:rPr>
        <w:t>e of commercial enterprise</w:t>
      </w:r>
      <w:r w:rsidRPr="001A62EA">
        <w:rPr>
          <w:rFonts w:cs="Times New Roman"/>
          <w:szCs w:val="24"/>
          <w:lang w:val="en-GB"/>
        </w:rPr>
        <w:t xml:space="preserve">). Unilever's corporate structure is accountable for making sure the best assist for object development inside the agency's international enterprise. As of now, the corporation continues a structure that tends to company requirements as far as overseeing item types the world over. As a major consumer products company, Unilever has a hierarchical structure that as it should be underpinned superior global activities. Unilever has an object type divisional hierarchical structure. Coming up subsequent are the essential characteristics of Unilever's hierarchical shape: </w:t>
      </w:r>
    </w:p>
    <w:p w14:paraId="4960BE43" w14:textId="77777777" w:rsidR="00235D13" w:rsidRPr="001A62EA" w:rsidRDefault="005B4C59" w:rsidP="00930D75">
      <w:pPr>
        <w:pStyle w:val="ListParagraph"/>
        <w:numPr>
          <w:ilvl w:val="0"/>
          <w:numId w:val="25"/>
        </w:numPr>
        <w:spacing w:after="0"/>
        <w:jc w:val="both"/>
        <w:rPr>
          <w:rFonts w:cs="Times New Roman"/>
          <w:szCs w:val="24"/>
          <w:lang w:val="en-GB"/>
        </w:rPr>
      </w:pPr>
      <w:r w:rsidRPr="001A62EA">
        <w:rPr>
          <w:rFonts w:cs="Times New Roman"/>
          <w:szCs w:val="24"/>
          <w:lang w:val="en-GB"/>
        </w:rPr>
        <w:t xml:space="preserve">Product type divisions </w:t>
      </w:r>
    </w:p>
    <w:p w14:paraId="1F6FE84F" w14:textId="77777777" w:rsidR="00235D13" w:rsidRPr="001A62EA" w:rsidRDefault="005B4C59" w:rsidP="00930D75">
      <w:pPr>
        <w:pStyle w:val="ListParagraph"/>
        <w:numPr>
          <w:ilvl w:val="0"/>
          <w:numId w:val="25"/>
        </w:numPr>
        <w:spacing w:after="0"/>
        <w:jc w:val="both"/>
        <w:rPr>
          <w:rFonts w:cs="Times New Roman"/>
          <w:szCs w:val="24"/>
          <w:lang w:val="en-GB"/>
        </w:rPr>
      </w:pPr>
      <w:r w:rsidRPr="001A62EA">
        <w:rPr>
          <w:rFonts w:cs="Times New Roman"/>
          <w:szCs w:val="24"/>
          <w:lang w:val="en-GB"/>
        </w:rPr>
        <w:t xml:space="preserve">Corporate leader corporations </w:t>
      </w:r>
    </w:p>
    <w:p w14:paraId="232FDB9E" w14:textId="77777777" w:rsidR="00235D13" w:rsidRPr="001A62EA" w:rsidRDefault="005B4C59" w:rsidP="00930D75">
      <w:pPr>
        <w:pStyle w:val="ListParagraph"/>
        <w:numPr>
          <w:ilvl w:val="0"/>
          <w:numId w:val="25"/>
        </w:numPr>
        <w:spacing w:after="0"/>
        <w:jc w:val="both"/>
        <w:rPr>
          <w:rFonts w:cs="Times New Roman"/>
          <w:szCs w:val="24"/>
          <w:lang w:val="en-GB"/>
        </w:rPr>
      </w:pPr>
      <w:r w:rsidRPr="001A62EA">
        <w:rPr>
          <w:rFonts w:cs="Times New Roman"/>
          <w:szCs w:val="24"/>
          <w:lang w:val="en-GB"/>
        </w:rPr>
        <w:t xml:space="preserve">Geographic divisions </w:t>
      </w:r>
    </w:p>
    <w:p w14:paraId="7E0909B9" w14:textId="77777777" w:rsidR="00235D13" w:rsidRPr="001A62EA" w:rsidRDefault="005B4C59" w:rsidP="00930D75">
      <w:pPr>
        <w:spacing w:after="0"/>
        <w:ind w:firstLine="360"/>
        <w:rPr>
          <w:rFonts w:cs="Times New Roman"/>
          <w:szCs w:val="24"/>
          <w:lang w:val="en-GB"/>
        </w:rPr>
      </w:pPr>
      <w:r w:rsidRPr="001A62EA">
        <w:rPr>
          <w:rFonts w:cs="Times New Roman"/>
          <w:szCs w:val="24"/>
          <w:lang w:val="en-GB"/>
        </w:rPr>
        <w:t xml:space="preserve">For instance, each </w:t>
      </w:r>
      <w:r w:rsidR="00CF72FA" w:rsidRPr="001A62EA">
        <w:rPr>
          <w:rFonts w:cs="Times New Roman"/>
          <w:szCs w:val="24"/>
          <w:lang w:val="en-GB"/>
        </w:rPr>
        <w:t>products</w:t>
      </w:r>
      <w:r w:rsidRPr="001A62EA">
        <w:rPr>
          <w:rFonts w:cs="Times New Roman"/>
          <w:szCs w:val="24"/>
          <w:lang w:val="en-GB"/>
        </w:rPr>
        <w:t xml:space="preserve"> type division has its capacities</w:t>
      </w:r>
      <w:r w:rsidR="001F0900" w:rsidRPr="001A62EA">
        <w:rPr>
          <w:rFonts w:cs="Times New Roman"/>
          <w:szCs w:val="24"/>
          <w:lang w:val="en-GB"/>
        </w:rPr>
        <w:t xml:space="preserve"> of semi-self-governing</w:t>
      </w:r>
      <w:r w:rsidRPr="001A62EA">
        <w:rPr>
          <w:rFonts w:cs="Times New Roman"/>
          <w:szCs w:val="24"/>
          <w:lang w:val="en-GB"/>
        </w:rPr>
        <w:t xml:space="preserve"> to create gadgets that straightforwardly fit the requirements in purchaser merchandise market sections. This corporate structure is likewise worthwhile for the reason that it empowers Unilever to split its gadgets no matter the huge length of its global activities. A weakness of Unilever's </w:t>
      </w:r>
      <w:r w:rsidRPr="001A62EA">
        <w:rPr>
          <w:rFonts w:cs="Times New Roman"/>
          <w:szCs w:val="24"/>
          <w:lang w:val="en-GB"/>
        </w:rPr>
        <w:lastRenderedPageBreak/>
        <w:t xml:space="preserve">hierarchical structure is its insignificant assist for provincial key usage. </w:t>
      </w:r>
      <w:r w:rsidR="007141EF" w:rsidRPr="001A62EA">
        <w:rPr>
          <w:rFonts w:cs="Times New Roman"/>
          <w:szCs w:val="24"/>
          <w:lang w:val="en-GB"/>
        </w:rPr>
        <w:t>Geographic</w:t>
      </w:r>
      <w:r w:rsidRPr="001A62EA">
        <w:rPr>
          <w:rFonts w:cs="Times New Roman"/>
          <w:szCs w:val="24"/>
          <w:lang w:val="en-GB"/>
        </w:rPr>
        <w:t xml:space="preserve"> divisions are certainly one of its underlying highlights, the enterprise zeros in extra on object type divisions. As a consequence, there's constrained help for market-express or local key changes. Unilever must build its accentuation on geographic divisions to interact with provincial administrative corporations. Such underlying trade improves key adequacy in provincial consumer merchandise markets </w:t>
      </w:r>
      <w:r w:rsidR="00362E1B" w:rsidRPr="001A62EA">
        <w:rPr>
          <w:rFonts w:cs="Times New Roman"/>
          <w:szCs w:val="24"/>
          <w:lang w:val="en-GB"/>
        </w:rPr>
        <w:fldChar w:fldCharType="begin" w:fldLock="1"/>
      </w:r>
      <w:r w:rsidR="00362E1B" w:rsidRPr="001A62EA">
        <w:rPr>
          <w:rFonts w:cs="Times New Roman"/>
          <w:szCs w:val="24"/>
          <w:lang w:val="en-GB"/>
        </w:rPr>
        <w:instrText>ADDIN CSL_CITATION {"citationItems":[{"id":"ITEM-1","itemData":{"DOI":"10.2308/jmar-51024","ISSN":"15588033","abstract":"While the construct of narcissism has existed for well over 100 years, it has become the most discussed personality disorder of recent times and has the potential to influence organizational culture and control systems. Although systematic research on narcissism has been conducted at the individual level, research on its effects within organizations is still in its nascent stages. Our objectives in this paper are threefold: (1) to present an overview of the narcissism construct and its causes, (2) to review how narcissistic employees behave differently in work settings compared to less narcissistic employees, and (3) to develop a framework for research from which we develop testable hypotheses about how increased levels of employee narcissism can affect the design and performance of management control systems.","author":[{"dropping-particle":"","family":"Young","given":"S. Mark","non-dropping-particle":"","parse-names":false,"suffix":""},{"dropping-particle":"","family":"Du","given":"Fei","non-dropping-particle":"","parse-names":false,"suffix":""},{"dropping-particle":"","family":"Dworkis","given":"Kelsey Kay","non-dropping-particle":"","parse-names":false,"suffix":""},{"dropping-particle":"","family":"Olsen","given":"Kari Joseph","non-dropping-particle":"","parse-names":false,"suffix":""}],"container-title":"Journal of Management Accounting Research","id":"ITEM-1","issued":{"date-parts":[["2016"]]},"title":"It’s all about all of us: The rise of narcissism and its implications for management control system research","type":"article-journal"},"uris":["http://www.mendeley.com/documents/?uuid=28fc79b0-ec36-4254-a983-e7f244f05569","http://www.mendeley.com/documents/?uuid=5edd0477-941c-4ded-a33d-fcc6061e4eca"]}],"mendeley":{"formattedCitation":"(Young &lt;i&gt;et al.&lt;/i&gt;, 2016)","plainTextFormattedCitation":"(Young et al., 2016)","previouslyFormattedCitation":"(Young &lt;i&gt;et al.&lt;/i&gt;, 2016)"},"properties":{"noteIndex":0},"schema":"https://github.com/citation-style-language/schema/raw/master/csl-citation.json"}</w:instrText>
      </w:r>
      <w:r w:rsidR="00362E1B" w:rsidRPr="001A62EA">
        <w:rPr>
          <w:rFonts w:cs="Times New Roman"/>
          <w:szCs w:val="24"/>
          <w:lang w:val="en-GB"/>
        </w:rPr>
        <w:fldChar w:fldCharType="separate"/>
      </w:r>
      <w:r w:rsidR="00362E1B" w:rsidRPr="001A62EA">
        <w:rPr>
          <w:rFonts w:cs="Times New Roman"/>
          <w:szCs w:val="24"/>
          <w:lang w:val="en-GB"/>
        </w:rPr>
        <w:t xml:space="preserve">(Young </w:t>
      </w:r>
      <w:r w:rsidR="00362E1B" w:rsidRPr="001A62EA">
        <w:rPr>
          <w:rFonts w:cs="Times New Roman"/>
          <w:i/>
          <w:szCs w:val="24"/>
          <w:lang w:val="en-GB"/>
        </w:rPr>
        <w:t>et al.</w:t>
      </w:r>
      <w:r w:rsidR="00362E1B" w:rsidRPr="001A62EA">
        <w:rPr>
          <w:rFonts w:cs="Times New Roman"/>
          <w:szCs w:val="24"/>
          <w:lang w:val="en-GB"/>
        </w:rPr>
        <w:t>, 2016)</w:t>
      </w:r>
      <w:r w:rsidR="00362E1B" w:rsidRPr="001A62EA">
        <w:rPr>
          <w:rFonts w:cs="Times New Roman"/>
          <w:szCs w:val="24"/>
          <w:lang w:val="en-GB"/>
        </w:rPr>
        <w:fldChar w:fldCharType="end"/>
      </w:r>
      <w:r w:rsidRPr="001A62EA">
        <w:rPr>
          <w:rFonts w:cs="Times New Roman"/>
          <w:szCs w:val="24"/>
          <w:lang w:val="en-GB"/>
        </w:rPr>
        <w:t>.</w:t>
      </w:r>
    </w:p>
    <w:p w14:paraId="3BC6E96E" w14:textId="77777777" w:rsidR="00417F3E" w:rsidRPr="001A62EA" w:rsidRDefault="00417F3E" w:rsidP="00930D75">
      <w:pPr>
        <w:spacing w:after="0"/>
        <w:rPr>
          <w:rFonts w:cs="Times New Roman"/>
          <w:szCs w:val="24"/>
          <w:lang w:val="en-GB"/>
        </w:rPr>
      </w:pPr>
    </w:p>
    <w:p w14:paraId="58F5F81A" w14:textId="77777777" w:rsidR="002A25C7" w:rsidRPr="001A62EA" w:rsidRDefault="005B4C59" w:rsidP="00930D75">
      <w:pPr>
        <w:pStyle w:val="Heading3"/>
        <w:spacing w:before="0"/>
        <w:rPr>
          <w:rFonts w:eastAsia="SimSun" w:cs="Times New Roman"/>
          <w:color w:val="auto"/>
          <w:szCs w:val="24"/>
          <w:lang w:val="en-GB" w:eastAsia="zh-CN"/>
        </w:rPr>
      </w:pPr>
      <w:bookmarkStart w:id="24" w:name="_Toc60697877"/>
      <w:r w:rsidRPr="001A62EA">
        <w:rPr>
          <w:rFonts w:eastAsia="SimSun" w:cs="Times New Roman"/>
          <w:color w:val="auto"/>
          <w:szCs w:val="24"/>
          <w:lang w:val="en-GB" w:eastAsia="zh-CN"/>
        </w:rPr>
        <w:t xml:space="preserve">Code of </w:t>
      </w:r>
      <w:r w:rsidR="00417F3E" w:rsidRPr="001A62EA">
        <w:rPr>
          <w:rFonts w:eastAsia="SimSun" w:cs="Times New Roman"/>
          <w:color w:val="auto"/>
          <w:szCs w:val="24"/>
          <w:lang w:val="en-GB" w:eastAsia="zh-CN"/>
        </w:rPr>
        <w:t xml:space="preserve">Ethics and Code of Conduct </w:t>
      </w:r>
      <w:r w:rsidRPr="001A62EA">
        <w:rPr>
          <w:rFonts w:eastAsia="SimSun" w:cs="Times New Roman"/>
          <w:color w:val="auto"/>
          <w:szCs w:val="24"/>
          <w:lang w:val="en-GB" w:eastAsia="zh-CN"/>
        </w:rPr>
        <w:t>in Unilever:</w:t>
      </w:r>
      <w:bookmarkEnd w:id="24"/>
    </w:p>
    <w:p w14:paraId="6F3BE0CC" w14:textId="11D6EF1B" w:rsidR="009A0378" w:rsidRPr="001A62EA" w:rsidRDefault="005B4C59" w:rsidP="00930D75">
      <w:pPr>
        <w:pStyle w:val="NormalWeb"/>
        <w:shd w:val="clear" w:color="auto" w:fill="FFFFFF"/>
        <w:spacing w:before="0" w:beforeAutospacing="0" w:after="0" w:afterAutospacing="0" w:line="480" w:lineRule="auto"/>
        <w:ind w:firstLine="720"/>
        <w:jc w:val="both"/>
        <w:rPr>
          <w:lang w:val="en-GB"/>
        </w:rPr>
      </w:pPr>
      <w:r w:rsidRPr="001A62EA">
        <w:rPr>
          <w:lang w:val="en-GB"/>
        </w:rPr>
        <w:t>A commercial enterprise code of morals is a development of installation standards an association makes use of whilst operating in ent</w:t>
      </w:r>
      <w:r w:rsidR="00417F3E" w:rsidRPr="001A62EA">
        <w:rPr>
          <w:lang w:val="en-GB"/>
        </w:rPr>
        <w:t>erprise or society</w:t>
      </w:r>
      <w:r w:rsidRPr="001A62EA">
        <w:rPr>
          <w:lang w:val="en-GB"/>
        </w:rPr>
        <w:t xml:space="preserve">. Unilever's characteristics signify how we paintings collectively and cooperate with our pals, accomplices, customers and shoppers. </w:t>
      </w:r>
      <w:r w:rsidR="00404F6F" w:rsidRPr="001A62EA">
        <w:rPr>
          <w:lang w:val="en-GB"/>
        </w:rPr>
        <w:t>The</w:t>
      </w:r>
      <w:r w:rsidRPr="001A62EA">
        <w:rPr>
          <w:lang w:val="en-GB"/>
        </w:rPr>
        <w:t xml:space="preserve"> </w:t>
      </w:r>
      <w:r w:rsidR="001A62EA" w:rsidRPr="001A62EA">
        <w:rPr>
          <w:lang w:val="en-GB"/>
        </w:rPr>
        <w:t>4-guiding</w:t>
      </w:r>
      <w:r w:rsidRPr="001A62EA">
        <w:rPr>
          <w:lang w:val="en-GB"/>
        </w:rPr>
        <w:t xml:space="preserve"> precept are respectability, obligation, regard and spearheading. As </w:t>
      </w:r>
      <w:r w:rsidR="00404F6F" w:rsidRPr="001A62EA">
        <w:rPr>
          <w:lang w:val="en-GB"/>
        </w:rPr>
        <w:t>one</w:t>
      </w:r>
      <w:r w:rsidRPr="001A62EA">
        <w:rPr>
          <w:lang w:val="en-GB"/>
        </w:rPr>
        <w:t xml:space="preserve"> project into new enterprise sectors, sign up new ability and face new difficulties, </w:t>
      </w:r>
      <w:r w:rsidR="00404F6F" w:rsidRPr="001A62EA">
        <w:rPr>
          <w:lang w:val="en-GB"/>
        </w:rPr>
        <w:t>that manual</w:t>
      </w:r>
      <w:r w:rsidRPr="001A62EA">
        <w:rPr>
          <w:lang w:val="en-GB"/>
        </w:rPr>
        <w:t xml:space="preserve"> our relatives inside the choices and moves they make each day. Unilever's challenge and values are devoted to aiding and urging individuals to act to improve their wellbeing and prosperity past sincerely demonstrating an item to the purchaser. Simultaneously, Unilever manufacturing practices enterprise to lessen the natural impact their gadgets have on our truth. We imply to have constructive final results thru our manufacturers, our commercial enterprise sports and connections, </w:t>
      </w:r>
      <w:r w:rsidR="00404F6F" w:rsidRPr="001A62EA">
        <w:rPr>
          <w:lang w:val="en-GB"/>
        </w:rPr>
        <w:t>wilful</w:t>
      </w:r>
      <w:r w:rsidRPr="001A62EA">
        <w:rPr>
          <w:lang w:val="en-GB"/>
        </w:rPr>
        <w:t xml:space="preserve"> commitments and distinct change manners using which we attract with colleagues and society on the free. We're additionally dedicated to constantly improving how we cope with our outcomes and our greater drawn-out period objective of building up a realistic enterprise. Respectability characterizes how we act, any region we are. </w:t>
      </w:r>
      <w:r w:rsidR="00404F6F" w:rsidRPr="001A62EA">
        <w:rPr>
          <w:lang w:val="en-GB"/>
        </w:rPr>
        <w:t>Its</w:t>
      </w:r>
      <w:r w:rsidRPr="001A62EA">
        <w:rPr>
          <w:lang w:val="en-GB"/>
        </w:rPr>
        <w:t xml:space="preserve"> publications us to make the best choice for the drawn-out fulfilment of Unilever. We need to paintings with </w:t>
      </w:r>
      <w:r w:rsidRPr="001A62EA">
        <w:rPr>
          <w:lang w:val="en-GB"/>
        </w:rPr>
        <w:lastRenderedPageBreak/>
        <w:t xml:space="preserve">vendors, professionals, merchants and other colleagues who've values like our own and hold comparable norms as we do. Our responsible sourcing coverage and responsible commercial enterprise companion coverage, adjusted to Unilever's code of enterprise standards, try and hold twelve critical requirements protecting business honesty such as specific responsibilities figuring out with people, shoppers and the weather (Unilever global company website, 2018). </w:t>
      </w:r>
    </w:p>
    <w:p w14:paraId="672BECC4" w14:textId="77777777" w:rsidR="00E40C3A" w:rsidRPr="001A62EA" w:rsidRDefault="005B4C59" w:rsidP="00930D75">
      <w:pPr>
        <w:spacing w:after="0"/>
        <w:ind w:firstLine="720"/>
        <w:jc w:val="both"/>
        <w:rPr>
          <w:rFonts w:cs="Times New Roman"/>
          <w:szCs w:val="24"/>
          <w:lang w:val="en-GB"/>
        </w:rPr>
      </w:pPr>
      <w:r w:rsidRPr="001A62EA">
        <w:rPr>
          <w:rFonts w:cs="Times New Roman"/>
          <w:szCs w:val="24"/>
          <w:lang w:val="en-GB"/>
        </w:rPr>
        <w:t xml:space="preserve">Unilever's popularity for operating with integrity and with admire for the pursuits of those our physical activities can affect is a useful resource, similarly as real as our kin and brands. Our principal purpose is to be a fruitful enterprise: that suggests contributing to the improvement and adjusting gift second and lengthy haul pursuits. It moreover implies considering our shoppers, representatives and traders, our colleagues and the arena wherein we stay. Unilever has demonstrated to be a moral enterprise being an enterprise leader in such a way. Their CEO becomes granted acknowledgment for the great pleasure of professional and moral direction. This administration must undoubtedly affect the morals of the whole business enterprise (bob, 2012). Our exploration features some moral problems with Unilever, consisting of ecological revealing, environments and property, palm oil, contamination and toxins, basic liberties, worker's' privileges, shop community the executives, reckless selling, primary entitlements, animal trying out, plant cultivating, hostile to social cash, disputable innovations and political sports (moral patron, 2018). Unilever is utilized 2, 27,000 people in round one hundred fifty countries. This corporation continually attempts to hold up their employee rights and responsibilities. To concentrate some consultant privileges of Unilever in under: </w:t>
      </w:r>
    </w:p>
    <w:p w14:paraId="1B270262" w14:textId="77777777" w:rsidR="00E40C3A" w:rsidRPr="001A62EA" w:rsidRDefault="005B4C59" w:rsidP="00930D75">
      <w:pPr>
        <w:pStyle w:val="ListParagraph"/>
        <w:numPr>
          <w:ilvl w:val="0"/>
          <w:numId w:val="25"/>
        </w:numPr>
        <w:spacing w:after="0"/>
        <w:jc w:val="both"/>
        <w:rPr>
          <w:rFonts w:cs="Times New Roman"/>
          <w:szCs w:val="24"/>
          <w:lang w:val="en-GB"/>
        </w:rPr>
      </w:pPr>
      <w:r w:rsidRPr="001A62EA">
        <w:rPr>
          <w:rFonts w:cs="Times New Roman"/>
          <w:szCs w:val="24"/>
          <w:lang w:val="en-GB"/>
        </w:rPr>
        <w:t xml:space="preserve">To comfy the wellbeing and security of representatives at paintings </w:t>
      </w:r>
    </w:p>
    <w:p w14:paraId="429321A6" w14:textId="77777777" w:rsidR="00E40C3A" w:rsidRPr="001A62EA" w:rsidRDefault="005B4C59" w:rsidP="00930D75">
      <w:pPr>
        <w:pStyle w:val="ListParagraph"/>
        <w:numPr>
          <w:ilvl w:val="0"/>
          <w:numId w:val="25"/>
        </w:numPr>
        <w:spacing w:after="0"/>
        <w:jc w:val="both"/>
        <w:rPr>
          <w:rFonts w:cs="Times New Roman"/>
          <w:szCs w:val="24"/>
          <w:lang w:val="en-GB"/>
        </w:rPr>
      </w:pPr>
      <w:r w:rsidRPr="001A62EA">
        <w:rPr>
          <w:rFonts w:cs="Times New Roman"/>
          <w:szCs w:val="24"/>
          <w:lang w:val="en-GB"/>
        </w:rPr>
        <w:t xml:space="preserve">To must regard representatives' basic rights </w:t>
      </w:r>
    </w:p>
    <w:p w14:paraId="217EB20D" w14:textId="77777777" w:rsidR="00E40C3A" w:rsidRPr="001A62EA" w:rsidRDefault="005B4C59" w:rsidP="00930D75">
      <w:pPr>
        <w:pStyle w:val="ListParagraph"/>
        <w:numPr>
          <w:ilvl w:val="0"/>
          <w:numId w:val="25"/>
        </w:numPr>
        <w:spacing w:after="0"/>
        <w:jc w:val="both"/>
        <w:rPr>
          <w:rFonts w:cs="Times New Roman"/>
          <w:szCs w:val="24"/>
          <w:lang w:val="en-GB"/>
        </w:rPr>
      </w:pPr>
      <w:r w:rsidRPr="001A62EA">
        <w:rPr>
          <w:rFonts w:cs="Times New Roman"/>
          <w:szCs w:val="24"/>
          <w:lang w:val="en-GB"/>
        </w:rPr>
        <w:t xml:space="preserve">To help self-cognizance of workers </w:t>
      </w:r>
    </w:p>
    <w:p w14:paraId="148160E9" w14:textId="77777777" w:rsidR="00E40C3A" w:rsidRPr="001A62EA" w:rsidRDefault="005B4C59" w:rsidP="00930D75">
      <w:pPr>
        <w:pStyle w:val="ListParagraph"/>
        <w:numPr>
          <w:ilvl w:val="0"/>
          <w:numId w:val="25"/>
        </w:numPr>
        <w:spacing w:after="0"/>
        <w:jc w:val="both"/>
        <w:rPr>
          <w:rFonts w:cs="Times New Roman"/>
          <w:szCs w:val="24"/>
          <w:lang w:val="en-GB"/>
        </w:rPr>
      </w:pPr>
      <w:r w:rsidRPr="001A62EA">
        <w:rPr>
          <w:rFonts w:cs="Times New Roman"/>
          <w:szCs w:val="24"/>
          <w:lang w:val="en-GB"/>
        </w:rPr>
        <w:lastRenderedPageBreak/>
        <w:t xml:space="preserve">To give preparing offices on synthetics or dangerous paintings </w:t>
      </w:r>
    </w:p>
    <w:p w14:paraId="426F895C" w14:textId="77777777" w:rsidR="00E40C3A" w:rsidRPr="001A62EA" w:rsidRDefault="005B4C59" w:rsidP="00930D75">
      <w:pPr>
        <w:pStyle w:val="ListParagraph"/>
        <w:numPr>
          <w:ilvl w:val="0"/>
          <w:numId w:val="25"/>
        </w:numPr>
        <w:spacing w:after="0"/>
        <w:jc w:val="both"/>
        <w:rPr>
          <w:rFonts w:cs="Times New Roman"/>
          <w:szCs w:val="24"/>
          <w:lang w:val="en-GB"/>
        </w:rPr>
      </w:pPr>
      <w:r w:rsidRPr="001A62EA">
        <w:rPr>
          <w:rFonts w:cs="Times New Roman"/>
          <w:szCs w:val="24"/>
          <w:lang w:val="en-GB"/>
        </w:rPr>
        <w:t xml:space="preserve">To illuminate representatives approximately genuine working environment hazard </w:t>
      </w:r>
    </w:p>
    <w:p w14:paraId="4BF56989" w14:textId="77777777" w:rsidR="00E40C3A" w:rsidRPr="001A62EA" w:rsidRDefault="005B4C59" w:rsidP="00930D75">
      <w:pPr>
        <w:pStyle w:val="ListParagraph"/>
        <w:numPr>
          <w:ilvl w:val="0"/>
          <w:numId w:val="25"/>
        </w:numPr>
        <w:spacing w:after="0"/>
        <w:jc w:val="both"/>
        <w:rPr>
          <w:rFonts w:cs="Times New Roman"/>
          <w:szCs w:val="24"/>
          <w:lang w:val="en-GB"/>
        </w:rPr>
      </w:pPr>
      <w:r w:rsidRPr="001A62EA">
        <w:rPr>
          <w:rFonts w:cs="Times New Roman"/>
          <w:szCs w:val="24"/>
          <w:lang w:val="en-GB"/>
        </w:rPr>
        <w:t xml:space="preserve">To assure the representatives' organization balance </w:t>
      </w:r>
    </w:p>
    <w:p w14:paraId="20DE81D1" w14:textId="77777777" w:rsidR="00E40C3A" w:rsidRPr="001A62EA" w:rsidRDefault="005B4C59" w:rsidP="00930D75">
      <w:pPr>
        <w:pStyle w:val="ListParagraph"/>
        <w:numPr>
          <w:ilvl w:val="0"/>
          <w:numId w:val="25"/>
        </w:numPr>
        <w:spacing w:after="0"/>
        <w:jc w:val="both"/>
        <w:rPr>
          <w:rFonts w:cs="Times New Roman"/>
          <w:szCs w:val="24"/>
          <w:lang w:val="en-GB"/>
        </w:rPr>
      </w:pPr>
      <w:r w:rsidRPr="001A62EA">
        <w:rPr>
          <w:rFonts w:cs="Times New Roman"/>
          <w:szCs w:val="24"/>
          <w:lang w:val="en-GB"/>
        </w:rPr>
        <w:t xml:space="preserve">To evaluate the representatives' based totally on their running execution </w:t>
      </w:r>
    </w:p>
    <w:p w14:paraId="1326E8A0" w14:textId="77777777" w:rsidR="00E40C3A" w:rsidRPr="001A62EA" w:rsidRDefault="005B4C59" w:rsidP="00930D75">
      <w:pPr>
        <w:spacing w:after="0"/>
        <w:ind w:firstLine="360"/>
        <w:jc w:val="both"/>
        <w:rPr>
          <w:rFonts w:cs="Times New Roman"/>
          <w:szCs w:val="24"/>
          <w:lang w:val="en-GB"/>
        </w:rPr>
      </w:pPr>
      <w:r w:rsidRPr="001A62EA">
        <w:rPr>
          <w:rFonts w:cs="Times New Roman"/>
          <w:szCs w:val="24"/>
          <w:lang w:val="en-GB"/>
        </w:rPr>
        <w:t xml:space="preserve">When Unilever starts off evolved enterprise in a state, this enterprise should comply with that kingdom's government and commonplace enactment as </w:t>
      </w:r>
      <w:r w:rsidR="00787A12" w:rsidRPr="001A62EA">
        <w:rPr>
          <w:rFonts w:cs="Times New Roman"/>
          <w:szCs w:val="24"/>
          <w:lang w:val="en-GB"/>
        </w:rPr>
        <w:t>its</w:t>
      </w:r>
      <w:r w:rsidRPr="001A62EA">
        <w:rPr>
          <w:rFonts w:cs="Times New Roman"/>
          <w:szCs w:val="24"/>
          <w:lang w:val="en-GB"/>
        </w:rPr>
        <w:t xml:space="preserve"> miles authorized and applicable enactment in locales. Unilever activities in orders with much less extreme protection legal guidelines are foreseen to expand all normal endeavours to satisfy the conditions. Unilever or any of its chiefs, officials, people, professionals or agents need to be devoted for keeping up each state's law structures.</w:t>
      </w:r>
    </w:p>
    <w:p w14:paraId="56B6F05B" w14:textId="77777777" w:rsidR="00417F3E" w:rsidRPr="001A62EA" w:rsidRDefault="00417F3E" w:rsidP="00930D75">
      <w:pPr>
        <w:spacing w:after="0"/>
        <w:jc w:val="both"/>
        <w:rPr>
          <w:rFonts w:cs="Times New Roman"/>
          <w:szCs w:val="24"/>
          <w:lang w:val="en-GB"/>
        </w:rPr>
      </w:pPr>
    </w:p>
    <w:p w14:paraId="432FAFAC" w14:textId="77777777" w:rsidR="004D5455" w:rsidRPr="001A62EA" w:rsidRDefault="005B4C59" w:rsidP="00930D75">
      <w:pPr>
        <w:pStyle w:val="Heading1"/>
        <w:spacing w:before="0"/>
        <w:rPr>
          <w:rFonts w:eastAsia="Times New Roman" w:cs="Times New Roman"/>
          <w:color w:val="auto"/>
          <w:szCs w:val="24"/>
          <w:lang w:val="en-GB" w:eastAsia="zh-CN"/>
        </w:rPr>
      </w:pPr>
      <w:bookmarkStart w:id="25" w:name="_Toc38552407"/>
      <w:bookmarkStart w:id="26" w:name="_Toc60697878"/>
      <w:r w:rsidRPr="001A62EA">
        <w:rPr>
          <w:rFonts w:eastAsia="Times New Roman" w:cs="Times New Roman"/>
          <w:color w:val="auto"/>
          <w:szCs w:val="24"/>
          <w:lang w:val="en-GB" w:eastAsia="zh-CN"/>
        </w:rPr>
        <w:t>Recommendation</w:t>
      </w:r>
      <w:bookmarkEnd w:id="25"/>
      <w:bookmarkEnd w:id="26"/>
    </w:p>
    <w:p w14:paraId="17732072" w14:textId="6E5CC4F2" w:rsidR="00787A12" w:rsidRPr="001A62EA" w:rsidRDefault="005B4C59" w:rsidP="00930D75">
      <w:pPr>
        <w:spacing w:after="0"/>
        <w:ind w:firstLine="720"/>
        <w:jc w:val="both"/>
        <w:rPr>
          <w:rFonts w:cs="Times New Roman"/>
          <w:szCs w:val="24"/>
          <w:highlight w:val="yellow"/>
          <w:lang w:val="en-GB"/>
        </w:rPr>
      </w:pPr>
      <w:bookmarkStart w:id="27" w:name="_Toc38552408"/>
      <w:r w:rsidRPr="001A62EA">
        <w:rPr>
          <w:rFonts w:cs="Times New Roman"/>
          <w:szCs w:val="24"/>
          <w:highlight w:val="yellow"/>
          <w:lang w:val="en-GB"/>
        </w:rPr>
        <w:t xml:space="preserve">Unilever's </w:t>
      </w:r>
      <w:r w:rsidR="002A0711" w:rsidRPr="001A62EA">
        <w:rPr>
          <w:rFonts w:cs="Times New Roman"/>
          <w:szCs w:val="24"/>
          <w:highlight w:val="yellow"/>
          <w:lang w:val="en-GB"/>
        </w:rPr>
        <w:t xml:space="preserve">must consider the situation of COVID-19 and understand its basic changes to the life in the real world. The use of different of strategies in COVID-19 to maintain the revenue and image of the </w:t>
      </w:r>
      <w:r w:rsidR="001A62EA">
        <w:rPr>
          <w:rFonts w:cs="Times New Roman"/>
          <w:szCs w:val="24"/>
          <w:highlight w:val="yellow"/>
          <w:lang w:val="en-GB"/>
        </w:rPr>
        <w:t xml:space="preserve">Unilever </w:t>
      </w:r>
      <w:r w:rsidR="002A0711" w:rsidRPr="001A62EA">
        <w:rPr>
          <w:rFonts w:cs="Times New Roman"/>
          <w:szCs w:val="24"/>
          <w:highlight w:val="yellow"/>
          <w:lang w:val="en-GB"/>
        </w:rPr>
        <w:t xml:space="preserve">in the global market is necessary, since it directly leads to the positive or negative image of the company globally. The coronavirus has become a major threat for all the industries working globally in the world, it is not impacting the global consumer industry only. The </w:t>
      </w:r>
      <w:r w:rsidR="001A62EA">
        <w:rPr>
          <w:rFonts w:cs="Times New Roman"/>
          <w:szCs w:val="24"/>
          <w:highlight w:val="yellow"/>
          <w:lang w:val="en-GB"/>
        </w:rPr>
        <w:t xml:space="preserve">Unilever </w:t>
      </w:r>
      <w:r w:rsidR="002A0711" w:rsidRPr="001A62EA">
        <w:rPr>
          <w:rFonts w:cs="Times New Roman"/>
          <w:szCs w:val="24"/>
          <w:highlight w:val="yellow"/>
          <w:lang w:val="en-GB"/>
        </w:rPr>
        <w:t xml:space="preserve">have to analyse the demands of the situation and stay calm, wait for the right moment and implement the strategy of change to </w:t>
      </w:r>
      <w:r w:rsidR="001A62EA" w:rsidRPr="001A62EA">
        <w:rPr>
          <w:rFonts w:cs="Times New Roman"/>
          <w:szCs w:val="24"/>
          <w:highlight w:val="yellow"/>
          <w:lang w:val="en-GB"/>
        </w:rPr>
        <w:t>overcome</w:t>
      </w:r>
      <w:r w:rsidR="002A0711" w:rsidRPr="001A62EA">
        <w:rPr>
          <w:rFonts w:cs="Times New Roman"/>
          <w:szCs w:val="24"/>
          <w:highlight w:val="yellow"/>
          <w:lang w:val="en-GB"/>
        </w:rPr>
        <w:t xml:space="preserve"> the impacts of COVID-19 on the financial aspects of the company. </w:t>
      </w:r>
    </w:p>
    <w:p w14:paraId="57F6C4B2" w14:textId="1B0EC880" w:rsidR="002A0711" w:rsidRPr="001A62EA" w:rsidRDefault="002A0711" w:rsidP="00930D75">
      <w:pPr>
        <w:spacing w:after="0"/>
        <w:ind w:firstLine="720"/>
        <w:jc w:val="both"/>
        <w:rPr>
          <w:rFonts w:cs="Times New Roman"/>
          <w:szCs w:val="24"/>
          <w:highlight w:val="yellow"/>
          <w:lang w:val="en-GB"/>
        </w:rPr>
      </w:pPr>
      <w:r w:rsidRPr="001A62EA">
        <w:rPr>
          <w:rFonts w:cs="Times New Roman"/>
          <w:szCs w:val="24"/>
          <w:highlight w:val="yellow"/>
          <w:lang w:val="en-GB"/>
        </w:rPr>
        <w:t xml:space="preserve">A good work atmosphere creates a positive mind and good ideas, which are transferred to the employer's image capital. When value promises, preconceived notions, and experiences are shared by employees as the employment relationship progresses, disappointments are prevented. </w:t>
      </w:r>
      <w:r w:rsidRPr="001A62EA">
        <w:rPr>
          <w:rFonts w:cs="Times New Roman"/>
          <w:szCs w:val="24"/>
          <w:highlight w:val="yellow"/>
          <w:lang w:val="en-GB"/>
        </w:rPr>
        <w:lastRenderedPageBreak/>
        <w:t xml:space="preserve">Fulfilling promises has a direct effect on more positive attitudes towards work. On other hands, </w:t>
      </w:r>
      <w:r w:rsidR="001A62EA">
        <w:rPr>
          <w:rFonts w:cs="Times New Roman"/>
          <w:szCs w:val="24"/>
          <w:highlight w:val="yellow"/>
          <w:lang w:val="en-GB"/>
        </w:rPr>
        <w:t xml:space="preserve">Unilever </w:t>
      </w:r>
      <w:r w:rsidRPr="001A62EA">
        <w:rPr>
          <w:rFonts w:cs="Times New Roman"/>
          <w:szCs w:val="24"/>
          <w:highlight w:val="yellow"/>
          <w:lang w:val="en-GB"/>
        </w:rPr>
        <w:t>must have to realize the situations of employees and maintain their trust in company in their difficult situation of crisis by giving them safety and reliability of their job in crisis situation of the COVID-19 to maintain the image of company in the global market.</w:t>
      </w:r>
    </w:p>
    <w:p w14:paraId="36B0696A" w14:textId="77777777" w:rsidR="00417F3E" w:rsidRPr="001A62EA" w:rsidRDefault="00417F3E" w:rsidP="00930D75">
      <w:pPr>
        <w:spacing w:after="0"/>
        <w:jc w:val="both"/>
        <w:rPr>
          <w:rFonts w:cs="Times New Roman"/>
          <w:szCs w:val="24"/>
          <w:highlight w:val="yellow"/>
          <w:lang w:val="en-GB"/>
        </w:rPr>
      </w:pPr>
    </w:p>
    <w:p w14:paraId="28C8E399" w14:textId="36C6B48A" w:rsidR="004D5455" w:rsidRPr="001A62EA" w:rsidRDefault="005B4C59" w:rsidP="00930D75">
      <w:pPr>
        <w:pStyle w:val="Heading1"/>
        <w:spacing w:before="0"/>
        <w:rPr>
          <w:rFonts w:eastAsia="Times New Roman" w:cs="Times New Roman"/>
          <w:color w:val="auto"/>
          <w:szCs w:val="24"/>
          <w:highlight w:val="yellow"/>
          <w:lang w:val="en-GB" w:eastAsia="zh-CN"/>
        </w:rPr>
      </w:pPr>
      <w:bookmarkStart w:id="28" w:name="_Toc60697879"/>
      <w:r w:rsidRPr="001A62EA">
        <w:rPr>
          <w:rFonts w:eastAsia="Times New Roman" w:cs="Times New Roman"/>
          <w:color w:val="auto"/>
          <w:szCs w:val="24"/>
          <w:highlight w:val="yellow"/>
          <w:lang w:val="en-GB" w:eastAsia="zh-CN"/>
        </w:rPr>
        <w:t>Conclusion</w:t>
      </w:r>
      <w:bookmarkEnd w:id="27"/>
      <w:bookmarkEnd w:id="28"/>
    </w:p>
    <w:p w14:paraId="3DD02120" w14:textId="1B628B84" w:rsidR="00787A12" w:rsidRPr="001A62EA" w:rsidRDefault="005B4C59" w:rsidP="00930D75">
      <w:pPr>
        <w:spacing w:after="0"/>
        <w:ind w:firstLine="720"/>
        <w:jc w:val="both"/>
        <w:rPr>
          <w:rFonts w:cs="Times New Roman"/>
          <w:szCs w:val="24"/>
          <w:lang w:val="en-GB"/>
        </w:rPr>
      </w:pPr>
      <w:r w:rsidRPr="001A62EA">
        <w:rPr>
          <w:rFonts w:cs="Times New Roman"/>
          <w:szCs w:val="24"/>
          <w:highlight w:val="yellow"/>
          <w:lang w:val="en-GB"/>
        </w:rPr>
        <w:t xml:space="preserve">Unilever, as a global business enterprise, reacts to diverse international situations. Thru obligation administration, Unilever figures out the way to talk exclusive and delicate reactions depending on social problems being referred to. Social sensitivities affect Unilever's capacity to overcome social erosions. Furthermore, the reaction </w:t>
      </w:r>
      <w:r w:rsidR="008E2B82" w:rsidRPr="001A62EA">
        <w:rPr>
          <w:rFonts w:cs="Times New Roman"/>
          <w:szCs w:val="24"/>
          <w:highlight w:val="yellow"/>
          <w:lang w:val="en-GB"/>
        </w:rPr>
        <w:t xml:space="preserve">of COVID-19 has seen as a major financial crisis for the </w:t>
      </w:r>
      <w:r w:rsidR="001A62EA">
        <w:rPr>
          <w:rFonts w:cs="Times New Roman"/>
          <w:szCs w:val="24"/>
          <w:highlight w:val="yellow"/>
          <w:lang w:val="en-GB"/>
        </w:rPr>
        <w:t xml:space="preserve">Unilever </w:t>
      </w:r>
      <w:r w:rsidR="008E2B82" w:rsidRPr="001A62EA">
        <w:rPr>
          <w:rFonts w:cs="Times New Roman"/>
          <w:szCs w:val="24"/>
          <w:highlight w:val="yellow"/>
          <w:lang w:val="en-GB"/>
        </w:rPr>
        <w:t xml:space="preserve">in the consumer industry, and the company have to come with a solution to tackle this situation of financial crisis due to epidemic situation as </w:t>
      </w:r>
      <w:r w:rsidR="001A62EA" w:rsidRPr="001A62EA">
        <w:rPr>
          <w:rFonts w:cs="Times New Roman"/>
          <w:szCs w:val="24"/>
          <w:highlight w:val="yellow"/>
          <w:lang w:val="en-GB"/>
        </w:rPr>
        <w:t>soon</w:t>
      </w:r>
      <w:r w:rsidR="008E2B82" w:rsidRPr="001A62EA">
        <w:rPr>
          <w:rFonts w:cs="Times New Roman"/>
          <w:szCs w:val="24"/>
          <w:highlight w:val="yellow"/>
          <w:lang w:val="en-GB"/>
        </w:rPr>
        <w:t xml:space="preserve"> as possible. On other hands </w:t>
      </w:r>
      <w:r w:rsidR="001A62EA">
        <w:rPr>
          <w:rFonts w:cs="Times New Roman"/>
          <w:szCs w:val="24"/>
          <w:highlight w:val="yellow"/>
          <w:lang w:val="en-GB"/>
        </w:rPr>
        <w:t xml:space="preserve">Unilever </w:t>
      </w:r>
      <w:r w:rsidR="008E2B82" w:rsidRPr="001A62EA">
        <w:rPr>
          <w:rFonts w:cs="Times New Roman"/>
          <w:szCs w:val="24"/>
          <w:highlight w:val="yellow"/>
          <w:lang w:val="en-GB"/>
        </w:rPr>
        <w:t xml:space="preserve">must help its employees in this difficult situation. The need of </w:t>
      </w:r>
      <w:r w:rsidR="001A62EA" w:rsidRPr="001A62EA">
        <w:rPr>
          <w:rFonts w:cs="Times New Roman"/>
          <w:szCs w:val="24"/>
          <w:highlight w:val="yellow"/>
          <w:lang w:val="en-GB"/>
        </w:rPr>
        <w:t>a</w:t>
      </w:r>
      <w:r w:rsidR="008E2B82" w:rsidRPr="001A62EA">
        <w:rPr>
          <w:rFonts w:cs="Times New Roman"/>
          <w:szCs w:val="24"/>
          <w:highlight w:val="yellow"/>
          <w:lang w:val="en-GB"/>
        </w:rPr>
        <w:t xml:space="preserve"> quick fix strategy to maintain the company revenue and image of the company in the global market is necessary, which directly leads to the positive and negative image in the global consumer industry.</w:t>
      </w:r>
      <w:r w:rsidRPr="001A62EA">
        <w:rPr>
          <w:rFonts w:cs="Times New Roman"/>
          <w:szCs w:val="24"/>
          <w:highlight w:val="yellow"/>
          <w:lang w:val="en-GB"/>
        </w:rPr>
        <w:t xml:space="preserve"> </w:t>
      </w:r>
      <w:r w:rsidR="00404F6F" w:rsidRPr="001A62EA">
        <w:rPr>
          <w:rFonts w:cs="Times New Roman"/>
          <w:szCs w:val="24"/>
          <w:highlight w:val="yellow"/>
          <w:lang w:val="en-GB"/>
        </w:rPr>
        <w:t>However,</w:t>
      </w:r>
      <w:r w:rsidRPr="001A62EA">
        <w:rPr>
          <w:rFonts w:cs="Times New Roman"/>
          <w:szCs w:val="24"/>
          <w:highlight w:val="yellow"/>
          <w:lang w:val="en-GB"/>
        </w:rPr>
        <w:t xml:space="preserve"> the company's qualities, there are some outer risks offered using market advancements, customer mentalities and the sports of its key competitors. The agency initiative has to display screen these views if Unilever is to satisfy its purpose to turn into the biggest consumables international company in the world.</w:t>
      </w:r>
    </w:p>
    <w:p w14:paraId="74939978" w14:textId="77777777" w:rsidR="00787A12" w:rsidRPr="001A62EA" w:rsidRDefault="00787A12" w:rsidP="00930D75">
      <w:pPr>
        <w:spacing w:after="0"/>
        <w:rPr>
          <w:rFonts w:cs="Times New Roman"/>
          <w:szCs w:val="24"/>
          <w:lang w:val="en-GB"/>
        </w:rPr>
      </w:pPr>
    </w:p>
    <w:p w14:paraId="5D73906C" w14:textId="77777777" w:rsidR="00787A12" w:rsidRPr="001A62EA" w:rsidRDefault="00787A12" w:rsidP="00930D75">
      <w:pPr>
        <w:spacing w:after="0"/>
        <w:rPr>
          <w:rFonts w:cs="Times New Roman"/>
          <w:szCs w:val="24"/>
          <w:lang w:val="en-GB"/>
        </w:rPr>
      </w:pPr>
    </w:p>
    <w:p w14:paraId="35785494" w14:textId="77777777" w:rsidR="00417F3E" w:rsidRPr="001A62EA" w:rsidRDefault="005B4C59" w:rsidP="00930D75">
      <w:pPr>
        <w:spacing w:after="0"/>
        <w:rPr>
          <w:rFonts w:eastAsia="Times New Roman" w:cs="Times New Roman"/>
          <w:b/>
          <w:szCs w:val="24"/>
          <w:lang w:val="en-GB"/>
        </w:rPr>
      </w:pPr>
      <w:r w:rsidRPr="001A62EA">
        <w:rPr>
          <w:rFonts w:eastAsia="Times New Roman" w:cs="Times New Roman"/>
          <w:b/>
          <w:szCs w:val="24"/>
          <w:lang w:val="en-GB"/>
        </w:rPr>
        <w:br w:type="page"/>
      </w:r>
    </w:p>
    <w:p w14:paraId="64518755" w14:textId="77777777" w:rsidR="00E81ED8" w:rsidRPr="001A62EA" w:rsidRDefault="005B4C59" w:rsidP="00930D75">
      <w:pPr>
        <w:shd w:val="clear" w:color="auto" w:fill="FFFFFF"/>
        <w:spacing w:after="0"/>
        <w:ind w:left="720" w:hanging="720"/>
        <w:jc w:val="center"/>
        <w:rPr>
          <w:rFonts w:eastAsia="Times New Roman" w:cs="Times New Roman"/>
          <w:b/>
          <w:szCs w:val="24"/>
          <w:lang w:val="en-GB"/>
        </w:rPr>
      </w:pPr>
      <w:r w:rsidRPr="001A62EA">
        <w:rPr>
          <w:rFonts w:eastAsia="Times New Roman" w:cs="Times New Roman"/>
          <w:b/>
          <w:szCs w:val="24"/>
          <w:lang w:val="en-GB"/>
        </w:rPr>
        <w:lastRenderedPageBreak/>
        <w:t>Reference</w:t>
      </w:r>
      <w:r w:rsidR="00C44FBB" w:rsidRPr="001A62EA">
        <w:rPr>
          <w:rFonts w:eastAsia="Times New Roman" w:cs="Times New Roman"/>
          <w:b/>
          <w:szCs w:val="24"/>
          <w:lang w:val="en-GB"/>
        </w:rPr>
        <w:t>s</w:t>
      </w:r>
    </w:p>
    <w:p w14:paraId="26C1B25B"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eastAsia="Times New Roman" w:cs="Times New Roman"/>
          <w:szCs w:val="24"/>
          <w:lang w:val="en-GB"/>
        </w:rPr>
        <w:fldChar w:fldCharType="begin" w:fldLock="1"/>
      </w:r>
      <w:r w:rsidRPr="001A62EA">
        <w:rPr>
          <w:rFonts w:eastAsia="Times New Roman" w:cs="Times New Roman"/>
          <w:szCs w:val="24"/>
          <w:lang w:val="en-GB"/>
        </w:rPr>
        <w:instrText xml:space="preserve">ADDIN Mendeley Bibliography CSL_BIBLIOGRAPHY </w:instrText>
      </w:r>
      <w:r w:rsidRPr="001A62EA">
        <w:rPr>
          <w:rFonts w:eastAsia="Times New Roman" w:cs="Times New Roman"/>
          <w:szCs w:val="24"/>
          <w:lang w:val="en-GB"/>
        </w:rPr>
        <w:fldChar w:fldCharType="separate"/>
      </w:r>
      <w:r w:rsidRPr="001A62EA">
        <w:rPr>
          <w:rFonts w:cs="Times New Roman"/>
          <w:szCs w:val="24"/>
          <w:lang w:val="en-GB"/>
        </w:rPr>
        <w:t xml:space="preserve">Alinvia Ayu Sagita, H. S. and W.S, M. C. (2018) ‘Pengaruh Budaya Organisasi Terhadap Kinerja Karyawan Melalui Motivasi Kerja Sebagai Variabel Intervening’, </w:t>
      </w:r>
      <w:r w:rsidRPr="001A62EA">
        <w:rPr>
          <w:rFonts w:cs="Times New Roman"/>
          <w:i/>
          <w:iCs/>
          <w:szCs w:val="24"/>
          <w:lang w:val="en-GB"/>
        </w:rPr>
        <w:t>Jurnal Administrasi Bisnis (JAB)</w:t>
      </w:r>
      <w:r w:rsidRPr="001A62EA">
        <w:rPr>
          <w:rFonts w:cs="Times New Roman"/>
          <w:szCs w:val="24"/>
          <w:lang w:val="en-GB"/>
        </w:rPr>
        <w:t>.</w:t>
      </w:r>
    </w:p>
    <w:p w14:paraId="6FE404CD"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Ashikali, T. and Groeneveld, S. (2015) ‘Diversity Management in Public Organizations and Its Effect on Employees’ Affective Commitment: The Role of Transformational Leadership and the Inclusiveness of the Organizational Culture’, </w:t>
      </w:r>
      <w:r w:rsidRPr="001A62EA">
        <w:rPr>
          <w:rFonts w:cs="Times New Roman"/>
          <w:i/>
          <w:iCs/>
          <w:szCs w:val="24"/>
          <w:lang w:val="en-GB"/>
        </w:rPr>
        <w:t>Review of Public Personnel Administration</w:t>
      </w:r>
      <w:r w:rsidRPr="001A62EA">
        <w:rPr>
          <w:rFonts w:cs="Times New Roman"/>
          <w:szCs w:val="24"/>
          <w:lang w:val="en-GB"/>
        </w:rPr>
        <w:t>. doi: 10.1177/0734371X13511088.</w:t>
      </w:r>
    </w:p>
    <w:p w14:paraId="19993213"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Barsade, S. G. and Knight, A. P. (2015) ‘Group Affect’, </w:t>
      </w:r>
      <w:r w:rsidRPr="001A62EA">
        <w:rPr>
          <w:rFonts w:cs="Times New Roman"/>
          <w:i/>
          <w:iCs/>
          <w:szCs w:val="24"/>
          <w:lang w:val="en-GB"/>
        </w:rPr>
        <w:t>Annual Review of Organizational Psychology and Organizational Behavior</w:t>
      </w:r>
      <w:r w:rsidRPr="001A62EA">
        <w:rPr>
          <w:rFonts w:cs="Times New Roman"/>
          <w:szCs w:val="24"/>
          <w:lang w:val="en-GB"/>
        </w:rPr>
        <w:t>. doi: 10.1146/annurev-orgpsych-032414-111316.</w:t>
      </w:r>
    </w:p>
    <w:p w14:paraId="2522B149"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Brewster, L., Tarrant, C. and Dixon-Woods, M. (2016) ‘Qualitative study of views and experiences of performance management for healthcare-associated infections’, </w:t>
      </w:r>
      <w:r w:rsidRPr="001A62EA">
        <w:rPr>
          <w:rFonts w:cs="Times New Roman"/>
          <w:i/>
          <w:iCs/>
          <w:szCs w:val="24"/>
          <w:lang w:val="en-GB"/>
        </w:rPr>
        <w:t>Journal of Hospital Infection</w:t>
      </w:r>
      <w:r w:rsidRPr="001A62EA">
        <w:rPr>
          <w:rFonts w:cs="Times New Roman"/>
          <w:szCs w:val="24"/>
          <w:lang w:val="en-GB"/>
        </w:rPr>
        <w:t>. doi: 10.1016/j.jhin.2016.01.021.</w:t>
      </w:r>
    </w:p>
    <w:p w14:paraId="3EF801B4"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Chang, C. H. (2015) ‘Proactive and reactive corporate social responsibility: Antecedent and consequence’, </w:t>
      </w:r>
      <w:r w:rsidRPr="001A62EA">
        <w:rPr>
          <w:rFonts w:cs="Times New Roman"/>
          <w:i/>
          <w:iCs/>
          <w:szCs w:val="24"/>
          <w:lang w:val="en-GB"/>
        </w:rPr>
        <w:t>Management Decision</w:t>
      </w:r>
      <w:r w:rsidRPr="001A62EA">
        <w:rPr>
          <w:rFonts w:cs="Times New Roman"/>
          <w:szCs w:val="24"/>
          <w:lang w:val="en-GB"/>
        </w:rPr>
        <w:t>. doi: 10.1108/MD-02-2014-0060.</w:t>
      </w:r>
    </w:p>
    <w:p w14:paraId="4B663B78"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Crosby, A., Lorber-Kasunic, J. and Vanni Accarigi, I. (2014) ‘Value the Edge: Permaculture as Counterculture in Australia’, </w:t>
      </w:r>
      <w:r w:rsidRPr="001A62EA">
        <w:rPr>
          <w:rFonts w:cs="Times New Roman"/>
          <w:i/>
          <w:iCs/>
          <w:szCs w:val="24"/>
          <w:lang w:val="en-GB"/>
        </w:rPr>
        <w:t>M/C Journal</w:t>
      </w:r>
      <w:r w:rsidRPr="001A62EA">
        <w:rPr>
          <w:rFonts w:cs="Times New Roman"/>
          <w:szCs w:val="24"/>
          <w:lang w:val="en-GB"/>
        </w:rPr>
        <w:t>. doi: 10.5204/mcj.915.</w:t>
      </w:r>
    </w:p>
    <w:p w14:paraId="2C0445B5"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Dubey, R. </w:t>
      </w:r>
      <w:r w:rsidRPr="001A62EA">
        <w:rPr>
          <w:rFonts w:cs="Times New Roman"/>
          <w:i/>
          <w:iCs/>
          <w:szCs w:val="24"/>
          <w:lang w:val="en-GB"/>
        </w:rPr>
        <w:t>et al.</w:t>
      </w:r>
      <w:r w:rsidRPr="001A62EA">
        <w:rPr>
          <w:rFonts w:cs="Times New Roman"/>
          <w:szCs w:val="24"/>
          <w:lang w:val="en-GB"/>
        </w:rPr>
        <w:t xml:space="preserve"> (2017) ‘Examining the effect of external pressures and organizational culture on shaping performance measurement systems (PMS) for sustainability benchmarking: Some empirical findings’, </w:t>
      </w:r>
      <w:r w:rsidRPr="001A62EA">
        <w:rPr>
          <w:rFonts w:cs="Times New Roman"/>
          <w:i/>
          <w:iCs/>
          <w:szCs w:val="24"/>
          <w:lang w:val="en-GB"/>
        </w:rPr>
        <w:t>International Journal of Production Economics</w:t>
      </w:r>
      <w:r w:rsidRPr="001A62EA">
        <w:rPr>
          <w:rFonts w:cs="Times New Roman"/>
          <w:szCs w:val="24"/>
          <w:lang w:val="en-GB"/>
        </w:rPr>
        <w:t>. doi: 10.1016/j.ijpe.2017.06.029.</w:t>
      </w:r>
    </w:p>
    <w:p w14:paraId="3AF305CC"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Gambi, L. D. N. </w:t>
      </w:r>
      <w:r w:rsidRPr="001A62EA">
        <w:rPr>
          <w:rFonts w:cs="Times New Roman"/>
          <w:i/>
          <w:iCs/>
          <w:szCs w:val="24"/>
          <w:lang w:val="en-GB"/>
        </w:rPr>
        <w:t>et al.</w:t>
      </w:r>
      <w:r w:rsidRPr="001A62EA">
        <w:rPr>
          <w:rFonts w:cs="Times New Roman"/>
          <w:szCs w:val="24"/>
          <w:lang w:val="en-GB"/>
        </w:rPr>
        <w:t xml:space="preserve"> (2015) ‘The relationship between organizational culture and quality </w:t>
      </w:r>
      <w:r w:rsidRPr="001A62EA">
        <w:rPr>
          <w:rFonts w:cs="Times New Roman"/>
          <w:szCs w:val="24"/>
          <w:lang w:val="en-GB"/>
        </w:rPr>
        <w:lastRenderedPageBreak/>
        <w:t xml:space="preserve">techniques, and its impact on operational performance’, </w:t>
      </w:r>
      <w:r w:rsidRPr="001A62EA">
        <w:rPr>
          <w:rFonts w:cs="Times New Roman"/>
          <w:i/>
          <w:iCs/>
          <w:szCs w:val="24"/>
          <w:lang w:val="en-GB"/>
        </w:rPr>
        <w:t>International Journal of Operations and Production Management</w:t>
      </w:r>
      <w:r w:rsidRPr="001A62EA">
        <w:rPr>
          <w:rFonts w:cs="Times New Roman"/>
          <w:szCs w:val="24"/>
          <w:lang w:val="en-GB"/>
        </w:rPr>
        <w:t>. doi: 10.1108/IJOPM-12-2013-0563.</w:t>
      </w:r>
    </w:p>
    <w:p w14:paraId="1832432C"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Kanfer, R., Frese, M. and Johnson, R. E. (2017) ‘Motivation Related to Work: A Century of Progress Toward a Meta-Framework: Conceptualizing the Phenomena and Rendering the Construct Space CONTENT-BASED APPROACHES C ONTEXT-BASED APPROACHES’, </w:t>
      </w:r>
      <w:r w:rsidRPr="001A62EA">
        <w:rPr>
          <w:rFonts w:cs="Times New Roman"/>
          <w:i/>
          <w:iCs/>
          <w:szCs w:val="24"/>
          <w:lang w:val="en-GB"/>
        </w:rPr>
        <w:t>Journal of Applied Psychology</w:t>
      </w:r>
      <w:r w:rsidRPr="001A62EA">
        <w:rPr>
          <w:rFonts w:cs="Times New Roman"/>
          <w:szCs w:val="24"/>
          <w:lang w:val="en-GB"/>
        </w:rPr>
        <w:t>.</w:t>
      </w:r>
    </w:p>
    <w:p w14:paraId="5B479D37"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Newman, S. A. and Ford, R. C. (2020) ‘Five Steps to Leading Your Team in the Virtual COVID-19 Workplace’, </w:t>
      </w:r>
      <w:r w:rsidRPr="001A62EA">
        <w:rPr>
          <w:rFonts w:cs="Times New Roman"/>
          <w:i/>
          <w:iCs/>
          <w:szCs w:val="24"/>
          <w:lang w:val="en-GB"/>
        </w:rPr>
        <w:t>Organizational Dynamics</w:t>
      </w:r>
      <w:r w:rsidRPr="001A62EA">
        <w:rPr>
          <w:rFonts w:cs="Times New Roman"/>
          <w:szCs w:val="24"/>
          <w:lang w:val="en-GB"/>
        </w:rPr>
        <w:t>. doi: 10.1016/j.orgdyn.2020.100802.</w:t>
      </w:r>
    </w:p>
    <w:p w14:paraId="65672397"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Ojakaa, D. </w:t>
      </w:r>
      <w:r w:rsidRPr="001A62EA">
        <w:rPr>
          <w:rFonts w:cs="Times New Roman"/>
          <w:i/>
          <w:iCs/>
          <w:szCs w:val="24"/>
          <w:lang w:val="en-GB"/>
        </w:rPr>
        <w:t>et al.</w:t>
      </w:r>
      <w:r w:rsidRPr="001A62EA">
        <w:rPr>
          <w:rFonts w:cs="Times New Roman"/>
          <w:szCs w:val="24"/>
          <w:lang w:val="en-GB"/>
        </w:rPr>
        <w:t xml:space="preserve"> (2014) ‘CSOs HSS support proposal’, </w:t>
      </w:r>
      <w:r w:rsidRPr="001A62EA">
        <w:rPr>
          <w:rFonts w:cs="Times New Roman"/>
          <w:i/>
          <w:iCs/>
          <w:szCs w:val="24"/>
          <w:lang w:val="en-GB"/>
        </w:rPr>
        <w:t>World Health Organization</w:t>
      </w:r>
      <w:r w:rsidRPr="001A62EA">
        <w:rPr>
          <w:rFonts w:cs="Times New Roman"/>
          <w:szCs w:val="24"/>
          <w:lang w:val="en-GB"/>
        </w:rPr>
        <w:t>.</w:t>
      </w:r>
    </w:p>
    <w:p w14:paraId="40CD452D"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Sagita, A. A., Susilo, H. and Cahyo, M. (2018) </w:t>
      </w:r>
      <w:r w:rsidRPr="001A62EA">
        <w:rPr>
          <w:rFonts w:cs="Times New Roman"/>
          <w:i/>
          <w:iCs/>
          <w:szCs w:val="24"/>
          <w:lang w:val="en-GB"/>
        </w:rPr>
        <w:t>PENGARUH BUDAYA ORGANISASI TERHADAP KINERJA KARYAWAN DENGAN MOTIVASI KERJA SEBAGAI VARIABEL MEDIATOR (Studi Pada PT Astra Internasional, Tbk-Toyota (Auto2000) Cabang Sutoyo Malang)</w:t>
      </w:r>
      <w:r w:rsidRPr="001A62EA">
        <w:rPr>
          <w:rFonts w:cs="Times New Roman"/>
          <w:szCs w:val="24"/>
          <w:lang w:val="en-GB"/>
        </w:rPr>
        <w:t xml:space="preserve">, </w:t>
      </w:r>
      <w:r w:rsidRPr="001A62EA">
        <w:rPr>
          <w:rFonts w:cs="Times New Roman"/>
          <w:i/>
          <w:iCs/>
          <w:szCs w:val="24"/>
          <w:lang w:val="en-GB"/>
        </w:rPr>
        <w:t>Jurnal Administrasi Bisnis (JAB)|Vol</w:t>
      </w:r>
      <w:r w:rsidRPr="001A62EA">
        <w:rPr>
          <w:rFonts w:cs="Times New Roman"/>
          <w:szCs w:val="24"/>
          <w:lang w:val="en-GB"/>
        </w:rPr>
        <w:t>.</w:t>
      </w:r>
    </w:p>
    <w:p w14:paraId="1DE3A9B7"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Sihombing, S. </w:t>
      </w:r>
      <w:r w:rsidRPr="001A62EA">
        <w:rPr>
          <w:rFonts w:cs="Times New Roman"/>
          <w:i/>
          <w:iCs/>
          <w:szCs w:val="24"/>
          <w:lang w:val="en-GB"/>
        </w:rPr>
        <w:t>et al.</w:t>
      </w:r>
      <w:r w:rsidRPr="001A62EA">
        <w:rPr>
          <w:rFonts w:cs="Times New Roman"/>
          <w:szCs w:val="24"/>
          <w:lang w:val="en-GB"/>
        </w:rPr>
        <w:t xml:space="preserve"> (2018) ‘The effect of servant leadership on rewards, organizational culture and its implication for employee’s performance’, </w:t>
      </w:r>
      <w:r w:rsidRPr="001A62EA">
        <w:rPr>
          <w:rFonts w:cs="Times New Roman"/>
          <w:i/>
          <w:iCs/>
          <w:szCs w:val="24"/>
          <w:lang w:val="en-GB"/>
        </w:rPr>
        <w:t>International Journal of Law and Management</w:t>
      </w:r>
      <w:r w:rsidRPr="001A62EA">
        <w:rPr>
          <w:rFonts w:cs="Times New Roman"/>
          <w:szCs w:val="24"/>
          <w:lang w:val="en-GB"/>
        </w:rPr>
        <w:t>. doi: 10.1108/IJLMA-12-2016-0174.</w:t>
      </w:r>
    </w:p>
    <w:p w14:paraId="41F28734"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Warr, P. and Nielsen, K. (2018) ‘Wellbeing and work performance’, </w:t>
      </w:r>
      <w:r w:rsidRPr="001A62EA">
        <w:rPr>
          <w:rFonts w:cs="Times New Roman"/>
          <w:i/>
          <w:iCs/>
          <w:szCs w:val="24"/>
          <w:lang w:val="en-GB"/>
        </w:rPr>
        <w:t>Handbook of well-being</w:t>
      </w:r>
      <w:r w:rsidRPr="001A62EA">
        <w:rPr>
          <w:rFonts w:cs="Times New Roman"/>
          <w:szCs w:val="24"/>
          <w:lang w:val="en-GB"/>
        </w:rPr>
        <w:t>.</w:t>
      </w:r>
    </w:p>
    <w:p w14:paraId="1039B8CD"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Young, S. M. </w:t>
      </w:r>
      <w:r w:rsidRPr="001A62EA">
        <w:rPr>
          <w:rFonts w:cs="Times New Roman"/>
          <w:i/>
          <w:iCs/>
          <w:szCs w:val="24"/>
          <w:lang w:val="en-GB"/>
        </w:rPr>
        <w:t>et al.</w:t>
      </w:r>
      <w:r w:rsidRPr="001A62EA">
        <w:rPr>
          <w:rFonts w:cs="Times New Roman"/>
          <w:szCs w:val="24"/>
          <w:lang w:val="en-GB"/>
        </w:rPr>
        <w:t xml:space="preserve"> (2016) ‘It’s all about all of us: The rise of narcissism and its implications for management control system research’, </w:t>
      </w:r>
      <w:r w:rsidRPr="001A62EA">
        <w:rPr>
          <w:rFonts w:cs="Times New Roman"/>
          <w:i/>
          <w:iCs/>
          <w:szCs w:val="24"/>
          <w:lang w:val="en-GB"/>
        </w:rPr>
        <w:t>Journal of Management Accounting Research</w:t>
      </w:r>
      <w:r w:rsidRPr="001A62EA">
        <w:rPr>
          <w:rFonts w:cs="Times New Roman"/>
          <w:szCs w:val="24"/>
          <w:lang w:val="en-GB"/>
        </w:rPr>
        <w:t>. doi: 10.2308/jmar-51024.</w:t>
      </w:r>
    </w:p>
    <w:p w14:paraId="11733AF6" w14:textId="77777777" w:rsidR="00466FEB" w:rsidRPr="001A62EA" w:rsidRDefault="00466FEB" w:rsidP="00930D75">
      <w:pPr>
        <w:widowControl w:val="0"/>
        <w:autoSpaceDE w:val="0"/>
        <w:autoSpaceDN w:val="0"/>
        <w:adjustRightInd w:val="0"/>
        <w:spacing w:after="0"/>
        <w:ind w:left="720" w:hanging="720"/>
        <w:rPr>
          <w:rFonts w:cs="Times New Roman"/>
          <w:szCs w:val="24"/>
          <w:lang w:val="en-GB"/>
        </w:rPr>
      </w:pPr>
      <w:r w:rsidRPr="001A62EA">
        <w:rPr>
          <w:rFonts w:cs="Times New Roman"/>
          <w:szCs w:val="24"/>
          <w:lang w:val="en-GB"/>
        </w:rPr>
        <w:t xml:space="preserve">Zaefarian, G. </w:t>
      </w:r>
      <w:r w:rsidRPr="001A62EA">
        <w:rPr>
          <w:rFonts w:cs="Times New Roman"/>
          <w:i/>
          <w:iCs/>
          <w:szCs w:val="24"/>
          <w:lang w:val="en-GB"/>
        </w:rPr>
        <w:t>et al.</w:t>
      </w:r>
      <w:r w:rsidRPr="001A62EA">
        <w:rPr>
          <w:rFonts w:cs="Times New Roman"/>
          <w:szCs w:val="24"/>
          <w:lang w:val="en-GB"/>
        </w:rPr>
        <w:t xml:space="preserve"> (2017) ‘A Capability Perspective on Relationship Ending and Its Impact on Product Innovation Success and Firm Performance’, </w:t>
      </w:r>
      <w:r w:rsidRPr="001A62EA">
        <w:rPr>
          <w:rFonts w:cs="Times New Roman"/>
          <w:i/>
          <w:iCs/>
          <w:szCs w:val="24"/>
          <w:lang w:val="en-GB"/>
        </w:rPr>
        <w:t>Long Range Planning</w:t>
      </w:r>
      <w:r w:rsidRPr="001A62EA">
        <w:rPr>
          <w:rFonts w:cs="Times New Roman"/>
          <w:szCs w:val="24"/>
          <w:lang w:val="en-GB"/>
        </w:rPr>
        <w:t>. doi: 10.1016/j.lrp.2015.12.023.</w:t>
      </w:r>
    </w:p>
    <w:p w14:paraId="0CA9A279" w14:textId="77777777" w:rsidR="00E81ED8" w:rsidRPr="001A62EA" w:rsidRDefault="00466FEB"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lastRenderedPageBreak/>
        <w:fldChar w:fldCharType="end"/>
      </w:r>
      <w:r w:rsidR="005B4C59" w:rsidRPr="001A62EA">
        <w:rPr>
          <w:rFonts w:eastAsia="Times New Roman" w:cs="Times New Roman"/>
          <w:szCs w:val="24"/>
          <w:lang w:val="en-GB"/>
        </w:rPr>
        <w:t>Academy, E. (2019). </w:t>
      </w:r>
      <w:r w:rsidR="005B4C59" w:rsidRPr="001A62EA">
        <w:rPr>
          <w:rFonts w:eastAsia="Times New Roman" w:cs="Times New Roman"/>
          <w:i/>
          <w:iCs/>
          <w:szCs w:val="24"/>
          <w:lang w:val="en-GB"/>
        </w:rPr>
        <w:t>SWOT ANALYSIS OF UNILEVER.</w:t>
      </w:r>
      <w:r w:rsidR="005B4C59" w:rsidRPr="001A62EA">
        <w:rPr>
          <w:rFonts w:eastAsia="Times New Roman" w:cs="Times New Roman"/>
          <w:szCs w:val="24"/>
          <w:lang w:val="en-GB"/>
        </w:rPr>
        <w:t> [online] Medium. Available at: https://medium.com/edubridge-academy/swot-analysis-of-unilever-b68ca9a0b4b.</w:t>
      </w:r>
    </w:p>
    <w:p w14:paraId="62CAAAC9"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Bob (2012). </w:t>
      </w:r>
      <w:r w:rsidRPr="001A62EA">
        <w:rPr>
          <w:rFonts w:eastAsia="Times New Roman" w:cs="Times New Roman"/>
          <w:i/>
          <w:iCs/>
          <w:szCs w:val="24"/>
          <w:lang w:val="en-GB"/>
        </w:rPr>
        <w:t>Unilever: An Ethical Company?</w:t>
      </w:r>
      <w:r w:rsidRPr="001A62EA">
        <w:rPr>
          <w:rFonts w:eastAsia="Times New Roman" w:cs="Times New Roman"/>
          <w:szCs w:val="24"/>
          <w:lang w:val="en-GB"/>
        </w:rPr>
        <w:t> [online] Business, Government and Society fiVe. Available at: https://bizgovsocfive.wordpress.com/2012/11/23/unilever-an-ethical-company/ [Accessed 27 Dec. 2020].</w:t>
      </w:r>
    </w:p>
    <w:p w14:paraId="1406CF04"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Boogaard, K. (2020). </w:t>
      </w:r>
      <w:r w:rsidRPr="001A62EA">
        <w:rPr>
          <w:rFonts w:eastAsia="Times New Roman" w:cs="Times New Roman"/>
          <w:i/>
          <w:iCs/>
          <w:szCs w:val="24"/>
          <w:lang w:val="en-GB"/>
        </w:rPr>
        <w:t>The 4 types of corporate culture, explained</w:t>
      </w:r>
      <w:r w:rsidRPr="001A62EA">
        <w:rPr>
          <w:rFonts w:eastAsia="Times New Roman" w:cs="Times New Roman"/>
          <w:szCs w:val="24"/>
          <w:lang w:val="en-GB"/>
        </w:rPr>
        <w:t>. [online] Work-Life by Atlassian. Available at: https://www.atlassian.com/blog/teamwork/types-of-corporate-culture.</w:t>
      </w:r>
    </w:p>
    <w:p w14:paraId="644098CE"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Code of Business Principles and Code Policies Code of Business Principles and Code Policies. (n.d.). [online] Available at: https://www.unilever.com/Images/code-of-business-principles-and-code-policies_tcm244-409220_en.pdf.</w:t>
      </w:r>
    </w:p>
    <w:p w14:paraId="1D32F433"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Donaldson, C. (2014). </w:t>
      </w:r>
      <w:r w:rsidRPr="001A62EA">
        <w:rPr>
          <w:rFonts w:eastAsia="Times New Roman" w:cs="Times New Roman"/>
          <w:i/>
          <w:iCs/>
          <w:szCs w:val="24"/>
          <w:lang w:val="en-GB"/>
        </w:rPr>
        <w:t>Unilever’s keys to leadership success</w:t>
      </w:r>
      <w:r w:rsidRPr="001A62EA">
        <w:rPr>
          <w:rFonts w:eastAsia="Times New Roman" w:cs="Times New Roman"/>
          <w:szCs w:val="24"/>
          <w:lang w:val="en-GB"/>
        </w:rPr>
        <w:t>. [online] Inside HR. Available at: https://www.insidehr.com.au/unilevers-keys-to-leadership-success/.</w:t>
      </w:r>
    </w:p>
    <w:p w14:paraId="46CF0871"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Ethical Consumer. (2018). </w:t>
      </w:r>
      <w:r w:rsidRPr="001A62EA">
        <w:rPr>
          <w:rFonts w:eastAsia="Times New Roman" w:cs="Times New Roman"/>
          <w:i/>
          <w:iCs/>
          <w:szCs w:val="24"/>
          <w:lang w:val="en-GB"/>
        </w:rPr>
        <w:t>Unilever | Ethical Consumer</w:t>
      </w:r>
      <w:r w:rsidRPr="001A62EA">
        <w:rPr>
          <w:rFonts w:eastAsia="Times New Roman" w:cs="Times New Roman"/>
          <w:szCs w:val="24"/>
          <w:lang w:val="en-GB"/>
        </w:rPr>
        <w:t>. [online] Available at: https://www.ethicalconsumer.org/company-profile/unilever.</w:t>
      </w:r>
    </w:p>
    <w:p w14:paraId="0F83AE92"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Gregory, L. (2015). </w:t>
      </w:r>
      <w:r w:rsidRPr="001A62EA">
        <w:rPr>
          <w:rFonts w:eastAsia="Times New Roman" w:cs="Times New Roman"/>
          <w:i/>
          <w:iCs/>
          <w:szCs w:val="24"/>
          <w:lang w:val="en-GB"/>
        </w:rPr>
        <w:t>Unilever’s Organizational Culture of Performance - Panmore Institute</w:t>
      </w:r>
      <w:r w:rsidRPr="001A62EA">
        <w:rPr>
          <w:rFonts w:eastAsia="Times New Roman" w:cs="Times New Roman"/>
          <w:szCs w:val="24"/>
          <w:lang w:val="en-GB"/>
        </w:rPr>
        <w:t>. [online] Panmore Institute. Available at: http://panmore.com/unilever-organizational-culture-of-performance.</w:t>
      </w:r>
    </w:p>
    <w:p w14:paraId="49CCD082"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Grensing-Pophal, L. (2018). </w:t>
      </w:r>
      <w:r w:rsidRPr="001A62EA">
        <w:rPr>
          <w:rFonts w:eastAsia="Times New Roman" w:cs="Times New Roman"/>
          <w:i/>
          <w:iCs/>
          <w:szCs w:val="24"/>
          <w:lang w:val="en-GB"/>
        </w:rPr>
        <w:t>4 Distinct Types of Corporate Culture—Which Is Yours? - HR Daily Advisor</w:t>
      </w:r>
      <w:r w:rsidRPr="001A62EA">
        <w:rPr>
          <w:rFonts w:eastAsia="Times New Roman" w:cs="Times New Roman"/>
          <w:szCs w:val="24"/>
          <w:lang w:val="en-GB"/>
        </w:rPr>
        <w:t>. [online] HR Daily Advisor. Available at: https://hrdailyadvisor.blr.com/2018/04/12/4-distinct-types-corporate-culture/.</w:t>
      </w:r>
    </w:p>
    <w:p w14:paraId="5167F147"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Kiesha Frue (2016). </w:t>
      </w:r>
      <w:r w:rsidRPr="001A62EA">
        <w:rPr>
          <w:rFonts w:eastAsia="Times New Roman" w:cs="Times New Roman"/>
          <w:i/>
          <w:iCs/>
          <w:szCs w:val="24"/>
          <w:lang w:val="en-GB"/>
        </w:rPr>
        <w:t>Understanding Pest Analysis with Definitions and Examples</w:t>
      </w:r>
      <w:r w:rsidRPr="001A62EA">
        <w:rPr>
          <w:rFonts w:eastAsia="Times New Roman" w:cs="Times New Roman"/>
          <w:szCs w:val="24"/>
          <w:lang w:val="en-GB"/>
        </w:rPr>
        <w:t>. [online] PESTLE Analysis. Available at: https://pestleanalysis.com/pest-analysis/.</w:t>
      </w:r>
    </w:p>
    <w:p w14:paraId="1BA019C5"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lastRenderedPageBreak/>
        <w:t>Kissinger, D. (2017). </w:t>
      </w:r>
      <w:r w:rsidRPr="001A62EA">
        <w:rPr>
          <w:rFonts w:eastAsia="Times New Roman" w:cs="Times New Roman"/>
          <w:i/>
          <w:iCs/>
          <w:szCs w:val="24"/>
          <w:lang w:val="en-GB"/>
        </w:rPr>
        <w:t>Unilever’s SWOT Analysis &amp; Recommendations - Panmore Institute</w:t>
      </w:r>
      <w:r w:rsidRPr="001A62EA">
        <w:rPr>
          <w:rFonts w:eastAsia="Times New Roman" w:cs="Times New Roman"/>
          <w:szCs w:val="24"/>
          <w:lang w:val="en-GB"/>
        </w:rPr>
        <w:t>. [online] Panmore Institute. Available at: http://panmore.com/unilever-swot-analysis-recommendations.</w:t>
      </w:r>
    </w:p>
    <w:p w14:paraId="68096066"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Rathbones. (2020). </w:t>
      </w:r>
      <w:r w:rsidRPr="001A62EA">
        <w:rPr>
          <w:rFonts w:eastAsia="Times New Roman" w:cs="Times New Roman"/>
          <w:i/>
          <w:iCs/>
          <w:szCs w:val="24"/>
          <w:lang w:val="en-GB"/>
        </w:rPr>
        <w:t>How sustainable business drives long-term value at Unilever</w:t>
      </w:r>
      <w:r w:rsidRPr="001A62EA">
        <w:rPr>
          <w:rFonts w:eastAsia="Times New Roman" w:cs="Times New Roman"/>
          <w:szCs w:val="24"/>
          <w:lang w:val="en-GB"/>
        </w:rPr>
        <w:t>. [online] Available at: https://www.rathbones.com/knowledge-and-insight/how-sustainable-business-drives-long-term-value-unilever [Accessed 27 Dec. 2020].</w:t>
      </w:r>
    </w:p>
    <w:p w14:paraId="4AC40DFC"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Smithson, N. (2017). </w:t>
      </w:r>
      <w:r w:rsidRPr="001A62EA">
        <w:rPr>
          <w:rFonts w:eastAsia="Times New Roman" w:cs="Times New Roman"/>
          <w:i/>
          <w:iCs/>
          <w:szCs w:val="24"/>
          <w:lang w:val="en-GB"/>
        </w:rPr>
        <w:t>Unilever’s PESTEL/PESTLE Analysis &amp; Recommendations - Panmore Institute</w:t>
      </w:r>
      <w:r w:rsidRPr="001A62EA">
        <w:rPr>
          <w:rFonts w:eastAsia="Times New Roman" w:cs="Times New Roman"/>
          <w:szCs w:val="24"/>
          <w:lang w:val="en-GB"/>
        </w:rPr>
        <w:t>. [online] Panmore Institute. Available at: http://panmore.com/unilever-pestel-pestle-analysis-recommendations.</w:t>
      </w:r>
    </w:p>
    <w:p w14:paraId="5E5949B9"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Szekley, F. (n.d.). </w:t>
      </w:r>
      <w:r w:rsidRPr="001A62EA">
        <w:rPr>
          <w:rFonts w:eastAsia="Times New Roman" w:cs="Times New Roman"/>
          <w:i/>
          <w:iCs/>
          <w:szCs w:val="24"/>
          <w:lang w:val="en-GB"/>
        </w:rPr>
        <w:t>4 ways to be more sustainable like Unilever</w:t>
      </w:r>
      <w:r w:rsidRPr="001A62EA">
        <w:rPr>
          <w:rFonts w:eastAsia="Times New Roman" w:cs="Times New Roman"/>
          <w:szCs w:val="24"/>
          <w:lang w:val="en-GB"/>
        </w:rPr>
        <w:t>. [online] IMD business school. Available at: https://www.imd.org/research-knowledge/articles/4-ways-to-be-more-sustainable-like-unilever/ [Accessed 23 Aug. 2020].</w:t>
      </w:r>
    </w:p>
    <w:p w14:paraId="226E1B7F"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Unilever global company website. (2018). </w:t>
      </w:r>
      <w:r w:rsidRPr="001A62EA">
        <w:rPr>
          <w:rFonts w:eastAsia="Times New Roman" w:cs="Times New Roman"/>
          <w:i/>
          <w:iCs/>
          <w:szCs w:val="24"/>
          <w:lang w:val="en-GB"/>
        </w:rPr>
        <w:t>Our values &amp; principles</w:t>
      </w:r>
      <w:r w:rsidRPr="001A62EA">
        <w:rPr>
          <w:rFonts w:eastAsia="Times New Roman" w:cs="Times New Roman"/>
          <w:szCs w:val="24"/>
          <w:lang w:val="en-GB"/>
        </w:rPr>
        <w:t>. [online] Available at: https://www.unilever.com/about/who-we-are/our-values-and-principles/.</w:t>
      </w:r>
    </w:p>
    <w:p w14:paraId="75219014"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Vitez, O. (n.d.). </w:t>
      </w:r>
      <w:r w:rsidRPr="001A62EA">
        <w:rPr>
          <w:rFonts w:eastAsia="Times New Roman" w:cs="Times New Roman"/>
          <w:i/>
          <w:iCs/>
          <w:szCs w:val="24"/>
          <w:lang w:val="en-GB"/>
        </w:rPr>
        <w:t>What are the Sources of an Organization’s Code of Ethics?</w:t>
      </w:r>
      <w:r w:rsidRPr="001A62EA">
        <w:rPr>
          <w:rFonts w:eastAsia="Times New Roman" w:cs="Times New Roman"/>
          <w:szCs w:val="24"/>
          <w:lang w:val="en-GB"/>
        </w:rPr>
        <w:t> [online] Small Business - Chron.com. Available at: https://smallbusiness.chron.com/sources-organizations-code-ethics-749.html [Accessed 27 Dec. 2020].</w:t>
      </w:r>
    </w:p>
    <w:p w14:paraId="23A15145"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Wagnor, M. (2020). </w:t>
      </w:r>
      <w:r w:rsidRPr="001A62EA">
        <w:rPr>
          <w:rFonts w:eastAsia="Times New Roman" w:cs="Times New Roman"/>
          <w:i/>
          <w:iCs/>
          <w:szCs w:val="24"/>
          <w:lang w:val="en-GB"/>
        </w:rPr>
        <w:t>What is Organizational Culture? Types of Culture Models</w:t>
      </w:r>
      <w:r w:rsidRPr="001A62EA">
        <w:rPr>
          <w:rFonts w:eastAsia="Times New Roman" w:cs="Times New Roman"/>
          <w:szCs w:val="24"/>
          <w:lang w:val="en-GB"/>
        </w:rPr>
        <w:t>. [online] WalkMe Blog. Available at: https://blog.walkme.com/what-is-organizational-culture/ [Accessed 27 Dec. 2020].</w:t>
      </w:r>
    </w:p>
    <w:p w14:paraId="7EB77D3C"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Webber, A. (2020). </w:t>
      </w:r>
      <w:r w:rsidRPr="001A62EA">
        <w:rPr>
          <w:rFonts w:eastAsia="Times New Roman" w:cs="Times New Roman"/>
          <w:i/>
          <w:iCs/>
          <w:szCs w:val="24"/>
          <w:lang w:val="en-GB"/>
        </w:rPr>
        <w:t>Why, for Unilever, wellbeing has to start with local culture change</w:t>
      </w:r>
      <w:r w:rsidRPr="001A62EA">
        <w:rPr>
          <w:rFonts w:eastAsia="Times New Roman" w:cs="Times New Roman"/>
          <w:szCs w:val="24"/>
          <w:lang w:val="en-GB"/>
        </w:rPr>
        <w:t>. [online] Personnel Today. Available at: https://www.personneltoday.com/hr/why-for-unilever-wellbeing-has-to-start-with-local-culture-change/ [Accessed 27 Dec. 2020].</w:t>
      </w:r>
    </w:p>
    <w:p w14:paraId="604C5756"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lastRenderedPageBreak/>
        <w:t>White, S.K. (2018). </w:t>
      </w:r>
      <w:r w:rsidRPr="001A62EA">
        <w:rPr>
          <w:rFonts w:eastAsia="Times New Roman" w:cs="Times New Roman"/>
          <w:i/>
          <w:iCs/>
          <w:szCs w:val="24"/>
          <w:lang w:val="en-GB"/>
        </w:rPr>
        <w:t>What is SWOT analysis? A strategic tool for achieving objectives</w:t>
      </w:r>
      <w:r w:rsidRPr="001A62EA">
        <w:rPr>
          <w:rFonts w:eastAsia="Times New Roman" w:cs="Times New Roman"/>
          <w:szCs w:val="24"/>
          <w:lang w:val="en-GB"/>
        </w:rPr>
        <w:t>. [online] CIO. Available at: https://www.cio.com/article/3328853/swot-analysis-defined.html.</w:t>
      </w:r>
    </w:p>
    <w:p w14:paraId="6BBF77D9" w14:textId="77777777" w:rsidR="00E81ED8" w:rsidRPr="001A62EA" w:rsidRDefault="005B4C59" w:rsidP="00930D75">
      <w:pPr>
        <w:shd w:val="clear" w:color="auto" w:fill="FFFFFF"/>
        <w:spacing w:after="0"/>
        <w:ind w:left="720" w:hanging="720"/>
        <w:rPr>
          <w:rFonts w:eastAsia="Times New Roman" w:cs="Times New Roman"/>
          <w:szCs w:val="24"/>
          <w:lang w:val="en-GB"/>
        </w:rPr>
      </w:pPr>
      <w:r w:rsidRPr="001A62EA">
        <w:rPr>
          <w:rFonts w:eastAsia="Times New Roman" w:cs="Times New Roman"/>
          <w:szCs w:val="24"/>
          <w:lang w:val="en-GB"/>
        </w:rPr>
        <w:t>Wong, K. (2020). </w:t>
      </w:r>
      <w:r w:rsidRPr="001A62EA">
        <w:rPr>
          <w:rFonts w:eastAsia="Times New Roman" w:cs="Times New Roman"/>
          <w:i/>
          <w:iCs/>
          <w:szCs w:val="24"/>
          <w:lang w:val="en-GB"/>
        </w:rPr>
        <w:t>Organizational Culture: Definition, Importance, and Development</w:t>
      </w:r>
      <w:r w:rsidRPr="001A62EA">
        <w:rPr>
          <w:rFonts w:eastAsia="Times New Roman" w:cs="Times New Roman"/>
          <w:szCs w:val="24"/>
          <w:lang w:val="en-GB"/>
        </w:rPr>
        <w:t>. [online] Engage Blog. Available at: https://www.achievers.com/blog/organizational-culture-definition/</w:t>
      </w:r>
      <w:r w:rsidR="00362E1B" w:rsidRPr="001A62EA">
        <w:rPr>
          <w:rFonts w:eastAsia="Times New Roman" w:cs="Times New Roman"/>
          <w:szCs w:val="24"/>
          <w:lang w:val="en-GB"/>
        </w:rPr>
        <w:t>.</w:t>
      </w:r>
    </w:p>
    <w:sectPr w:rsidR="00E81ED8" w:rsidRPr="001A62EA" w:rsidSect="0054564C">
      <w:headerReference w:type="default" r:id="rId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2A11D4" w14:textId="77777777" w:rsidR="007439AC" w:rsidRDefault="007439AC">
      <w:pPr>
        <w:spacing w:after="0" w:line="240" w:lineRule="auto"/>
      </w:pPr>
      <w:r>
        <w:separator/>
      </w:r>
    </w:p>
  </w:endnote>
  <w:endnote w:type="continuationSeparator" w:id="0">
    <w:p w14:paraId="33AA1CDB" w14:textId="77777777" w:rsidR="007439AC" w:rsidRDefault="00743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C77D3" w14:textId="77777777" w:rsidR="007825DE" w:rsidRDefault="007825D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FADC7B" w14:textId="77777777" w:rsidR="007439AC" w:rsidRDefault="007439AC">
      <w:pPr>
        <w:spacing w:after="0" w:line="240" w:lineRule="auto"/>
      </w:pPr>
      <w:r>
        <w:separator/>
      </w:r>
    </w:p>
  </w:footnote>
  <w:footnote w:type="continuationSeparator" w:id="0">
    <w:p w14:paraId="0A6E2066" w14:textId="77777777" w:rsidR="007439AC" w:rsidRDefault="00743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8918D0" w14:textId="77777777" w:rsidR="007825DE" w:rsidRPr="0054564C" w:rsidRDefault="007825DE" w:rsidP="0054564C">
    <w:pPr>
      <w:pStyle w:val="Header"/>
      <w:jc w:val="right"/>
      <w:rPr>
        <w:rFonts w:cs="Times New Roman"/>
        <w:szCs w:val="24"/>
      </w:rPr>
    </w:pPr>
    <w:r w:rsidRPr="0054564C">
      <w:rPr>
        <w:rFonts w:cs="Times New Roman"/>
        <w:szCs w:val="24"/>
      </w:rPr>
      <w:t xml:space="preserve">COVID-19 </w:t>
    </w:r>
    <w:sdt>
      <w:sdtPr>
        <w:rPr>
          <w:rFonts w:cs="Times New Roman"/>
          <w:szCs w:val="24"/>
        </w:rPr>
        <w:id w:val="257569245"/>
        <w:docPartObj>
          <w:docPartGallery w:val="Page Numbers (Top of Page)"/>
          <w:docPartUnique/>
        </w:docPartObj>
      </w:sdtPr>
      <w:sdtEndPr>
        <w:rPr>
          <w:noProof/>
        </w:rPr>
      </w:sdtEndPr>
      <w:sdtContent>
        <w:r w:rsidRPr="0054564C">
          <w:rPr>
            <w:rFonts w:cs="Times New Roman"/>
            <w:szCs w:val="24"/>
          </w:rPr>
          <w:fldChar w:fldCharType="begin"/>
        </w:r>
        <w:r w:rsidRPr="0054564C">
          <w:rPr>
            <w:rFonts w:cs="Times New Roman"/>
            <w:szCs w:val="24"/>
          </w:rPr>
          <w:instrText xml:space="preserve"> PAGE   \* MERGEFORMAT </w:instrText>
        </w:r>
        <w:r w:rsidRPr="0054564C">
          <w:rPr>
            <w:rFonts w:cs="Times New Roman"/>
            <w:szCs w:val="24"/>
          </w:rPr>
          <w:fldChar w:fldCharType="separate"/>
        </w:r>
        <w:r>
          <w:rPr>
            <w:rFonts w:cs="Times New Roman"/>
            <w:noProof/>
            <w:szCs w:val="24"/>
          </w:rPr>
          <w:t>2</w:t>
        </w:r>
        <w:r w:rsidRPr="0054564C">
          <w:rPr>
            <w:rFonts w:cs="Times New Roman"/>
            <w:noProof/>
            <w:szCs w:val="24"/>
          </w:rPr>
          <w:fldChar w:fldCharType="end"/>
        </w:r>
      </w:sdtContent>
    </w:sdt>
  </w:p>
  <w:p w14:paraId="7589B11C" w14:textId="77777777" w:rsidR="007825DE" w:rsidRDefault="007825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B4966"/>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E7571E"/>
    <w:multiLevelType w:val="hybridMultilevel"/>
    <w:tmpl w:val="A11ADDD6"/>
    <w:lvl w:ilvl="0" w:tplc="5C42B9A6">
      <w:numFmt w:val="bullet"/>
      <w:lvlText w:val="•"/>
      <w:lvlJc w:val="left"/>
      <w:pPr>
        <w:ind w:left="1080" w:hanging="720"/>
      </w:pPr>
      <w:rPr>
        <w:rFonts w:ascii="Times New Roman" w:eastAsiaTheme="minorHAnsi" w:hAnsi="Times New Roman" w:cs="Times New Roman" w:hint="default"/>
      </w:rPr>
    </w:lvl>
    <w:lvl w:ilvl="1" w:tplc="95EE3C5A" w:tentative="1">
      <w:start w:val="1"/>
      <w:numFmt w:val="bullet"/>
      <w:lvlText w:val="o"/>
      <w:lvlJc w:val="left"/>
      <w:pPr>
        <w:ind w:left="1440" w:hanging="360"/>
      </w:pPr>
      <w:rPr>
        <w:rFonts w:ascii="Courier New" w:hAnsi="Courier New" w:cs="Courier New" w:hint="default"/>
      </w:rPr>
    </w:lvl>
    <w:lvl w:ilvl="2" w:tplc="93965D0C" w:tentative="1">
      <w:start w:val="1"/>
      <w:numFmt w:val="bullet"/>
      <w:lvlText w:val=""/>
      <w:lvlJc w:val="left"/>
      <w:pPr>
        <w:ind w:left="2160" w:hanging="360"/>
      </w:pPr>
      <w:rPr>
        <w:rFonts w:ascii="Wingdings" w:hAnsi="Wingdings" w:hint="default"/>
      </w:rPr>
    </w:lvl>
    <w:lvl w:ilvl="3" w:tplc="25BE752A" w:tentative="1">
      <w:start w:val="1"/>
      <w:numFmt w:val="bullet"/>
      <w:lvlText w:val=""/>
      <w:lvlJc w:val="left"/>
      <w:pPr>
        <w:ind w:left="2880" w:hanging="360"/>
      </w:pPr>
      <w:rPr>
        <w:rFonts w:ascii="Symbol" w:hAnsi="Symbol" w:hint="default"/>
      </w:rPr>
    </w:lvl>
    <w:lvl w:ilvl="4" w:tplc="436874A0" w:tentative="1">
      <w:start w:val="1"/>
      <w:numFmt w:val="bullet"/>
      <w:lvlText w:val="o"/>
      <w:lvlJc w:val="left"/>
      <w:pPr>
        <w:ind w:left="3600" w:hanging="360"/>
      </w:pPr>
      <w:rPr>
        <w:rFonts w:ascii="Courier New" w:hAnsi="Courier New" w:cs="Courier New" w:hint="default"/>
      </w:rPr>
    </w:lvl>
    <w:lvl w:ilvl="5" w:tplc="851849FA" w:tentative="1">
      <w:start w:val="1"/>
      <w:numFmt w:val="bullet"/>
      <w:lvlText w:val=""/>
      <w:lvlJc w:val="left"/>
      <w:pPr>
        <w:ind w:left="4320" w:hanging="360"/>
      </w:pPr>
      <w:rPr>
        <w:rFonts w:ascii="Wingdings" w:hAnsi="Wingdings" w:hint="default"/>
      </w:rPr>
    </w:lvl>
    <w:lvl w:ilvl="6" w:tplc="705A91CC" w:tentative="1">
      <w:start w:val="1"/>
      <w:numFmt w:val="bullet"/>
      <w:lvlText w:val=""/>
      <w:lvlJc w:val="left"/>
      <w:pPr>
        <w:ind w:left="5040" w:hanging="360"/>
      </w:pPr>
      <w:rPr>
        <w:rFonts w:ascii="Symbol" w:hAnsi="Symbol" w:hint="default"/>
      </w:rPr>
    </w:lvl>
    <w:lvl w:ilvl="7" w:tplc="CBA8A4F4" w:tentative="1">
      <w:start w:val="1"/>
      <w:numFmt w:val="bullet"/>
      <w:lvlText w:val="o"/>
      <w:lvlJc w:val="left"/>
      <w:pPr>
        <w:ind w:left="5760" w:hanging="360"/>
      </w:pPr>
      <w:rPr>
        <w:rFonts w:ascii="Courier New" w:hAnsi="Courier New" w:cs="Courier New" w:hint="default"/>
      </w:rPr>
    </w:lvl>
    <w:lvl w:ilvl="8" w:tplc="BD12DD26" w:tentative="1">
      <w:start w:val="1"/>
      <w:numFmt w:val="bullet"/>
      <w:lvlText w:val=""/>
      <w:lvlJc w:val="left"/>
      <w:pPr>
        <w:ind w:left="6480" w:hanging="360"/>
      </w:pPr>
      <w:rPr>
        <w:rFonts w:ascii="Wingdings" w:hAnsi="Wingdings" w:hint="default"/>
      </w:rPr>
    </w:lvl>
  </w:abstractNum>
  <w:abstractNum w:abstractNumId="2" w15:restartNumberingAfterBreak="0">
    <w:nsid w:val="09123277"/>
    <w:multiLevelType w:val="hybridMultilevel"/>
    <w:tmpl w:val="7972AF18"/>
    <w:lvl w:ilvl="0" w:tplc="AC04C408">
      <w:numFmt w:val="bullet"/>
      <w:lvlText w:val="•"/>
      <w:lvlJc w:val="left"/>
      <w:pPr>
        <w:ind w:left="1080" w:hanging="720"/>
      </w:pPr>
      <w:rPr>
        <w:rFonts w:ascii="Times New Roman" w:eastAsiaTheme="minorHAnsi" w:hAnsi="Times New Roman" w:cs="Times New Roman" w:hint="default"/>
      </w:rPr>
    </w:lvl>
    <w:lvl w:ilvl="1" w:tplc="FB9AE54C" w:tentative="1">
      <w:start w:val="1"/>
      <w:numFmt w:val="bullet"/>
      <w:lvlText w:val="o"/>
      <w:lvlJc w:val="left"/>
      <w:pPr>
        <w:ind w:left="1440" w:hanging="360"/>
      </w:pPr>
      <w:rPr>
        <w:rFonts w:ascii="Courier New" w:hAnsi="Courier New" w:cs="Courier New" w:hint="default"/>
      </w:rPr>
    </w:lvl>
    <w:lvl w:ilvl="2" w:tplc="13B20974" w:tentative="1">
      <w:start w:val="1"/>
      <w:numFmt w:val="bullet"/>
      <w:lvlText w:val=""/>
      <w:lvlJc w:val="left"/>
      <w:pPr>
        <w:ind w:left="2160" w:hanging="360"/>
      </w:pPr>
      <w:rPr>
        <w:rFonts w:ascii="Wingdings" w:hAnsi="Wingdings" w:hint="default"/>
      </w:rPr>
    </w:lvl>
    <w:lvl w:ilvl="3" w:tplc="1194AD60" w:tentative="1">
      <w:start w:val="1"/>
      <w:numFmt w:val="bullet"/>
      <w:lvlText w:val=""/>
      <w:lvlJc w:val="left"/>
      <w:pPr>
        <w:ind w:left="2880" w:hanging="360"/>
      </w:pPr>
      <w:rPr>
        <w:rFonts w:ascii="Symbol" w:hAnsi="Symbol" w:hint="default"/>
      </w:rPr>
    </w:lvl>
    <w:lvl w:ilvl="4" w:tplc="DDAC94DA" w:tentative="1">
      <w:start w:val="1"/>
      <w:numFmt w:val="bullet"/>
      <w:lvlText w:val="o"/>
      <w:lvlJc w:val="left"/>
      <w:pPr>
        <w:ind w:left="3600" w:hanging="360"/>
      </w:pPr>
      <w:rPr>
        <w:rFonts w:ascii="Courier New" w:hAnsi="Courier New" w:cs="Courier New" w:hint="default"/>
      </w:rPr>
    </w:lvl>
    <w:lvl w:ilvl="5" w:tplc="D408D596" w:tentative="1">
      <w:start w:val="1"/>
      <w:numFmt w:val="bullet"/>
      <w:lvlText w:val=""/>
      <w:lvlJc w:val="left"/>
      <w:pPr>
        <w:ind w:left="4320" w:hanging="360"/>
      </w:pPr>
      <w:rPr>
        <w:rFonts w:ascii="Wingdings" w:hAnsi="Wingdings" w:hint="default"/>
      </w:rPr>
    </w:lvl>
    <w:lvl w:ilvl="6" w:tplc="8CD0B400" w:tentative="1">
      <w:start w:val="1"/>
      <w:numFmt w:val="bullet"/>
      <w:lvlText w:val=""/>
      <w:lvlJc w:val="left"/>
      <w:pPr>
        <w:ind w:left="5040" w:hanging="360"/>
      </w:pPr>
      <w:rPr>
        <w:rFonts w:ascii="Symbol" w:hAnsi="Symbol" w:hint="default"/>
      </w:rPr>
    </w:lvl>
    <w:lvl w:ilvl="7" w:tplc="113C9CE0" w:tentative="1">
      <w:start w:val="1"/>
      <w:numFmt w:val="bullet"/>
      <w:lvlText w:val="o"/>
      <w:lvlJc w:val="left"/>
      <w:pPr>
        <w:ind w:left="5760" w:hanging="360"/>
      </w:pPr>
      <w:rPr>
        <w:rFonts w:ascii="Courier New" w:hAnsi="Courier New" w:cs="Courier New" w:hint="default"/>
      </w:rPr>
    </w:lvl>
    <w:lvl w:ilvl="8" w:tplc="A81A8098" w:tentative="1">
      <w:start w:val="1"/>
      <w:numFmt w:val="bullet"/>
      <w:lvlText w:val=""/>
      <w:lvlJc w:val="left"/>
      <w:pPr>
        <w:ind w:left="6480" w:hanging="360"/>
      </w:pPr>
      <w:rPr>
        <w:rFonts w:ascii="Wingdings" w:hAnsi="Wingdings" w:hint="default"/>
      </w:rPr>
    </w:lvl>
  </w:abstractNum>
  <w:abstractNum w:abstractNumId="3" w15:restartNumberingAfterBreak="0">
    <w:nsid w:val="0A341003"/>
    <w:multiLevelType w:val="hybridMultilevel"/>
    <w:tmpl w:val="DAE8B3FA"/>
    <w:lvl w:ilvl="0" w:tplc="9AC4F578">
      <w:numFmt w:val="bullet"/>
      <w:lvlText w:val="•"/>
      <w:lvlJc w:val="left"/>
      <w:pPr>
        <w:ind w:left="1080" w:hanging="720"/>
      </w:pPr>
      <w:rPr>
        <w:rFonts w:ascii="Times New Roman" w:eastAsiaTheme="minorHAnsi" w:hAnsi="Times New Roman" w:cs="Times New Roman" w:hint="default"/>
      </w:rPr>
    </w:lvl>
    <w:lvl w:ilvl="1" w:tplc="AB880D8C" w:tentative="1">
      <w:start w:val="1"/>
      <w:numFmt w:val="bullet"/>
      <w:lvlText w:val="o"/>
      <w:lvlJc w:val="left"/>
      <w:pPr>
        <w:ind w:left="1440" w:hanging="360"/>
      </w:pPr>
      <w:rPr>
        <w:rFonts w:ascii="Courier New" w:hAnsi="Courier New" w:cs="Courier New" w:hint="default"/>
      </w:rPr>
    </w:lvl>
    <w:lvl w:ilvl="2" w:tplc="282A4E62" w:tentative="1">
      <w:start w:val="1"/>
      <w:numFmt w:val="bullet"/>
      <w:lvlText w:val=""/>
      <w:lvlJc w:val="left"/>
      <w:pPr>
        <w:ind w:left="2160" w:hanging="360"/>
      </w:pPr>
      <w:rPr>
        <w:rFonts w:ascii="Wingdings" w:hAnsi="Wingdings" w:hint="default"/>
      </w:rPr>
    </w:lvl>
    <w:lvl w:ilvl="3" w:tplc="53845792" w:tentative="1">
      <w:start w:val="1"/>
      <w:numFmt w:val="bullet"/>
      <w:lvlText w:val=""/>
      <w:lvlJc w:val="left"/>
      <w:pPr>
        <w:ind w:left="2880" w:hanging="360"/>
      </w:pPr>
      <w:rPr>
        <w:rFonts w:ascii="Symbol" w:hAnsi="Symbol" w:hint="default"/>
      </w:rPr>
    </w:lvl>
    <w:lvl w:ilvl="4" w:tplc="00389FDE" w:tentative="1">
      <w:start w:val="1"/>
      <w:numFmt w:val="bullet"/>
      <w:lvlText w:val="o"/>
      <w:lvlJc w:val="left"/>
      <w:pPr>
        <w:ind w:left="3600" w:hanging="360"/>
      </w:pPr>
      <w:rPr>
        <w:rFonts w:ascii="Courier New" w:hAnsi="Courier New" w:cs="Courier New" w:hint="default"/>
      </w:rPr>
    </w:lvl>
    <w:lvl w:ilvl="5" w:tplc="8BE440EA" w:tentative="1">
      <w:start w:val="1"/>
      <w:numFmt w:val="bullet"/>
      <w:lvlText w:val=""/>
      <w:lvlJc w:val="left"/>
      <w:pPr>
        <w:ind w:left="4320" w:hanging="360"/>
      </w:pPr>
      <w:rPr>
        <w:rFonts w:ascii="Wingdings" w:hAnsi="Wingdings" w:hint="default"/>
      </w:rPr>
    </w:lvl>
    <w:lvl w:ilvl="6" w:tplc="D0889726" w:tentative="1">
      <w:start w:val="1"/>
      <w:numFmt w:val="bullet"/>
      <w:lvlText w:val=""/>
      <w:lvlJc w:val="left"/>
      <w:pPr>
        <w:ind w:left="5040" w:hanging="360"/>
      </w:pPr>
      <w:rPr>
        <w:rFonts w:ascii="Symbol" w:hAnsi="Symbol" w:hint="default"/>
      </w:rPr>
    </w:lvl>
    <w:lvl w:ilvl="7" w:tplc="02001430" w:tentative="1">
      <w:start w:val="1"/>
      <w:numFmt w:val="bullet"/>
      <w:lvlText w:val="o"/>
      <w:lvlJc w:val="left"/>
      <w:pPr>
        <w:ind w:left="5760" w:hanging="360"/>
      </w:pPr>
      <w:rPr>
        <w:rFonts w:ascii="Courier New" w:hAnsi="Courier New" w:cs="Courier New" w:hint="default"/>
      </w:rPr>
    </w:lvl>
    <w:lvl w:ilvl="8" w:tplc="FB26AC76" w:tentative="1">
      <w:start w:val="1"/>
      <w:numFmt w:val="bullet"/>
      <w:lvlText w:val=""/>
      <w:lvlJc w:val="left"/>
      <w:pPr>
        <w:ind w:left="6480" w:hanging="360"/>
      </w:pPr>
      <w:rPr>
        <w:rFonts w:ascii="Wingdings" w:hAnsi="Wingdings" w:hint="default"/>
      </w:rPr>
    </w:lvl>
  </w:abstractNum>
  <w:abstractNum w:abstractNumId="4" w15:restartNumberingAfterBreak="0">
    <w:nsid w:val="0DF528EF"/>
    <w:multiLevelType w:val="hybridMultilevel"/>
    <w:tmpl w:val="12E08B5C"/>
    <w:lvl w:ilvl="0" w:tplc="8F5AD306">
      <w:numFmt w:val="bullet"/>
      <w:lvlText w:val="•"/>
      <w:lvlJc w:val="left"/>
      <w:pPr>
        <w:ind w:left="1080" w:hanging="720"/>
      </w:pPr>
      <w:rPr>
        <w:rFonts w:ascii="Times New Roman" w:eastAsiaTheme="minorHAnsi" w:hAnsi="Times New Roman" w:cs="Times New Roman" w:hint="default"/>
      </w:rPr>
    </w:lvl>
    <w:lvl w:ilvl="1" w:tplc="41D4BCE0" w:tentative="1">
      <w:start w:val="1"/>
      <w:numFmt w:val="bullet"/>
      <w:lvlText w:val="o"/>
      <w:lvlJc w:val="left"/>
      <w:pPr>
        <w:ind w:left="1440" w:hanging="360"/>
      </w:pPr>
      <w:rPr>
        <w:rFonts w:ascii="Courier New" w:hAnsi="Courier New" w:cs="Courier New" w:hint="default"/>
      </w:rPr>
    </w:lvl>
    <w:lvl w:ilvl="2" w:tplc="728261AE" w:tentative="1">
      <w:start w:val="1"/>
      <w:numFmt w:val="bullet"/>
      <w:lvlText w:val=""/>
      <w:lvlJc w:val="left"/>
      <w:pPr>
        <w:ind w:left="2160" w:hanging="360"/>
      </w:pPr>
      <w:rPr>
        <w:rFonts w:ascii="Wingdings" w:hAnsi="Wingdings" w:hint="default"/>
      </w:rPr>
    </w:lvl>
    <w:lvl w:ilvl="3" w:tplc="CB367DE0" w:tentative="1">
      <w:start w:val="1"/>
      <w:numFmt w:val="bullet"/>
      <w:lvlText w:val=""/>
      <w:lvlJc w:val="left"/>
      <w:pPr>
        <w:ind w:left="2880" w:hanging="360"/>
      </w:pPr>
      <w:rPr>
        <w:rFonts w:ascii="Symbol" w:hAnsi="Symbol" w:hint="default"/>
      </w:rPr>
    </w:lvl>
    <w:lvl w:ilvl="4" w:tplc="87E60B84" w:tentative="1">
      <w:start w:val="1"/>
      <w:numFmt w:val="bullet"/>
      <w:lvlText w:val="o"/>
      <w:lvlJc w:val="left"/>
      <w:pPr>
        <w:ind w:left="3600" w:hanging="360"/>
      </w:pPr>
      <w:rPr>
        <w:rFonts w:ascii="Courier New" w:hAnsi="Courier New" w:cs="Courier New" w:hint="default"/>
      </w:rPr>
    </w:lvl>
    <w:lvl w:ilvl="5" w:tplc="0F2ECB16" w:tentative="1">
      <w:start w:val="1"/>
      <w:numFmt w:val="bullet"/>
      <w:lvlText w:val=""/>
      <w:lvlJc w:val="left"/>
      <w:pPr>
        <w:ind w:left="4320" w:hanging="360"/>
      </w:pPr>
      <w:rPr>
        <w:rFonts w:ascii="Wingdings" w:hAnsi="Wingdings" w:hint="default"/>
      </w:rPr>
    </w:lvl>
    <w:lvl w:ilvl="6" w:tplc="91AAAEDE" w:tentative="1">
      <w:start w:val="1"/>
      <w:numFmt w:val="bullet"/>
      <w:lvlText w:val=""/>
      <w:lvlJc w:val="left"/>
      <w:pPr>
        <w:ind w:left="5040" w:hanging="360"/>
      </w:pPr>
      <w:rPr>
        <w:rFonts w:ascii="Symbol" w:hAnsi="Symbol" w:hint="default"/>
      </w:rPr>
    </w:lvl>
    <w:lvl w:ilvl="7" w:tplc="203E3A16" w:tentative="1">
      <w:start w:val="1"/>
      <w:numFmt w:val="bullet"/>
      <w:lvlText w:val="o"/>
      <w:lvlJc w:val="left"/>
      <w:pPr>
        <w:ind w:left="5760" w:hanging="360"/>
      </w:pPr>
      <w:rPr>
        <w:rFonts w:ascii="Courier New" w:hAnsi="Courier New" w:cs="Courier New" w:hint="default"/>
      </w:rPr>
    </w:lvl>
    <w:lvl w:ilvl="8" w:tplc="DFB849FA" w:tentative="1">
      <w:start w:val="1"/>
      <w:numFmt w:val="bullet"/>
      <w:lvlText w:val=""/>
      <w:lvlJc w:val="left"/>
      <w:pPr>
        <w:ind w:left="6480" w:hanging="360"/>
      </w:pPr>
      <w:rPr>
        <w:rFonts w:ascii="Wingdings" w:hAnsi="Wingdings" w:hint="default"/>
      </w:rPr>
    </w:lvl>
  </w:abstractNum>
  <w:abstractNum w:abstractNumId="5" w15:restartNumberingAfterBreak="0">
    <w:nsid w:val="11EE7FF8"/>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C516DC"/>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D64CDA"/>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587DA2"/>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696CF0"/>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F901EE"/>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FA202A"/>
    <w:multiLevelType w:val="hybridMultilevel"/>
    <w:tmpl w:val="65060926"/>
    <w:lvl w:ilvl="0" w:tplc="CEC29C18">
      <w:numFmt w:val="bullet"/>
      <w:lvlText w:val="•"/>
      <w:lvlJc w:val="left"/>
      <w:pPr>
        <w:ind w:left="1440" w:hanging="720"/>
      </w:pPr>
      <w:rPr>
        <w:rFonts w:ascii="Times New Roman" w:eastAsiaTheme="minorHAnsi" w:hAnsi="Times New Roman" w:cs="Times New Roman" w:hint="default"/>
      </w:rPr>
    </w:lvl>
    <w:lvl w:ilvl="1" w:tplc="EF3C8F50" w:tentative="1">
      <w:start w:val="1"/>
      <w:numFmt w:val="bullet"/>
      <w:lvlText w:val="o"/>
      <w:lvlJc w:val="left"/>
      <w:pPr>
        <w:ind w:left="1800" w:hanging="360"/>
      </w:pPr>
      <w:rPr>
        <w:rFonts w:ascii="Courier New" w:hAnsi="Courier New" w:cs="Courier New" w:hint="default"/>
      </w:rPr>
    </w:lvl>
    <w:lvl w:ilvl="2" w:tplc="8520B26A" w:tentative="1">
      <w:start w:val="1"/>
      <w:numFmt w:val="bullet"/>
      <w:lvlText w:val=""/>
      <w:lvlJc w:val="left"/>
      <w:pPr>
        <w:ind w:left="2520" w:hanging="360"/>
      </w:pPr>
      <w:rPr>
        <w:rFonts w:ascii="Wingdings" w:hAnsi="Wingdings" w:hint="default"/>
      </w:rPr>
    </w:lvl>
    <w:lvl w:ilvl="3" w:tplc="34B22158" w:tentative="1">
      <w:start w:val="1"/>
      <w:numFmt w:val="bullet"/>
      <w:lvlText w:val=""/>
      <w:lvlJc w:val="left"/>
      <w:pPr>
        <w:ind w:left="3240" w:hanging="360"/>
      </w:pPr>
      <w:rPr>
        <w:rFonts w:ascii="Symbol" w:hAnsi="Symbol" w:hint="default"/>
      </w:rPr>
    </w:lvl>
    <w:lvl w:ilvl="4" w:tplc="B8A657BC" w:tentative="1">
      <w:start w:val="1"/>
      <w:numFmt w:val="bullet"/>
      <w:lvlText w:val="o"/>
      <w:lvlJc w:val="left"/>
      <w:pPr>
        <w:ind w:left="3960" w:hanging="360"/>
      </w:pPr>
      <w:rPr>
        <w:rFonts w:ascii="Courier New" w:hAnsi="Courier New" w:cs="Courier New" w:hint="default"/>
      </w:rPr>
    </w:lvl>
    <w:lvl w:ilvl="5" w:tplc="32626A00" w:tentative="1">
      <w:start w:val="1"/>
      <w:numFmt w:val="bullet"/>
      <w:lvlText w:val=""/>
      <w:lvlJc w:val="left"/>
      <w:pPr>
        <w:ind w:left="4680" w:hanging="360"/>
      </w:pPr>
      <w:rPr>
        <w:rFonts w:ascii="Wingdings" w:hAnsi="Wingdings" w:hint="default"/>
      </w:rPr>
    </w:lvl>
    <w:lvl w:ilvl="6" w:tplc="E886204C" w:tentative="1">
      <w:start w:val="1"/>
      <w:numFmt w:val="bullet"/>
      <w:lvlText w:val=""/>
      <w:lvlJc w:val="left"/>
      <w:pPr>
        <w:ind w:left="5400" w:hanging="360"/>
      </w:pPr>
      <w:rPr>
        <w:rFonts w:ascii="Symbol" w:hAnsi="Symbol" w:hint="default"/>
      </w:rPr>
    </w:lvl>
    <w:lvl w:ilvl="7" w:tplc="49DA9BB2" w:tentative="1">
      <w:start w:val="1"/>
      <w:numFmt w:val="bullet"/>
      <w:lvlText w:val="o"/>
      <w:lvlJc w:val="left"/>
      <w:pPr>
        <w:ind w:left="6120" w:hanging="360"/>
      </w:pPr>
      <w:rPr>
        <w:rFonts w:ascii="Courier New" w:hAnsi="Courier New" w:cs="Courier New" w:hint="default"/>
      </w:rPr>
    </w:lvl>
    <w:lvl w:ilvl="8" w:tplc="A53C9514" w:tentative="1">
      <w:start w:val="1"/>
      <w:numFmt w:val="bullet"/>
      <w:lvlText w:val=""/>
      <w:lvlJc w:val="left"/>
      <w:pPr>
        <w:ind w:left="6840" w:hanging="360"/>
      </w:pPr>
      <w:rPr>
        <w:rFonts w:ascii="Wingdings" w:hAnsi="Wingdings" w:hint="default"/>
      </w:rPr>
    </w:lvl>
  </w:abstractNum>
  <w:abstractNum w:abstractNumId="12" w15:restartNumberingAfterBreak="0">
    <w:nsid w:val="35A652CE"/>
    <w:multiLevelType w:val="hybridMultilevel"/>
    <w:tmpl w:val="DF6CD92E"/>
    <w:lvl w:ilvl="0" w:tplc="4C0831F4">
      <w:numFmt w:val="bullet"/>
      <w:lvlText w:val="•"/>
      <w:lvlJc w:val="left"/>
      <w:pPr>
        <w:ind w:left="1080" w:hanging="720"/>
      </w:pPr>
      <w:rPr>
        <w:rFonts w:ascii="Times New Roman" w:eastAsiaTheme="minorHAnsi" w:hAnsi="Times New Roman" w:cs="Times New Roman" w:hint="default"/>
      </w:rPr>
    </w:lvl>
    <w:lvl w:ilvl="1" w:tplc="ABF0AF70" w:tentative="1">
      <w:start w:val="1"/>
      <w:numFmt w:val="bullet"/>
      <w:lvlText w:val="o"/>
      <w:lvlJc w:val="left"/>
      <w:pPr>
        <w:ind w:left="1440" w:hanging="360"/>
      </w:pPr>
      <w:rPr>
        <w:rFonts w:ascii="Courier New" w:hAnsi="Courier New" w:cs="Courier New" w:hint="default"/>
      </w:rPr>
    </w:lvl>
    <w:lvl w:ilvl="2" w:tplc="DC9498A8" w:tentative="1">
      <w:start w:val="1"/>
      <w:numFmt w:val="bullet"/>
      <w:lvlText w:val=""/>
      <w:lvlJc w:val="left"/>
      <w:pPr>
        <w:ind w:left="2160" w:hanging="360"/>
      </w:pPr>
      <w:rPr>
        <w:rFonts w:ascii="Wingdings" w:hAnsi="Wingdings" w:hint="default"/>
      </w:rPr>
    </w:lvl>
    <w:lvl w:ilvl="3" w:tplc="D65E81B0" w:tentative="1">
      <w:start w:val="1"/>
      <w:numFmt w:val="bullet"/>
      <w:lvlText w:val=""/>
      <w:lvlJc w:val="left"/>
      <w:pPr>
        <w:ind w:left="2880" w:hanging="360"/>
      </w:pPr>
      <w:rPr>
        <w:rFonts w:ascii="Symbol" w:hAnsi="Symbol" w:hint="default"/>
      </w:rPr>
    </w:lvl>
    <w:lvl w:ilvl="4" w:tplc="BA584DD6" w:tentative="1">
      <w:start w:val="1"/>
      <w:numFmt w:val="bullet"/>
      <w:lvlText w:val="o"/>
      <w:lvlJc w:val="left"/>
      <w:pPr>
        <w:ind w:left="3600" w:hanging="360"/>
      </w:pPr>
      <w:rPr>
        <w:rFonts w:ascii="Courier New" w:hAnsi="Courier New" w:cs="Courier New" w:hint="default"/>
      </w:rPr>
    </w:lvl>
    <w:lvl w:ilvl="5" w:tplc="690EDC42" w:tentative="1">
      <w:start w:val="1"/>
      <w:numFmt w:val="bullet"/>
      <w:lvlText w:val=""/>
      <w:lvlJc w:val="left"/>
      <w:pPr>
        <w:ind w:left="4320" w:hanging="360"/>
      </w:pPr>
      <w:rPr>
        <w:rFonts w:ascii="Wingdings" w:hAnsi="Wingdings" w:hint="default"/>
      </w:rPr>
    </w:lvl>
    <w:lvl w:ilvl="6" w:tplc="6BA2932A" w:tentative="1">
      <w:start w:val="1"/>
      <w:numFmt w:val="bullet"/>
      <w:lvlText w:val=""/>
      <w:lvlJc w:val="left"/>
      <w:pPr>
        <w:ind w:left="5040" w:hanging="360"/>
      </w:pPr>
      <w:rPr>
        <w:rFonts w:ascii="Symbol" w:hAnsi="Symbol" w:hint="default"/>
      </w:rPr>
    </w:lvl>
    <w:lvl w:ilvl="7" w:tplc="1AD6FC76" w:tentative="1">
      <w:start w:val="1"/>
      <w:numFmt w:val="bullet"/>
      <w:lvlText w:val="o"/>
      <w:lvlJc w:val="left"/>
      <w:pPr>
        <w:ind w:left="5760" w:hanging="360"/>
      </w:pPr>
      <w:rPr>
        <w:rFonts w:ascii="Courier New" w:hAnsi="Courier New" w:cs="Courier New" w:hint="default"/>
      </w:rPr>
    </w:lvl>
    <w:lvl w:ilvl="8" w:tplc="C416FD82" w:tentative="1">
      <w:start w:val="1"/>
      <w:numFmt w:val="bullet"/>
      <w:lvlText w:val=""/>
      <w:lvlJc w:val="left"/>
      <w:pPr>
        <w:ind w:left="6480" w:hanging="360"/>
      </w:pPr>
      <w:rPr>
        <w:rFonts w:ascii="Wingdings" w:hAnsi="Wingdings" w:hint="default"/>
      </w:rPr>
    </w:lvl>
  </w:abstractNum>
  <w:abstractNum w:abstractNumId="13" w15:restartNumberingAfterBreak="0">
    <w:nsid w:val="401220E4"/>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250B51"/>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D6106C"/>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110932"/>
    <w:multiLevelType w:val="multilevel"/>
    <w:tmpl w:val="F9222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E21993"/>
    <w:multiLevelType w:val="hybridMultilevel"/>
    <w:tmpl w:val="AC36162C"/>
    <w:lvl w:ilvl="0" w:tplc="D2C45E2C">
      <w:numFmt w:val="bullet"/>
      <w:lvlText w:val="•"/>
      <w:lvlJc w:val="left"/>
      <w:pPr>
        <w:ind w:left="1080" w:hanging="720"/>
      </w:pPr>
      <w:rPr>
        <w:rFonts w:ascii="Times New Roman" w:eastAsiaTheme="minorHAnsi" w:hAnsi="Times New Roman" w:cs="Times New Roman" w:hint="default"/>
      </w:rPr>
    </w:lvl>
    <w:lvl w:ilvl="1" w:tplc="1C8A4AE8" w:tentative="1">
      <w:start w:val="1"/>
      <w:numFmt w:val="bullet"/>
      <w:lvlText w:val="o"/>
      <w:lvlJc w:val="left"/>
      <w:pPr>
        <w:ind w:left="1440" w:hanging="360"/>
      </w:pPr>
      <w:rPr>
        <w:rFonts w:ascii="Courier New" w:hAnsi="Courier New" w:cs="Courier New" w:hint="default"/>
      </w:rPr>
    </w:lvl>
    <w:lvl w:ilvl="2" w:tplc="39887622" w:tentative="1">
      <w:start w:val="1"/>
      <w:numFmt w:val="bullet"/>
      <w:lvlText w:val=""/>
      <w:lvlJc w:val="left"/>
      <w:pPr>
        <w:ind w:left="2160" w:hanging="360"/>
      </w:pPr>
      <w:rPr>
        <w:rFonts w:ascii="Wingdings" w:hAnsi="Wingdings" w:hint="default"/>
      </w:rPr>
    </w:lvl>
    <w:lvl w:ilvl="3" w:tplc="5386A22C" w:tentative="1">
      <w:start w:val="1"/>
      <w:numFmt w:val="bullet"/>
      <w:lvlText w:val=""/>
      <w:lvlJc w:val="left"/>
      <w:pPr>
        <w:ind w:left="2880" w:hanging="360"/>
      </w:pPr>
      <w:rPr>
        <w:rFonts w:ascii="Symbol" w:hAnsi="Symbol" w:hint="default"/>
      </w:rPr>
    </w:lvl>
    <w:lvl w:ilvl="4" w:tplc="17104792" w:tentative="1">
      <w:start w:val="1"/>
      <w:numFmt w:val="bullet"/>
      <w:lvlText w:val="o"/>
      <w:lvlJc w:val="left"/>
      <w:pPr>
        <w:ind w:left="3600" w:hanging="360"/>
      </w:pPr>
      <w:rPr>
        <w:rFonts w:ascii="Courier New" w:hAnsi="Courier New" w:cs="Courier New" w:hint="default"/>
      </w:rPr>
    </w:lvl>
    <w:lvl w:ilvl="5" w:tplc="01986BF0" w:tentative="1">
      <w:start w:val="1"/>
      <w:numFmt w:val="bullet"/>
      <w:lvlText w:val=""/>
      <w:lvlJc w:val="left"/>
      <w:pPr>
        <w:ind w:left="4320" w:hanging="360"/>
      </w:pPr>
      <w:rPr>
        <w:rFonts w:ascii="Wingdings" w:hAnsi="Wingdings" w:hint="default"/>
      </w:rPr>
    </w:lvl>
    <w:lvl w:ilvl="6" w:tplc="31725E22" w:tentative="1">
      <w:start w:val="1"/>
      <w:numFmt w:val="bullet"/>
      <w:lvlText w:val=""/>
      <w:lvlJc w:val="left"/>
      <w:pPr>
        <w:ind w:left="5040" w:hanging="360"/>
      </w:pPr>
      <w:rPr>
        <w:rFonts w:ascii="Symbol" w:hAnsi="Symbol" w:hint="default"/>
      </w:rPr>
    </w:lvl>
    <w:lvl w:ilvl="7" w:tplc="CB5ACCFC" w:tentative="1">
      <w:start w:val="1"/>
      <w:numFmt w:val="bullet"/>
      <w:lvlText w:val="o"/>
      <w:lvlJc w:val="left"/>
      <w:pPr>
        <w:ind w:left="5760" w:hanging="360"/>
      </w:pPr>
      <w:rPr>
        <w:rFonts w:ascii="Courier New" w:hAnsi="Courier New" w:cs="Courier New" w:hint="default"/>
      </w:rPr>
    </w:lvl>
    <w:lvl w:ilvl="8" w:tplc="7A92C160" w:tentative="1">
      <w:start w:val="1"/>
      <w:numFmt w:val="bullet"/>
      <w:lvlText w:val=""/>
      <w:lvlJc w:val="left"/>
      <w:pPr>
        <w:ind w:left="6480" w:hanging="360"/>
      </w:pPr>
      <w:rPr>
        <w:rFonts w:ascii="Wingdings" w:hAnsi="Wingdings" w:hint="default"/>
      </w:rPr>
    </w:lvl>
  </w:abstractNum>
  <w:abstractNum w:abstractNumId="18" w15:restartNumberingAfterBreak="0">
    <w:nsid w:val="509A61C9"/>
    <w:multiLevelType w:val="multilevel"/>
    <w:tmpl w:val="59243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5D1EFA"/>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3B3D62"/>
    <w:multiLevelType w:val="hybridMultilevel"/>
    <w:tmpl w:val="3A4A8CF0"/>
    <w:lvl w:ilvl="0" w:tplc="C59C8B6E">
      <w:numFmt w:val="bullet"/>
      <w:lvlText w:val="•"/>
      <w:lvlJc w:val="left"/>
      <w:pPr>
        <w:ind w:left="1080" w:hanging="720"/>
      </w:pPr>
      <w:rPr>
        <w:rFonts w:ascii="Times New Roman" w:eastAsiaTheme="minorHAnsi" w:hAnsi="Times New Roman" w:cs="Times New Roman" w:hint="default"/>
      </w:rPr>
    </w:lvl>
    <w:lvl w:ilvl="1" w:tplc="A0964818" w:tentative="1">
      <w:start w:val="1"/>
      <w:numFmt w:val="bullet"/>
      <w:lvlText w:val="o"/>
      <w:lvlJc w:val="left"/>
      <w:pPr>
        <w:ind w:left="1440" w:hanging="360"/>
      </w:pPr>
      <w:rPr>
        <w:rFonts w:ascii="Courier New" w:hAnsi="Courier New" w:cs="Courier New" w:hint="default"/>
      </w:rPr>
    </w:lvl>
    <w:lvl w:ilvl="2" w:tplc="5424540C" w:tentative="1">
      <w:start w:val="1"/>
      <w:numFmt w:val="bullet"/>
      <w:lvlText w:val=""/>
      <w:lvlJc w:val="left"/>
      <w:pPr>
        <w:ind w:left="2160" w:hanging="360"/>
      </w:pPr>
      <w:rPr>
        <w:rFonts w:ascii="Wingdings" w:hAnsi="Wingdings" w:hint="default"/>
      </w:rPr>
    </w:lvl>
    <w:lvl w:ilvl="3" w:tplc="D5D04A40" w:tentative="1">
      <w:start w:val="1"/>
      <w:numFmt w:val="bullet"/>
      <w:lvlText w:val=""/>
      <w:lvlJc w:val="left"/>
      <w:pPr>
        <w:ind w:left="2880" w:hanging="360"/>
      </w:pPr>
      <w:rPr>
        <w:rFonts w:ascii="Symbol" w:hAnsi="Symbol" w:hint="default"/>
      </w:rPr>
    </w:lvl>
    <w:lvl w:ilvl="4" w:tplc="FC50441E" w:tentative="1">
      <w:start w:val="1"/>
      <w:numFmt w:val="bullet"/>
      <w:lvlText w:val="o"/>
      <w:lvlJc w:val="left"/>
      <w:pPr>
        <w:ind w:left="3600" w:hanging="360"/>
      </w:pPr>
      <w:rPr>
        <w:rFonts w:ascii="Courier New" w:hAnsi="Courier New" w:cs="Courier New" w:hint="default"/>
      </w:rPr>
    </w:lvl>
    <w:lvl w:ilvl="5" w:tplc="A99AEC2C" w:tentative="1">
      <w:start w:val="1"/>
      <w:numFmt w:val="bullet"/>
      <w:lvlText w:val=""/>
      <w:lvlJc w:val="left"/>
      <w:pPr>
        <w:ind w:left="4320" w:hanging="360"/>
      </w:pPr>
      <w:rPr>
        <w:rFonts w:ascii="Wingdings" w:hAnsi="Wingdings" w:hint="default"/>
      </w:rPr>
    </w:lvl>
    <w:lvl w:ilvl="6" w:tplc="FBD0DCC4" w:tentative="1">
      <w:start w:val="1"/>
      <w:numFmt w:val="bullet"/>
      <w:lvlText w:val=""/>
      <w:lvlJc w:val="left"/>
      <w:pPr>
        <w:ind w:left="5040" w:hanging="360"/>
      </w:pPr>
      <w:rPr>
        <w:rFonts w:ascii="Symbol" w:hAnsi="Symbol" w:hint="default"/>
      </w:rPr>
    </w:lvl>
    <w:lvl w:ilvl="7" w:tplc="0E4244F0" w:tentative="1">
      <w:start w:val="1"/>
      <w:numFmt w:val="bullet"/>
      <w:lvlText w:val="o"/>
      <w:lvlJc w:val="left"/>
      <w:pPr>
        <w:ind w:left="5760" w:hanging="360"/>
      </w:pPr>
      <w:rPr>
        <w:rFonts w:ascii="Courier New" w:hAnsi="Courier New" w:cs="Courier New" w:hint="default"/>
      </w:rPr>
    </w:lvl>
    <w:lvl w:ilvl="8" w:tplc="2CF622E2" w:tentative="1">
      <w:start w:val="1"/>
      <w:numFmt w:val="bullet"/>
      <w:lvlText w:val=""/>
      <w:lvlJc w:val="left"/>
      <w:pPr>
        <w:ind w:left="6480" w:hanging="360"/>
      </w:pPr>
      <w:rPr>
        <w:rFonts w:ascii="Wingdings" w:hAnsi="Wingdings" w:hint="default"/>
      </w:rPr>
    </w:lvl>
  </w:abstractNum>
  <w:abstractNum w:abstractNumId="21" w15:restartNumberingAfterBreak="0">
    <w:nsid w:val="55030E50"/>
    <w:multiLevelType w:val="hybridMultilevel"/>
    <w:tmpl w:val="8D267C8E"/>
    <w:lvl w:ilvl="0" w:tplc="677806E0">
      <w:numFmt w:val="bullet"/>
      <w:lvlText w:val="•"/>
      <w:lvlJc w:val="left"/>
      <w:pPr>
        <w:ind w:left="1080" w:hanging="720"/>
      </w:pPr>
      <w:rPr>
        <w:rFonts w:ascii="Times New Roman" w:eastAsiaTheme="minorHAnsi" w:hAnsi="Times New Roman" w:cs="Times New Roman" w:hint="default"/>
      </w:rPr>
    </w:lvl>
    <w:lvl w:ilvl="1" w:tplc="307A0428" w:tentative="1">
      <w:start w:val="1"/>
      <w:numFmt w:val="bullet"/>
      <w:lvlText w:val="o"/>
      <w:lvlJc w:val="left"/>
      <w:pPr>
        <w:ind w:left="1440" w:hanging="360"/>
      </w:pPr>
      <w:rPr>
        <w:rFonts w:ascii="Courier New" w:hAnsi="Courier New" w:cs="Courier New" w:hint="default"/>
      </w:rPr>
    </w:lvl>
    <w:lvl w:ilvl="2" w:tplc="AB1AB464" w:tentative="1">
      <w:start w:val="1"/>
      <w:numFmt w:val="bullet"/>
      <w:lvlText w:val=""/>
      <w:lvlJc w:val="left"/>
      <w:pPr>
        <w:ind w:left="2160" w:hanging="360"/>
      </w:pPr>
      <w:rPr>
        <w:rFonts w:ascii="Wingdings" w:hAnsi="Wingdings" w:hint="default"/>
      </w:rPr>
    </w:lvl>
    <w:lvl w:ilvl="3" w:tplc="D64815F8" w:tentative="1">
      <w:start w:val="1"/>
      <w:numFmt w:val="bullet"/>
      <w:lvlText w:val=""/>
      <w:lvlJc w:val="left"/>
      <w:pPr>
        <w:ind w:left="2880" w:hanging="360"/>
      </w:pPr>
      <w:rPr>
        <w:rFonts w:ascii="Symbol" w:hAnsi="Symbol" w:hint="default"/>
      </w:rPr>
    </w:lvl>
    <w:lvl w:ilvl="4" w:tplc="40DEF894" w:tentative="1">
      <w:start w:val="1"/>
      <w:numFmt w:val="bullet"/>
      <w:lvlText w:val="o"/>
      <w:lvlJc w:val="left"/>
      <w:pPr>
        <w:ind w:left="3600" w:hanging="360"/>
      </w:pPr>
      <w:rPr>
        <w:rFonts w:ascii="Courier New" w:hAnsi="Courier New" w:cs="Courier New" w:hint="default"/>
      </w:rPr>
    </w:lvl>
    <w:lvl w:ilvl="5" w:tplc="0A90B932" w:tentative="1">
      <w:start w:val="1"/>
      <w:numFmt w:val="bullet"/>
      <w:lvlText w:val=""/>
      <w:lvlJc w:val="left"/>
      <w:pPr>
        <w:ind w:left="4320" w:hanging="360"/>
      </w:pPr>
      <w:rPr>
        <w:rFonts w:ascii="Wingdings" w:hAnsi="Wingdings" w:hint="default"/>
      </w:rPr>
    </w:lvl>
    <w:lvl w:ilvl="6" w:tplc="290C285E" w:tentative="1">
      <w:start w:val="1"/>
      <w:numFmt w:val="bullet"/>
      <w:lvlText w:val=""/>
      <w:lvlJc w:val="left"/>
      <w:pPr>
        <w:ind w:left="5040" w:hanging="360"/>
      </w:pPr>
      <w:rPr>
        <w:rFonts w:ascii="Symbol" w:hAnsi="Symbol" w:hint="default"/>
      </w:rPr>
    </w:lvl>
    <w:lvl w:ilvl="7" w:tplc="FAC04E8C" w:tentative="1">
      <w:start w:val="1"/>
      <w:numFmt w:val="bullet"/>
      <w:lvlText w:val="o"/>
      <w:lvlJc w:val="left"/>
      <w:pPr>
        <w:ind w:left="5760" w:hanging="360"/>
      </w:pPr>
      <w:rPr>
        <w:rFonts w:ascii="Courier New" w:hAnsi="Courier New" w:cs="Courier New" w:hint="default"/>
      </w:rPr>
    </w:lvl>
    <w:lvl w:ilvl="8" w:tplc="DE3E9FBE" w:tentative="1">
      <w:start w:val="1"/>
      <w:numFmt w:val="bullet"/>
      <w:lvlText w:val=""/>
      <w:lvlJc w:val="left"/>
      <w:pPr>
        <w:ind w:left="6480" w:hanging="360"/>
      </w:pPr>
      <w:rPr>
        <w:rFonts w:ascii="Wingdings" w:hAnsi="Wingdings" w:hint="default"/>
      </w:rPr>
    </w:lvl>
  </w:abstractNum>
  <w:abstractNum w:abstractNumId="22" w15:restartNumberingAfterBreak="0">
    <w:nsid w:val="55045074"/>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1F6979"/>
    <w:multiLevelType w:val="multilevel"/>
    <w:tmpl w:val="14FA0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915F3D"/>
    <w:multiLevelType w:val="hybridMultilevel"/>
    <w:tmpl w:val="BF7CB3EC"/>
    <w:lvl w:ilvl="0" w:tplc="CEB6DBE2">
      <w:numFmt w:val="bullet"/>
      <w:lvlText w:val="•"/>
      <w:lvlJc w:val="left"/>
      <w:pPr>
        <w:ind w:left="1080" w:hanging="720"/>
      </w:pPr>
      <w:rPr>
        <w:rFonts w:ascii="Times New Roman" w:eastAsiaTheme="minorHAnsi" w:hAnsi="Times New Roman" w:cs="Times New Roman" w:hint="default"/>
      </w:rPr>
    </w:lvl>
    <w:lvl w:ilvl="1" w:tplc="098EFFD0" w:tentative="1">
      <w:start w:val="1"/>
      <w:numFmt w:val="bullet"/>
      <w:lvlText w:val="o"/>
      <w:lvlJc w:val="left"/>
      <w:pPr>
        <w:ind w:left="1440" w:hanging="360"/>
      </w:pPr>
      <w:rPr>
        <w:rFonts w:ascii="Courier New" w:hAnsi="Courier New" w:cs="Courier New" w:hint="default"/>
      </w:rPr>
    </w:lvl>
    <w:lvl w:ilvl="2" w:tplc="927067A0" w:tentative="1">
      <w:start w:val="1"/>
      <w:numFmt w:val="bullet"/>
      <w:lvlText w:val=""/>
      <w:lvlJc w:val="left"/>
      <w:pPr>
        <w:ind w:left="2160" w:hanging="360"/>
      </w:pPr>
      <w:rPr>
        <w:rFonts w:ascii="Wingdings" w:hAnsi="Wingdings" w:hint="default"/>
      </w:rPr>
    </w:lvl>
    <w:lvl w:ilvl="3" w:tplc="BF20D3D0" w:tentative="1">
      <w:start w:val="1"/>
      <w:numFmt w:val="bullet"/>
      <w:lvlText w:val=""/>
      <w:lvlJc w:val="left"/>
      <w:pPr>
        <w:ind w:left="2880" w:hanging="360"/>
      </w:pPr>
      <w:rPr>
        <w:rFonts w:ascii="Symbol" w:hAnsi="Symbol" w:hint="default"/>
      </w:rPr>
    </w:lvl>
    <w:lvl w:ilvl="4" w:tplc="6BA8787C" w:tentative="1">
      <w:start w:val="1"/>
      <w:numFmt w:val="bullet"/>
      <w:lvlText w:val="o"/>
      <w:lvlJc w:val="left"/>
      <w:pPr>
        <w:ind w:left="3600" w:hanging="360"/>
      </w:pPr>
      <w:rPr>
        <w:rFonts w:ascii="Courier New" w:hAnsi="Courier New" w:cs="Courier New" w:hint="default"/>
      </w:rPr>
    </w:lvl>
    <w:lvl w:ilvl="5" w:tplc="BD8E6656" w:tentative="1">
      <w:start w:val="1"/>
      <w:numFmt w:val="bullet"/>
      <w:lvlText w:val=""/>
      <w:lvlJc w:val="left"/>
      <w:pPr>
        <w:ind w:left="4320" w:hanging="360"/>
      </w:pPr>
      <w:rPr>
        <w:rFonts w:ascii="Wingdings" w:hAnsi="Wingdings" w:hint="default"/>
      </w:rPr>
    </w:lvl>
    <w:lvl w:ilvl="6" w:tplc="5478E89E" w:tentative="1">
      <w:start w:val="1"/>
      <w:numFmt w:val="bullet"/>
      <w:lvlText w:val=""/>
      <w:lvlJc w:val="left"/>
      <w:pPr>
        <w:ind w:left="5040" w:hanging="360"/>
      </w:pPr>
      <w:rPr>
        <w:rFonts w:ascii="Symbol" w:hAnsi="Symbol" w:hint="default"/>
      </w:rPr>
    </w:lvl>
    <w:lvl w:ilvl="7" w:tplc="9E0E2822" w:tentative="1">
      <w:start w:val="1"/>
      <w:numFmt w:val="bullet"/>
      <w:lvlText w:val="o"/>
      <w:lvlJc w:val="left"/>
      <w:pPr>
        <w:ind w:left="5760" w:hanging="360"/>
      </w:pPr>
      <w:rPr>
        <w:rFonts w:ascii="Courier New" w:hAnsi="Courier New" w:cs="Courier New" w:hint="default"/>
      </w:rPr>
    </w:lvl>
    <w:lvl w:ilvl="8" w:tplc="1A383448" w:tentative="1">
      <w:start w:val="1"/>
      <w:numFmt w:val="bullet"/>
      <w:lvlText w:val=""/>
      <w:lvlJc w:val="left"/>
      <w:pPr>
        <w:ind w:left="6480" w:hanging="360"/>
      </w:pPr>
      <w:rPr>
        <w:rFonts w:ascii="Wingdings" w:hAnsi="Wingdings" w:hint="default"/>
      </w:rPr>
    </w:lvl>
  </w:abstractNum>
  <w:abstractNum w:abstractNumId="25" w15:restartNumberingAfterBreak="0">
    <w:nsid w:val="5CC52EB8"/>
    <w:multiLevelType w:val="hybridMultilevel"/>
    <w:tmpl w:val="F1F26504"/>
    <w:lvl w:ilvl="0" w:tplc="FF062EF8">
      <w:numFmt w:val="bullet"/>
      <w:lvlText w:val="•"/>
      <w:lvlJc w:val="left"/>
      <w:pPr>
        <w:ind w:left="1080" w:hanging="720"/>
      </w:pPr>
      <w:rPr>
        <w:rFonts w:ascii="Times New Roman" w:eastAsiaTheme="minorHAnsi" w:hAnsi="Times New Roman" w:cs="Times New Roman" w:hint="default"/>
      </w:rPr>
    </w:lvl>
    <w:lvl w:ilvl="1" w:tplc="3B6C3022" w:tentative="1">
      <w:start w:val="1"/>
      <w:numFmt w:val="bullet"/>
      <w:lvlText w:val="o"/>
      <w:lvlJc w:val="left"/>
      <w:pPr>
        <w:ind w:left="1440" w:hanging="360"/>
      </w:pPr>
      <w:rPr>
        <w:rFonts w:ascii="Courier New" w:hAnsi="Courier New" w:cs="Courier New" w:hint="default"/>
      </w:rPr>
    </w:lvl>
    <w:lvl w:ilvl="2" w:tplc="05CE2DE0" w:tentative="1">
      <w:start w:val="1"/>
      <w:numFmt w:val="bullet"/>
      <w:lvlText w:val=""/>
      <w:lvlJc w:val="left"/>
      <w:pPr>
        <w:ind w:left="2160" w:hanging="360"/>
      </w:pPr>
      <w:rPr>
        <w:rFonts w:ascii="Wingdings" w:hAnsi="Wingdings" w:hint="default"/>
      </w:rPr>
    </w:lvl>
    <w:lvl w:ilvl="3" w:tplc="6B9A7C20" w:tentative="1">
      <w:start w:val="1"/>
      <w:numFmt w:val="bullet"/>
      <w:lvlText w:val=""/>
      <w:lvlJc w:val="left"/>
      <w:pPr>
        <w:ind w:left="2880" w:hanging="360"/>
      </w:pPr>
      <w:rPr>
        <w:rFonts w:ascii="Symbol" w:hAnsi="Symbol" w:hint="default"/>
      </w:rPr>
    </w:lvl>
    <w:lvl w:ilvl="4" w:tplc="53C086D6" w:tentative="1">
      <w:start w:val="1"/>
      <w:numFmt w:val="bullet"/>
      <w:lvlText w:val="o"/>
      <w:lvlJc w:val="left"/>
      <w:pPr>
        <w:ind w:left="3600" w:hanging="360"/>
      </w:pPr>
      <w:rPr>
        <w:rFonts w:ascii="Courier New" w:hAnsi="Courier New" w:cs="Courier New" w:hint="default"/>
      </w:rPr>
    </w:lvl>
    <w:lvl w:ilvl="5" w:tplc="60AC3676" w:tentative="1">
      <w:start w:val="1"/>
      <w:numFmt w:val="bullet"/>
      <w:lvlText w:val=""/>
      <w:lvlJc w:val="left"/>
      <w:pPr>
        <w:ind w:left="4320" w:hanging="360"/>
      </w:pPr>
      <w:rPr>
        <w:rFonts w:ascii="Wingdings" w:hAnsi="Wingdings" w:hint="default"/>
      </w:rPr>
    </w:lvl>
    <w:lvl w:ilvl="6" w:tplc="DF7C4F24" w:tentative="1">
      <w:start w:val="1"/>
      <w:numFmt w:val="bullet"/>
      <w:lvlText w:val=""/>
      <w:lvlJc w:val="left"/>
      <w:pPr>
        <w:ind w:left="5040" w:hanging="360"/>
      </w:pPr>
      <w:rPr>
        <w:rFonts w:ascii="Symbol" w:hAnsi="Symbol" w:hint="default"/>
      </w:rPr>
    </w:lvl>
    <w:lvl w:ilvl="7" w:tplc="A2869C3A" w:tentative="1">
      <w:start w:val="1"/>
      <w:numFmt w:val="bullet"/>
      <w:lvlText w:val="o"/>
      <w:lvlJc w:val="left"/>
      <w:pPr>
        <w:ind w:left="5760" w:hanging="360"/>
      </w:pPr>
      <w:rPr>
        <w:rFonts w:ascii="Courier New" w:hAnsi="Courier New" w:cs="Courier New" w:hint="default"/>
      </w:rPr>
    </w:lvl>
    <w:lvl w:ilvl="8" w:tplc="F93ACB60" w:tentative="1">
      <w:start w:val="1"/>
      <w:numFmt w:val="bullet"/>
      <w:lvlText w:val=""/>
      <w:lvlJc w:val="left"/>
      <w:pPr>
        <w:ind w:left="6480" w:hanging="360"/>
      </w:pPr>
      <w:rPr>
        <w:rFonts w:ascii="Wingdings" w:hAnsi="Wingdings" w:hint="default"/>
      </w:rPr>
    </w:lvl>
  </w:abstractNum>
  <w:abstractNum w:abstractNumId="26" w15:restartNumberingAfterBreak="0">
    <w:nsid w:val="5DD86655"/>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A6461A"/>
    <w:multiLevelType w:val="hybridMultilevel"/>
    <w:tmpl w:val="DA7C4CE6"/>
    <w:lvl w:ilvl="0" w:tplc="04487D30">
      <w:numFmt w:val="bullet"/>
      <w:lvlText w:val="•"/>
      <w:lvlJc w:val="left"/>
      <w:pPr>
        <w:ind w:left="1080" w:hanging="720"/>
      </w:pPr>
      <w:rPr>
        <w:rFonts w:ascii="Times New Roman" w:eastAsiaTheme="minorHAnsi" w:hAnsi="Times New Roman" w:cs="Times New Roman" w:hint="default"/>
      </w:rPr>
    </w:lvl>
    <w:lvl w:ilvl="1" w:tplc="40102BCE" w:tentative="1">
      <w:start w:val="1"/>
      <w:numFmt w:val="bullet"/>
      <w:lvlText w:val="o"/>
      <w:lvlJc w:val="left"/>
      <w:pPr>
        <w:ind w:left="1440" w:hanging="360"/>
      </w:pPr>
      <w:rPr>
        <w:rFonts w:ascii="Courier New" w:hAnsi="Courier New" w:cs="Courier New" w:hint="default"/>
      </w:rPr>
    </w:lvl>
    <w:lvl w:ilvl="2" w:tplc="E96ECA9E" w:tentative="1">
      <w:start w:val="1"/>
      <w:numFmt w:val="bullet"/>
      <w:lvlText w:val=""/>
      <w:lvlJc w:val="left"/>
      <w:pPr>
        <w:ind w:left="2160" w:hanging="360"/>
      </w:pPr>
      <w:rPr>
        <w:rFonts w:ascii="Wingdings" w:hAnsi="Wingdings" w:hint="default"/>
      </w:rPr>
    </w:lvl>
    <w:lvl w:ilvl="3" w:tplc="AEDCAAAC" w:tentative="1">
      <w:start w:val="1"/>
      <w:numFmt w:val="bullet"/>
      <w:lvlText w:val=""/>
      <w:lvlJc w:val="left"/>
      <w:pPr>
        <w:ind w:left="2880" w:hanging="360"/>
      </w:pPr>
      <w:rPr>
        <w:rFonts w:ascii="Symbol" w:hAnsi="Symbol" w:hint="default"/>
      </w:rPr>
    </w:lvl>
    <w:lvl w:ilvl="4" w:tplc="1E88C2D8" w:tentative="1">
      <w:start w:val="1"/>
      <w:numFmt w:val="bullet"/>
      <w:lvlText w:val="o"/>
      <w:lvlJc w:val="left"/>
      <w:pPr>
        <w:ind w:left="3600" w:hanging="360"/>
      </w:pPr>
      <w:rPr>
        <w:rFonts w:ascii="Courier New" w:hAnsi="Courier New" w:cs="Courier New" w:hint="default"/>
      </w:rPr>
    </w:lvl>
    <w:lvl w:ilvl="5" w:tplc="502075D0" w:tentative="1">
      <w:start w:val="1"/>
      <w:numFmt w:val="bullet"/>
      <w:lvlText w:val=""/>
      <w:lvlJc w:val="left"/>
      <w:pPr>
        <w:ind w:left="4320" w:hanging="360"/>
      </w:pPr>
      <w:rPr>
        <w:rFonts w:ascii="Wingdings" w:hAnsi="Wingdings" w:hint="default"/>
      </w:rPr>
    </w:lvl>
    <w:lvl w:ilvl="6" w:tplc="320AF116" w:tentative="1">
      <w:start w:val="1"/>
      <w:numFmt w:val="bullet"/>
      <w:lvlText w:val=""/>
      <w:lvlJc w:val="left"/>
      <w:pPr>
        <w:ind w:left="5040" w:hanging="360"/>
      </w:pPr>
      <w:rPr>
        <w:rFonts w:ascii="Symbol" w:hAnsi="Symbol" w:hint="default"/>
      </w:rPr>
    </w:lvl>
    <w:lvl w:ilvl="7" w:tplc="776E2328" w:tentative="1">
      <w:start w:val="1"/>
      <w:numFmt w:val="bullet"/>
      <w:lvlText w:val="o"/>
      <w:lvlJc w:val="left"/>
      <w:pPr>
        <w:ind w:left="5760" w:hanging="360"/>
      </w:pPr>
      <w:rPr>
        <w:rFonts w:ascii="Courier New" w:hAnsi="Courier New" w:cs="Courier New" w:hint="default"/>
      </w:rPr>
    </w:lvl>
    <w:lvl w:ilvl="8" w:tplc="238AECD2" w:tentative="1">
      <w:start w:val="1"/>
      <w:numFmt w:val="bullet"/>
      <w:lvlText w:val=""/>
      <w:lvlJc w:val="left"/>
      <w:pPr>
        <w:ind w:left="6480" w:hanging="360"/>
      </w:pPr>
      <w:rPr>
        <w:rFonts w:ascii="Wingdings" w:hAnsi="Wingdings" w:hint="default"/>
      </w:rPr>
    </w:lvl>
  </w:abstractNum>
  <w:abstractNum w:abstractNumId="28" w15:restartNumberingAfterBreak="0">
    <w:nsid w:val="5F8C4AA8"/>
    <w:multiLevelType w:val="hybridMultilevel"/>
    <w:tmpl w:val="C186D91C"/>
    <w:lvl w:ilvl="0" w:tplc="3CFC125A">
      <w:numFmt w:val="bullet"/>
      <w:lvlText w:val="•"/>
      <w:lvlJc w:val="left"/>
      <w:pPr>
        <w:ind w:left="1080" w:hanging="720"/>
      </w:pPr>
      <w:rPr>
        <w:rFonts w:ascii="Times New Roman" w:eastAsiaTheme="minorHAnsi" w:hAnsi="Times New Roman" w:cs="Times New Roman" w:hint="default"/>
      </w:rPr>
    </w:lvl>
    <w:lvl w:ilvl="1" w:tplc="7A7E9260" w:tentative="1">
      <w:start w:val="1"/>
      <w:numFmt w:val="bullet"/>
      <w:lvlText w:val="o"/>
      <w:lvlJc w:val="left"/>
      <w:pPr>
        <w:ind w:left="1440" w:hanging="360"/>
      </w:pPr>
      <w:rPr>
        <w:rFonts w:ascii="Courier New" w:hAnsi="Courier New" w:cs="Courier New" w:hint="default"/>
      </w:rPr>
    </w:lvl>
    <w:lvl w:ilvl="2" w:tplc="DDCA3F9E" w:tentative="1">
      <w:start w:val="1"/>
      <w:numFmt w:val="bullet"/>
      <w:lvlText w:val=""/>
      <w:lvlJc w:val="left"/>
      <w:pPr>
        <w:ind w:left="2160" w:hanging="360"/>
      </w:pPr>
      <w:rPr>
        <w:rFonts w:ascii="Wingdings" w:hAnsi="Wingdings" w:hint="default"/>
      </w:rPr>
    </w:lvl>
    <w:lvl w:ilvl="3" w:tplc="F0B2A2C2" w:tentative="1">
      <w:start w:val="1"/>
      <w:numFmt w:val="bullet"/>
      <w:lvlText w:val=""/>
      <w:lvlJc w:val="left"/>
      <w:pPr>
        <w:ind w:left="2880" w:hanging="360"/>
      </w:pPr>
      <w:rPr>
        <w:rFonts w:ascii="Symbol" w:hAnsi="Symbol" w:hint="default"/>
      </w:rPr>
    </w:lvl>
    <w:lvl w:ilvl="4" w:tplc="5DE0BD56" w:tentative="1">
      <w:start w:val="1"/>
      <w:numFmt w:val="bullet"/>
      <w:lvlText w:val="o"/>
      <w:lvlJc w:val="left"/>
      <w:pPr>
        <w:ind w:left="3600" w:hanging="360"/>
      </w:pPr>
      <w:rPr>
        <w:rFonts w:ascii="Courier New" w:hAnsi="Courier New" w:cs="Courier New" w:hint="default"/>
      </w:rPr>
    </w:lvl>
    <w:lvl w:ilvl="5" w:tplc="2604B6E8" w:tentative="1">
      <w:start w:val="1"/>
      <w:numFmt w:val="bullet"/>
      <w:lvlText w:val=""/>
      <w:lvlJc w:val="left"/>
      <w:pPr>
        <w:ind w:left="4320" w:hanging="360"/>
      </w:pPr>
      <w:rPr>
        <w:rFonts w:ascii="Wingdings" w:hAnsi="Wingdings" w:hint="default"/>
      </w:rPr>
    </w:lvl>
    <w:lvl w:ilvl="6" w:tplc="8ED89B32" w:tentative="1">
      <w:start w:val="1"/>
      <w:numFmt w:val="bullet"/>
      <w:lvlText w:val=""/>
      <w:lvlJc w:val="left"/>
      <w:pPr>
        <w:ind w:left="5040" w:hanging="360"/>
      </w:pPr>
      <w:rPr>
        <w:rFonts w:ascii="Symbol" w:hAnsi="Symbol" w:hint="default"/>
      </w:rPr>
    </w:lvl>
    <w:lvl w:ilvl="7" w:tplc="67F0C08A" w:tentative="1">
      <w:start w:val="1"/>
      <w:numFmt w:val="bullet"/>
      <w:lvlText w:val="o"/>
      <w:lvlJc w:val="left"/>
      <w:pPr>
        <w:ind w:left="5760" w:hanging="360"/>
      </w:pPr>
      <w:rPr>
        <w:rFonts w:ascii="Courier New" w:hAnsi="Courier New" w:cs="Courier New" w:hint="default"/>
      </w:rPr>
    </w:lvl>
    <w:lvl w:ilvl="8" w:tplc="E0329F32" w:tentative="1">
      <w:start w:val="1"/>
      <w:numFmt w:val="bullet"/>
      <w:lvlText w:val=""/>
      <w:lvlJc w:val="left"/>
      <w:pPr>
        <w:ind w:left="6480" w:hanging="360"/>
      </w:pPr>
      <w:rPr>
        <w:rFonts w:ascii="Wingdings" w:hAnsi="Wingdings" w:hint="default"/>
      </w:rPr>
    </w:lvl>
  </w:abstractNum>
  <w:abstractNum w:abstractNumId="29" w15:restartNumberingAfterBreak="0">
    <w:nsid w:val="60EC1639"/>
    <w:multiLevelType w:val="hybridMultilevel"/>
    <w:tmpl w:val="8000DD70"/>
    <w:lvl w:ilvl="0" w:tplc="2460F1DC">
      <w:start w:val="1"/>
      <w:numFmt w:val="bullet"/>
      <w:lvlText w:val=""/>
      <w:lvlJc w:val="left"/>
      <w:pPr>
        <w:ind w:left="720" w:hanging="360"/>
      </w:pPr>
      <w:rPr>
        <w:rFonts w:ascii="Symbol" w:hAnsi="Symbol" w:hint="default"/>
      </w:rPr>
    </w:lvl>
    <w:lvl w:ilvl="1" w:tplc="23C48836" w:tentative="1">
      <w:start w:val="1"/>
      <w:numFmt w:val="bullet"/>
      <w:lvlText w:val="o"/>
      <w:lvlJc w:val="left"/>
      <w:pPr>
        <w:ind w:left="1440" w:hanging="360"/>
      </w:pPr>
      <w:rPr>
        <w:rFonts w:ascii="Courier New" w:hAnsi="Courier New" w:cs="Courier New" w:hint="default"/>
      </w:rPr>
    </w:lvl>
    <w:lvl w:ilvl="2" w:tplc="E376A124" w:tentative="1">
      <w:start w:val="1"/>
      <w:numFmt w:val="bullet"/>
      <w:lvlText w:val=""/>
      <w:lvlJc w:val="left"/>
      <w:pPr>
        <w:ind w:left="2160" w:hanging="360"/>
      </w:pPr>
      <w:rPr>
        <w:rFonts w:ascii="Wingdings" w:hAnsi="Wingdings" w:hint="default"/>
      </w:rPr>
    </w:lvl>
    <w:lvl w:ilvl="3" w:tplc="767A8506" w:tentative="1">
      <w:start w:val="1"/>
      <w:numFmt w:val="bullet"/>
      <w:lvlText w:val=""/>
      <w:lvlJc w:val="left"/>
      <w:pPr>
        <w:ind w:left="2880" w:hanging="360"/>
      </w:pPr>
      <w:rPr>
        <w:rFonts w:ascii="Symbol" w:hAnsi="Symbol" w:hint="default"/>
      </w:rPr>
    </w:lvl>
    <w:lvl w:ilvl="4" w:tplc="DB70EE9C" w:tentative="1">
      <w:start w:val="1"/>
      <w:numFmt w:val="bullet"/>
      <w:lvlText w:val="o"/>
      <w:lvlJc w:val="left"/>
      <w:pPr>
        <w:ind w:left="3600" w:hanging="360"/>
      </w:pPr>
      <w:rPr>
        <w:rFonts w:ascii="Courier New" w:hAnsi="Courier New" w:cs="Courier New" w:hint="default"/>
      </w:rPr>
    </w:lvl>
    <w:lvl w:ilvl="5" w:tplc="650E5F76" w:tentative="1">
      <w:start w:val="1"/>
      <w:numFmt w:val="bullet"/>
      <w:lvlText w:val=""/>
      <w:lvlJc w:val="left"/>
      <w:pPr>
        <w:ind w:left="4320" w:hanging="360"/>
      </w:pPr>
      <w:rPr>
        <w:rFonts w:ascii="Wingdings" w:hAnsi="Wingdings" w:hint="default"/>
      </w:rPr>
    </w:lvl>
    <w:lvl w:ilvl="6" w:tplc="9F6A4360" w:tentative="1">
      <w:start w:val="1"/>
      <w:numFmt w:val="bullet"/>
      <w:lvlText w:val=""/>
      <w:lvlJc w:val="left"/>
      <w:pPr>
        <w:ind w:left="5040" w:hanging="360"/>
      </w:pPr>
      <w:rPr>
        <w:rFonts w:ascii="Symbol" w:hAnsi="Symbol" w:hint="default"/>
      </w:rPr>
    </w:lvl>
    <w:lvl w:ilvl="7" w:tplc="3DD44600" w:tentative="1">
      <w:start w:val="1"/>
      <w:numFmt w:val="bullet"/>
      <w:lvlText w:val="o"/>
      <w:lvlJc w:val="left"/>
      <w:pPr>
        <w:ind w:left="5760" w:hanging="360"/>
      </w:pPr>
      <w:rPr>
        <w:rFonts w:ascii="Courier New" w:hAnsi="Courier New" w:cs="Courier New" w:hint="default"/>
      </w:rPr>
    </w:lvl>
    <w:lvl w:ilvl="8" w:tplc="FECA55A0" w:tentative="1">
      <w:start w:val="1"/>
      <w:numFmt w:val="bullet"/>
      <w:lvlText w:val=""/>
      <w:lvlJc w:val="left"/>
      <w:pPr>
        <w:ind w:left="6480" w:hanging="360"/>
      </w:pPr>
      <w:rPr>
        <w:rFonts w:ascii="Wingdings" w:hAnsi="Wingdings" w:hint="default"/>
      </w:rPr>
    </w:lvl>
  </w:abstractNum>
  <w:abstractNum w:abstractNumId="30" w15:restartNumberingAfterBreak="0">
    <w:nsid w:val="629A712D"/>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8F4C60"/>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A3540F"/>
    <w:multiLevelType w:val="hybridMultilevel"/>
    <w:tmpl w:val="18802DC2"/>
    <w:lvl w:ilvl="0" w:tplc="BC2A169C">
      <w:start w:val="1"/>
      <w:numFmt w:val="decimal"/>
      <w:lvlText w:val="%1."/>
      <w:lvlJc w:val="left"/>
      <w:pPr>
        <w:ind w:left="1080" w:hanging="720"/>
      </w:pPr>
      <w:rPr>
        <w:rFonts w:hint="default"/>
      </w:rPr>
    </w:lvl>
    <w:lvl w:ilvl="1" w:tplc="B1489CFE" w:tentative="1">
      <w:start w:val="1"/>
      <w:numFmt w:val="lowerLetter"/>
      <w:lvlText w:val="%2."/>
      <w:lvlJc w:val="left"/>
      <w:pPr>
        <w:ind w:left="1440" w:hanging="360"/>
      </w:pPr>
    </w:lvl>
    <w:lvl w:ilvl="2" w:tplc="5520134E" w:tentative="1">
      <w:start w:val="1"/>
      <w:numFmt w:val="lowerRoman"/>
      <w:lvlText w:val="%3."/>
      <w:lvlJc w:val="right"/>
      <w:pPr>
        <w:ind w:left="2160" w:hanging="180"/>
      </w:pPr>
    </w:lvl>
    <w:lvl w:ilvl="3" w:tplc="E58A7B66" w:tentative="1">
      <w:start w:val="1"/>
      <w:numFmt w:val="decimal"/>
      <w:lvlText w:val="%4."/>
      <w:lvlJc w:val="left"/>
      <w:pPr>
        <w:ind w:left="2880" w:hanging="360"/>
      </w:pPr>
    </w:lvl>
    <w:lvl w:ilvl="4" w:tplc="673CD78A" w:tentative="1">
      <w:start w:val="1"/>
      <w:numFmt w:val="lowerLetter"/>
      <w:lvlText w:val="%5."/>
      <w:lvlJc w:val="left"/>
      <w:pPr>
        <w:ind w:left="3600" w:hanging="360"/>
      </w:pPr>
    </w:lvl>
    <w:lvl w:ilvl="5" w:tplc="49689256" w:tentative="1">
      <w:start w:val="1"/>
      <w:numFmt w:val="lowerRoman"/>
      <w:lvlText w:val="%6."/>
      <w:lvlJc w:val="right"/>
      <w:pPr>
        <w:ind w:left="4320" w:hanging="180"/>
      </w:pPr>
    </w:lvl>
    <w:lvl w:ilvl="6" w:tplc="73368238" w:tentative="1">
      <w:start w:val="1"/>
      <w:numFmt w:val="decimal"/>
      <w:lvlText w:val="%7."/>
      <w:lvlJc w:val="left"/>
      <w:pPr>
        <w:ind w:left="5040" w:hanging="360"/>
      </w:pPr>
    </w:lvl>
    <w:lvl w:ilvl="7" w:tplc="1B5E2BE6" w:tentative="1">
      <w:start w:val="1"/>
      <w:numFmt w:val="lowerLetter"/>
      <w:lvlText w:val="%8."/>
      <w:lvlJc w:val="left"/>
      <w:pPr>
        <w:ind w:left="5760" w:hanging="360"/>
      </w:pPr>
    </w:lvl>
    <w:lvl w:ilvl="8" w:tplc="9B8012F8" w:tentative="1">
      <w:start w:val="1"/>
      <w:numFmt w:val="lowerRoman"/>
      <w:lvlText w:val="%9."/>
      <w:lvlJc w:val="right"/>
      <w:pPr>
        <w:ind w:left="6480" w:hanging="180"/>
      </w:pPr>
    </w:lvl>
  </w:abstractNum>
  <w:abstractNum w:abstractNumId="33" w15:restartNumberingAfterBreak="0">
    <w:nsid w:val="7470322B"/>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738628A"/>
    <w:multiLevelType w:val="multilevel"/>
    <w:tmpl w:val="2166C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C15389"/>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990AB7"/>
    <w:multiLevelType w:val="multilevel"/>
    <w:tmpl w:val="59E297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34"/>
  </w:num>
  <w:num w:numId="3">
    <w:abstractNumId w:val="6"/>
  </w:num>
  <w:num w:numId="4">
    <w:abstractNumId w:val="0"/>
  </w:num>
  <w:num w:numId="5">
    <w:abstractNumId w:val="13"/>
  </w:num>
  <w:num w:numId="6">
    <w:abstractNumId w:val="7"/>
  </w:num>
  <w:num w:numId="7">
    <w:abstractNumId w:val="31"/>
  </w:num>
  <w:num w:numId="8">
    <w:abstractNumId w:val="18"/>
  </w:num>
  <w:num w:numId="9">
    <w:abstractNumId w:val="14"/>
  </w:num>
  <w:num w:numId="10">
    <w:abstractNumId w:val="5"/>
  </w:num>
  <w:num w:numId="11">
    <w:abstractNumId w:val="36"/>
  </w:num>
  <w:num w:numId="12">
    <w:abstractNumId w:val="30"/>
  </w:num>
  <w:num w:numId="13">
    <w:abstractNumId w:val="16"/>
  </w:num>
  <w:num w:numId="14">
    <w:abstractNumId w:val="23"/>
  </w:num>
  <w:num w:numId="15">
    <w:abstractNumId w:val="10"/>
  </w:num>
  <w:num w:numId="16">
    <w:abstractNumId w:val="8"/>
  </w:num>
  <w:num w:numId="17">
    <w:abstractNumId w:val="32"/>
  </w:num>
  <w:num w:numId="18">
    <w:abstractNumId w:val="15"/>
  </w:num>
  <w:num w:numId="19">
    <w:abstractNumId w:val="22"/>
  </w:num>
  <w:num w:numId="20">
    <w:abstractNumId w:val="33"/>
  </w:num>
  <w:num w:numId="21">
    <w:abstractNumId w:val="26"/>
  </w:num>
  <w:num w:numId="22">
    <w:abstractNumId w:val="9"/>
  </w:num>
  <w:num w:numId="23">
    <w:abstractNumId w:val="35"/>
  </w:num>
  <w:num w:numId="24">
    <w:abstractNumId w:val="29"/>
  </w:num>
  <w:num w:numId="25">
    <w:abstractNumId w:val="27"/>
  </w:num>
  <w:num w:numId="26">
    <w:abstractNumId w:val="21"/>
  </w:num>
  <w:num w:numId="27">
    <w:abstractNumId w:val="24"/>
  </w:num>
  <w:num w:numId="28">
    <w:abstractNumId w:val="4"/>
  </w:num>
  <w:num w:numId="29">
    <w:abstractNumId w:val="2"/>
  </w:num>
  <w:num w:numId="30">
    <w:abstractNumId w:val="20"/>
  </w:num>
  <w:num w:numId="31">
    <w:abstractNumId w:val="12"/>
  </w:num>
  <w:num w:numId="32">
    <w:abstractNumId w:val="25"/>
  </w:num>
  <w:num w:numId="33">
    <w:abstractNumId w:val="28"/>
  </w:num>
  <w:num w:numId="34">
    <w:abstractNumId w:val="3"/>
  </w:num>
  <w:num w:numId="35">
    <w:abstractNumId w:val="17"/>
  </w:num>
  <w:num w:numId="36">
    <w:abstractNumId w:val="1"/>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Y1MzUyMDQ3MjEwMDFV0lEKTi0uzszPAykwqgUA2IHWjiwAAAA="/>
  </w:docVars>
  <w:rsids>
    <w:rsidRoot w:val="004C6497"/>
    <w:rsid w:val="00031CC8"/>
    <w:rsid w:val="00032680"/>
    <w:rsid w:val="00035D91"/>
    <w:rsid w:val="00040297"/>
    <w:rsid w:val="00041CE4"/>
    <w:rsid w:val="000478B1"/>
    <w:rsid w:val="00047B5B"/>
    <w:rsid w:val="000629BC"/>
    <w:rsid w:val="00097535"/>
    <w:rsid w:val="000B347B"/>
    <w:rsid w:val="000F4759"/>
    <w:rsid w:val="0011582B"/>
    <w:rsid w:val="00126790"/>
    <w:rsid w:val="00137D62"/>
    <w:rsid w:val="00143E21"/>
    <w:rsid w:val="00152A28"/>
    <w:rsid w:val="0016269D"/>
    <w:rsid w:val="0017205F"/>
    <w:rsid w:val="00183405"/>
    <w:rsid w:val="00185370"/>
    <w:rsid w:val="001A62EA"/>
    <w:rsid w:val="001B2374"/>
    <w:rsid w:val="001B4D7D"/>
    <w:rsid w:val="001C1862"/>
    <w:rsid w:val="001D2B48"/>
    <w:rsid w:val="001D2F6F"/>
    <w:rsid w:val="001D2FEB"/>
    <w:rsid w:val="001F0900"/>
    <w:rsid w:val="001F388F"/>
    <w:rsid w:val="00201A42"/>
    <w:rsid w:val="00231D0D"/>
    <w:rsid w:val="00235D13"/>
    <w:rsid w:val="002363C2"/>
    <w:rsid w:val="00237775"/>
    <w:rsid w:val="002605B4"/>
    <w:rsid w:val="00282643"/>
    <w:rsid w:val="00293FA0"/>
    <w:rsid w:val="002A0711"/>
    <w:rsid w:val="002A25C7"/>
    <w:rsid w:val="002A4D8B"/>
    <w:rsid w:val="002C2E07"/>
    <w:rsid w:val="002D1033"/>
    <w:rsid w:val="002E4DDB"/>
    <w:rsid w:val="002F7B62"/>
    <w:rsid w:val="00303124"/>
    <w:rsid w:val="00311740"/>
    <w:rsid w:val="00323A85"/>
    <w:rsid w:val="00337AC2"/>
    <w:rsid w:val="003579F3"/>
    <w:rsid w:val="00362E1B"/>
    <w:rsid w:val="00365C73"/>
    <w:rsid w:val="0036683F"/>
    <w:rsid w:val="003B25F6"/>
    <w:rsid w:val="003B6829"/>
    <w:rsid w:val="003B6DD9"/>
    <w:rsid w:val="003C26B2"/>
    <w:rsid w:val="003C76AD"/>
    <w:rsid w:val="003F75BA"/>
    <w:rsid w:val="00404F6F"/>
    <w:rsid w:val="00417F3E"/>
    <w:rsid w:val="00422D6C"/>
    <w:rsid w:val="00424FBC"/>
    <w:rsid w:val="004268A0"/>
    <w:rsid w:val="00432A8E"/>
    <w:rsid w:val="004369D2"/>
    <w:rsid w:val="00444F89"/>
    <w:rsid w:val="0046184F"/>
    <w:rsid w:val="00466FEB"/>
    <w:rsid w:val="00467F0C"/>
    <w:rsid w:val="00487D9B"/>
    <w:rsid w:val="004A0D7D"/>
    <w:rsid w:val="004A4476"/>
    <w:rsid w:val="004C3F29"/>
    <w:rsid w:val="004C6497"/>
    <w:rsid w:val="004D5455"/>
    <w:rsid w:val="004D779C"/>
    <w:rsid w:val="004E0220"/>
    <w:rsid w:val="004E46F4"/>
    <w:rsid w:val="004F4D03"/>
    <w:rsid w:val="004F7245"/>
    <w:rsid w:val="00521501"/>
    <w:rsid w:val="005341A2"/>
    <w:rsid w:val="00543720"/>
    <w:rsid w:val="0054564C"/>
    <w:rsid w:val="005505FC"/>
    <w:rsid w:val="00571E78"/>
    <w:rsid w:val="00576299"/>
    <w:rsid w:val="005A2B92"/>
    <w:rsid w:val="005B0BDD"/>
    <w:rsid w:val="005B4C59"/>
    <w:rsid w:val="005F3F78"/>
    <w:rsid w:val="005F5ABA"/>
    <w:rsid w:val="00603BAA"/>
    <w:rsid w:val="00636EF0"/>
    <w:rsid w:val="00637BC3"/>
    <w:rsid w:val="00641B1C"/>
    <w:rsid w:val="00652FF9"/>
    <w:rsid w:val="006530B2"/>
    <w:rsid w:val="0065587D"/>
    <w:rsid w:val="00670EF9"/>
    <w:rsid w:val="00671856"/>
    <w:rsid w:val="006738A0"/>
    <w:rsid w:val="0068125A"/>
    <w:rsid w:val="006868FF"/>
    <w:rsid w:val="006912EE"/>
    <w:rsid w:val="006965C7"/>
    <w:rsid w:val="006B222A"/>
    <w:rsid w:val="006D793B"/>
    <w:rsid w:val="0070011A"/>
    <w:rsid w:val="007141EF"/>
    <w:rsid w:val="007244C5"/>
    <w:rsid w:val="00734641"/>
    <w:rsid w:val="007439AC"/>
    <w:rsid w:val="00747D9A"/>
    <w:rsid w:val="00755EC7"/>
    <w:rsid w:val="00757B19"/>
    <w:rsid w:val="00764EB6"/>
    <w:rsid w:val="00765422"/>
    <w:rsid w:val="007675C1"/>
    <w:rsid w:val="007825DE"/>
    <w:rsid w:val="00787A12"/>
    <w:rsid w:val="007919B8"/>
    <w:rsid w:val="007A1100"/>
    <w:rsid w:val="007A36BE"/>
    <w:rsid w:val="00817B91"/>
    <w:rsid w:val="00830404"/>
    <w:rsid w:val="0084243C"/>
    <w:rsid w:val="00857CFF"/>
    <w:rsid w:val="008623E2"/>
    <w:rsid w:val="0087087F"/>
    <w:rsid w:val="00876328"/>
    <w:rsid w:val="00894789"/>
    <w:rsid w:val="008B7223"/>
    <w:rsid w:val="008C3095"/>
    <w:rsid w:val="008D2C4C"/>
    <w:rsid w:val="008E2B82"/>
    <w:rsid w:val="008E5946"/>
    <w:rsid w:val="00930D75"/>
    <w:rsid w:val="00930FAF"/>
    <w:rsid w:val="00934C98"/>
    <w:rsid w:val="00945C91"/>
    <w:rsid w:val="00950435"/>
    <w:rsid w:val="00990303"/>
    <w:rsid w:val="009A0378"/>
    <w:rsid w:val="009A2235"/>
    <w:rsid w:val="009A4BA3"/>
    <w:rsid w:val="009B5F9C"/>
    <w:rsid w:val="00A07A34"/>
    <w:rsid w:val="00A15DF9"/>
    <w:rsid w:val="00A30907"/>
    <w:rsid w:val="00A351A1"/>
    <w:rsid w:val="00A40859"/>
    <w:rsid w:val="00A506AF"/>
    <w:rsid w:val="00A64A07"/>
    <w:rsid w:val="00A737AB"/>
    <w:rsid w:val="00A76A65"/>
    <w:rsid w:val="00AA6CF6"/>
    <w:rsid w:val="00AC0D03"/>
    <w:rsid w:val="00AF6AD7"/>
    <w:rsid w:val="00B56DD3"/>
    <w:rsid w:val="00B621FF"/>
    <w:rsid w:val="00B63E50"/>
    <w:rsid w:val="00B97010"/>
    <w:rsid w:val="00BA5705"/>
    <w:rsid w:val="00BB671B"/>
    <w:rsid w:val="00BC5A19"/>
    <w:rsid w:val="00C233F6"/>
    <w:rsid w:val="00C31FE2"/>
    <w:rsid w:val="00C44FBB"/>
    <w:rsid w:val="00C50C05"/>
    <w:rsid w:val="00C73157"/>
    <w:rsid w:val="00C80989"/>
    <w:rsid w:val="00C81F4D"/>
    <w:rsid w:val="00C8473C"/>
    <w:rsid w:val="00CA6D76"/>
    <w:rsid w:val="00CD1335"/>
    <w:rsid w:val="00CF6B57"/>
    <w:rsid w:val="00CF72FA"/>
    <w:rsid w:val="00D0723F"/>
    <w:rsid w:val="00D14DC3"/>
    <w:rsid w:val="00D45B2D"/>
    <w:rsid w:val="00D56EBC"/>
    <w:rsid w:val="00D56F48"/>
    <w:rsid w:val="00D62AD0"/>
    <w:rsid w:val="00D728DA"/>
    <w:rsid w:val="00D72E6C"/>
    <w:rsid w:val="00D74C50"/>
    <w:rsid w:val="00DA3153"/>
    <w:rsid w:val="00DB3E4A"/>
    <w:rsid w:val="00DC4D4D"/>
    <w:rsid w:val="00DD2865"/>
    <w:rsid w:val="00DE62B3"/>
    <w:rsid w:val="00E01E0A"/>
    <w:rsid w:val="00E127DE"/>
    <w:rsid w:val="00E33D54"/>
    <w:rsid w:val="00E33F3D"/>
    <w:rsid w:val="00E40C3A"/>
    <w:rsid w:val="00E435DC"/>
    <w:rsid w:val="00E47AF0"/>
    <w:rsid w:val="00E50BA3"/>
    <w:rsid w:val="00E638BC"/>
    <w:rsid w:val="00E72A4C"/>
    <w:rsid w:val="00E81ED8"/>
    <w:rsid w:val="00E873E6"/>
    <w:rsid w:val="00E97FF8"/>
    <w:rsid w:val="00EA749D"/>
    <w:rsid w:val="00EB1E13"/>
    <w:rsid w:val="00EB4C51"/>
    <w:rsid w:val="00EB6890"/>
    <w:rsid w:val="00ED246F"/>
    <w:rsid w:val="00EE207A"/>
    <w:rsid w:val="00EE54C8"/>
    <w:rsid w:val="00EF4B4E"/>
    <w:rsid w:val="00F0478A"/>
    <w:rsid w:val="00F11379"/>
    <w:rsid w:val="00F14AC4"/>
    <w:rsid w:val="00F251A7"/>
    <w:rsid w:val="00F27A80"/>
    <w:rsid w:val="00F3013A"/>
    <w:rsid w:val="00F37C34"/>
    <w:rsid w:val="00F400DC"/>
    <w:rsid w:val="00F479BF"/>
    <w:rsid w:val="00F55996"/>
    <w:rsid w:val="00F9379B"/>
    <w:rsid w:val="00FC78B8"/>
    <w:rsid w:val="00FF4B5C"/>
    <w:rsid w:val="00FF7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30A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C98"/>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54564C"/>
    <w:pPr>
      <w:keepNext/>
      <w:keepLines/>
      <w:spacing w:before="480" w:after="0"/>
      <w:outlineLvl w:val="0"/>
    </w:pPr>
    <w:rPr>
      <w:rFonts w:eastAsiaTheme="majorEastAsia" w:cstheme="majorBidi"/>
      <w:b/>
      <w:bCs/>
      <w:i/>
      <w:color w:val="000000" w:themeColor="text1"/>
      <w:szCs w:val="28"/>
    </w:rPr>
  </w:style>
  <w:style w:type="paragraph" w:styleId="Heading2">
    <w:name w:val="heading 2"/>
    <w:basedOn w:val="Normal"/>
    <w:link w:val="Heading2Char"/>
    <w:uiPriority w:val="9"/>
    <w:qFormat/>
    <w:rsid w:val="0054564C"/>
    <w:pPr>
      <w:spacing w:before="100" w:beforeAutospacing="1" w:after="100" w:afterAutospacing="1" w:line="240" w:lineRule="auto"/>
      <w:outlineLvl w:val="1"/>
    </w:pPr>
    <w:rPr>
      <w:rFonts w:eastAsia="Times New Roman" w:cs="Times New Roman"/>
      <w:bCs/>
      <w:i/>
      <w:color w:val="000000" w:themeColor="text1"/>
      <w:szCs w:val="36"/>
    </w:rPr>
  </w:style>
  <w:style w:type="paragraph" w:styleId="Heading3">
    <w:name w:val="heading 3"/>
    <w:basedOn w:val="Normal"/>
    <w:next w:val="Normal"/>
    <w:link w:val="Heading3Char"/>
    <w:uiPriority w:val="9"/>
    <w:unhideWhenUsed/>
    <w:qFormat/>
    <w:rsid w:val="0054564C"/>
    <w:pPr>
      <w:keepNext/>
      <w:keepLines/>
      <w:spacing w:before="200" w:after="0"/>
      <w:ind w:left="720"/>
      <w:outlineLvl w:val="2"/>
    </w:pPr>
    <w:rPr>
      <w:rFonts w:eastAsiaTheme="majorEastAsia" w:cstheme="majorBidi"/>
      <w:bCs/>
      <w:color w:val="000000" w:themeColor="text1"/>
    </w:rPr>
  </w:style>
  <w:style w:type="paragraph" w:styleId="Heading4">
    <w:name w:val="heading 4"/>
    <w:basedOn w:val="Normal"/>
    <w:next w:val="Normal"/>
    <w:link w:val="Heading4Char"/>
    <w:uiPriority w:val="9"/>
    <w:unhideWhenUsed/>
    <w:qFormat/>
    <w:rsid w:val="00417F3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C6497"/>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4C6497"/>
    <w:rPr>
      <w:rFonts w:eastAsiaTheme="minorEastAsia"/>
      <w:lang w:eastAsia="ja-JP"/>
    </w:rPr>
  </w:style>
  <w:style w:type="paragraph" w:styleId="BalloonText">
    <w:name w:val="Balloon Text"/>
    <w:basedOn w:val="Normal"/>
    <w:link w:val="BalloonTextChar"/>
    <w:uiPriority w:val="99"/>
    <w:semiHidden/>
    <w:unhideWhenUsed/>
    <w:rsid w:val="004C64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497"/>
    <w:rPr>
      <w:rFonts w:ascii="Tahoma" w:hAnsi="Tahoma" w:cs="Tahoma"/>
      <w:sz w:val="16"/>
      <w:szCs w:val="16"/>
    </w:rPr>
  </w:style>
  <w:style w:type="paragraph" w:styleId="Header">
    <w:name w:val="header"/>
    <w:basedOn w:val="Normal"/>
    <w:link w:val="HeaderChar"/>
    <w:uiPriority w:val="99"/>
    <w:unhideWhenUsed/>
    <w:rsid w:val="008623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3E2"/>
  </w:style>
  <w:style w:type="paragraph" w:styleId="Footer">
    <w:name w:val="footer"/>
    <w:basedOn w:val="Normal"/>
    <w:link w:val="FooterChar"/>
    <w:uiPriority w:val="99"/>
    <w:unhideWhenUsed/>
    <w:rsid w:val="008623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3E2"/>
  </w:style>
  <w:style w:type="character" w:styleId="Hyperlink">
    <w:name w:val="Hyperlink"/>
    <w:basedOn w:val="DefaultParagraphFont"/>
    <w:uiPriority w:val="99"/>
    <w:unhideWhenUsed/>
    <w:rsid w:val="008623E2"/>
    <w:rPr>
      <w:color w:val="0000FF"/>
      <w:u w:val="single"/>
    </w:rPr>
  </w:style>
  <w:style w:type="paragraph" w:styleId="NormalWeb">
    <w:name w:val="Normal (Web)"/>
    <w:basedOn w:val="Normal"/>
    <w:uiPriority w:val="99"/>
    <w:unhideWhenUsed/>
    <w:rsid w:val="00E435DC"/>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571E78"/>
    <w:rPr>
      <w:b/>
      <w:bCs/>
    </w:rPr>
  </w:style>
  <w:style w:type="character" w:styleId="Emphasis">
    <w:name w:val="Emphasis"/>
    <w:basedOn w:val="DefaultParagraphFont"/>
    <w:uiPriority w:val="20"/>
    <w:qFormat/>
    <w:rsid w:val="00E50BA3"/>
    <w:rPr>
      <w:i/>
      <w:iCs/>
    </w:rPr>
  </w:style>
  <w:style w:type="character" w:customStyle="1" w:styleId="Heading2Char">
    <w:name w:val="Heading 2 Char"/>
    <w:basedOn w:val="DefaultParagraphFont"/>
    <w:link w:val="Heading2"/>
    <w:uiPriority w:val="9"/>
    <w:rsid w:val="0054564C"/>
    <w:rPr>
      <w:rFonts w:ascii="Times New Roman" w:eastAsia="Times New Roman" w:hAnsi="Times New Roman" w:cs="Times New Roman"/>
      <w:bCs/>
      <w:i/>
      <w:color w:val="000000" w:themeColor="text1"/>
      <w:sz w:val="24"/>
      <w:szCs w:val="36"/>
    </w:rPr>
  </w:style>
  <w:style w:type="character" w:customStyle="1" w:styleId="Heading1Char">
    <w:name w:val="Heading 1 Char"/>
    <w:basedOn w:val="DefaultParagraphFont"/>
    <w:link w:val="Heading1"/>
    <w:uiPriority w:val="9"/>
    <w:rsid w:val="0054564C"/>
    <w:rPr>
      <w:rFonts w:ascii="Times New Roman" w:eastAsiaTheme="majorEastAsia" w:hAnsi="Times New Roman" w:cstheme="majorBidi"/>
      <w:b/>
      <w:bCs/>
      <w:i/>
      <w:color w:val="000000" w:themeColor="text1"/>
      <w:sz w:val="24"/>
      <w:szCs w:val="28"/>
    </w:rPr>
  </w:style>
  <w:style w:type="character" w:customStyle="1" w:styleId="Heading3Char">
    <w:name w:val="Heading 3 Char"/>
    <w:basedOn w:val="DefaultParagraphFont"/>
    <w:link w:val="Heading3"/>
    <w:uiPriority w:val="9"/>
    <w:rsid w:val="0054564C"/>
    <w:rPr>
      <w:rFonts w:ascii="Times New Roman" w:eastAsiaTheme="majorEastAsia" w:hAnsi="Times New Roman" w:cstheme="majorBidi"/>
      <w:bCs/>
      <w:color w:val="000000" w:themeColor="text1"/>
      <w:sz w:val="24"/>
    </w:rPr>
  </w:style>
  <w:style w:type="paragraph" w:styleId="ListParagraph">
    <w:name w:val="List Paragraph"/>
    <w:basedOn w:val="Normal"/>
    <w:uiPriority w:val="34"/>
    <w:qFormat/>
    <w:rsid w:val="002A25C7"/>
    <w:pPr>
      <w:ind w:left="720"/>
      <w:contextualSpacing/>
    </w:pPr>
  </w:style>
  <w:style w:type="paragraph" w:styleId="TOCHeading">
    <w:name w:val="TOC Heading"/>
    <w:basedOn w:val="Heading1"/>
    <w:next w:val="Normal"/>
    <w:uiPriority w:val="39"/>
    <w:semiHidden/>
    <w:unhideWhenUsed/>
    <w:qFormat/>
    <w:rsid w:val="00E873E6"/>
    <w:pPr>
      <w:outlineLvl w:val="9"/>
    </w:pPr>
    <w:rPr>
      <w:lang w:eastAsia="ja-JP"/>
    </w:rPr>
  </w:style>
  <w:style w:type="paragraph" w:styleId="TOC1">
    <w:name w:val="toc 1"/>
    <w:basedOn w:val="Normal"/>
    <w:next w:val="Normal"/>
    <w:autoRedefine/>
    <w:uiPriority w:val="39"/>
    <w:unhideWhenUsed/>
    <w:rsid w:val="00E873E6"/>
    <w:pPr>
      <w:spacing w:after="100"/>
    </w:pPr>
  </w:style>
  <w:style w:type="paragraph" w:styleId="TOC3">
    <w:name w:val="toc 3"/>
    <w:basedOn w:val="Normal"/>
    <w:next w:val="Normal"/>
    <w:autoRedefine/>
    <w:uiPriority w:val="39"/>
    <w:unhideWhenUsed/>
    <w:rsid w:val="00E873E6"/>
    <w:pPr>
      <w:spacing w:after="100"/>
      <w:ind w:left="440"/>
    </w:pPr>
  </w:style>
  <w:style w:type="paragraph" w:styleId="TOC2">
    <w:name w:val="toc 2"/>
    <w:basedOn w:val="Normal"/>
    <w:next w:val="Normal"/>
    <w:autoRedefine/>
    <w:uiPriority w:val="39"/>
    <w:unhideWhenUsed/>
    <w:rsid w:val="00E873E6"/>
    <w:pPr>
      <w:spacing w:after="100"/>
      <w:ind w:left="220"/>
    </w:pPr>
  </w:style>
  <w:style w:type="character" w:customStyle="1" w:styleId="Heading4Char">
    <w:name w:val="Heading 4 Char"/>
    <w:basedOn w:val="DefaultParagraphFont"/>
    <w:link w:val="Heading4"/>
    <w:uiPriority w:val="9"/>
    <w:rsid w:val="00417F3E"/>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298C8-D471-4D46-8D61-C75188983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85597</Words>
  <Characters>487907</Characters>
  <Application>Microsoft Office Word</Application>
  <DocSecurity>0</DocSecurity>
  <Lines>4065</Lines>
  <Paragraphs>1144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2021-01-07T18:19:00Z</dcterms:created>
  <dcterms:modified xsi:type="dcterms:W3CDTF">2021-01-07T18:19:00Z</dcterms:modified>
</cp:coreProperties>
</file>