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FEB9A" w14:textId="00C43BCE" w:rsidR="00EB25E0" w:rsidRDefault="00A60096">
      <w:r w:rsidRPr="00A406E5">
        <w:rPr>
          <w:rFonts w:ascii="Arial" w:hAnsi="Arial" w:cs="Arial"/>
          <w:noProof/>
        </w:rPr>
        <w:drawing>
          <wp:anchor distT="0" distB="0" distL="114300" distR="114300" simplePos="0" relativeHeight="251659264" behindDoc="0" locked="0" layoutInCell="1" allowOverlap="1" wp14:anchorId="31A6A17A" wp14:editId="6C5E2C76">
            <wp:simplePos x="0" y="0"/>
            <wp:positionH relativeFrom="column">
              <wp:posOffset>-571500</wp:posOffset>
            </wp:positionH>
            <wp:positionV relativeFrom="paragraph">
              <wp:posOffset>-548640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033705D0" w14:textId="70E6A3F9" w:rsidR="00A60096" w:rsidRPr="00A60096" w:rsidRDefault="00A60096" w:rsidP="00A60096"/>
    <w:p w14:paraId="5B2D81A0" w14:textId="7BD2B382" w:rsidR="00A60096" w:rsidRPr="00A60096" w:rsidRDefault="00A60096" w:rsidP="00A60096"/>
    <w:p w14:paraId="5D3D8101" w14:textId="1B8AEA18" w:rsidR="00A60096" w:rsidRDefault="00A60096" w:rsidP="00A60096"/>
    <w:p w14:paraId="3B434F52" w14:textId="14A1F7BF" w:rsidR="00A60096" w:rsidRPr="00A60096" w:rsidRDefault="00A60096" w:rsidP="00A60096">
      <w:pPr>
        <w:pStyle w:val="IntenseQuote"/>
        <w:rPr>
          <w:sz w:val="32"/>
          <w:szCs w:val="32"/>
        </w:rPr>
      </w:pPr>
    </w:p>
    <w:p w14:paraId="1043859F" w14:textId="2A0A92C1" w:rsidR="00A60096" w:rsidRPr="00A60096" w:rsidRDefault="008C78CA" w:rsidP="00A60096">
      <w:pPr>
        <w:pStyle w:val="IntenseQuote"/>
        <w:rPr>
          <w:sz w:val="32"/>
          <w:szCs w:val="32"/>
        </w:rPr>
      </w:pPr>
      <w:r>
        <w:rPr>
          <w:sz w:val="32"/>
          <w:szCs w:val="32"/>
        </w:rPr>
        <w:t>LAW AND LEGAL PRACTICE</w:t>
      </w:r>
    </w:p>
    <w:p w14:paraId="779A1CE1" w14:textId="5DE2D7C6" w:rsidR="00A60096" w:rsidRPr="00A60096" w:rsidRDefault="008C78CA" w:rsidP="00A60096">
      <w:pPr>
        <w:pStyle w:val="IntenseQuote"/>
        <w:rPr>
          <w:sz w:val="32"/>
          <w:szCs w:val="32"/>
        </w:rPr>
      </w:pPr>
      <w:r>
        <w:rPr>
          <w:sz w:val="32"/>
          <w:szCs w:val="32"/>
        </w:rPr>
        <w:t>Principles of Professional Legal Practice</w:t>
      </w:r>
    </w:p>
    <w:p w14:paraId="2B33141A" w14:textId="50085F1D" w:rsidR="00A60096" w:rsidRDefault="008C78CA" w:rsidP="00A60096">
      <w:pPr>
        <w:pStyle w:val="IntenseQuote"/>
        <w:rPr>
          <w:sz w:val="32"/>
          <w:szCs w:val="32"/>
        </w:rPr>
      </w:pPr>
      <w:r>
        <w:rPr>
          <w:sz w:val="32"/>
          <w:szCs w:val="32"/>
        </w:rPr>
        <w:t>BMLW4001</w:t>
      </w:r>
    </w:p>
    <w:p w14:paraId="5F1908D7" w14:textId="5E750FD2" w:rsidR="00A60096" w:rsidRDefault="00A60096" w:rsidP="00A60096"/>
    <w:p w14:paraId="4BECE4D3" w14:textId="5A133DF4" w:rsidR="00A60096" w:rsidRDefault="00A60096" w:rsidP="00A60096"/>
    <w:p w14:paraId="2F3CA889" w14:textId="451A6304" w:rsidR="00A60096" w:rsidRDefault="00A60096" w:rsidP="00A60096"/>
    <w:p w14:paraId="205562BA" w14:textId="06B93DFC" w:rsidR="00A60096" w:rsidRDefault="00A60096" w:rsidP="00A60096"/>
    <w:p w14:paraId="0B8B99CF" w14:textId="05984297" w:rsidR="00A60096" w:rsidRDefault="00A60096" w:rsidP="00A60096"/>
    <w:p w14:paraId="3D3F4AA9" w14:textId="40200AE3" w:rsidR="00A60096" w:rsidRDefault="00A60096" w:rsidP="00A60096"/>
    <w:p w14:paraId="284E89F9" w14:textId="680FD153" w:rsidR="00A60096" w:rsidRDefault="00A60096" w:rsidP="00A60096"/>
    <w:p w14:paraId="41DE3C03" w14:textId="05B11749" w:rsidR="00A60096" w:rsidRDefault="00A60096" w:rsidP="00A60096"/>
    <w:p w14:paraId="75D6F6FA" w14:textId="52CDBC25" w:rsidR="00A60096" w:rsidRDefault="00A60096" w:rsidP="00A60096"/>
    <w:p w14:paraId="39B7C3DD" w14:textId="59E1C8C1" w:rsidR="00A60096" w:rsidRDefault="00A60096" w:rsidP="00A60096"/>
    <w:p w14:paraId="45DF7B4A" w14:textId="2989A44B" w:rsidR="00A60096" w:rsidRDefault="00A60096" w:rsidP="00A60096"/>
    <w:p w14:paraId="2070A5FE" w14:textId="1C9CC576" w:rsidR="00A60096" w:rsidRDefault="00A60096" w:rsidP="00A60096"/>
    <w:p w14:paraId="454FFE95" w14:textId="28E6753E" w:rsidR="00A60096" w:rsidRDefault="00A60096" w:rsidP="00A60096"/>
    <w:p w14:paraId="2C2CA092" w14:textId="4718BABC" w:rsidR="00A60096" w:rsidRDefault="00A60096" w:rsidP="00A60096"/>
    <w:p w14:paraId="1AC092E5" w14:textId="68D01170" w:rsidR="00A60096" w:rsidRDefault="00A60096" w:rsidP="00A60096"/>
    <w:p w14:paraId="49AF4D45" w14:textId="62624238" w:rsidR="00A765A2" w:rsidRDefault="00A765A2" w:rsidP="00C30F2C"/>
    <w:p w14:paraId="6E934BF6" w14:textId="6D270962" w:rsidR="008C78CA" w:rsidRDefault="00E834EF" w:rsidP="001E2BDD">
      <w:pPr>
        <w:ind w:firstLine="720"/>
        <w:jc w:val="both"/>
      </w:pPr>
      <w:r w:rsidRPr="00E834EF">
        <w:lastRenderedPageBreak/>
        <w:t>Diversity in the workplace is about ending bias and fostering fair treatment for all employees. Issues of hiring and firing, as well as discrimination against individuals and organisations, fall under this umbrella of human rights law.</w:t>
      </w:r>
      <w:r w:rsidR="00130266">
        <w:t xml:space="preserve"> </w:t>
      </w:r>
      <w:r w:rsidR="00130266" w:rsidRPr="00130266">
        <w:t>Globalisation, generational transitions, and technological progress have all contributed to a commercial and legal environment that is always evolving and becoming more difficult for modern enterprises. While many businesses have realised that a more diverse and inclusive workforce helps them better meet these challenges, the legal profession has been slow to catch up.</w:t>
      </w:r>
      <w:r w:rsidR="00B42D55">
        <w:t xml:space="preserve"> (Grillo, 2016)</w:t>
      </w:r>
    </w:p>
    <w:p w14:paraId="57DBF57F" w14:textId="2F828B24" w:rsidR="00E834EF" w:rsidRDefault="00E834EF" w:rsidP="00B42D55">
      <w:pPr>
        <w:ind w:firstLine="720"/>
        <w:jc w:val="both"/>
      </w:pPr>
      <w:r>
        <w:t xml:space="preserve">The Equality Act of 2010 establishes the legal basis for promoting and enforcing equality in the workplace in the United Kingdom. </w:t>
      </w:r>
      <w:r w:rsidR="00B42D55">
        <w:t>According to Bernal (2015), m</w:t>
      </w:r>
      <w:r>
        <w:t>ost contemporary law firms are actively working to enhance and promote their diversity policy, as do other businesses which are compelled to follow equal employment guidelines.</w:t>
      </w:r>
    </w:p>
    <w:p w14:paraId="5D1D32D8" w14:textId="73A3F408" w:rsidR="00E834EF" w:rsidRDefault="00130266" w:rsidP="00B42D55">
      <w:pPr>
        <w:ind w:firstLine="720"/>
        <w:jc w:val="both"/>
      </w:pPr>
      <w:r>
        <w:t xml:space="preserve">Grillo (2016) identifies several types of </w:t>
      </w:r>
      <w:r w:rsidR="00E834EF">
        <w:t>examples of diversity</w:t>
      </w:r>
      <w:r>
        <w:t xml:space="preserve"> among which are</w:t>
      </w:r>
      <w:r w:rsidR="004E641D" w:rsidRPr="004E641D">
        <w:t xml:space="preserve"> </w:t>
      </w:r>
      <w:r w:rsidR="00B2418B">
        <w:t>d</w:t>
      </w:r>
      <w:r w:rsidR="004E641D">
        <w:t xml:space="preserve">isability, </w:t>
      </w:r>
      <w:r w:rsidR="00B2418B">
        <w:t>a</w:t>
      </w:r>
      <w:r w:rsidR="004E641D">
        <w:t xml:space="preserve">ge, </w:t>
      </w:r>
      <w:r w:rsidR="00B2418B">
        <w:t>s</w:t>
      </w:r>
      <w:r w:rsidR="004E641D">
        <w:t xml:space="preserve">ex, </w:t>
      </w:r>
      <w:r w:rsidR="00B2418B">
        <w:t>s</w:t>
      </w:r>
      <w:r w:rsidR="004E641D">
        <w:t xml:space="preserve">exual orientation, </w:t>
      </w:r>
      <w:r w:rsidR="00B2418B">
        <w:t>r</w:t>
      </w:r>
      <w:r w:rsidR="004E641D">
        <w:t xml:space="preserve">ace, </w:t>
      </w:r>
      <w:r w:rsidR="00B2418B">
        <w:t>r</w:t>
      </w:r>
      <w:r w:rsidR="004E641D">
        <w:t xml:space="preserve">eligion and belief, </w:t>
      </w:r>
      <w:r w:rsidR="00B2418B">
        <w:t>g</w:t>
      </w:r>
      <w:r w:rsidR="004E641D">
        <w:t xml:space="preserve">ender reassignment, </w:t>
      </w:r>
      <w:r w:rsidR="00B2418B">
        <w:t>s</w:t>
      </w:r>
      <w:r w:rsidR="004E641D">
        <w:t xml:space="preserve">ocial mobility, </w:t>
      </w:r>
      <w:r w:rsidR="00B2418B">
        <w:t>m</w:t>
      </w:r>
      <w:r w:rsidR="004E641D">
        <w:t xml:space="preserve">arriage and civil partnership, </w:t>
      </w:r>
      <w:proofErr w:type="gramStart"/>
      <w:r w:rsidR="00B2418B">
        <w:t>p</w:t>
      </w:r>
      <w:r w:rsidR="004E641D">
        <w:t>regnancy</w:t>
      </w:r>
      <w:proofErr w:type="gramEnd"/>
      <w:r w:rsidR="004E641D">
        <w:t xml:space="preserve"> and maternity.</w:t>
      </w:r>
    </w:p>
    <w:p w14:paraId="595AF31D" w14:textId="18F3B6CE" w:rsidR="00E834EF" w:rsidRDefault="00E834EF" w:rsidP="00B42D55">
      <w:pPr>
        <w:ind w:firstLine="720"/>
        <w:jc w:val="both"/>
      </w:pPr>
      <w:r>
        <w:t>The legal profession has long been stereotyped as exclusive to white men from privileged backgrounds. The modern legal profession, however, is taking steps to end prejudice, expand access to the field, and ensure that all qualified applicants are given a fair shot at employment.</w:t>
      </w:r>
      <w:r w:rsidR="00B42D55">
        <w:t xml:space="preserve"> (Gazette </w:t>
      </w:r>
      <w:proofErr w:type="spellStart"/>
      <w:r w:rsidR="00B42D55">
        <w:t>Newdesk</w:t>
      </w:r>
      <w:proofErr w:type="spellEnd"/>
      <w:r w:rsidR="00B42D55">
        <w:t>, 2016)</w:t>
      </w:r>
    </w:p>
    <w:p w14:paraId="1688404B" w14:textId="77777777" w:rsidR="00B42D55" w:rsidRDefault="00E834EF" w:rsidP="00B42D55">
      <w:pPr>
        <w:ind w:firstLine="720"/>
        <w:jc w:val="both"/>
      </w:pPr>
      <w:r>
        <w:t>The Solicitors Regulation Authority (SRA), which regulates the solicitors' profession in England and Wales, has established diversity rules that must be met by law firms during the hiring process and in the workplace. The SRA has stated its public sector responsibility regarding diversity and equality as follows, and it maintains close relationships with a variety of representative groups of protected characteristics</w:t>
      </w:r>
      <w:r w:rsidR="00B42D55">
        <w:t>:</w:t>
      </w:r>
    </w:p>
    <w:p w14:paraId="648971E3" w14:textId="77777777" w:rsidR="00B42D55" w:rsidRDefault="00E834EF" w:rsidP="00B2418B">
      <w:pPr>
        <w:pStyle w:val="ListParagraph"/>
        <w:numPr>
          <w:ilvl w:val="0"/>
          <w:numId w:val="2"/>
        </w:numPr>
        <w:jc w:val="both"/>
      </w:pPr>
      <w:r>
        <w:t>End all forms of discrimination, harassment, and victimisation that are against the law.</w:t>
      </w:r>
    </w:p>
    <w:p w14:paraId="4ED7208F" w14:textId="77777777" w:rsidR="00B42D55" w:rsidRDefault="00E834EF" w:rsidP="00B2418B">
      <w:pPr>
        <w:pStyle w:val="ListParagraph"/>
        <w:numPr>
          <w:ilvl w:val="0"/>
          <w:numId w:val="2"/>
        </w:numPr>
        <w:jc w:val="both"/>
      </w:pPr>
      <w:r>
        <w:t>Work to ensure that people of all backgrounds have the same access to opportunities regardless of their protected status.</w:t>
      </w:r>
    </w:p>
    <w:p w14:paraId="0E814C86" w14:textId="77777777" w:rsidR="00B42D55" w:rsidRDefault="00E834EF" w:rsidP="00B2418B">
      <w:pPr>
        <w:pStyle w:val="ListParagraph"/>
        <w:numPr>
          <w:ilvl w:val="0"/>
          <w:numId w:val="2"/>
        </w:numPr>
        <w:jc w:val="both"/>
      </w:pPr>
      <w:r>
        <w:t>Encourage cordial interactions between groups that share a protected characteristic and those who do not.</w:t>
      </w:r>
    </w:p>
    <w:p w14:paraId="6C6CCB30" w14:textId="77A651B7" w:rsidR="003137D6" w:rsidRDefault="00E834EF" w:rsidP="00B42D55">
      <w:pPr>
        <w:ind w:firstLine="720"/>
        <w:jc w:val="both"/>
      </w:pPr>
      <w:r>
        <w:t>The Law Society does a lot to promote and support the SRA's rules and regulations, and it even has special branches devoted to helping specific types of attorneys, such as those from underrepresented groups, those with special needs, new lawyers, and women.</w:t>
      </w:r>
    </w:p>
    <w:p w14:paraId="0FD59357" w14:textId="77777777" w:rsidR="008D3CD5" w:rsidRDefault="008D3CD5" w:rsidP="008D3CD5">
      <w:pPr>
        <w:ind w:firstLine="720"/>
        <w:jc w:val="both"/>
      </w:pPr>
      <w:r w:rsidRPr="008D3CD5">
        <w:t>However, there are some demographics that are under-represented. It appears that the percentage of disabled lawyers in the UK is significantly lower than the national average. According to research conducted at Cardiff University</w:t>
      </w:r>
      <w:r>
        <w:t xml:space="preserve"> by Prof. Foster Deborah (2020)</w:t>
      </w:r>
      <w:r w:rsidRPr="008D3CD5">
        <w:t xml:space="preserve">, disabled lawyers are subjected to daily discrimination </w:t>
      </w:r>
      <w:proofErr w:type="gramStart"/>
      <w:r w:rsidRPr="008D3CD5">
        <w:t>on the basis of</w:t>
      </w:r>
      <w:proofErr w:type="gramEnd"/>
      <w:r w:rsidRPr="008D3CD5">
        <w:t xml:space="preserve"> both overt prejudice and subtle forms of bias. Forty percent of UK-educated notaries, 37 percent of barristers, and 21 percent of solicitors received their education in a fee-charging institution. The average for the UK population is 7%, thus this is lower than that.</w:t>
      </w:r>
    </w:p>
    <w:p w14:paraId="7BE7430E" w14:textId="64EDBF6D" w:rsidR="003137D6" w:rsidRDefault="003137D6" w:rsidP="008D3CD5">
      <w:pPr>
        <w:ind w:firstLine="720"/>
        <w:jc w:val="both"/>
      </w:pPr>
      <w:r w:rsidRPr="003137D6">
        <w:t>The legal community forms a variety of representative groups. The following are some organisations that work in tandem with the Solicitors Regulation Authority and the Law Society:</w:t>
      </w:r>
    </w:p>
    <w:p w14:paraId="7583BB8F" w14:textId="77777777" w:rsidR="003137D6" w:rsidRDefault="003137D6" w:rsidP="00B2418B">
      <w:pPr>
        <w:pStyle w:val="ListParagraph"/>
        <w:numPr>
          <w:ilvl w:val="0"/>
          <w:numId w:val="1"/>
        </w:numPr>
        <w:jc w:val="both"/>
      </w:pPr>
      <w:r>
        <w:lastRenderedPageBreak/>
        <w:t>the Black Solicitors’ Network (BSN) goal is equality of access, retention, and promotion of black solicitors within the sector.</w:t>
      </w:r>
    </w:p>
    <w:p w14:paraId="45B4712B" w14:textId="36665038" w:rsidR="003137D6" w:rsidRDefault="003137D6" w:rsidP="00B2418B">
      <w:pPr>
        <w:pStyle w:val="ListParagraph"/>
        <w:numPr>
          <w:ilvl w:val="0"/>
          <w:numId w:val="1"/>
        </w:numPr>
        <w:jc w:val="both"/>
      </w:pPr>
      <w:r>
        <w:t>The mission of the Lawyers with Disabilities Division (LDD) is to promote equality of opportunity for people with disabilities, whether they are solicitors, would-be solicitors, or client.</w:t>
      </w:r>
    </w:p>
    <w:p w14:paraId="5071E1B7" w14:textId="0E2046C5" w:rsidR="003137D6" w:rsidRDefault="003137D6" w:rsidP="00B2418B">
      <w:pPr>
        <w:pStyle w:val="ListParagraph"/>
        <w:numPr>
          <w:ilvl w:val="0"/>
          <w:numId w:val="1"/>
        </w:numPr>
        <w:jc w:val="both"/>
      </w:pPr>
      <w:proofErr w:type="spellStart"/>
      <w:r>
        <w:t>Interlaw</w:t>
      </w:r>
      <w:proofErr w:type="spellEnd"/>
      <w:r>
        <w:t xml:space="preserve"> Diversity Forum "works to foster inclusion for all diverse, socially mobile, and under-represented talent working in the legal sector, and to promote meritocracy in all sectors by working to 'level the playing field' in order to create environments where the best talent can succeed." </w:t>
      </w:r>
    </w:p>
    <w:p w14:paraId="3BECFE86" w14:textId="65510214" w:rsidR="003137D6" w:rsidRDefault="003137D6" w:rsidP="00B2418B">
      <w:pPr>
        <w:pStyle w:val="ListParagraph"/>
        <w:numPr>
          <w:ilvl w:val="0"/>
          <w:numId w:val="1"/>
        </w:numPr>
        <w:jc w:val="both"/>
      </w:pPr>
      <w:r w:rsidRPr="003137D6">
        <w:t>The Association of Women Solicitors</w:t>
      </w:r>
      <w:r>
        <w:t xml:space="preserve"> supports and advises all women solicitors, regardless of area of practise, and includes LPC graduates, all women on the roll, women on a career, and even retirees.</w:t>
      </w:r>
    </w:p>
    <w:p w14:paraId="11142384" w14:textId="1281E717" w:rsidR="00B2418B" w:rsidRDefault="00B2418B" w:rsidP="008D3CD5">
      <w:pPr>
        <w:ind w:firstLine="720"/>
        <w:jc w:val="both"/>
      </w:pPr>
      <w:r>
        <w:rPr>
          <w:noProof/>
        </w:rPr>
        <w:drawing>
          <wp:anchor distT="0" distB="0" distL="114300" distR="114300" simplePos="0" relativeHeight="251660288" behindDoc="0" locked="0" layoutInCell="1" allowOverlap="1" wp14:anchorId="24DF0C0F" wp14:editId="19D50E2E">
            <wp:simplePos x="0" y="0"/>
            <wp:positionH relativeFrom="column">
              <wp:posOffset>171450</wp:posOffset>
            </wp:positionH>
            <wp:positionV relativeFrom="paragraph">
              <wp:posOffset>788670</wp:posOffset>
            </wp:positionV>
            <wp:extent cx="5486400" cy="3200400"/>
            <wp:effectExtent l="0" t="0" r="0" b="0"/>
            <wp:wrapTopAndBottom/>
            <wp:docPr id="157743245"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anchor>
        </w:drawing>
      </w:r>
      <w:r w:rsidR="00200089" w:rsidRPr="00200089">
        <w:rPr>
          <w:noProof/>
        </w:rPr>
        <w:t>Data from the 2013 Aspiring Lawyer Survey, conducted by AllAboutResearch, which sampled 10,000 aspiring lawyers (either law students or non-law students) from the cvmailUK application system, were used to illustrate the diversity of youthful law applicants.</w:t>
      </w:r>
    </w:p>
    <w:p w14:paraId="0CFCB9A2" w14:textId="5C8C4A72" w:rsidR="004E641D" w:rsidRDefault="004E641D" w:rsidP="00E834EF"/>
    <w:p w14:paraId="7E7E4E70" w14:textId="43591497" w:rsidR="00130266" w:rsidRDefault="0038547C" w:rsidP="0038547C">
      <w:pPr>
        <w:ind w:left="5760" w:firstLine="720"/>
      </w:pPr>
      <w:r>
        <w:t>(Alina Matei, Figure 1)</w:t>
      </w:r>
    </w:p>
    <w:p w14:paraId="31818D54" w14:textId="0E7E2D81" w:rsidR="00EA1614" w:rsidRDefault="00B2418B" w:rsidP="008D3CD5">
      <w:pPr>
        <w:ind w:firstLine="720"/>
        <w:jc w:val="both"/>
      </w:pPr>
      <w:r>
        <w:t>According to White (2012), t</w:t>
      </w:r>
      <w:r w:rsidR="00EA1614">
        <w:t xml:space="preserve">he gender gap and minority representation have long been the most recognised diversity issues in the legal industry, but the age gap has recently gained increasing attention in human resources. Approximately 48% of all lawyers are women, bringing them closer to parity with their male counterparts. It should be noted, however, that according to data compiled by the Law Society, women account for over 60% of trainees but less than 30% of partners. The percentage of Asian lawyers has increased dramatically, from about 4% in 2003 to over 7.5 % in 2013. The latter statistic indicates that the proportion of Asian lawyers in the UK is consistent with the proportion of Asians living in the country as per the 2011 census. The percentage of minorities working as lawyers is roughly 12%, which is slightly lower than the percentage of minorities in the general population (14%). The Law Society reports that just about 6% of partners come from ethnic minorities, </w:t>
      </w:r>
      <w:r w:rsidR="00EA1614">
        <w:lastRenderedPageBreak/>
        <w:t>which is a major problem for the question of diversity.</w:t>
      </w:r>
      <w:r w:rsidR="008D3CD5">
        <w:t xml:space="preserve"> </w:t>
      </w:r>
      <w:r w:rsidR="00EA1614">
        <w:t>Interesting in the age statistics for legal firms is the rise from 4% in 2003 to 7% in 2013 of the percentage of lawyers over the age of 60. Meanwhile, there has been a decline from around 18% to less than 15% of lawyers being 30 or under. As the generations rebalance the workforce, it appears that older lawyers are staying in the field longer than their younger counterparts.</w:t>
      </w:r>
    </w:p>
    <w:p w14:paraId="360950E4" w14:textId="3383BEC9" w:rsidR="0038547C" w:rsidRDefault="0038547C" w:rsidP="00B2418B">
      <w:pPr>
        <w:ind w:firstLine="720"/>
        <w:jc w:val="both"/>
      </w:pPr>
      <w:r w:rsidRPr="0038547C">
        <w:t>There is evidence of movement towards more diversity in the legal profession, with the gender gap narrowing the most. More work is needed to make the profession genuinely diverse, but the data shows progress in other areas as well, including ethnicity and age. In addition to these considerations, it is becoming increasingly important for legal HR professionals to be aware of the percentage of their workforce that identifies as lesbian, gay, or bisexual.</w:t>
      </w:r>
    </w:p>
    <w:p w14:paraId="693AB5FB" w14:textId="77777777" w:rsidR="00200089" w:rsidRDefault="00200089" w:rsidP="00200089">
      <w:pPr>
        <w:ind w:firstLine="720"/>
        <w:jc w:val="both"/>
      </w:pPr>
      <w:r>
        <w:t>Since Carrie Morrison became the first woman admitted as a solicitor in England and Wales approximately ninety-five years ago, women have been free to enter the legal profession.</w:t>
      </w:r>
    </w:p>
    <w:p w14:paraId="2AA7ECFF" w14:textId="13392CB5" w:rsidR="00200089" w:rsidRDefault="00200089" w:rsidP="00200089">
      <w:pPr>
        <w:ind w:firstLine="720"/>
        <w:jc w:val="both"/>
      </w:pPr>
      <w:r>
        <w:t xml:space="preserve">During the 1990s, according to Gazette </w:t>
      </w:r>
      <w:proofErr w:type="spellStart"/>
      <w:r>
        <w:t>Newdesk</w:t>
      </w:r>
      <w:proofErr w:type="spellEnd"/>
      <w:r>
        <w:t xml:space="preserve"> (2016), women consistently made up more than half of </w:t>
      </w:r>
      <w:proofErr w:type="gramStart"/>
      <w:r>
        <w:t>newly-qualified</w:t>
      </w:r>
      <w:proofErr w:type="gramEnd"/>
      <w:r>
        <w:t xml:space="preserve"> solicitors, and today they account for more than three-quarters of all practising solicitors under the age of 35. Men continue to occupy </w:t>
      </w:r>
      <w:r>
        <w:t>most</w:t>
      </w:r>
      <w:r>
        <w:t xml:space="preserve"> top positions, particularly in the most prestigious companies. According to Reyes's (2017) report, only 19% of partnership positions at the top 20 firms were held by women in 2015. A pundit recently observed, "Cohort after cohort of highly skilled women lawyers reach senior associate grade and seem to hit a glass ceiling or a cattle grid, depending on your preferred image." Some solicitors even abandon their careers and quit the profession entirely" (Reyes, 2017).</w:t>
      </w:r>
    </w:p>
    <w:p w14:paraId="0C9F2BF2" w14:textId="012CB1A6" w:rsidR="008D3CD5" w:rsidRDefault="008D3CD5" w:rsidP="00200089">
      <w:pPr>
        <w:ind w:firstLine="720"/>
        <w:jc w:val="both"/>
      </w:pPr>
      <w:r>
        <w:t>Reasons why diversity and equality in the legal field matter include:</w:t>
      </w:r>
    </w:p>
    <w:p w14:paraId="7C7D9F5E" w14:textId="77777777" w:rsidR="00F03C85" w:rsidRDefault="008D3CD5" w:rsidP="00F03C85">
      <w:pPr>
        <w:pStyle w:val="ListParagraph"/>
        <w:numPr>
          <w:ilvl w:val="0"/>
          <w:numId w:val="1"/>
        </w:numPr>
        <w:jc w:val="both"/>
      </w:pPr>
      <w:r>
        <w:t xml:space="preserve">criteria that encourage the best and brightest to enter the field of law and advance in their chosen profession, thus guaranteeing an expertly trained and capable staff and facilitating the efficient delivery of justice. </w:t>
      </w:r>
    </w:p>
    <w:p w14:paraId="2F2E5D01" w14:textId="77777777" w:rsidR="00F03C85" w:rsidRDefault="00F03C85" w:rsidP="00F03C85">
      <w:pPr>
        <w:pStyle w:val="ListParagraph"/>
        <w:numPr>
          <w:ilvl w:val="0"/>
          <w:numId w:val="1"/>
        </w:numPr>
        <w:jc w:val="both"/>
      </w:pPr>
      <w:r>
        <w:t>b</w:t>
      </w:r>
      <w:r w:rsidR="008D3CD5">
        <w:t xml:space="preserve">etter access to services is achieved through a more impartial and effective judicial system, which in turn benefits from a legal profession that reflects the community at large. </w:t>
      </w:r>
    </w:p>
    <w:p w14:paraId="555101D7" w14:textId="05DDA191" w:rsidR="008D3CD5" w:rsidRDefault="00F03C85" w:rsidP="00F03C85">
      <w:pPr>
        <w:pStyle w:val="ListParagraph"/>
        <w:numPr>
          <w:ilvl w:val="0"/>
          <w:numId w:val="1"/>
        </w:numPr>
        <w:jc w:val="both"/>
      </w:pPr>
      <w:r>
        <w:t>f</w:t>
      </w:r>
      <w:r w:rsidR="008D3CD5">
        <w:t>or some clients, it may be more comfortable to work with a lawyer who shares their background or lifestyle.</w:t>
      </w:r>
    </w:p>
    <w:p w14:paraId="1EC6FD57" w14:textId="77777777" w:rsidR="00200089" w:rsidRDefault="00200089" w:rsidP="00200089">
      <w:pPr>
        <w:ind w:firstLine="720"/>
        <w:jc w:val="both"/>
      </w:pPr>
      <w:r>
        <w:t>A more diverse workforce has been linked to increased productivity, and this includes the leadership. (Hunt et al., 2015) When all employees are fully assimilated into an organisation and their differences are valued and respected, a wider range of perspectives can be attained. This suggests that judgements will be more thoroughly considered and well-informed, increasing the likelihood of innovative ideas and solutions (Armstrong et al., 2010). Therefore, businesses with more diverse teams are better able to respond to market changes.</w:t>
      </w:r>
    </w:p>
    <w:p w14:paraId="52F1B72A" w14:textId="77777777" w:rsidR="00200089" w:rsidRDefault="00200089" w:rsidP="00200089">
      <w:pPr>
        <w:ind w:firstLine="720"/>
        <w:jc w:val="both"/>
      </w:pPr>
      <w:r>
        <w:t>All organisations are required to adhere to the laws governing equality and diversity. In accordance with Principle 9 of the Solicitors Regulation Authority, solicitors and firms must promote equality of opportunity and respect for diversity. In addition to the 2010 Equality Act, the following amendments have been enacted to promote equality and diversity:</w:t>
      </w:r>
    </w:p>
    <w:p w14:paraId="1E0CA7D1" w14:textId="77777777" w:rsidR="00200089" w:rsidRDefault="00200089" w:rsidP="00200089">
      <w:pPr>
        <w:ind w:firstLine="720"/>
        <w:jc w:val="both"/>
      </w:pPr>
      <w:r>
        <w:lastRenderedPageBreak/>
        <w:t>- In 2014, new rules on flexible working granted all employees the opportunity to request flexible working. In 2015, shared parental leave was implemented, permitting working parents to decide how to divide their leave.</w:t>
      </w:r>
    </w:p>
    <w:p w14:paraId="668EC36E" w14:textId="77777777" w:rsidR="00200089" w:rsidRDefault="00200089" w:rsidP="00200089">
      <w:pPr>
        <w:ind w:firstLine="720"/>
        <w:jc w:val="both"/>
      </w:pPr>
      <w:r>
        <w:t>- All employers with over 250 employees must publish their gender pay and compensation data by April 2018, and all FTSE 350 companies must have at least 33 percent women and at least one Black, Asian, and minority ethnic director on their boards by 2020.</w:t>
      </w:r>
    </w:p>
    <w:p w14:paraId="3EC29CD4" w14:textId="134B539C" w:rsidR="006214AF" w:rsidRDefault="00200089" w:rsidP="00200089">
      <w:pPr>
        <w:ind w:firstLine="720"/>
        <w:jc w:val="both"/>
      </w:pPr>
      <w:r>
        <w:t>According to former Minister for Women and Equalities Justine Greening "The government encourages all employers to implement [the McGregor Review's] inclusive workplace recommendations. As the proportion of British adults of working age from Black, Asian, and minority ethnic backgrounds rises, it has never been more important for employers to harness the potential of this home-grown talent and influence positive behaviour change in the labour market. As with any significant change in working practises, success will only be achieved if everyone within an organisation takes ownership of the issue. (GOV.UK, 2017)</w:t>
      </w:r>
    </w:p>
    <w:p w14:paraId="4BD34749" w14:textId="3E1C2CA6" w:rsidR="009B4D92" w:rsidRDefault="009B4D92" w:rsidP="00200089">
      <w:pPr>
        <w:ind w:firstLine="720"/>
        <w:jc w:val="both"/>
      </w:pPr>
      <w:r w:rsidRPr="009B4D92">
        <w:t xml:space="preserve">In conclusion, members of the </w:t>
      </w:r>
      <w:proofErr w:type="gramStart"/>
      <w:r w:rsidRPr="009B4D92">
        <w:t>general public</w:t>
      </w:r>
      <w:proofErr w:type="gramEnd"/>
      <w:r w:rsidRPr="009B4D92">
        <w:t xml:space="preserve"> who need to hire a lawyer may be deterred if the firm lacks a diverse staff, including individuals who they believe will comprehend them and their specific needs. A profession that is diverse and representative provides the public with more options and a better experience when utilising legal services.</w:t>
      </w:r>
    </w:p>
    <w:p w14:paraId="72D7F954" w14:textId="62850FC3" w:rsidR="006214AF" w:rsidRDefault="006214AF" w:rsidP="00F03C85">
      <w:pPr>
        <w:ind w:firstLine="720"/>
        <w:jc w:val="both"/>
      </w:pPr>
    </w:p>
    <w:p w14:paraId="25BA9C9C" w14:textId="77777777" w:rsidR="006214AF" w:rsidRDefault="006214AF" w:rsidP="00F03C85">
      <w:pPr>
        <w:ind w:firstLine="720"/>
        <w:jc w:val="both"/>
      </w:pPr>
    </w:p>
    <w:p w14:paraId="7F00444A" w14:textId="41C24800" w:rsidR="00130266" w:rsidRPr="00130266" w:rsidRDefault="008D3CD5" w:rsidP="008D3CD5">
      <w:pPr>
        <w:rPr>
          <w:b/>
          <w:bCs/>
        </w:rPr>
      </w:pPr>
      <w:r w:rsidRPr="00130266">
        <w:rPr>
          <w:b/>
          <w:bCs/>
        </w:rPr>
        <w:t xml:space="preserve"> </w:t>
      </w:r>
      <w:r w:rsidR="00130266" w:rsidRPr="00130266">
        <w:rPr>
          <w:b/>
          <w:bCs/>
        </w:rPr>
        <w:t>References</w:t>
      </w:r>
    </w:p>
    <w:p w14:paraId="30360EDA" w14:textId="230943E9" w:rsidR="00F03C85" w:rsidRDefault="00F03C85" w:rsidP="00130266">
      <w:r>
        <w:t>A</w:t>
      </w:r>
      <w:r w:rsidRPr="00F03C85">
        <w:t>rmstrong, C</w:t>
      </w:r>
      <w:r>
        <w:t>.</w:t>
      </w:r>
      <w:r w:rsidRPr="00F03C85">
        <w:t xml:space="preserve"> </w:t>
      </w:r>
      <w:r>
        <w:t>et al</w:t>
      </w:r>
      <w:r w:rsidRPr="00F03C85">
        <w:t xml:space="preserve"> (2010). </w:t>
      </w:r>
      <w:r w:rsidRPr="00F03C85">
        <w:rPr>
          <w:i/>
          <w:iCs/>
        </w:rPr>
        <w:t>The impact of diversity and equality management on firm performance: Beyond high performance work systems. Human Resource Management</w:t>
      </w:r>
      <w:r>
        <w:t xml:space="preserve">, </w:t>
      </w:r>
      <w:r w:rsidRPr="00F03C85">
        <w:t>49</w:t>
      </w:r>
      <w:r>
        <w:t xml:space="preserve">(6): </w:t>
      </w:r>
      <w:r w:rsidRPr="00F03C85">
        <w:t xml:space="preserve">977 </w:t>
      </w:r>
      <w:r>
        <w:t>–</w:t>
      </w:r>
      <w:r w:rsidRPr="00F03C85">
        <w:t xml:space="preserve"> 998</w:t>
      </w:r>
      <w:r>
        <w:t>,</w:t>
      </w:r>
      <w:r w:rsidRPr="00F03C85">
        <w:t xml:space="preserve"> </w:t>
      </w:r>
      <w:r>
        <w:t>DOI:</w:t>
      </w:r>
      <w:r w:rsidRPr="00F03C85">
        <w:t>10.1002/hrm.20391.</w:t>
      </w:r>
      <w:r w:rsidR="008A2DB6">
        <w:t xml:space="preserve"> Available at: </w:t>
      </w:r>
      <w:hyperlink r:id="rId8" w:history="1">
        <w:r w:rsidR="008A2DB6" w:rsidRPr="001F42E5">
          <w:rPr>
            <w:rStyle w:val="Hyperlink"/>
          </w:rPr>
          <w:t>https://www.researchgate.net/publication/229916434_The_impact_of_diversity_and_equality_management_on_firm_performance_Beyond_high_performance_work_systems</w:t>
        </w:r>
      </w:hyperlink>
      <w:r w:rsidR="008A2DB6">
        <w:t xml:space="preserve"> (Accessed: 02 May 2023).</w:t>
      </w:r>
    </w:p>
    <w:p w14:paraId="12E3A60D" w14:textId="62D8204B" w:rsidR="006214AF" w:rsidRDefault="006214AF" w:rsidP="00130266">
      <w:proofErr w:type="spellStart"/>
      <w:r>
        <w:t>Aulakh</w:t>
      </w:r>
      <w:proofErr w:type="spellEnd"/>
      <w:r>
        <w:t xml:space="preserve">, S. et al. (2017) </w:t>
      </w:r>
      <w:r w:rsidRPr="001E2BDD">
        <w:rPr>
          <w:i/>
          <w:iCs/>
        </w:rPr>
        <w:t>Assessing equality in the legal profession – where are the female law firm leaders?</w:t>
      </w:r>
      <w:r>
        <w:t xml:space="preserve">, Available at: </w:t>
      </w:r>
      <w:hyperlink r:id="rId9" w:history="1">
        <w:r w:rsidRPr="001F42E5">
          <w:rPr>
            <w:rStyle w:val="Hyperlink"/>
          </w:rPr>
          <w:t>https://business.leeds.ac.uk/research-ceric/dir-record/research-blog/814/assessing-equality-in-the-legal-profession-where-are-the-female-law-firm-leaders</w:t>
        </w:r>
      </w:hyperlink>
      <w:r>
        <w:t xml:space="preserve"> (Accessed: 02 May 2023). </w:t>
      </w:r>
    </w:p>
    <w:p w14:paraId="151DAF8B" w14:textId="0E59826C" w:rsidR="006214AF" w:rsidRDefault="006214AF" w:rsidP="006214AF">
      <w:r w:rsidRPr="00A04CEC">
        <w:t xml:space="preserve">Bernal, N. (2015). </w:t>
      </w:r>
      <w:r w:rsidRPr="008A2DB6">
        <w:rPr>
          <w:i/>
          <w:iCs/>
        </w:rPr>
        <w:t>Where are the women law firm leaders?</w:t>
      </w:r>
      <w:r w:rsidRPr="00A04CEC">
        <w:t xml:space="preserve"> Available at: </w:t>
      </w:r>
      <w:hyperlink r:id="rId10" w:history="1">
        <w:r w:rsidR="008A2DB6" w:rsidRPr="001F42E5">
          <w:rPr>
            <w:rStyle w:val="Hyperlink"/>
          </w:rPr>
          <w:t>https://www.thelawyer.com/issues/tl-9-march-2015/where-are-the-women-law-firm-leaders/</w:t>
        </w:r>
      </w:hyperlink>
      <w:r w:rsidR="008A2DB6">
        <w:t xml:space="preserve"> </w:t>
      </w:r>
      <w:r w:rsidRPr="00A04CEC">
        <w:t>[Accessed 2 May 2023].</w:t>
      </w:r>
    </w:p>
    <w:p w14:paraId="0B91CEBC" w14:textId="3DBAAFCB" w:rsidR="008A2DB6" w:rsidRDefault="008A2DB6" w:rsidP="008A2DB6">
      <w:r>
        <w:t xml:space="preserve">Gazette </w:t>
      </w:r>
      <w:proofErr w:type="spellStart"/>
      <w:r>
        <w:t>Newdesk</w:t>
      </w:r>
      <w:proofErr w:type="spellEnd"/>
      <w:r w:rsidRPr="00A04CEC">
        <w:t xml:space="preserve"> </w:t>
      </w:r>
      <w:r>
        <w:t xml:space="preserve">(2016) </w:t>
      </w:r>
      <w:r w:rsidRPr="00B42D55">
        <w:rPr>
          <w:i/>
          <w:iCs/>
        </w:rPr>
        <w:t>95 years on, women set to tip gender balance</w:t>
      </w:r>
      <w:r w:rsidRPr="00A04CEC">
        <w:t xml:space="preserve">. Available at: </w:t>
      </w:r>
      <w:hyperlink r:id="rId11" w:history="1">
        <w:r w:rsidRPr="001F42E5">
          <w:rPr>
            <w:rStyle w:val="Hyperlink"/>
          </w:rPr>
          <w:t>https://www.lawgazette.co.uk/practice/95-years-on-women-set-to-tip-gender-balance/5054921.article</w:t>
        </w:r>
      </w:hyperlink>
      <w:r>
        <w:t xml:space="preserve"> </w:t>
      </w:r>
      <w:r w:rsidRPr="00A04CEC">
        <w:t>[Accessed 2 May 2023]</w:t>
      </w:r>
    </w:p>
    <w:p w14:paraId="1006156C" w14:textId="77777777" w:rsidR="008A2DB6" w:rsidRDefault="008A2DB6" w:rsidP="008A2DB6">
      <w:r w:rsidRPr="00F03C85">
        <w:lastRenderedPageBreak/>
        <w:t>GOV.UK.</w:t>
      </w:r>
      <w:r>
        <w:t xml:space="preserve"> (2017</w:t>
      </w:r>
      <w:r w:rsidRPr="008A2DB6">
        <w:rPr>
          <w:i/>
          <w:iCs/>
        </w:rPr>
        <w:t>) Prime Minister's Office, 10 Downing Street - Prime Minister announces new drive to end the gender pay gap</w:t>
      </w:r>
      <w:r w:rsidRPr="00F03C85">
        <w:t xml:space="preserve">. Available at: </w:t>
      </w:r>
      <w:hyperlink r:id="rId12" w:history="1">
        <w:r w:rsidRPr="001F42E5">
          <w:rPr>
            <w:rStyle w:val="Hyperlink"/>
          </w:rPr>
          <w:t>https://www.gov.uk/government/news/prime-minister-announces-new-drive-to-end-the-gender-pay-gap</w:t>
        </w:r>
      </w:hyperlink>
      <w:r w:rsidRPr="00F03C85">
        <w:t>.</w:t>
      </w:r>
      <w:r w:rsidRPr="008A2DB6">
        <w:t xml:space="preserve"> </w:t>
      </w:r>
      <w:r w:rsidRPr="00B42D55">
        <w:t>[Accessed 2 May 2023].</w:t>
      </w:r>
    </w:p>
    <w:p w14:paraId="15E236B6" w14:textId="75CE08B0" w:rsidR="008A2DB6" w:rsidRDefault="008A2DB6" w:rsidP="008A2DB6">
      <w:r w:rsidRPr="00130266">
        <w:t>Grillo, R.D. (2016). Legal practice and cultural diversity. London: Routledge.</w:t>
      </w:r>
    </w:p>
    <w:p w14:paraId="7547D6C6" w14:textId="77777777" w:rsidR="008A2DB6" w:rsidRDefault="008A2DB6" w:rsidP="008A2DB6">
      <w:r w:rsidRPr="009549CD">
        <w:t xml:space="preserve">Hunt, D.V., Layton, D. and Prince, S. (2015). Why diversity matters Available at: </w:t>
      </w:r>
      <w:hyperlink r:id="rId13" w:history="1">
        <w:r w:rsidRPr="001F42E5">
          <w:rPr>
            <w:rStyle w:val="Hyperlink"/>
          </w:rPr>
          <w:t>https://www.mckinsey.com/capabilities/people-and-organizational-performance/our-insights/why-diversity-matters</w:t>
        </w:r>
      </w:hyperlink>
      <w:r w:rsidRPr="009549CD">
        <w:t>.</w:t>
      </w:r>
    </w:p>
    <w:p w14:paraId="185BCEEA" w14:textId="26418647" w:rsidR="006214AF" w:rsidRDefault="008A2DB6" w:rsidP="00130266">
      <w:proofErr w:type="spellStart"/>
      <w:r>
        <w:t>Khasriya</w:t>
      </w:r>
      <w:proofErr w:type="spellEnd"/>
      <w:r>
        <w:t xml:space="preserve">, A. (2019) Diversity and equality - why it’s so important, The Law Society. Available at: </w:t>
      </w:r>
      <w:hyperlink r:id="rId14" w:history="1">
        <w:r w:rsidRPr="001F42E5">
          <w:rPr>
            <w:rStyle w:val="Hyperlink"/>
          </w:rPr>
          <w:t>https://www.lawsociety.org.uk/topics/ethnic-minority-lawyers/diversity-and-equality-why-its-so-important</w:t>
        </w:r>
      </w:hyperlink>
      <w:r>
        <w:t xml:space="preserve"> (Accessed: 02 May 2023). </w:t>
      </w:r>
    </w:p>
    <w:p w14:paraId="7D179C2A" w14:textId="77777777" w:rsidR="008A2DB6" w:rsidRPr="00130266" w:rsidRDefault="008A2DB6" w:rsidP="008A2DB6">
      <w:pPr>
        <w:jc w:val="both"/>
      </w:pPr>
      <w:r>
        <w:t>L</w:t>
      </w:r>
      <w:r w:rsidRPr="006214AF">
        <w:t xml:space="preserve">egislation.gov.uk (2010). </w:t>
      </w:r>
      <w:r w:rsidRPr="006214AF">
        <w:rPr>
          <w:i/>
          <w:iCs/>
        </w:rPr>
        <w:t>Equality Act 2010</w:t>
      </w:r>
      <w:r w:rsidRPr="006214AF">
        <w:t xml:space="preserve">. Available at: </w:t>
      </w:r>
      <w:hyperlink r:id="rId15" w:history="1">
        <w:r w:rsidRPr="001F42E5">
          <w:rPr>
            <w:rStyle w:val="Hyperlink"/>
          </w:rPr>
          <w:t>https://www.legislation.gov.uk/ukpga/2010/15/contents</w:t>
        </w:r>
      </w:hyperlink>
      <w:r w:rsidRPr="006214AF">
        <w:t>.</w:t>
      </w:r>
      <w:r>
        <w:t xml:space="preserve"> </w:t>
      </w:r>
      <w:r w:rsidRPr="00B42D55">
        <w:t>[Accessed 2 May 2023].</w:t>
      </w:r>
    </w:p>
    <w:p w14:paraId="782AEF49" w14:textId="0DBF98EB" w:rsidR="00130266" w:rsidRDefault="001E2BDD" w:rsidP="00130266">
      <w:r>
        <w:t xml:space="preserve">LexisNexis </w:t>
      </w:r>
      <w:r w:rsidR="00130266">
        <w:t xml:space="preserve">(2023) </w:t>
      </w:r>
      <w:r w:rsidR="00130266" w:rsidRPr="001E2BDD">
        <w:rPr>
          <w:i/>
          <w:iCs/>
        </w:rPr>
        <w:t>Promoting Gender Diversity in the Legal Profession: A Changemaker’s Guide</w:t>
      </w:r>
      <w:r w:rsidR="00130266">
        <w:t xml:space="preserve">. Available at: </w:t>
      </w:r>
      <w:hyperlink r:id="rId16" w:history="1">
        <w:r w:rsidR="008A2DB6" w:rsidRPr="001F42E5">
          <w:rPr>
            <w:rStyle w:val="Hyperlink"/>
          </w:rPr>
          <w:t>https://www.lexisnexis.com/community/insights/legal/b/thought-leadership/posts/gender-diversity-in-the-legal-profession</w:t>
        </w:r>
      </w:hyperlink>
      <w:r w:rsidR="008A2DB6">
        <w:t xml:space="preserve"> </w:t>
      </w:r>
      <w:r w:rsidR="00130266">
        <w:t xml:space="preserve">(Accessed: 02 May 2023). </w:t>
      </w:r>
    </w:p>
    <w:p w14:paraId="0A5A2B8B" w14:textId="37231992" w:rsidR="008A2DB6" w:rsidRDefault="008A2DB6" w:rsidP="00130266">
      <w:r>
        <w:t>Matei, A. (2023) Figure 1, Law diversity statistics chart</w:t>
      </w:r>
    </w:p>
    <w:p w14:paraId="007E2341" w14:textId="1837A70E" w:rsidR="00B42D55" w:rsidRDefault="00B42D55" w:rsidP="00130266">
      <w:r>
        <w:t xml:space="preserve">Prof Foster, D. (2020) </w:t>
      </w:r>
      <w:r w:rsidRPr="00B42D55">
        <w:rPr>
          <w:i/>
          <w:iCs/>
        </w:rPr>
        <w:t>Cardiff University</w:t>
      </w:r>
      <w:r>
        <w:t xml:space="preserve"> - </w:t>
      </w:r>
      <w:r w:rsidRPr="00B42D55">
        <w:rPr>
          <w:i/>
          <w:iCs/>
        </w:rPr>
        <w:t>New study reveals the everyday barriers facing disabled lawyers.</w:t>
      </w:r>
      <w:r w:rsidRPr="00B42D55">
        <w:t xml:space="preserve"> Available at: </w:t>
      </w:r>
      <w:hyperlink r:id="rId17" w:history="1">
        <w:r w:rsidR="008A2DB6" w:rsidRPr="001F42E5">
          <w:rPr>
            <w:rStyle w:val="Hyperlink"/>
          </w:rPr>
          <w:t>https://www.cardiff.ac.uk/news/view/1750522-new-study-reveals-the-everyday-barriers-facing-disabled-lawyers</w:t>
        </w:r>
      </w:hyperlink>
      <w:r w:rsidR="008A2DB6">
        <w:t xml:space="preserve"> </w:t>
      </w:r>
      <w:r w:rsidRPr="00B42D55">
        <w:t>[Accessed 2 May 2023].</w:t>
      </w:r>
    </w:p>
    <w:p w14:paraId="4937BB3A" w14:textId="77777777" w:rsidR="008A2DB6" w:rsidRDefault="008A2DB6" w:rsidP="008A2DB6">
      <w:r>
        <w:t>Reyes, E. (2017)</w:t>
      </w:r>
      <w:r w:rsidRPr="00A04CEC">
        <w:t xml:space="preserve">. </w:t>
      </w:r>
      <w:r w:rsidRPr="008A2DB6">
        <w:rPr>
          <w:i/>
          <w:iCs/>
        </w:rPr>
        <w:t>Women in law: City limits.</w:t>
      </w:r>
      <w:r w:rsidRPr="00A04CEC">
        <w:t xml:space="preserve"> Available at: </w:t>
      </w:r>
      <w:hyperlink r:id="rId18" w:history="1">
        <w:r w:rsidRPr="001F42E5">
          <w:rPr>
            <w:rStyle w:val="Hyperlink"/>
          </w:rPr>
          <w:t>https://www.lawgazette.co.uk/features/women-in-law-city-limits/5059806.article</w:t>
        </w:r>
      </w:hyperlink>
      <w:r>
        <w:t xml:space="preserve"> </w:t>
      </w:r>
      <w:r w:rsidRPr="00A04CEC">
        <w:t>[Accessed 2 May 2023].</w:t>
      </w:r>
    </w:p>
    <w:p w14:paraId="4B0D944A" w14:textId="77777777" w:rsidR="008A2DB6" w:rsidRDefault="008A2DB6" w:rsidP="008A2DB6">
      <w:r>
        <w:t xml:space="preserve">Solicitors Regulation Authority (2018) </w:t>
      </w:r>
      <w:r w:rsidRPr="008A2DB6">
        <w:rPr>
          <w:i/>
          <w:iCs/>
        </w:rPr>
        <w:t>The business case for Diversity</w:t>
      </w:r>
      <w:r>
        <w:t xml:space="preserve">. Available at: </w:t>
      </w:r>
      <w:hyperlink r:id="rId19" w:history="1">
        <w:r w:rsidRPr="001F42E5">
          <w:rPr>
            <w:rStyle w:val="Hyperlink"/>
          </w:rPr>
          <w:t>https://www.sra.org.uk/globalassets/documents/sra/research/risk-business-case-diversity.pdf?version=4a1ac3</w:t>
        </w:r>
      </w:hyperlink>
      <w:r>
        <w:t xml:space="preserve"> (Accessed: 02 May 2023).</w:t>
      </w:r>
    </w:p>
    <w:p w14:paraId="55351B6D" w14:textId="77777777" w:rsidR="008A2DB6" w:rsidRDefault="008A2DB6" w:rsidP="008A2DB6">
      <w:r>
        <w:t xml:space="preserve">The Law Society (2021) </w:t>
      </w:r>
      <w:r w:rsidRPr="001E2BDD">
        <w:rPr>
          <w:i/>
          <w:iCs/>
        </w:rPr>
        <w:t>Accessing the profession: The value of diversity</w:t>
      </w:r>
      <w:r>
        <w:t xml:space="preserve">. Available at: </w:t>
      </w:r>
      <w:hyperlink r:id="rId20" w:history="1">
        <w:r w:rsidRPr="001F42E5">
          <w:rPr>
            <w:rStyle w:val="Hyperlink"/>
          </w:rPr>
          <w:t>https://www.lawsociety.org.uk/topics/ethnic-minority-lawyers/accessing-the-profession-the-value-of-diversity</w:t>
        </w:r>
      </w:hyperlink>
      <w:r>
        <w:t xml:space="preserve"> (Accessed: 02 May 2023). </w:t>
      </w:r>
    </w:p>
    <w:p w14:paraId="3714D181" w14:textId="77777777" w:rsidR="008A2DB6" w:rsidRPr="00130266" w:rsidRDefault="008A2DB6" w:rsidP="008A2DB6">
      <w:r>
        <w:t xml:space="preserve">White, E. (2012) </w:t>
      </w:r>
      <w:r w:rsidRPr="00EA1614">
        <w:rPr>
          <w:i/>
          <w:iCs/>
        </w:rPr>
        <w:t>2011 Census: Key Statistics for England and Wales, March 2011</w:t>
      </w:r>
      <w:r>
        <w:t xml:space="preserve">, Available at: </w:t>
      </w:r>
      <w:hyperlink r:id="rId21" w:history="1">
        <w:r w:rsidRPr="001F42E5">
          <w:rPr>
            <w:rStyle w:val="Hyperlink"/>
          </w:rPr>
          <w:t>https://www.ons.gov.uk/peoplepopulationandcommunity/populationandmigration/populationestimates/bulletins/2011censuskeystatisticsforenglandandwales/2012-12-11</w:t>
        </w:r>
      </w:hyperlink>
      <w:r>
        <w:t xml:space="preserve"> </w:t>
      </w:r>
    </w:p>
    <w:p w14:paraId="3FC706D5" w14:textId="77777777" w:rsidR="00130266" w:rsidRPr="00130266" w:rsidRDefault="00130266" w:rsidP="00130266"/>
    <w:sectPr w:rsidR="00130266" w:rsidRPr="0013026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75C00"/>
    <w:multiLevelType w:val="hybridMultilevel"/>
    <w:tmpl w:val="B21C5AA6"/>
    <w:lvl w:ilvl="0" w:tplc="58D43160">
      <w:start w:val="2011"/>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65175DC2"/>
    <w:multiLevelType w:val="hybridMultilevel"/>
    <w:tmpl w:val="F384B44E"/>
    <w:lvl w:ilvl="0" w:tplc="67800A50">
      <w:start w:val="2"/>
      <w:numFmt w:val="bullet"/>
      <w:lvlText w:val="-"/>
      <w:lvlJc w:val="left"/>
      <w:pPr>
        <w:ind w:left="405" w:hanging="360"/>
      </w:pPr>
      <w:rPr>
        <w:rFonts w:ascii="Calibri" w:eastAsiaTheme="minorHAnsi" w:hAnsi="Calibri" w:cs="Calibri" w:hint="default"/>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num w:numId="1" w16cid:durableId="2101292666">
    <w:abstractNumId w:val="1"/>
  </w:num>
  <w:num w:numId="2" w16cid:durableId="16650109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0096"/>
    <w:rsid w:val="000D083B"/>
    <w:rsid w:val="00130266"/>
    <w:rsid w:val="00131522"/>
    <w:rsid w:val="001C1C9C"/>
    <w:rsid w:val="001D312E"/>
    <w:rsid w:val="001E2BDD"/>
    <w:rsid w:val="00200089"/>
    <w:rsid w:val="003137D6"/>
    <w:rsid w:val="0038547C"/>
    <w:rsid w:val="003A782E"/>
    <w:rsid w:val="00407DFB"/>
    <w:rsid w:val="004E641D"/>
    <w:rsid w:val="00613C86"/>
    <w:rsid w:val="006214AF"/>
    <w:rsid w:val="006D7EBF"/>
    <w:rsid w:val="00785736"/>
    <w:rsid w:val="007C3E49"/>
    <w:rsid w:val="008A2DB6"/>
    <w:rsid w:val="008C78CA"/>
    <w:rsid w:val="008D3CD5"/>
    <w:rsid w:val="008F1CC1"/>
    <w:rsid w:val="008F5CB9"/>
    <w:rsid w:val="009549CD"/>
    <w:rsid w:val="009A3BEE"/>
    <w:rsid w:val="009B4D92"/>
    <w:rsid w:val="00A04CEC"/>
    <w:rsid w:val="00A60096"/>
    <w:rsid w:val="00A72F89"/>
    <w:rsid w:val="00A765A2"/>
    <w:rsid w:val="00B2418B"/>
    <w:rsid w:val="00B42D55"/>
    <w:rsid w:val="00B825AE"/>
    <w:rsid w:val="00BD241F"/>
    <w:rsid w:val="00BE74D6"/>
    <w:rsid w:val="00C30F2C"/>
    <w:rsid w:val="00C930D3"/>
    <w:rsid w:val="00D237A5"/>
    <w:rsid w:val="00DE47C4"/>
    <w:rsid w:val="00E34D58"/>
    <w:rsid w:val="00E4263F"/>
    <w:rsid w:val="00E834EF"/>
    <w:rsid w:val="00E8413E"/>
    <w:rsid w:val="00EA1614"/>
    <w:rsid w:val="00F03C85"/>
    <w:rsid w:val="00F71457"/>
    <w:rsid w:val="00FD5989"/>
    <w:rsid w:val="00FD7E9C"/>
    <w:rsid w:val="00FE74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A4F99D"/>
  <w15:chartTrackingRefBased/>
  <w15:docId w15:val="{0F1AB652-6F10-42F5-9321-2D52694119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IntenseQuote">
    <w:name w:val="Intense Quote"/>
    <w:basedOn w:val="Normal"/>
    <w:next w:val="Normal"/>
    <w:link w:val="IntenseQuoteChar"/>
    <w:uiPriority w:val="30"/>
    <w:qFormat/>
    <w:rsid w:val="00A60096"/>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A60096"/>
    <w:rPr>
      <w:i/>
      <w:iCs/>
      <w:color w:val="4F81BD" w:themeColor="accent1"/>
    </w:rPr>
  </w:style>
  <w:style w:type="character" w:styleId="Hyperlink">
    <w:name w:val="Hyperlink"/>
    <w:basedOn w:val="DefaultParagraphFont"/>
    <w:uiPriority w:val="99"/>
    <w:unhideWhenUsed/>
    <w:rsid w:val="00A765A2"/>
    <w:rPr>
      <w:color w:val="0000FF" w:themeColor="hyperlink"/>
      <w:u w:val="single"/>
    </w:rPr>
  </w:style>
  <w:style w:type="character" w:styleId="UnresolvedMention">
    <w:name w:val="Unresolved Mention"/>
    <w:basedOn w:val="DefaultParagraphFont"/>
    <w:uiPriority w:val="99"/>
    <w:semiHidden/>
    <w:unhideWhenUsed/>
    <w:rsid w:val="00A765A2"/>
    <w:rPr>
      <w:color w:val="605E5C"/>
      <w:shd w:val="clear" w:color="auto" w:fill="E1DFDD"/>
    </w:rPr>
  </w:style>
  <w:style w:type="paragraph" w:styleId="ListParagraph">
    <w:name w:val="List Paragraph"/>
    <w:basedOn w:val="Normal"/>
    <w:uiPriority w:val="34"/>
    <w:qFormat/>
    <w:rsid w:val="003137D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041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searchgate.net/publication/229916434_The_impact_of_diversity_and_equality_management_on_firm_performance_Beyond_high_performance_work_systems" TargetMode="External"/><Relationship Id="rId13" Type="http://schemas.openxmlformats.org/officeDocument/2006/relationships/hyperlink" Target="https://www.mckinsey.com/capabilities/people-and-organizational-performance/our-insights/why-diversity-matters" TargetMode="External"/><Relationship Id="rId18" Type="http://schemas.openxmlformats.org/officeDocument/2006/relationships/hyperlink" Target="https://www.lawgazette.co.uk/features/women-in-law-city-limits/5059806.article" TargetMode="External"/><Relationship Id="rId3" Type="http://schemas.openxmlformats.org/officeDocument/2006/relationships/settings" Target="settings.xml"/><Relationship Id="rId21" Type="http://schemas.openxmlformats.org/officeDocument/2006/relationships/hyperlink" Target="https://www.ons.gov.uk/peoplepopulationandcommunity/populationandmigration/populationestimates/bulletins/2011censuskeystatisticsforenglandandwales/2012-12-11" TargetMode="External"/><Relationship Id="rId7" Type="http://schemas.openxmlformats.org/officeDocument/2006/relationships/chart" Target="charts/chart1.xml"/><Relationship Id="rId12" Type="http://schemas.openxmlformats.org/officeDocument/2006/relationships/hyperlink" Target="https://www.gov.uk/government/news/prime-minister-announces-new-drive-to-end-the-gender-pay-gap" TargetMode="External"/><Relationship Id="rId17" Type="http://schemas.openxmlformats.org/officeDocument/2006/relationships/hyperlink" Target="https://www.cardiff.ac.uk/news/view/1750522-new-study-reveals-the-everyday-barriers-facing-disabled-lawyers" TargetMode="External"/><Relationship Id="rId2" Type="http://schemas.openxmlformats.org/officeDocument/2006/relationships/styles" Target="styles.xml"/><Relationship Id="rId16" Type="http://schemas.openxmlformats.org/officeDocument/2006/relationships/hyperlink" Target="https://www.lexisnexis.com/community/insights/legal/b/thought-leadership/posts/gender-diversity-in-the-legal-profession" TargetMode="External"/><Relationship Id="rId20" Type="http://schemas.openxmlformats.org/officeDocument/2006/relationships/hyperlink" Target="https://www.lawsociety.org.uk/topics/ethnic-minority-lawyers/accessing-the-profession-the-value-of-diversity" TargetMode="External"/><Relationship Id="rId1" Type="http://schemas.openxmlformats.org/officeDocument/2006/relationships/numbering" Target="numbering.xml"/><Relationship Id="rId6" Type="http://schemas.openxmlformats.org/officeDocument/2006/relationships/image" Target="cid:image001.png@01D0EA4A.2BD679A0" TargetMode="External"/><Relationship Id="rId11" Type="http://schemas.openxmlformats.org/officeDocument/2006/relationships/hyperlink" Target="https://www.lawgazette.co.uk/practice/95-years-on-women-set-to-tip-gender-balance/5054921.article" TargetMode="External"/><Relationship Id="rId5" Type="http://schemas.openxmlformats.org/officeDocument/2006/relationships/image" Target="media/image1.png"/><Relationship Id="rId15" Type="http://schemas.openxmlformats.org/officeDocument/2006/relationships/hyperlink" Target="https://www.legislation.gov.uk/ukpga/2010/15/contents" TargetMode="External"/><Relationship Id="rId23" Type="http://schemas.openxmlformats.org/officeDocument/2006/relationships/theme" Target="theme/theme1.xml"/><Relationship Id="rId10" Type="http://schemas.openxmlformats.org/officeDocument/2006/relationships/hyperlink" Target="https://www.thelawyer.com/issues/tl-9-march-2015/where-are-the-women-law-firm-leaders/" TargetMode="External"/><Relationship Id="rId19" Type="http://schemas.openxmlformats.org/officeDocument/2006/relationships/hyperlink" Target="https://www.sra.org.uk/globalassets/documents/sra/research/risk-business-case-diversity.pdf?version=4a1ac3" TargetMode="External"/><Relationship Id="rId4" Type="http://schemas.openxmlformats.org/officeDocument/2006/relationships/webSettings" Target="webSettings.xml"/><Relationship Id="rId9" Type="http://schemas.openxmlformats.org/officeDocument/2006/relationships/hyperlink" Target="https://business.leeds.ac.uk/research-ceric/dir-record/research-blog/814/assessing-equality-in-the-legal-profession-where-are-the-female-law-firm-leaders" TargetMode="External"/><Relationship Id="rId14" Type="http://schemas.openxmlformats.org/officeDocument/2006/relationships/hyperlink" Target="https://www.lawsociety.org.uk/topics/ethnic-minority-lawyers/diversity-and-equality-why-its-so-important" TargetMode="External"/><Relationship Id="rId22"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en-GB"/>
              <a:t>Law diversity statistics</a:t>
            </a:r>
          </a:p>
        </c:rich>
      </c:tx>
      <c:layout>
        <c:manualLayout>
          <c:xMode val="edge"/>
          <c:yMode val="edge"/>
          <c:x val="0.31458898366870808"/>
          <c:y val="2.7777777777777776E-2"/>
        </c:manualLayout>
      </c:layout>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Male</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Sheet1!$A$2:$A$5</c:f>
              <c:strCache>
                <c:ptCount val="4"/>
                <c:pt idx="0">
                  <c:v>Sex</c:v>
                </c:pt>
                <c:pt idx="1">
                  <c:v>Age</c:v>
                </c:pt>
                <c:pt idx="2">
                  <c:v>Secondary School Status</c:v>
                </c:pt>
                <c:pt idx="3">
                  <c:v>Ethnicity</c:v>
                </c:pt>
              </c:strCache>
            </c:strRef>
          </c:cat>
          <c:val>
            <c:numRef>
              <c:f>Sheet1!$B$2:$B$5</c:f>
              <c:numCache>
                <c:formatCode>General</c:formatCode>
                <c:ptCount val="4"/>
                <c:pt idx="0" formatCode="0%">
                  <c:v>0.46</c:v>
                </c:pt>
              </c:numCache>
            </c:numRef>
          </c:val>
          <c:extLst>
            <c:ext xmlns:c16="http://schemas.microsoft.com/office/drawing/2014/chart" uri="{C3380CC4-5D6E-409C-BE32-E72D297353CC}">
              <c16:uniqueId val="{00000000-FA5A-4779-94D1-68A58DD5D1E2}"/>
            </c:ext>
          </c:extLst>
        </c:ser>
        <c:ser>
          <c:idx val="1"/>
          <c:order val="1"/>
          <c:tx>
            <c:strRef>
              <c:f>Sheet1!$C$1</c:f>
              <c:strCache>
                <c:ptCount val="1"/>
                <c:pt idx="0">
                  <c:v>Female</c:v>
                </c:pt>
              </c:strCache>
            </c:strRef>
          </c:tx>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Sheet1!$A$2:$A$5</c:f>
              <c:strCache>
                <c:ptCount val="4"/>
                <c:pt idx="0">
                  <c:v>Sex</c:v>
                </c:pt>
                <c:pt idx="1">
                  <c:v>Age</c:v>
                </c:pt>
                <c:pt idx="2">
                  <c:v>Secondary School Status</c:v>
                </c:pt>
                <c:pt idx="3">
                  <c:v>Ethnicity</c:v>
                </c:pt>
              </c:strCache>
            </c:strRef>
          </c:cat>
          <c:val>
            <c:numRef>
              <c:f>Sheet1!$C$2:$C$5</c:f>
              <c:numCache>
                <c:formatCode>General</c:formatCode>
                <c:ptCount val="4"/>
                <c:pt idx="0" formatCode="0%">
                  <c:v>0.53</c:v>
                </c:pt>
              </c:numCache>
            </c:numRef>
          </c:val>
          <c:extLst>
            <c:ext xmlns:c16="http://schemas.microsoft.com/office/drawing/2014/chart" uri="{C3380CC4-5D6E-409C-BE32-E72D297353CC}">
              <c16:uniqueId val="{00000001-FA5A-4779-94D1-68A58DD5D1E2}"/>
            </c:ext>
          </c:extLst>
        </c:ser>
        <c:ser>
          <c:idx val="2"/>
          <c:order val="2"/>
          <c:tx>
            <c:strRef>
              <c:f>Sheet1!$D$1</c:f>
              <c:strCache>
                <c:ptCount val="1"/>
                <c:pt idx="0">
                  <c:v>16-20</c:v>
                </c:pt>
              </c:strCache>
            </c:strRef>
          </c:tx>
          <c:spPr>
            <a:gradFill rotWithShape="1">
              <a:gsLst>
                <a:gs pos="0">
                  <a:schemeClr val="accent3">
                    <a:shade val="51000"/>
                    <a:satMod val="130000"/>
                  </a:schemeClr>
                </a:gs>
                <a:gs pos="80000">
                  <a:schemeClr val="accent3">
                    <a:shade val="93000"/>
                    <a:satMod val="130000"/>
                  </a:schemeClr>
                </a:gs>
                <a:gs pos="100000">
                  <a:schemeClr val="accent3">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Sheet1!$A$2:$A$5</c:f>
              <c:strCache>
                <c:ptCount val="4"/>
                <c:pt idx="0">
                  <c:v>Sex</c:v>
                </c:pt>
                <c:pt idx="1">
                  <c:v>Age</c:v>
                </c:pt>
                <c:pt idx="2">
                  <c:v>Secondary School Status</c:v>
                </c:pt>
                <c:pt idx="3">
                  <c:v>Ethnicity</c:v>
                </c:pt>
              </c:strCache>
            </c:strRef>
          </c:cat>
          <c:val>
            <c:numRef>
              <c:f>Sheet1!$D$2:$D$5</c:f>
              <c:numCache>
                <c:formatCode>0%</c:formatCode>
                <c:ptCount val="4"/>
                <c:pt idx="1">
                  <c:v>0.36</c:v>
                </c:pt>
              </c:numCache>
            </c:numRef>
          </c:val>
          <c:extLst>
            <c:ext xmlns:c16="http://schemas.microsoft.com/office/drawing/2014/chart" uri="{C3380CC4-5D6E-409C-BE32-E72D297353CC}">
              <c16:uniqueId val="{00000002-FA5A-4779-94D1-68A58DD5D1E2}"/>
            </c:ext>
          </c:extLst>
        </c:ser>
        <c:ser>
          <c:idx val="3"/>
          <c:order val="3"/>
          <c:tx>
            <c:strRef>
              <c:f>Sheet1!$E$1</c:f>
              <c:strCache>
                <c:ptCount val="1"/>
                <c:pt idx="0">
                  <c:v>21-21</c:v>
                </c:pt>
              </c:strCache>
            </c:strRef>
          </c:tx>
          <c:spPr>
            <a:gradFill rotWithShape="1">
              <a:gsLst>
                <a:gs pos="0">
                  <a:schemeClr val="accent4">
                    <a:shade val="51000"/>
                    <a:satMod val="130000"/>
                  </a:schemeClr>
                </a:gs>
                <a:gs pos="80000">
                  <a:schemeClr val="accent4">
                    <a:shade val="93000"/>
                    <a:satMod val="130000"/>
                  </a:schemeClr>
                </a:gs>
                <a:gs pos="100000">
                  <a:schemeClr val="accent4">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Sheet1!$A$2:$A$5</c:f>
              <c:strCache>
                <c:ptCount val="4"/>
                <c:pt idx="0">
                  <c:v>Sex</c:v>
                </c:pt>
                <c:pt idx="1">
                  <c:v>Age</c:v>
                </c:pt>
                <c:pt idx="2">
                  <c:v>Secondary School Status</c:v>
                </c:pt>
                <c:pt idx="3">
                  <c:v>Ethnicity</c:v>
                </c:pt>
              </c:strCache>
            </c:strRef>
          </c:cat>
          <c:val>
            <c:numRef>
              <c:f>Sheet1!$E$2:$E$5</c:f>
              <c:numCache>
                <c:formatCode>0%</c:formatCode>
                <c:ptCount val="4"/>
                <c:pt idx="1">
                  <c:v>0.56999999999999995</c:v>
                </c:pt>
              </c:numCache>
            </c:numRef>
          </c:val>
          <c:extLst>
            <c:ext xmlns:c16="http://schemas.microsoft.com/office/drawing/2014/chart" uri="{C3380CC4-5D6E-409C-BE32-E72D297353CC}">
              <c16:uniqueId val="{00000003-FA5A-4779-94D1-68A58DD5D1E2}"/>
            </c:ext>
          </c:extLst>
        </c:ser>
        <c:ser>
          <c:idx val="4"/>
          <c:order val="4"/>
          <c:tx>
            <c:strRef>
              <c:f>Sheet1!$F$1</c:f>
              <c:strCache>
                <c:ptCount val="1"/>
                <c:pt idx="0">
                  <c:v>26-36</c:v>
                </c:pt>
              </c:strCache>
            </c:strRef>
          </c:tx>
          <c:spPr>
            <a:gradFill rotWithShape="1">
              <a:gsLst>
                <a:gs pos="0">
                  <a:schemeClr val="accent5">
                    <a:shade val="51000"/>
                    <a:satMod val="130000"/>
                  </a:schemeClr>
                </a:gs>
                <a:gs pos="80000">
                  <a:schemeClr val="accent5">
                    <a:shade val="93000"/>
                    <a:satMod val="130000"/>
                  </a:schemeClr>
                </a:gs>
                <a:gs pos="100000">
                  <a:schemeClr val="accent5">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Sheet1!$A$2:$A$5</c:f>
              <c:strCache>
                <c:ptCount val="4"/>
                <c:pt idx="0">
                  <c:v>Sex</c:v>
                </c:pt>
                <c:pt idx="1">
                  <c:v>Age</c:v>
                </c:pt>
                <c:pt idx="2">
                  <c:v>Secondary School Status</c:v>
                </c:pt>
                <c:pt idx="3">
                  <c:v>Ethnicity</c:v>
                </c:pt>
              </c:strCache>
            </c:strRef>
          </c:cat>
          <c:val>
            <c:numRef>
              <c:f>Sheet1!$F$2:$F$5</c:f>
              <c:numCache>
                <c:formatCode>0%</c:formatCode>
                <c:ptCount val="4"/>
                <c:pt idx="1">
                  <c:v>0.04</c:v>
                </c:pt>
              </c:numCache>
            </c:numRef>
          </c:val>
          <c:extLst>
            <c:ext xmlns:c16="http://schemas.microsoft.com/office/drawing/2014/chart" uri="{C3380CC4-5D6E-409C-BE32-E72D297353CC}">
              <c16:uniqueId val="{00000004-FA5A-4779-94D1-68A58DD5D1E2}"/>
            </c:ext>
          </c:extLst>
        </c:ser>
        <c:ser>
          <c:idx val="5"/>
          <c:order val="5"/>
          <c:tx>
            <c:strRef>
              <c:f>Sheet1!$G$1</c:f>
              <c:strCache>
                <c:ptCount val="1"/>
                <c:pt idx="0">
                  <c:v>31-40</c:v>
                </c:pt>
              </c:strCache>
            </c:strRef>
          </c:tx>
          <c:spPr>
            <a:gradFill rotWithShape="1">
              <a:gsLst>
                <a:gs pos="0">
                  <a:schemeClr val="accent6">
                    <a:shade val="51000"/>
                    <a:satMod val="130000"/>
                  </a:schemeClr>
                </a:gs>
                <a:gs pos="80000">
                  <a:schemeClr val="accent6">
                    <a:shade val="93000"/>
                    <a:satMod val="130000"/>
                  </a:schemeClr>
                </a:gs>
                <a:gs pos="100000">
                  <a:schemeClr val="accent6">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Sheet1!$A$2:$A$5</c:f>
              <c:strCache>
                <c:ptCount val="4"/>
                <c:pt idx="0">
                  <c:v>Sex</c:v>
                </c:pt>
                <c:pt idx="1">
                  <c:v>Age</c:v>
                </c:pt>
                <c:pt idx="2">
                  <c:v>Secondary School Status</c:v>
                </c:pt>
                <c:pt idx="3">
                  <c:v>Ethnicity</c:v>
                </c:pt>
              </c:strCache>
            </c:strRef>
          </c:cat>
          <c:val>
            <c:numRef>
              <c:f>Sheet1!$G$2:$G$5</c:f>
              <c:numCache>
                <c:formatCode>0%</c:formatCode>
                <c:ptCount val="4"/>
                <c:pt idx="1">
                  <c:v>0.01</c:v>
                </c:pt>
              </c:numCache>
            </c:numRef>
          </c:val>
          <c:extLst>
            <c:ext xmlns:c16="http://schemas.microsoft.com/office/drawing/2014/chart" uri="{C3380CC4-5D6E-409C-BE32-E72D297353CC}">
              <c16:uniqueId val="{00000007-FA5A-4779-94D1-68A58DD5D1E2}"/>
            </c:ext>
          </c:extLst>
        </c:ser>
        <c:ser>
          <c:idx val="6"/>
          <c:order val="6"/>
          <c:tx>
            <c:strRef>
              <c:f>Sheet1!$H$1</c:f>
              <c:strCache>
                <c:ptCount val="1"/>
                <c:pt idx="0">
                  <c:v>Declined to answer</c:v>
                </c:pt>
              </c:strCache>
            </c:strRef>
          </c:tx>
          <c:spPr>
            <a:gradFill rotWithShape="1">
              <a:gsLst>
                <a:gs pos="0">
                  <a:schemeClr val="accent1">
                    <a:lumMod val="60000"/>
                    <a:shade val="51000"/>
                    <a:satMod val="130000"/>
                  </a:schemeClr>
                </a:gs>
                <a:gs pos="80000">
                  <a:schemeClr val="accent1">
                    <a:lumMod val="60000"/>
                    <a:shade val="93000"/>
                    <a:satMod val="130000"/>
                  </a:schemeClr>
                </a:gs>
                <a:gs pos="100000">
                  <a:schemeClr val="accent1">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Sheet1!$A$2:$A$5</c:f>
              <c:strCache>
                <c:ptCount val="4"/>
                <c:pt idx="0">
                  <c:v>Sex</c:v>
                </c:pt>
                <c:pt idx="1">
                  <c:v>Age</c:v>
                </c:pt>
                <c:pt idx="2">
                  <c:v>Secondary School Status</c:v>
                </c:pt>
                <c:pt idx="3">
                  <c:v>Ethnicity</c:v>
                </c:pt>
              </c:strCache>
            </c:strRef>
          </c:cat>
          <c:val>
            <c:numRef>
              <c:f>Sheet1!$H$2:$H$5</c:f>
              <c:numCache>
                <c:formatCode>0%</c:formatCode>
                <c:ptCount val="4"/>
                <c:pt idx="1">
                  <c:v>0.01</c:v>
                </c:pt>
              </c:numCache>
            </c:numRef>
          </c:val>
          <c:extLst>
            <c:ext xmlns:c16="http://schemas.microsoft.com/office/drawing/2014/chart" uri="{C3380CC4-5D6E-409C-BE32-E72D297353CC}">
              <c16:uniqueId val="{00000008-FA5A-4779-94D1-68A58DD5D1E2}"/>
            </c:ext>
          </c:extLst>
        </c:ser>
        <c:ser>
          <c:idx val="7"/>
          <c:order val="7"/>
          <c:tx>
            <c:strRef>
              <c:f>Sheet1!$I$1</c:f>
              <c:strCache>
                <c:ptCount val="1"/>
                <c:pt idx="0">
                  <c:v>Independent</c:v>
                </c:pt>
              </c:strCache>
            </c:strRef>
          </c:tx>
          <c:spPr>
            <a:gradFill rotWithShape="1">
              <a:gsLst>
                <a:gs pos="0">
                  <a:schemeClr val="accent2">
                    <a:lumMod val="60000"/>
                    <a:shade val="51000"/>
                    <a:satMod val="130000"/>
                  </a:schemeClr>
                </a:gs>
                <a:gs pos="80000">
                  <a:schemeClr val="accent2">
                    <a:lumMod val="60000"/>
                    <a:shade val="93000"/>
                    <a:satMod val="130000"/>
                  </a:schemeClr>
                </a:gs>
                <a:gs pos="100000">
                  <a:schemeClr val="accent2">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Sheet1!$A$2:$A$5</c:f>
              <c:strCache>
                <c:ptCount val="4"/>
                <c:pt idx="0">
                  <c:v>Sex</c:v>
                </c:pt>
                <c:pt idx="1">
                  <c:v>Age</c:v>
                </c:pt>
                <c:pt idx="2">
                  <c:v>Secondary School Status</c:v>
                </c:pt>
                <c:pt idx="3">
                  <c:v>Ethnicity</c:v>
                </c:pt>
              </c:strCache>
            </c:strRef>
          </c:cat>
          <c:val>
            <c:numRef>
              <c:f>Sheet1!$I$2:$I$5</c:f>
              <c:numCache>
                <c:formatCode>General</c:formatCode>
                <c:ptCount val="4"/>
                <c:pt idx="2" formatCode="0%">
                  <c:v>0.23</c:v>
                </c:pt>
              </c:numCache>
            </c:numRef>
          </c:val>
          <c:extLst>
            <c:ext xmlns:c16="http://schemas.microsoft.com/office/drawing/2014/chart" uri="{C3380CC4-5D6E-409C-BE32-E72D297353CC}">
              <c16:uniqueId val="{00000009-FA5A-4779-94D1-68A58DD5D1E2}"/>
            </c:ext>
          </c:extLst>
        </c:ser>
        <c:ser>
          <c:idx val="8"/>
          <c:order val="8"/>
          <c:tx>
            <c:strRef>
              <c:f>Sheet1!$J$1</c:f>
              <c:strCache>
                <c:ptCount val="1"/>
                <c:pt idx="0">
                  <c:v>International</c:v>
                </c:pt>
              </c:strCache>
            </c:strRef>
          </c:tx>
          <c:spPr>
            <a:gradFill rotWithShape="1">
              <a:gsLst>
                <a:gs pos="0">
                  <a:schemeClr val="accent3">
                    <a:lumMod val="60000"/>
                    <a:shade val="51000"/>
                    <a:satMod val="130000"/>
                  </a:schemeClr>
                </a:gs>
                <a:gs pos="80000">
                  <a:schemeClr val="accent3">
                    <a:lumMod val="60000"/>
                    <a:shade val="93000"/>
                    <a:satMod val="130000"/>
                  </a:schemeClr>
                </a:gs>
                <a:gs pos="100000">
                  <a:schemeClr val="accent3">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Sheet1!$A$2:$A$5</c:f>
              <c:strCache>
                <c:ptCount val="4"/>
                <c:pt idx="0">
                  <c:v>Sex</c:v>
                </c:pt>
                <c:pt idx="1">
                  <c:v>Age</c:v>
                </c:pt>
                <c:pt idx="2">
                  <c:v>Secondary School Status</c:v>
                </c:pt>
                <c:pt idx="3">
                  <c:v>Ethnicity</c:v>
                </c:pt>
              </c:strCache>
            </c:strRef>
          </c:cat>
          <c:val>
            <c:numRef>
              <c:f>Sheet1!$J$2:$J$5</c:f>
              <c:numCache>
                <c:formatCode>General</c:formatCode>
                <c:ptCount val="4"/>
                <c:pt idx="2" formatCode="0%">
                  <c:v>0.24</c:v>
                </c:pt>
              </c:numCache>
            </c:numRef>
          </c:val>
          <c:extLst>
            <c:ext xmlns:c16="http://schemas.microsoft.com/office/drawing/2014/chart" uri="{C3380CC4-5D6E-409C-BE32-E72D297353CC}">
              <c16:uniqueId val="{0000000A-FA5A-4779-94D1-68A58DD5D1E2}"/>
            </c:ext>
          </c:extLst>
        </c:ser>
        <c:ser>
          <c:idx val="9"/>
          <c:order val="9"/>
          <c:tx>
            <c:strRef>
              <c:f>Sheet1!$K$1</c:f>
              <c:strCache>
                <c:ptCount val="1"/>
                <c:pt idx="0">
                  <c:v>State</c:v>
                </c:pt>
              </c:strCache>
            </c:strRef>
          </c:tx>
          <c:spPr>
            <a:gradFill rotWithShape="1">
              <a:gsLst>
                <a:gs pos="0">
                  <a:schemeClr val="accent4">
                    <a:lumMod val="60000"/>
                    <a:shade val="51000"/>
                    <a:satMod val="130000"/>
                  </a:schemeClr>
                </a:gs>
                <a:gs pos="80000">
                  <a:schemeClr val="accent4">
                    <a:lumMod val="60000"/>
                    <a:shade val="93000"/>
                    <a:satMod val="130000"/>
                  </a:schemeClr>
                </a:gs>
                <a:gs pos="100000">
                  <a:schemeClr val="accent4">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Sheet1!$A$2:$A$5</c:f>
              <c:strCache>
                <c:ptCount val="4"/>
                <c:pt idx="0">
                  <c:v>Sex</c:v>
                </c:pt>
                <c:pt idx="1">
                  <c:v>Age</c:v>
                </c:pt>
                <c:pt idx="2">
                  <c:v>Secondary School Status</c:v>
                </c:pt>
                <c:pt idx="3">
                  <c:v>Ethnicity</c:v>
                </c:pt>
              </c:strCache>
            </c:strRef>
          </c:cat>
          <c:val>
            <c:numRef>
              <c:f>Sheet1!$K$2:$K$5</c:f>
              <c:numCache>
                <c:formatCode>General</c:formatCode>
                <c:ptCount val="4"/>
                <c:pt idx="2" formatCode="0%">
                  <c:v>0.48</c:v>
                </c:pt>
              </c:numCache>
            </c:numRef>
          </c:val>
          <c:extLst>
            <c:ext xmlns:c16="http://schemas.microsoft.com/office/drawing/2014/chart" uri="{C3380CC4-5D6E-409C-BE32-E72D297353CC}">
              <c16:uniqueId val="{0000000B-FA5A-4779-94D1-68A58DD5D1E2}"/>
            </c:ext>
          </c:extLst>
        </c:ser>
        <c:dLbls>
          <c:showLegendKey val="0"/>
          <c:showVal val="0"/>
          <c:showCatName val="0"/>
          <c:showSerName val="0"/>
          <c:showPercent val="0"/>
          <c:showBubbleSize val="0"/>
        </c:dLbls>
        <c:gapWidth val="219"/>
        <c:axId val="1347456656"/>
        <c:axId val="923634224"/>
      </c:barChart>
      <c:barChart>
        <c:barDir val="col"/>
        <c:grouping val="clustered"/>
        <c:varyColors val="0"/>
        <c:ser>
          <c:idx val="10"/>
          <c:order val="10"/>
          <c:tx>
            <c:strRef>
              <c:f>Sheet1!$L$1</c:f>
              <c:strCache>
                <c:ptCount val="1"/>
                <c:pt idx="0">
                  <c:v>Declined to answer2</c:v>
                </c:pt>
              </c:strCache>
            </c:strRef>
          </c:tx>
          <c:spPr>
            <a:gradFill rotWithShape="1">
              <a:gsLst>
                <a:gs pos="0">
                  <a:schemeClr val="accent5">
                    <a:lumMod val="60000"/>
                    <a:shade val="51000"/>
                    <a:satMod val="130000"/>
                  </a:schemeClr>
                </a:gs>
                <a:gs pos="80000">
                  <a:schemeClr val="accent5">
                    <a:lumMod val="60000"/>
                    <a:shade val="93000"/>
                    <a:satMod val="130000"/>
                  </a:schemeClr>
                </a:gs>
                <a:gs pos="100000">
                  <a:schemeClr val="accent5">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Sheet1!$A$2:$A$5</c:f>
              <c:strCache>
                <c:ptCount val="4"/>
                <c:pt idx="0">
                  <c:v>Sex</c:v>
                </c:pt>
                <c:pt idx="1">
                  <c:v>Age</c:v>
                </c:pt>
                <c:pt idx="2">
                  <c:v>Secondary School Status</c:v>
                </c:pt>
                <c:pt idx="3">
                  <c:v>Ethnicity</c:v>
                </c:pt>
              </c:strCache>
            </c:strRef>
          </c:cat>
          <c:val>
            <c:numRef>
              <c:f>Sheet1!$L$2:$L$5</c:f>
              <c:numCache>
                <c:formatCode>General</c:formatCode>
                <c:ptCount val="4"/>
                <c:pt idx="2" formatCode="0%">
                  <c:v>0.05</c:v>
                </c:pt>
              </c:numCache>
            </c:numRef>
          </c:val>
          <c:extLst>
            <c:ext xmlns:c16="http://schemas.microsoft.com/office/drawing/2014/chart" uri="{C3380CC4-5D6E-409C-BE32-E72D297353CC}">
              <c16:uniqueId val="{0000000C-FA5A-4779-94D1-68A58DD5D1E2}"/>
            </c:ext>
          </c:extLst>
        </c:ser>
        <c:ser>
          <c:idx val="11"/>
          <c:order val="11"/>
          <c:tx>
            <c:strRef>
              <c:f>Sheet1!$M$1</c:f>
              <c:strCache>
                <c:ptCount val="1"/>
                <c:pt idx="0">
                  <c:v>Asian</c:v>
                </c:pt>
              </c:strCache>
            </c:strRef>
          </c:tx>
          <c:spPr>
            <a:gradFill rotWithShape="1">
              <a:gsLst>
                <a:gs pos="0">
                  <a:schemeClr val="accent6">
                    <a:lumMod val="60000"/>
                    <a:shade val="51000"/>
                    <a:satMod val="130000"/>
                  </a:schemeClr>
                </a:gs>
                <a:gs pos="80000">
                  <a:schemeClr val="accent6">
                    <a:lumMod val="60000"/>
                    <a:shade val="93000"/>
                    <a:satMod val="130000"/>
                  </a:schemeClr>
                </a:gs>
                <a:gs pos="100000">
                  <a:schemeClr val="accent6">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Sheet1!$A$2:$A$5</c:f>
              <c:strCache>
                <c:ptCount val="4"/>
                <c:pt idx="0">
                  <c:v>Sex</c:v>
                </c:pt>
                <c:pt idx="1">
                  <c:v>Age</c:v>
                </c:pt>
                <c:pt idx="2">
                  <c:v>Secondary School Status</c:v>
                </c:pt>
                <c:pt idx="3">
                  <c:v>Ethnicity</c:v>
                </c:pt>
              </c:strCache>
            </c:strRef>
          </c:cat>
          <c:val>
            <c:numRef>
              <c:f>Sheet1!$M$2:$M$5</c:f>
              <c:numCache>
                <c:formatCode>General</c:formatCode>
                <c:ptCount val="4"/>
                <c:pt idx="3" formatCode="0%">
                  <c:v>0.13</c:v>
                </c:pt>
              </c:numCache>
            </c:numRef>
          </c:val>
          <c:extLst>
            <c:ext xmlns:c16="http://schemas.microsoft.com/office/drawing/2014/chart" uri="{C3380CC4-5D6E-409C-BE32-E72D297353CC}">
              <c16:uniqueId val="{0000000D-FA5A-4779-94D1-68A58DD5D1E2}"/>
            </c:ext>
          </c:extLst>
        </c:ser>
        <c:ser>
          <c:idx val="12"/>
          <c:order val="12"/>
          <c:tx>
            <c:strRef>
              <c:f>Sheet1!$N$1</c:f>
              <c:strCache>
                <c:ptCount val="1"/>
                <c:pt idx="0">
                  <c:v>Black</c:v>
                </c:pt>
              </c:strCache>
            </c:strRef>
          </c:tx>
          <c:spPr>
            <a:gradFill rotWithShape="1">
              <a:gsLst>
                <a:gs pos="0">
                  <a:schemeClr val="accent1">
                    <a:lumMod val="80000"/>
                    <a:lumOff val="20000"/>
                    <a:shade val="51000"/>
                    <a:satMod val="130000"/>
                  </a:schemeClr>
                </a:gs>
                <a:gs pos="80000">
                  <a:schemeClr val="accent1">
                    <a:lumMod val="80000"/>
                    <a:lumOff val="20000"/>
                    <a:shade val="93000"/>
                    <a:satMod val="130000"/>
                  </a:schemeClr>
                </a:gs>
                <a:gs pos="100000">
                  <a:schemeClr val="accent1">
                    <a:lumMod val="80000"/>
                    <a:lumOff val="2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Sheet1!$A$2:$A$5</c:f>
              <c:strCache>
                <c:ptCount val="4"/>
                <c:pt idx="0">
                  <c:v>Sex</c:v>
                </c:pt>
                <c:pt idx="1">
                  <c:v>Age</c:v>
                </c:pt>
                <c:pt idx="2">
                  <c:v>Secondary School Status</c:v>
                </c:pt>
                <c:pt idx="3">
                  <c:v>Ethnicity</c:v>
                </c:pt>
              </c:strCache>
            </c:strRef>
          </c:cat>
          <c:val>
            <c:numRef>
              <c:f>Sheet1!$N$2:$N$5</c:f>
              <c:numCache>
                <c:formatCode>General</c:formatCode>
                <c:ptCount val="4"/>
                <c:pt idx="3" formatCode="0%">
                  <c:v>0.04</c:v>
                </c:pt>
              </c:numCache>
            </c:numRef>
          </c:val>
          <c:extLst>
            <c:ext xmlns:c16="http://schemas.microsoft.com/office/drawing/2014/chart" uri="{C3380CC4-5D6E-409C-BE32-E72D297353CC}">
              <c16:uniqueId val="{0000000E-FA5A-4779-94D1-68A58DD5D1E2}"/>
            </c:ext>
          </c:extLst>
        </c:ser>
        <c:ser>
          <c:idx val="13"/>
          <c:order val="13"/>
          <c:tx>
            <c:strRef>
              <c:f>Sheet1!$O$1</c:f>
              <c:strCache>
                <c:ptCount val="1"/>
                <c:pt idx="0">
                  <c:v>Chinese</c:v>
                </c:pt>
              </c:strCache>
            </c:strRef>
          </c:tx>
          <c:spPr>
            <a:gradFill rotWithShape="1">
              <a:gsLst>
                <a:gs pos="0">
                  <a:schemeClr val="accent2">
                    <a:lumMod val="80000"/>
                    <a:lumOff val="20000"/>
                    <a:shade val="51000"/>
                    <a:satMod val="130000"/>
                  </a:schemeClr>
                </a:gs>
                <a:gs pos="80000">
                  <a:schemeClr val="accent2">
                    <a:lumMod val="80000"/>
                    <a:lumOff val="20000"/>
                    <a:shade val="93000"/>
                    <a:satMod val="130000"/>
                  </a:schemeClr>
                </a:gs>
                <a:gs pos="100000">
                  <a:schemeClr val="accent2">
                    <a:lumMod val="80000"/>
                    <a:lumOff val="2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Sheet1!$A$2:$A$5</c:f>
              <c:strCache>
                <c:ptCount val="4"/>
                <c:pt idx="0">
                  <c:v>Sex</c:v>
                </c:pt>
                <c:pt idx="1">
                  <c:v>Age</c:v>
                </c:pt>
                <c:pt idx="2">
                  <c:v>Secondary School Status</c:v>
                </c:pt>
                <c:pt idx="3">
                  <c:v>Ethnicity</c:v>
                </c:pt>
              </c:strCache>
            </c:strRef>
          </c:cat>
          <c:val>
            <c:numRef>
              <c:f>Sheet1!$O$2:$O$5</c:f>
              <c:numCache>
                <c:formatCode>General</c:formatCode>
                <c:ptCount val="4"/>
                <c:pt idx="3" formatCode="0%">
                  <c:v>0.05</c:v>
                </c:pt>
              </c:numCache>
            </c:numRef>
          </c:val>
          <c:extLst>
            <c:ext xmlns:c16="http://schemas.microsoft.com/office/drawing/2014/chart" uri="{C3380CC4-5D6E-409C-BE32-E72D297353CC}">
              <c16:uniqueId val="{0000000F-FA5A-4779-94D1-68A58DD5D1E2}"/>
            </c:ext>
          </c:extLst>
        </c:ser>
        <c:ser>
          <c:idx val="14"/>
          <c:order val="14"/>
          <c:tx>
            <c:strRef>
              <c:f>Sheet1!$P$1</c:f>
              <c:strCache>
                <c:ptCount val="1"/>
                <c:pt idx="0">
                  <c:v>Mixed</c:v>
                </c:pt>
              </c:strCache>
            </c:strRef>
          </c:tx>
          <c:spPr>
            <a:gradFill rotWithShape="1">
              <a:gsLst>
                <a:gs pos="0">
                  <a:schemeClr val="accent3">
                    <a:lumMod val="80000"/>
                    <a:lumOff val="20000"/>
                    <a:shade val="51000"/>
                    <a:satMod val="130000"/>
                  </a:schemeClr>
                </a:gs>
                <a:gs pos="80000">
                  <a:schemeClr val="accent3">
                    <a:lumMod val="80000"/>
                    <a:lumOff val="20000"/>
                    <a:shade val="93000"/>
                    <a:satMod val="130000"/>
                  </a:schemeClr>
                </a:gs>
                <a:gs pos="100000">
                  <a:schemeClr val="accent3">
                    <a:lumMod val="80000"/>
                    <a:lumOff val="2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Sheet1!$A$2:$A$5</c:f>
              <c:strCache>
                <c:ptCount val="4"/>
                <c:pt idx="0">
                  <c:v>Sex</c:v>
                </c:pt>
                <c:pt idx="1">
                  <c:v>Age</c:v>
                </c:pt>
                <c:pt idx="2">
                  <c:v>Secondary School Status</c:v>
                </c:pt>
                <c:pt idx="3">
                  <c:v>Ethnicity</c:v>
                </c:pt>
              </c:strCache>
            </c:strRef>
          </c:cat>
          <c:val>
            <c:numRef>
              <c:f>Sheet1!$P$2:$P$5</c:f>
              <c:numCache>
                <c:formatCode>General</c:formatCode>
                <c:ptCount val="4"/>
                <c:pt idx="3" formatCode="0%">
                  <c:v>0.04</c:v>
                </c:pt>
              </c:numCache>
            </c:numRef>
          </c:val>
          <c:extLst>
            <c:ext xmlns:c16="http://schemas.microsoft.com/office/drawing/2014/chart" uri="{C3380CC4-5D6E-409C-BE32-E72D297353CC}">
              <c16:uniqueId val="{00000010-FA5A-4779-94D1-68A58DD5D1E2}"/>
            </c:ext>
          </c:extLst>
        </c:ser>
        <c:ser>
          <c:idx val="15"/>
          <c:order val="15"/>
          <c:tx>
            <c:strRef>
              <c:f>Sheet1!$Q$1</c:f>
              <c:strCache>
                <c:ptCount val="1"/>
                <c:pt idx="0">
                  <c:v>Other</c:v>
                </c:pt>
              </c:strCache>
            </c:strRef>
          </c:tx>
          <c:spPr>
            <a:gradFill rotWithShape="1">
              <a:gsLst>
                <a:gs pos="0">
                  <a:schemeClr val="accent4">
                    <a:lumMod val="80000"/>
                    <a:lumOff val="20000"/>
                    <a:shade val="51000"/>
                    <a:satMod val="130000"/>
                  </a:schemeClr>
                </a:gs>
                <a:gs pos="80000">
                  <a:schemeClr val="accent4">
                    <a:lumMod val="80000"/>
                    <a:lumOff val="20000"/>
                    <a:shade val="93000"/>
                    <a:satMod val="130000"/>
                  </a:schemeClr>
                </a:gs>
                <a:gs pos="100000">
                  <a:schemeClr val="accent4">
                    <a:lumMod val="80000"/>
                    <a:lumOff val="2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Sheet1!$A$2:$A$5</c:f>
              <c:strCache>
                <c:ptCount val="4"/>
                <c:pt idx="0">
                  <c:v>Sex</c:v>
                </c:pt>
                <c:pt idx="1">
                  <c:v>Age</c:v>
                </c:pt>
                <c:pt idx="2">
                  <c:v>Secondary School Status</c:v>
                </c:pt>
                <c:pt idx="3">
                  <c:v>Ethnicity</c:v>
                </c:pt>
              </c:strCache>
            </c:strRef>
          </c:cat>
          <c:val>
            <c:numRef>
              <c:f>Sheet1!$Q$2:$Q$5</c:f>
              <c:numCache>
                <c:formatCode>General</c:formatCode>
                <c:ptCount val="4"/>
                <c:pt idx="3" formatCode="0%">
                  <c:v>0.02</c:v>
                </c:pt>
              </c:numCache>
            </c:numRef>
          </c:val>
          <c:extLst>
            <c:ext xmlns:c16="http://schemas.microsoft.com/office/drawing/2014/chart" uri="{C3380CC4-5D6E-409C-BE32-E72D297353CC}">
              <c16:uniqueId val="{00000011-FA5A-4779-94D1-68A58DD5D1E2}"/>
            </c:ext>
          </c:extLst>
        </c:ser>
        <c:ser>
          <c:idx val="16"/>
          <c:order val="16"/>
          <c:tx>
            <c:strRef>
              <c:f>Sheet1!$R$1</c:f>
              <c:strCache>
                <c:ptCount val="1"/>
                <c:pt idx="0">
                  <c:v>White (British)</c:v>
                </c:pt>
              </c:strCache>
            </c:strRef>
          </c:tx>
          <c:spPr>
            <a:gradFill rotWithShape="1">
              <a:gsLst>
                <a:gs pos="0">
                  <a:schemeClr val="accent5">
                    <a:lumMod val="80000"/>
                    <a:lumOff val="20000"/>
                    <a:shade val="51000"/>
                    <a:satMod val="130000"/>
                  </a:schemeClr>
                </a:gs>
                <a:gs pos="80000">
                  <a:schemeClr val="accent5">
                    <a:lumMod val="80000"/>
                    <a:lumOff val="20000"/>
                    <a:shade val="93000"/>
                    <a:satMod val="130000"/>
                  </a:schemeClr>
                </a:gs>
                <a:gs pos="100000">
                  <a:schemeClr val="accent5">
                    <a:lumMod val="80000"/>
                    <a:lumOff val="2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Sheet1!$A$2:$A$5</c:f>
              <c:strCache>
                <c:ptCount val="4"/>
                <c:pt idx="0">
                  <c:v>Sex</c:v>
                </c:pt>
                <c:pt idx="1">
                  <c:v>Age</c:v>
                </c:pt>
                <c:pt idx="2">
                  <c:v>Secondary School Status</c:v>
                </c:pt>
                <c:pt idx="3">
                  <c:v>Ethnicity</c:v>
                </c:pt>
              </c:strCache>
            </c:strRef>
          </c:cat>
          <c:val>
            <c:numRef>
              <c:f>Sheet1!$R$2:$R$5</c:f>
              <c:numCache>
                <c:formatCode>General</c:formatCode>
                <c:ptCount val="4"/>
                <c:pt idx="3" formatCode="0%">
                  <c:v>0.56000000000000005</c:v>
                </c:pt>
              </c:numCache>
            </c:numRef>
          </c:val>
          <c:extLst>
            <c:ext xmlns:c16="http://schemas.microsoft.com/office/drawing/2014/chart" uri="{C3380CC4-5D6E-409C-BE32-E72D297353CC}">
              <c16:uniqueId val="{00000012-FA5A-4779-94D1-68A58DD5D1E2}"/>
            </c:ext>
          </c:extLst>
        </c:ser>
        <c:ser>
          <c:idx val="17"/>
          <c:order val="17"/>
          <c:tx>
            <c:strRef>
              <c:f>Sheet1!$S$1</c:f>
              <c:strCache>
                <c:ptCount val="1"/>
                <c:pt idx="0">
                  <c:v>White (Irish)</c:v>
                </c:pt>
              </c:strCache>
            </c:strRef>
          </c:tx>
          <c:spPr>
            <a:gradFill rotWithShape="1">
              <a:gsLst>
                <a:gs pos="0">
                  <a:schemeClr val="accent6">
                    <a:lumMod val="80000"/>
                    <a:lumOff val="20000"/>
                    <a:shade val="51000"/>
                    <a:satMod val="130000"/>
                  </a:schemeClr>
                </a:gs>
                <a:gs pos="80000">
                  <a:schemeClr val="accent6">
                    <a:lumMod val="80000"/>
                    <a:lumOff val="20000"/>
                    <a:shade val="93000"/>
                    <a:satMod val="130000"/>
                  </a:schemeClr>
                </a:gs>
                <a:gs pos="100000">
                  <a:schemeClr val="accent6">
                    <a:lumMod val="80000"/>
                    <a:lumOff val="2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Sheet1!$A$2:$A$5</c:f>
              <c:strCache>
                <c:ptCount val="4"/>
                <c:pt idx="0">
                  <c:v>Sex</c:v>
                </c:pt>
                <c:pt idx="1">
                  <c:v>Age</c:v>
                </c:pt>
                <c:pt idx="2">
                  <c:v>Secondary School Status</c:v>
                </c:pt>
                <c:pt idx="3">
                  <c:v>Ethnicity</c:v>
                </c:pt>
              </c:strCache>
            </c:strRef>
          </c:cat>
          <c:val>
            <c:numRef>
              <c:f>Sheet1!$S$2:$S$5</c:f>
              <c:numCache>
                <c:formatCode>General</c:formatCode>
                <c:ptCount val="4"/>
                <c:pt idx="3" formatCode="0%">
                  <c:v>0.02</c:v>
                </c:pt>
              </c:numCache>
            </c:numRef>
          </c:val>
          <c:extLst>
            <c:ext xmlns:c16="http://schemas.microsoft.com/office/drawing/2014/chart" uri="{C3380CC4-5D6E-409C-BE32-E72D297353CC}">
              <c16:uniqueId val="{00000013-FA5A-4779-94D1-68A58DD5D1E2}"/>
            </c:ext>
          </c:extLst>
        </c:ser>
        <c:ser>
          <c:idx val="18"/>
          <c:order val="18"/>
          <c:tx>
            <c:strRef>
              <c:f>Sheet1!$T$1</c:f>
              <c:strCache>
                <c:ptCount val="1"/>
                <c:pt idx="0">
                  <c:v>White (Other)</c:v>
                </c:pt>
              </c:strCache>
            </c:strRef>
          </c:tx>
          <c:spPr>
            <a:gradFill rotWithShape="1">
              <a:gsLst>
                <a:gs pos="0">
                  <a:schemeClr val="accent1">
                    <a:lumMod val="80000"/>
                    <a:shade val="51000"/>
                    <a:satMod val="130000"/>
                  </a:schemeClr>
                </a:gs>
                <a:gs pos="80000">
                  <a:schemeClr val="accent1">
                    <a:lumMod val="80000"/>
                    <a:shade val="93000"/>
                    <a:satMod val="130000"/>
                  </a:schemeClr>
                </a:gs>
                <a:gs pos="100000">
                  <a:schemeClr val="accent1">
                    <a:lumMod val="8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Sheet1!$A$2:$A$5</c:f>
              <c:strCache>
                <c:ptCount val="4"/>
                <c:pt idx="0">
                  <c:v>Sex</c:v>
                </c:pt>
                <c:pt idx="1">
                  <c:v>Age</c:v>
                </c:pt>
                <c:pt idx="2">
                  <c:v>Secondary School Status</c:v>
                </c:pt>
                <c:pt idx="3">
                  <c:v>Ethnicity</c:v>
                </c:pt>
              </c:strCache>
            </c:strRef>
          </c:cat>
          <c:val>
            <c:numRef>
              <c:f>Sheet1!$T$2:$T$5</c:f>
              <c:numCache>
                <c:formatCode>General</c:formatCode>
                <c:ptCount val="4"/>
                <c:pt idx="3" formatCode="0%">
                  <c:v>0.12</c:v>
                </c:pt>
              </c:numCache>
            </c:numRef>
          </c:val>
          <c:extLst>
            <c:ext xmlns:c16="http://schemas.microsoft.com/office/drawing/2014/chart" uri="{C3380CC4-5D6E-409C-BE32-E72D297353CC}">
              <c16:uniqueId val="{00000014-FA5A-4779-94D1-68A58DD5D1E2}"/>
            </c:ext>
          </c:extLst>
        </c:ser>
        <c:ser>
          <c:idx val="19"/>
          <c:order val="19"/>
          <c:tx>
            <c:strRef>
              <c:f>Sheet1!$U$1</c:f>
              <c:strCache>
                <c:ptCount val="1"/>
                <c:pt idx="0">
                  <c:v>Declined to answer3</c:v>
                </c:pt>
              </c:strCache>
            </c:strRef>
          </c:tx>
          <c:spPr>
            <a:gradFill rotWithShape="1">
              <a:gsLst>
                <a:gs pos="0">
                  <a:schemeClr val="accent2">
                    <a:lumMod val="80000"/>
                    <a:shade val="51000"/>
                    <a:satMod val="130000"/>
                  </a:schemeClr>
                </a:gs>
                <a:gs pos="80000">
                  <a:schemeClr val="accent2">
                    <a:lumMod val="80000"/>
                    <a:shade val="93000"/>
                    <a:satMod val="130000"/>
                  </a:schemeClr>
                </a:gs>
                <a:gs pos="100000">
                  <a:schemeClr val="accent2">
                    <a:lumMod val="8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Sheet1!$A$2:$A$5</c:f>
              <c:strCache>
                <c:ptCount val="4"/>
                <c:pt idx="0">
                  <c:v>Sex</c:v>
                </c:pt>
                <c:pt idx="1">
                  <c:v>Age</c:v>
                </c:pt>
                <c:pt idx="2">
                  <c:v>Secondary School Status</c:v>
                </c:pt>
                <c:pt idx="3">
                  <c:v>Ethnicity</c:v>
                </c:pt>
              </c:strCache>
            </c:strRef>
          </c:cat>
          <c:val>
            <c:numRef>
              <c:f>Sheet1!$U$2:$U$5</c:f>
              <c:numCache>
                <c:formatCode>General</c:formatCode>
                <c:ptCount val="4"/>
                <c:pt idx="3" formatCode="0%">
                  <c:v>0.02</c:v>
                </c:pt>
              </c:numCache>
            </c:numRef>
          </c:val>
          <c:extLst>
            <c:ext xmlns:c16="http://schemas.microsoft.com/office/drawing/2014/chart" uri="{C3380CC4-5D6E-409C-BE32-E72D297353CC}">
              <c16:uniqueId val="{00000015-FA5A-4779-94D1-68A58DD5D1E2}"/>
            </c:ext>
          </c:extLst>
        </c:ser>
        <c:dLbls>
          <c:showLegendKey val="0"/>
          <c:showVal val="0"/>
          <c:showCatName val="0"/>
          <c:showSerName val="0"/>
          <c:showPercent val="0"/>
          <c:showBubbleSize val="0"/>
        </c:dLbls>
        <c:gapWidth val="219"/>
        <c:axId val="1331620112"/>
        <c:axId val="923635184"/>
      </c:barChart>
      <c:catAx>
        <c:axId val="1347456656"/>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23634224"/>
        <c:crosses val="autoZero"/>
        <c:auto val="1"/>
        <c:lblAlgn val="ctr"/>
        <c:lblOffset val="100"/>
        <c:noMultiLvlLbl val="0"/>
      </c:catAx>
      <c:valAx>
        <c:axId val="923634224"/>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47456656"/>
        <c:crosses val="autoZero"/>
        <c:crossBetween val="between"/>
      </c:valAx>
      <c:valAx>
        <c:axId val="923635184"/>
        <c:scaling>
          <c:orientation val="minMax"/>
        </c:scaling>
        <c:delete val="0"/>
        <c:axPos val="r"/>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31620112"/>
        <c:crosses val="max"/>
        <c:crossBetween val="between"/>
      </c:valAx>
      <c:catAx>
        <c:axId val="1331620112"/>
        <c:scaling>
          <c:orientation val="minMax"/>
        </c:scaling>
        <c:delete val="1"/>
        <c:axPos val="b"/>
        <c:numFmt formatCode="General" sourceLinked="1"/>
        <c:majorTickMark val="none"/>
        <c:minorTickMark val="none"/>
        <c:tickLblPos val="nextTo"/>
        <c:crossAx val="923635184"/>
        <c:crosses val="autoZero"/>
        <c:auto val="1"/>
        <c:lblAlgn val="ctr"/>
        <c:lblOffset val="100"/>
        <c:noMultiLvlLbl val="0"/>
      </c:catAx>
      <c:spPr>
        <a:noFill/>
        <a:ln>
          <a:noFill/>
        </a:ln>
        <a:effectLst/>
      </c:spPr>
    </c:plotArea>
    <c:legend>
      <c:legendPos val="b"/>
      <c:layout>
        <c:manualLayout>
          <c:xMode val="edge"/>
          <c:yMode val="edge"/>
          <c:x val="5.7870370370370371E-2"/>
          <c:y val="0.63144606924134483"/>
          <c:w val="0.8842592592592593"/>
          <c:h val="0.34474440694913133"/>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52">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165</TotalTime>
  <Pages>6</Pages>
  <Words>2294</Words>
  <Characters>13079</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Unipart Powertrain Applications</Company>
  <LinksUpToDate>false</LinksUpToDate>
  <CharactersWithSpaces>15343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 Matei</dc:creator>
  <cp:keywords/>
  <dc:description/>
  <cp:lastModifiedBy>Alina Matei</cp:lastModifiedBy>
  <cp:revision>4</cp:revision>
  <dcterms:created xsi:type="dcterms:W3CDTF">2023-05-02T15:25:00Z</dcterms:created>
  <dcterms:modified xsi:type="dcterms:W3CDTF">2023-05-05T16:12:00Z</dcterms:modified>
</cp:coreProperties>
</file>