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31637" w:rsidRPr="00F90314" w:rsidRDefault="00A31637" w:rsidP="00A31637">
      <w:pPr>
        <w:tabs>
          <w:tab w:val="right" w:pos="10335"/>
        </w:tabs>
        <w:spacing w:after="62"/>
        <w:rPr>
          <w:rFonts w:ascii="Arial" w:hAnsi="Arial" w:cs="Arial"/>
          <w:sz w:val="20"/>
        </w:rPr>
      </w:pPr>
      <w:r w:rsidRPr="00F90314">
        <w:rPr>
          <w:rFonts w:ascii="Arial" w:hAnsi="Arial" w:cs="Arial"/>
          <w:noProof/>
          <w:lang w:eastAsia="en-GB"/>
        </w:rPr>
        <w:drawing>
          <wp:inline distT="0" distB="0" distL="0" distR="0" wp14:anchorId="2C080F39" wp14:editId="4C3CCF14">
            <wp:extent cx="2119357" cy="1082402"/>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2120182" cy="1082823"/>
                    </a:xfrm>
                    <a:prstGeom prst="rect">
                      <a:avLst/>
                    </a:prstGeom>
                  </pic:spPr>
                </pic:pic>
              </a:graphicData>
            </a:graphic>
          </wp:inline>
        </w:drawing>
      </w:r>
      <w:r w:rsidRPr="00F90314">
        <w:rPr>
          <w:rFonts w:ascii="Arial" w:hAnsi="Arial" w:cs="Arial"/>
          <w:sz w:val="20"/>
        </w:rPr>
        <w:tab/>
        <w:t xml:space="preserve">  </w:t>
      </w:r>
    </w:p>
    <w:p w:rsidR="00A31637" w:rsidRPr="00F90314" w:rsidRDefault="00A31637" w:rsidP="00A31637">
      <w:pPr>
        <w:tabs>
          <w:tab w:val="right" w:pos="10335"/>
        </w:tabs>
        <w:spacing w:after="62"/>
        <w:rPr>
          <w:rFonts w:ascii="Arial" w:hAnsi="Arial" w:cs="Arial"/>
          <w:sz w:val="20"/>
        </w:rPr>
      </w:pPr>
    </w:p>
    <w:p w:rsidR="00A31637" w:rsidRPr="00F90314" w:rsidRDefault="002743E3" w:rsidP="00A31637">
      <w:pPr>
        <w:tabs>
          <w:tab w:val="right" w:pos="10335"/>
        </w:tabs>
        <w:spacing w:after="62"/>
        <w:rPr>
          <w:rFonts w:ascii="Arial" w:hAnsi="Arial" w:cs="Arial"/>
        </w:rPr>
      </w:pPr>
      <w:r>
        <w:rPr>
          <w:rFonts w:ascii="Arial" w:hAnsi="Arial" w:cs="Arial"/>
        </w:rPr>
        <w:tab/>
      </w:r>
      <w:r>
        <w:rPr>
          <w:rFonts w:ascii="Arial" w:hAnsi="Arial" w:cs="Arial"/>
        </w:rPr>
        <w:tab/>
      </w:r>
    </w:p>
    <w:p w:rsidR="00A31637" w:rsidRPr="00A91356" w:rsidRDefault="00A31637">
      <w:pPr>
        <w:rPr>
          <w:rFonts w:ascii="Arial" w:hAnsi="Arial" w:cs="Arial"/>
          <w:color w:val="002060"/>
          <w:sz w:val="32"/>
          <w:u w:val="single"/>
        </w:rPr>
      </w:pPr>
    </w:p>
    <w:p w:rsidR="00987AD3" w:rsidRDefault="009D7F0D" w:rsidP="00E32848">
      <w:pPr>
        <w:jc w:val="center"/>
        <w:rPr>
          <w:rFonts w:ascii="Arial" w:hAnsi="Arial" w:cs="Arial"/>
          <w:color w:val="002060"/>
          <w:sz w:val="48"/>
          <w:szCs w:val="48"/>
          <w:u w:val="single"/>
        </w:rPr>
      </w:pPr>
      <w:r w:rsidRPr="00C43E08">
        <w:rPr>
          <w:rFonts w:ascii="Arial" w:hAnsi="Arial" w:cs="Arial"/>
          <w:color w:val="002060"/>
          <w:sz w:val="48"/>
          <w:szCs w:val="48"/>
          <w:u w:val="single"/>
        </w:rPr>
        <w:t>MODULE: L</w:t>
      </w:r>
      <w:r w:rsidR="00987AD3">
        <w:rPr>
          <w:rFonts w:ascii="Arial" w:hAnsi="Arial" w:cs="Arial"/>
          <w:color w:val="002060"/>
          <w:sz w:val="48"/>
          <w:szCs w:val="48"/>
          <w:u w:val="single"/>
        </w:rPr>
        <w:t>C</w:t>
      </w:r>
      <w:r w:rsidRPr="00C43E08">
        <w:rPr>
          <w:rFonts w:ascii="Arial" w:hAnsi="Arial" w:cs="Arial"/>
          <w:color w:val="002060"/>
          <w:sz w:val="48"/>
          <w:szCs w:val="48"/>
          <w:u w:val="single"/>
        </w:rPr>
        <w:t>BB 500</w:t>
      </w:r>
      <w:r w:rsidR="00987AD3">
        <w:rPr>
          <w:rFonts w:ascii="Arial" w:hAnsi="Arial" w:cs="Arial"/>
          <w:color w:val="002060"/>
          <w:sz w:val="48"/>
          <w:szCs w:val="48"/>
          <w:u w:val="single"/>
        </w:rPr>
        <w:t>4</w:t>
      </w:r>
    </w:p>
    <w:p w:rsidR="00A31637" w:rsidRPr="00C43E08" w:rsidRDefault="00794854" w:rsidP="00E32848">
      <w:pPr>
        <w:jc w:val="center"/>
        <w:rPr>
          <w:rFonts w:ascii="Arial" w:hAnsi="Arial" w:cs="Arial"/>
          <w:color w:val="002060"/>
          <w:sz w:val="48"/>
          <w:szCs w:val="48"/>
          <w:u w:val="single"/>
        </w:rPr>
      </w:pPr>
      <w:r w:rsidRPr="00C43E08">
        <w:rPr>
          <w:rFonts w:ascii="Arial" w:hAnsi="Arial" w:cs="Arial"/>
          <w:color w:val="002060"/>
          <w:sz w:val="48"/>
          <w:szCs w:val="48"/>
          <w:u w:val="single"/>
        </w:rPr>
        <w:t xml:space="preserve"> Business Management</w:t>
      </w:r>
    </w:p>
    <w:p w:rsidR="00D45A32" w:rsidRPr="00A91356" w:rsidRDefault="00D45A32" w:rsidP="00E32848">
      <w:pPr>
        <w:jc w:val="center"/>
        <w:rPr>
          <w:rFonts w:ascii="Arial" w:hAnsi="Arial" w:cs="Arial"/>
          <w:color w:val="002060"/>
          <w:sz w:val="32"/>
          <w:u w:val="single"/>
        </w:rPr>
      </w:pPr>
    </w:p>
    <w:p w:rsidR="00520F5C" w:rsidRDefault="00D45A32" w:rsidP="00E32848">
      <w:pPr>
        <w:jc w:val="center"/>
        <w:rPr>
          <w:rFonts w:ascii="Arial" w:hAnsi="Arial" w:cs="Arial"/>
          <w:b/>
          <w:bCs/>
          <w:color w:val="002060"/>
          <w:sz w:val="52"/>
          <w:szCs w:val="52"/>
        </w:rPr>
      </w:pPr>
      <w:r w:rsidRPr="00DF75DB">
        <w:rPr>
          <w:rFonts w:ascii="Arial" w:hAnsi="Arial" w:cs="Arial"/>
          <w:b/>
          <w:bCs/>
          <w:color w:val="002060"/>
          <w:sz w:val="52"/>
          <w:szCs w:val="52"/>
        </w:rPr>
        <w:t xml:space="preserve">Student: </w:t>
      </w:r>
    </w:p>
    <w:p w:rsidR="00987AD3" w:rsidRDefault="00D45A32" w:rsidP="00E32848">
      <w:pPr>
        <w:jc w:val="center"/>
        <w:rPr>
          <w:rFonts w:ascii="Arial" w:hAnsi="Arial" w:cs="Arial"/>
          <w:b/>
          <w:bCs/>
          <w:color w:val="002060"/>
          <w:sz w:val="52"/>
          <w:szCs w:val="52"/>
        </w:rPr>
      </w:pPr>
      <w:r w:rsidRPr="00DF75DB">
        <w:rPr>
          <w:rFonts w:ascii="Arial" w:hAnsi="Arial" w:cs="Arial"/>
          <w:b/>
          <w:bCs/>
          <w:color w:val="002060"/>
          <w:sz w:val="52"/>
          <w:szCs w:val="52"/>
        </w:rPr>
        <w:t xml:space="preserve">Aurel Apopei   </w:t>
      </w:r>
    </w:p>
    <w:p w:rsidR="00D45A32" w:rsidRPr="00DF75DB" w:rsidRDefault="00D45A32" w:rsidP="00E32848">
      <w:pPr>
        <w:jc w:val="center"/>
        <w:rPr>
          <w:rFonts w:ascii="Arial" w:hAnsi="Arial" w:cs="Arial"/>
          <w:b/>
          <w:bCs/>
          <w:color w:val="002060"/>
          <w:sz w:val="52"/>
          <w:szCs w:val="52"/>
        </w:rPr>
      </w:pPr>
      <w:r w:rsidRPr="00DF75DB">
        <w:rPr>
          <w:rFonts w:ascii="Arial" w:hAnsi="Arial" w:cs="Arial"/>
          <w:b/>
          <w:bCs/>
          <w:color w:val="002060"/>
          <w:sz w:val="52"/>
          <w:szCs w:val="52"/>
        </w:rPr>
        <w:t>2245793</w:t>
      </w:r>
    </w:p>
    <w:p w:rsidR="00AB26F9" w:rsidRPr="00A91356" w:rsidRDefault="00AB26F9" w:rsidP="00E32848">
      <w:pPr>
        <w:jc w:val="center"/>
        <w:rPr>
          <w:rFonts w:ascii="Arial" w:hAnsi="Arial" w:cs="Arial"/>
          <w:color w:val="002060"/>
          <w:sz w:val="32"/>
          <w:u w:val="single"/>
        </w:rPr>
      </w:pPr>
    </w:p>
    <w:p w:rsidR="00520F5C" w:rsidRDefault="00AB26F9" w:rsidP="00E32848">
      <w:pPr>
        <w:jc w:val="center"/>
        <w:rPr>
          <w:rFonts w:ascii="Arial" w:hAnsi="Arial" w:cs="Arial"/>
          <w:b/>
          <w:bCs/>
          <w:color w:val="002060"/>
          <w:sz w:val="40"/>
          <w:szCs w:val="40"/>
        </w:rPr>
      </w:pPr>
      <w:r w:rsidRPr="00DF75DB">
        <w:rPr>
          <w:rFonts w:ascii="Arial" w:hAnsi="Arial" w:cs="Arial"/>
          <w:b/>
          <w:bCs/>
          <w:color w:val="002060"/>
          <w:sz w:val="40"/>
          <w:szCs w:val="40"/>
        </w:rPr>
        <w:t xml:space="preserve">Lecturer: </w:t>
      </w:r>
    </w:p>
    <w:p w:rsidR="00AB26F9" w:rsidRPr="00DF75DB" w:rsidRDefault="00AB26F9" w:rsidP="00E32848">
      <w:pPr>
        <w:jc w:val="center"/>
        <w:rPr>
          <w:rFonts w:ascii="Arial" w:hAnsi="Arial" w:cs="Arial"/>
          <w:b/>
          <w:bCs/>
          <w:color w:val="002060"/>
          <w:sz w:val="40"/>
          <w:szCs w:val="40"/>
        </w:rPr>
      </w:pPr>
      <w:r w:rsidRPr="00DF75DB">
        <w:rPr>
          <w:rFonts w:ascii="Arial" w:hAnsi="Arial" w:cs="Arial"/>
          <w:b/>
          <w:bCs/>
          <w:color w:val="002060"/>
          <w:sz w:val="40"/>
          <w:szCs w:val="40"/>
        </w:rPr>
        <w:t>Dr. Zahra</w:t>
      </w:r>
      <w:r w:rsidR="005447C7">
        <w:rPr>
          <w:rFonts w:ascii="Arial" w:hAnsi="Arial" w:cs="Arial"/>
          <w:b/>
          <w:bCs/>
          <w:color w:val="002060"/>
          <w:sz w:val="40"/>
          <w:szCs w:val="40"/>
        </w:rPr>
        <w:t xml:space="preserve"> Mohammadnazari</w:t>
      </w:r>
    </w:p>
    <w:p w:rsidR="00A31637" w:rsidRPr="00F90314" w:rsidRDefault="00A31637">
      <w:pPr>
        <w:rPr>
          <w:rFonts w:ascii="Arial" w:hAnsi="Arial" w:cs="Arial"/>
          <w:sz w:val="32"/>
          <w:u w:val="single"/>
        </w:rPr>
      </w:pPr>
    </w:p>
    <w:p w:rsidR="00A31637" w:rsidRPr="00F90314" w:rsidRDefault="00A31637">
      <w:pPr>
        <w:rPr>
          <w:rFonts w:ascii="Arial" w:hAnsi="Arial" w:cs="Arial"/>
          <w:sz w:val="32"/>
          <w:u w:val="single"/>
        </w:rPr>
      </w:pPr>
    </w:p>
    <w:p w:rsidR="00A31637" w:rsidRDefault="00A31637">
      <w:pPr>
        <w:rPr>
          <w:rFonts w:ascii="Arial" w:hAnsi="Arial" w:cs="Arial"/>
          <w:sz w:val="32"/>
          <w:u w:val="single"/>
        </w:rPr>
      </w:pPr>
    </w:p>
    <w:p w:rsidR="005A2750" w:rsidRDefault="005A2750">
      <w:pPr>
        <w:rPr>
          <w:rFonts w:ascii="Arial" w:hAnsi="Arial" w:cs="Arial"/>
          <w:sz w:val="32"/>
          <w:u w:val="single"/>
        </w:rPr>
      </w:pPr>
    </w:p>
    <w:p w:rsidR="005A2750" w:rsidRDefault="005A2750">
      <w:pPr>
        <w:rPr>
          <w:rFonts w:ascii="Arial" w:hAnsi="Arial" w:cs="Arial"/>
          <w:sz w:val="32"/>
          <w:u w:val="single"/>
        </w:rPr>
      </w:pPr>
    </w:p>
    <w:p w:rsidR="005A2750" w:rsidRDefault="005A2750">
      <w:pPr>
        <w:rPr>
          <w:rFonts w:ascii="Arial" w:hAnsi="Arial" w:cs="Arial"/>
          <w:sz w:val="32"/>
          <w:u w:val="single"/>
        </w:rPr>
      </w:pPr>
    </w:p>
    <w:p w:rsidR="005A2750" w:rsidRDefault="005A2750">
      <w:pPr>
        <w:rPr>
          <w:rFonts w:ascii="Arial" w:hAnsi="Arial" w:cs="Arial"/>
          <w:sz w:val="32"/>
          <w:u w:val="single"/>
        </w:rPr>
      </w:pPr>
    </w:p>
    <w:p w:rsidR="005A2750" w:rsidRPr="00F90314" w:rsidRDefault="005A2750">
      <w:pPr>
        <w:rPr>
          <w:rFonts w:ascii="Arial" w:hAnsi="Arial" w:cs="Arial"/>
          <w:sz w:val="32"/>
          <w:u w:val="single"/>
        </w:rPr>
      </w:pPr>
    </w:p>
    <w:sdt>
      <w:sdtPr>
        <w:rPr>
          <w:rFonts w:ascii="Arial" w:eastAsiaTheme="minorHAnsi" w:hAnsi="Arial" w:cs="Arial"/>
          <w:color w:val="auto"/>
          <w:kern w:val="2"/>
          <w:sz w:val="22"/>
          <w:szCs w:val="22"/>
          <w:lang w:val="en-GB"/>
          <w14:ligatures w14:val="standardContextual"/>
        </w:rPr>
        <w:id w:val="-1572186716"/>
        <w:docPartObj>
          <w:docPartGallery w:val="Table of Contents"/>
          <w:docPartUnique/>
        </w:docPartObj>
      </w:sdtPr>
      <w:sdtEndPr>
        <w:rPr>
          <w:b/>
          <w:bCs/>
          <w:noProof/>
        </w:rPr>
      </w:sdtEndPr>
      <w:sdtContent>
        <w:p w:rsidR="00A31637" w:rsidRPr="00F90314" w:rsidRDefault="00A31637">
          <w:pPr>
            <w:pStyle w:val="TOCHeading"/>
            <w:rPr>
              <w:rFonts w:ascii="Arial" w:hAnsi="Arial" w:cs="Arial"/>
            </w:rPr>
          </w:pPr>
          <w:r w:rsidRPr="00F90314">
            <w:rPr>
              <w:rFonts w:ascii="Arial" w:hAnsi="Arial" w:cs="Arial"/>
            </w:rPr>
            <w:t>Contents</w:t>
          </w:r>
        </w:p>
        <w:p w:rsidR="0050053C" w:rsidRDefault="00A31637">
          <w:pPr>
            <w:pStyle w:val="TOC1"/>
            <w:tabs>
              <w:tab w:val="right" w:leader="dot" w:pos="9016"/>
            </w:tabs>
            <w:rPr>
              <w:rFonts w:eastAsiaTheme="minorEastAsia"/>
              <w:noProof/>
              <w:kern w:val="0"/>
              <w:lang w:eastAsia="en-GB"/>
              <w14:ligatures w14:val="none"/>
            </w:rPr>
          </w:pPr>
          <w:r w:rsidRPr="00F90314">
            <w:rPr>
              <w:rFonts w:ascii="Arial" w:hAnsi="Arial" w:cs="Arial"/>
            </w:rPr>
            <w:fldChar w:fldCharType="begin"/>
          </w:r>
          <w:r w:rsidRPr="00F90314">
            <w:rPr>
              <w:rFonts w:ascii="Arial" w:hAnsi="Arial" w:cs="Arial"/>
            </w:rPr>
            <w:instrText xml:space="preserve"> TOC \o "1-3" \h \z \u </w:instrText>
          </w:r>
          <w:r w:rsidRPr="00F90314">
            <w:rPr>
              <w:rFonts w:ascii="Arial" w:hAnsi="Arial" w:cs="Arial"/>
            </w:rPr>
            <w:fldChar w:fldCharType="separate"/>
          </w:r>
          <w:hyperlink w:anchor="_Toc168345470" w:history="1">
            <w:r w:rsidR="0050053C" w:rsidRPr="00EA4195">
              <w:rPr>
                <w:rStyle w:val="Hyperlink"/>
                <w:rFonts w:ascii="Arial" w:hAnsi="Arial" w:cs="Arial"/>
                <w:noProof/>
              </w:rPr>
              <w:t>Introduction</w:t>
            </w:r>
            <w:r w:rsidR="0050053C">
              <w:rPr>
                <w:noProof/>
                <w:webHidden/>
              </w:rPr>
              <w:tab/>
            </w:r>
            <w:r w:rsidR="0050053C">
              <w:rPr>
                <w:noProof/>
                <w:webHidden/>
              </w:rPr>
              <w:fldChar w:fldCharType="begin"/>
            </w:r>
            <w:r w:rsidR="0050053C">
              <w:rPr>
                <w:noProof/>
                <w:webHidden/>
              </w:rPr>
              <w:instrText xml:space="preserve"> PAGEREF _Toc168345470 \h </w:instrText>
            </w:r>
            <w:r w:rsidR="0050053C">
              <w:rPr>
                <w:noProof/>
                <w:webHidden/>
              </w:rPr>
            </w:r>
            <w:r w:rsidR="0050053C">
              <w:rPr>
                <w:noProof/>
                <w:webHidden/>
              </w:rPr>
              <w:fldChar w:fldCharType="separate"/>
            </w:r>
            <w:r w:rsidR="0050053C">
              <w:rPr>
                <w:noProof/>
                <w:webHidden/>
              </w:rPr>
              <w:t>3</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1" w:history="1">
            <w:r w:rsidR="0050053C" w:rsidRPr="00EA4195">
              <w:rPr>
                <w:rStyle w:val="Hyperlink"/>
                <w:rFonts w:ascii="Arial" w:hAnsi="Arial" w:cs="Arial"/>
                <w:noProof/>
              </w:rPr>
              <w:t>Benefits of implementing flexible working strategies into the organisation</w:t>
            </w:r>
            <w:r w:rsidR="0050053C">
              <w:rPr>
                <w:noProof/>
                <w:webHidden/>
              </w:rPr>
              <w:tab/>
            </w:r>
            <w:r w:rsidR="0050053C">
              <w:rPr>
                <w:noProof/>
                <w:webHidden/>
              </w:rPr>
              <w:fldChar w:fldCharType="begin"/>
            </w:r>
            <w:r w:rsidR="0050053C">
              <w:rPr>
                <w:noProof/>
                <w:webHidden/>
              </w:rPr>
              <w:instrText xml:space="preserve"> PAGEREF _Toc168345471 \h </w:instrText>
            </w:r>
            <w:r w:rsidR="0050053C">
              <w:rPr>
                <w:noProof/>
                <w:webHidden/>
              </w:rPr>
            </w:r>
            <w:r w:rsidR="0050053C">
              <w:rPr>
                <w:noProof/>
                <w:webHidden/>
              </w:rPr>
              <w:fldChar w:fldCharType="separate"/>
            </w:r>
            <w:r w:rsidR="0050053C">
              <w:rPr>
                <w:noProof/>
                <w:webHidden/>
              </w:rPr>
              <w:t>4</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2" w:history="1">
            <w:r w:rsidR="0050053C" w:rsidRPr="00EA4195">
              <w:rPr>
                <w:rStyle w:val="Hyperlink"/>
                <w:rFonts w:ascii="Arial" w:hAnsi="Arial" w:cs="Arial"/>
                <w:noProof/>
              </w:rPr>
              <w:t>Implementing flexible working for the employee workforce - the HR perspective</w:t>
            </w:r>
            <w:r w:rsidR="0050053C">
              <w:rPr>
                <w:noProof/>
                <w:webHidden/>
              </w:rPr>
              <w:tab/>
            </w:r>
            <w:r w:rsidR="0050053C">
              <w:rPr>
                <w:noProof/>
                <w:webHidden/>
              </w:rPr>
              <w:fldChar w:fldCharType="begin"/>
            </w:r>
            <w:r w:rsidR="0050053C">
              <w:rPr>
                <w:noProof/>
                <w:webHidden/>
              </w:rPr>
              <w:instrText xml:space="preserve"> PAGEREF _Toc168345472 \h </w:instrText>
            </w:r>
            <w:r w:rsidR="0050053C">
              <w:rPr>
                <w:noProof/>
                <w:webHidden/>
              </w:rPr>
            </w:r>
            <w:r w:rsidR="0050053C">
              <w:rPr>
                <w:noProof/>
                <w:webHidden/>
              </w:rPr>
              <w:fldChar w:fldCharType="separate"/>
            </w:r>
            <w:r w:rsidR="0050053C">
              <w:rPr>
                <w:noProof/>
                <w:webHidden/>
              </w:rPr>
              <w:t>5</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3" w:history="1">
            <w:r w:rsidR="0050053C" w:rsidRPr="00EA4195">
              <w:rPr>
                <w:rStyle w:val="Hyperlink"/>
                <w:rFonts w:ascii="Arial" w:hAnsi="Arial" w:cs="Arial"/>
                <w:noProof/>
              </w:rPr>
              <w:t>Implementing flexible working for the employee workforce - the company perspective</w:t>
            </w:r>
            <w:r w:rsidR="0050053C">
              <w:rPr>
                <w:noProof/>
                <w:webHidden/>
              </w:rPr>
              <w:tab/>
            </w:r>
            <w:r w:rsidR="0050053C">
              <w:rPr>
                <w:noProof/>
                <w:webHidden/>
              </w:rPr>
              <w:fldChar w:fldCharType="begin"/>
            </w:r>
            <w:r w:rsidR="0050053C">
              <w:rPr>
                <w:noProof/>
                <w:webHidden/>
              </w:rPr>
              <w:instrText xml:space="preserve"> PAGEREF _Toc168345473 \h </w:instrText>
            </w:r>
            <w:r w:rsidR="0050053C">
              <w:rPr>
                <w:noProof/>
                <w:webHidden/>
              </w:rPr>
            </w:r>
            <w:r w:rsidR="0050053C">
              <w:rPr>
                <w:noProof/>
                <w:webHidden/>
              </w:rPr>
              <w:fldChar w:fldCharType="separate"/>
            </w:r>
            <w:r w:rsidR="0050053C">
              <w:rPr>
                <w:noProof/>
                <w:webHidden/>
              </w:rPr>
              <w:t>6</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4" w:history="1">
            <w:r w:rsidR="0050053C" w:rsidRPr="00EA4195">
              <w:rPr>
                <w:rStyle w:val="Hyperlink"/>
                <w:rFonts w:ascii="Arial" w:hAnsi="Arial" w:cs="Arial"/>
                <w:noProof/>
              </w:rPr>
              <w:t>Pay structure reconfiguration</w:t>
            </w:r>
            <w:r w:rsidR="0050053C">
              <w:rPr>
                <w:noProof/>
                <w:webHidden/>
              </w:rPr>
              <w:tab/>
            </w:r>
            <w:r w:rsidR="0050053C">
              <w:rPr>
                <w:noProof/>
                <w:webHidden/>
              </w:rPr>
              <w:fldChar w:fldCharType="begin"/>
            </w:r>
            <w:r w:rsidR="0050053C">
              <w:rPr>
                <w:noProof/>
                <w:webHidden/>
              </w:rPr>
              <w:instrText xml:space="preserve"> PAGEREF _Toc168345474 \h </w:instrText>
            </w:r>
            <w:r w:rsidR="0050053C">
              <w:rPr>
                <w:noProof/>
                <w:webHidden/>
              </w:rPr>
            </w:r>
            <w:r w:rsidR="0050053C">
              <w:rPr>
                <w:noProof/>
                <w:webHidden/>
              </w:rPr>
              <w:fldChar w:fldCharType="separate"/>
            </w:r>
            <w:r w:rsidR="0050053C">
              <w:rPr>
                <w:noProof/>
                <w:webHidden/>
              </w:rPr>
              <w:t>6</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5" w:history="1">
            <w:r w:rsidR="0050053C" w:rsidRPr="00EA4195">
              <w:rPr>
                <w:rStyle w:val="Hyperlink"/>
                <w:rFonts w:ascii="Arial" w:hAnsi="Arial" w:cs="Arial"/>
                <w:noProof/>
              </w:rPr>
              <w:t>Strategies to promote employee engagement whiles implementing flexible working</w:t>
            </w:r>
            <w:r w:rsidR="0050053C">
              <w:rPr>
                <w:noProof/>
                <w:webHidden/>
              </w:rPr>
              <w:tab/>
            </w:r>
            <w:r w:rsidR="0050053C">
              <w:rPr>
                <w:noProof/>
                <w:webHidden/>
              </w:rPr>
              <w:fldChar w:fldCharType="begin"/>
            </w:r>
            <w:r w:rsidR="0050053C">
              <w:rPr>
                <w:noProof/>
                <w:webHidden/>
              </w:rPr>
              <w:instrText xml:space="preserve"> PAGEREF _Toc168345475 \h </w:instrText>
            </w:r>
            <w:r w:rsidR="0050053C">
              <w:rPr>
                <w:noProof/>
                <w:webHidden/>
              </w:rPr>
            </w:r>
            <w:r w:rsidR="0050053C">
              <w:rPr>
                <w:noProof/>
                <w:webHidden/>
              </w:rPr>
              <w:fldChar w:fldCharType="separate"/>
            </w:r>
            <w:r w:rsidR="0050053C">
              <w:rPr>
                <w:noProof/>
                <w:webHidden/>
              </w:rPr>
              <w:t>8</w:t>
            </w:r>
            <w:r w:rsidR="0050053C">
              <w:rPr>
                <w:noProof/>
                <w:webHidden/>
              </w:rPr>
              <w:fldChar w:fldCharType="end"/>
            </w:r>
          </w:hyperlink>
        </w:p>
        <w:p w:rsidR="0050053C" w:rsidRDefault="009B02AA">
          <w:pPr>
            <w:pStyle w:val="TOC1"/>
            <w:tabs>
              <w:tab w:val="right" w:leader="dot" w:pos="9016"/>
            </w:tabs>
            <w:rPr>
              <w:rFonts w:eastAsiaTheme="minorEastAsia"/>
              <w:noProof/>
              <w:kern w:val="0"/>
              <w:lang w:eastAsia="en-GB"/>
              <w14:ligatures w14:val="none"/>
            </w:rPr>
          </w:pPr>
          <w:hyperlink w:anchor="_Toc168345476" w:history="1">
            <w:r w:rsidR="0050053C" w:rsidRPr="00EA4195">
              <w:rPr>
                <w:rStyle w:val="Hyperlink"/>
                <w:rFonts w:ascii="Arial" w:hAnsi="Arial" w:cs="Arial"/>
                <w:noProof/>
              </w:rPr>
              <w:t>Bibliography</w:t>
            </w:r>
            <w:r w:rsidR="0050053C">
              <w:rPr>
                <w:noProof/>
                <w:webHidden/>
              </w:rPr>
              <w:tab/>
            </w:r>
            <w:r w:rsidR="0050053C">
              <w:rPr>
                <w:noProof/>
                <w:webHidden/>
              </w:rPr>
              <w:fldChar w:fldCharType="begin"/>
            </w:r>
            <w:r w:rsidR="0050053C">
              <w:rPr>
                <w:noProof/>
                <w:webHidden/>
              </w:rPr>
              <w:instrText xml:space="preserve"> PAGEREF _Toc168345476 \h </w:instrText>
            </w:r>
            <w:r w:rsidR="0050053C">
              <w:rPr>
                <w:noProof/>
                <w:webHidden/>
              </w:rPr>
            </w:r>
            <w:r w:rsidR="0050053C">
              <w:rPr>
                <w:noProof/>
                <w:webHidden/>
              </w:rPr>
              <w:fldChar w:fldCharType="separate"/>
            </w:r>
            <w:r w:rsidR="0050053C">
              <w:rPr>
                <w:noProof/>
                <w:webHidden/>
              </w:rPr>
              <w:t>9</w:t>
            </w:r>
            <w:r w:rsidR="0050053C">
              <w:rPr>
                <w:noProof/>
                <w:webHidden/>
              </w:rPr>
              <w:fldChar w:fldCharType="end"/>
            </w:r>
          </w:hyperlink>
        </w:p>
        <w:p w:rsidR="00A31637" w:rsidRPr="00F90314" w:rsidRDefault="00A31637">
          <w:pPr>
            <w:rPr>
              <w:rFonts w:ascii="Arial" w:hAnsi="Arial" w:cs="Arial"/>
            </w:rPr>
          </w:pPr>
          <w:r w:rsidRPr="00F90314">
            <w:rPr>
              <w:rFonts w:ascii="Arial" w:hAnsi="Arial" w:cs="Arial"/>
              <w:b/>
              <w:bCs/>
              <w:noProof/>
            </w:rPr>
            <w:fldChar w:fldCharType="end"/>
          </w:r>
        </w:p>
      </w:sdtContent>
    </w:sdt>
    <w:p w:rsidR="00A31637" w:rsidRPr="00F90314" w:rsidRDefault="00A31637">
      <w:pPr>
        <w:rPr>
          <w:rFonts w:ascii="Arial" w:hAnsi="Arial" w:cs="Arial"/>
          <w:sz w:val="32"/>
          <w:u w:val="single"/>
        </w:rPr>
      </w:pPr>
      <w:r w:rsidRPr="00F90314">
        <w:rPr>
          <w:rFonts w:ascii="Arial" w:hAnsi="Arial" w:cs="Arial"/>
          <w:sz w:val="32"/>
          <w:u w:val="single"/>
        </w:rPr>
        <w:br w:type="page"/>
      </w:r>
    </w:p>
    <w:p w:rsidR="00DD7EDA" w:rsidRPr="00F90314" w:rsidRDefault="00DD7EDA" w:rsidP="00DD7EDA">
      <w:pPr>
        <w:pStyle w:val="Heading1"/>
        <w:rPr>
          <w:rFonts w:ascii="Arial" w:hAnsi="Arial" w:cs="Arial"/>
        </w:rPr>
      </w:pPr>
      <w:bookmarkStart w:id="0" w:name="_Toc168345470"/>
      <w:r w:rsidRPr="00F90314">
        <w:rPr>
          <w:rFonts w:ascii="Arial" w:hAnsi="Arial" w:cs="Arial"/>
        </w:rPr>
        <w:lastRenderedPageBreak/>
        <w:t>Introduction</w:t>
      </w:r>
      <w:bookmarkEnd w:id="0"/>
    </w:p>
    <w:p w:rsidR="00276408"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t>In the wake of the global pandemic, the landscape of work has undergone a seismic shift, ushering in a new era of flexible and remote work arrangements. This transformation has been driven by the evolving needs and priorities of employees, who increasingly seek a better balance between their professional and personal lives. As Liz Truss, the former UK Prime Minister, stated in her 2022 speech at the Conservative Party Conference, "We need to embrace the opportunities of flexible working and to make it a positive for everyone" (Gov.uk, 2022). This sentiment resonates deeply with VialTech, a company at the forefront of diagnostic testing for the NHS and private patients, as it navigates the complexities of implementing flexible working strategies within its workforce.</w:t>
      </w:r>
    </w:p>
    <w:p w:rsidR="00276408"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t xml:space="preserve">The concept of flexible working has garnered significant attention from scholars and practitioners alike, as its potential benefits transcend mere convenience. A comprehensive study by the Chartered Institute of Personnel and Development (CIPD, 2021) revealed that organizations that embrace flexible working practices experience a multitude of advantages, including increased employee engagement, productivity, and retention rates. This finding aligns with the seminal work of Bloom et al. (2015), whose </w:t>
      </w:r>
      <w:r w:rsidR="00323ADB" w:rsidRPr="00F90314">
        <w:rPr>
          <w:rFonts w:ascii="Arial" w:hAnsi="Arial" w:cs="Arial"/>
          <w:sz w:val="22"/>
          <w:szCs w:val="22"/>
        </w:rPr>
        <w:t>ground-breaking</w:t>
      </w:r>
      <w:r w:rsidRPr="00F90314">
        <w:rPr>
          <w:rFonts w:ascii="Arial" w:hAnsi="Arial" w:cs="Arial"/>
          <w:sz w:val="22"/>
          <w:szCs w:val="22"/>
        </w:rPr>
        <w:t xml:space="preserve"> study demonstrated a significant increase in employee productivity, job satisfaction, and reduced absenteeism among workers who adopted flexible working arrangements.</w:t>
      </w:r>
    </w:p>
    <w:p w:rsidR="004844A7"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t>Furthermore, the University of Oxford's research (Felstead and Henseke, 2017) lends credence to the positive impact of remote work, suggesting that employees who work remotely tend to be more productive and engaged compared to their office-based counterparts. This sentiment is echoed by Purcell (2014), who emphasizes the importance of sustaining attention to human resource management practices that foster employee engagement and well-being, ultimately contributing to organizational success.</w:t>
      </w:r>
    </w:p>
    <w:p w:rsidR="00276408"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t xml:space="preserve">As the newly appointed Human Resource Manager at VialTech, the </w:t>
      </w:r>
      <w:r w:rsidR="00323ADB" w:rsidRPr="00F90314">
        <w:rPr>
          <w:rFonts w:ascii="Arial" w:hAnsi="Arial" w:cs="Arial"/>
          <w:sz w:val="22"/>
          <w:szCs w:val="22"/>
        </w:rPr>
        <w:t>task</w:t>
      </w:r>
      <w:r w:rsidRPr="00F90314">
        <w:rPr>
          <w:rFonts w:ascii="Arial" w:hAnsi="Arial" w:cs="Arial"/>
          <w:sz w:val="22"/>
          <w:szCs w:val="22"/>
        </w:rPr>
        <w:t xml:space="preserve"> is to develop a comprehensive report that addresses the benefits, considerations, and strategies for implementing flexible working strategies within the organization. This report must </w:t>
      </w:r>
      <w:r w:rsidR="00323ADB" w:rsidRPr="00F90314">
        <w:rPr>
          <w:rFonts w:ascii="Arial" w:hAnsi="Arial" w:cs="Arial"/>
          <w:sz w:val="22"/>
          <w:szCs w:val="22"/>
        </w:rPr>
        <w:t>keep the</w:t>
      </w:r>
      <w:r w:rsidRPr="00F90314">
        <w:rPr>
          <w:rFonts w:ascii="Arial" w:hAnsi="Arial" w:cs="Arial"/>
          <w:sz w:val="22"/>
          <w:szCs w:val="22"/>
        </w:rPr>
        <w:t xml:space="preserve"> balance between acknowledging the advantages of flexible work arrangements and addressing the challenges that may arise in their implementation.</w:t>
      </w:r>
    </w:p>
    <w:p w:rsidR="00CC1523" w:rsidRPr="00F90314" w:rsidRDefault="00323ADB" w:rsidP="00D10213">
      <w:pPr>
        <w:pStyle w:val="whitespace-pre-wrap"/>
        <w:spacing w:line="360" w:lineRule="auto"/>
        <w:jc w:val="both"/>
        <w:rPr>
          <w:rFonts w:ascii="Arial" w:hAnsi="Arial" w:cs="Arial"/>
          <w:sz w:val="22"/>
          <w:szCs w:val="22"/>
        </w:rPr>
      </w:pPr>
      <w:r w:rsidRPr="00F90314">
        <w:rPr>
          <w:rFonts w:ascii="Arial" w:hAnsi="Arial" w:cs="Arial"/>
          <w:sz w:val="22"/>
          <w:szCs w:val="22"/>
        </w:rPr>
        <w:t>Therefore</w:t>
      </w:r>
      <w:r w:rsidR="00276408" w:rsidRPr="00F90314">
        <w:rPr>
          <w:rFonts w:ascii="Arial" w:hAnsi="Arial" w:cs="Arial"/>
          <w:sz w:val="22"/>
          <w:szCs w:val="22"/>
        </w:rPr>
        <w:t xml:space="preserve">, the insights of renowned experts in the field of human resource management serve as invaluable guides. Torrington et al. (2017) emphasize the importance of tailoring flexible working policies to the specific needs and operational requirements of different teams and locations within an organization. </w:t>
      </w:r>
    </w:p>
    <w:p w:rsidR="00276408"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lastRenderedPageBreak/>
        <w:t>This approach aligns with the principles of strategic human resource management, as articulated by Truss et al. (2012), which highlight the need for HR practices to be closely linked to the overall business strategy and objectives.</w:t>
      </w:r>
    </w:p>
    <w:p w:rsidR="00276408" w:rsidRPr="00F90314" w:rsidRDefault="00276408" w:rsidP="00D10213">
      <w:pPr>
        <w:pStyle w:val="whitespace-pre-wrap"/>
        <w:spacing w:line="360" w:lineRule="auto"/>
        <w:jc w:val="both"/>
        <w:rPr>
          <w:rFonts w:ascii="Arial" w:hAnsi="Arial" w:cs="Arial"/>
          <w:sz w:val="22"/>
          <w:szCs w:val="22"/>
        </w:rPr>
      </w:pPr>
      <w:r w:rsidRPr="00F90314">
        <w:rPr>
          <w:rFonts w:ascii="Arial" w:hAnsi="Arial" w:cs="Arial"/>
          <w:sz w:val="22"/>
          <w:szCs w:val="22"/>
        </w:rPr>
        <w:t>Furthermore, the work of Bach and Edwards (2013) underscores the significance of clear policies and guidelines in ensuring consistency and fairness in the implementation of flexible working practices. Their research highlights the importance of addressing issues such as eligibility criteria, performance monitoring, and guidelines for communication and collaboration, all of which are crucial considerations for VialTech as it embarks on this transformative journey.</w:t>
      </w:r>
    </w:p>
    <w:p w:rsidR="00D546D8" w:rsidRPr="00F90314" w:rsidRDefault="00276408" w:rsidP="00CC1523">
      <w:pPr>
        <w:pStyle w:val="whitespace-pre-wrap"/>
        <w:spacing w:line="360" w:lineRule="auto"/>
        <w:jc w:val="both"/>
        <w:rPr>
          <w:rFonts w:ascii="Arial" w:hAnsi="Arial" w:cs="Arial"/>
          <w:sz w:val="22"/>
          <w:szCs w:val="22"/>
        </w:rPr>
      </w:pPr>
      <w:r w:rsidRPr="00F90314">
        <w:rPr>
          <w:rFonts w:ascii="Arial" w:hAnsi="Arial" w:cs="Arial"/>
          <w:sz w:val="22"/>
          <w:szCs w:val="22"/>
        </w:rPr>
        <w:t>As the report unfolds, it will delve into the details of implementing flexible working strategies, drawing upon the wealth of academic literature and industry best practices. The aim is to provide a comprehensive and well-researched roadmap for VialTech, enabling the organization to navigate the complexities of this transition while maximizing the potential benefits for both</w:t>
      </w:r>
      <w:r w:rsidR="00323ADB" w:rsidRPr="00F90314">
        <w:rPr>
          <w:rFonts w:ascii="Arial" w:hAnsi="Arial" w:cs="Arial"/>
          <w:sz w:val="22"/>
          <w:szCs w:val="22"/>
        </w:rPr>
        <w:t xml:space="preserve"> the employees and the company.</w:t>
      </w:r>
    </w:p>
    <w:p w:rsidR="00CC1523" w:rsidRPr="00F90314" w:rsidRDefault="00CC1523" w:rsidP="00CC1523">
      <w:pPr>
        <w:pStyle w:val="whitespace-pre-wrap"/>
        <w:spacing w:line="360" w:lineRule="auto"/>
        <w:jc w:val="both"/>
        <w:rPr>
          <w:rFonts w:ascii="Arial" w:eastAsiaTheme="majorEastAsia" w:hAnsi="Arial" w:cs="Arial"/>
          <w:color w:val="2F5496" w:themeColor="accent1" w:themeShade="BF"/>
          <w:sz w:val="32"/>
          <w:szCs w:val="32"/>
        </w:rPr>
      </w:pPr>
    </w:p>
    <w:p w:rsidR="00DD7EDA" w:rsidRPr="00F90314" w:rsidRDefault="00DD7EDA" w:rsidP="00DD7EDA">
      <w:pPr>
        <w:pStyle w:val="Heading1"/>
        <w:rPr>
          <w:rFonts w:ascii="Arial" w:hAnsi="Arial" w:cs="Arial"/>
        </w:rPr>
      </w:pPr>
      <w:bookmarkStart w:id="1" w:name="_Toc168345471"/>
      <w:r w:rsidRPr="00F90314">
        <w:rPr>
          <w:rFonts w:ascii="Arial" w:hAnsi="Arial" w:cs="Arial"/>
        </w:rPr>
        <w:t>Benefit</w:t>
      </w:r>
      <w:r w:rsidR="0028127F" w:rsidRPr="00F90314">
        <w:rPr>
          <w:rFonts w:ascii="Arial" w:hAnsi="Arial" w:cs="Arial"/>
        </w:rPr>
        <w:t>s</w:t>
      </w:r>
      <w:r w:rsidRPr="00F90314">
        <w:rPr>
          <w:rFonts w:ascii="Arial" w:hAnsi="Arial" w:cs="Arial"/>
        </w:rPr>
        <w:t xml:space="preserve"> of implementing flexible working strategies into the organisation</w:t>
      </w:r>
      <w:bookmarkEnd w:id="1"/>
    </w:p>
    <w:p w:rsidR="00DD7EDA" w:rsidRPr="00F90314" w:rsidRDefault="00DD7EDA" w:rsidP="00DD7EDA">
      <w:pPr>
        <w:spacing w:line="360" w:lineRule="auto"/>
        <w:jc w:val="both"/>
        <w:rPr>
          <w:rFonts w:ascii="Arial" w:hAnsi="Arial" w:cs="Arial"/>
        </w:rPr>
      </w:pPr>
    </w:p>
    <w:p w:rsidR="00DD7EDA" w:rsidRPr="00F90314" w:rsidRDefault="00DD7EDA" w:rsidP="00D10213">
      <w:pPr>
        <w:spacing w:line="360" w:lineRule="auto"/>
        <w:jc w:val="both"/>
        <w:rPr>
          <w:rFonts w:ascii="Arial" w:hAnsi="Arial" w:cs="Arial"/>
        </w:rPr>
      </w:pPr>
      <w:r w:rsidRPr="00F90314">
        <w:rPr>
          <w:rFonts w:ascii="Arial" w:hAnsi="Arial" w:cs="Arial"/>
        </w:rPr>
        <w:t>The implementation of flex</w:t>
      </w:r>
      <w:r w:rsidR="00CC1523" w:rsidRPr="00F90314">
        <w:rPr>
          <w:rFonts w:ascii="Arial" w:hAnsi="Arial" w:cs="Arial"/>
        </w:rPr>
        <w:t>ible working strategies can create</w:t>
      </w:r>
      <w:r w:rsidRPr="00F90314">
        <w:rPr>
          <w:rFonts w:ascii="Arial" w:hAnsi="Arial" w:cs="Arial"/>
        </w:rPr>
        <w:t xml:space="preserve"> numerous advantages for </w:t>
      </w:r>
      <w:r w:rsidR="00CC1523" w:rsidRPr="00F90314">
        <w:rPr>
          <w:rFonts w:ascii="Arial" w:hAnsi="Arial" w:cs="Arial"/>
        </w:rPr>
        <w:t>all parties involved</w:t>
      </w:r>
      <w:r w:rsidRPr="00F90314">
        <w:rPr>
          <w:rFonts w:ascii="Arial" w:hAnsi="Arial" w:cs="Arial"/>
        </w:rPr>
        <w:t>. According to a report by the Chartered Institute of Personnel and Development (CIPD, 2021), organisations that embrace flexible working practices experience increased employee engagement, productivity, and retention rates. The report further highlights that flexible working arrangements promote work-life balance, leading to improved employee well-being and job satisfaction.</w:t>
      </w:r>
    </w:p>
    <w:p w:rsidR="00DD7EDA" w:rsidRPr="00F90314" w:rsidRDefault="00DD7EDA" w:rsidP="00D10213">
      <w:pPr>
        <w:spacing w:line="360" w:lineRule="auto"/>
        <w:jc w:val="both"/>
        <w:rPr>
          <w:rFonts w:ascii="Arial" w:hAnsi="Arial" w:cs="Arial"/>
        </w:rPr>
      </w:pPr>
      <w:r w:rsidRPr="00F90314">
        <w:rPr>
          <w:rFonts w:ascii="Arial" w:hAnsi="Arial" w:cs="Arial"/>
        </w:rPr>
        <w:t xml:space="preserve">Furthermore, research conducted by Bloom et al. (2015) reveals that companies that adopt flexible working practices experience a significant increase in employee productivity, with workers </w:t>
      </w:r>
      <w:r w:rsidR="00CC1523" w:rsidRPr="00F90314">
        <w:rPr>
          <w:rFonts w:ascii="Arial" w:hAnsi="Arial" w:cs="Arial"/>
        </w:rPr>
        <w:t>showing</w:t>
      </w:r>
      <w:r w:rsidRPr="00F90314">
        <w:rPr>
          <w:rFonts w:ascii="Arial" w:hAnsi="Arial" w:cs="Arial"/>
        </w:rPr>
        <w:t xml:space="preserve"> higher levels of job satisfaction and lower rates of absenteeism. This finding is corroborated by a study from the University of Oxford (Felstead and Henseke, 2017), which suggests that employees who work remotely tend to be more productive and engaged compared to their office-based counterparts.</w:t>
      </w:r>
    </w:p>
    <w:p w:rsidR="00CC1523" w:rsidRPr="00F90314" w:rsidRDefault="00CC1523" w:rsidP="00D10213">
      <w:pPr>
        <w:spacing w:line="360" w:lineRule="auto"/>
        <w:jc w:val="both"/>
        <w:rPr>
          <w:rFonts w:ascii="Arial" w:hAnsi="Arial" w:cs="Arial"/>
        </w:rPr>
      </w:pPr>
    </w:p>
    <w:p w:rsidR="00D546D8" w:rsidRPr="00F90314" w:rsidRDefault="00DD7EDA" w:rsidP="00CC1523">
      <w:pPr>
        <w:spacing w:line="360" w:lineRule="auto"/>
        <w:jc w:val="both"/>
        <w:rPr>
          <w:rFonts w:ascii="Arial" w:hAnsi="Arial" w:cs="Arial"/>
        </w:rPr>
      </w:pPr>
      <w:r w:rsidRPr="00F90314">
        <w:rPr>
          <w:rFonts w:ascii="Arial" w:hAnsi="Arial" w:cs="Arial"/>
        </w:rPr>
        <w:lastRenderedPageBreak/>
        <w:t>In addition to the benefits for employees, flexible working strategies can also contribute to cost savings for organisations. A report by Global Workplace Analytics (2020) estimates that businesses can save an average of $11,000 per year for every employee who works remotely at least half of the time, primarily due to reduced overhead costs associated with office space and related expenses.</w:t>
      </w:r>
    </w:p>
    <w:p w:rsidR="00CC1523" w:rsidRPr="00F90314" w:rsidRDefault="00CC1523" w:rsidP="00CC1523">
      <w:pPr>
        <w:spacing w:line="360" w:lineRule="auto"/>
        <w:jc w:val="both"/>
        <w:rPr>
          <w:rFonts w:ascii="Arial" w:eastAsiaTheme="majorEastAsia" w:hAnsi="Arial" w:cs="Arial"/>
          <w:color w:val="2F5496" w:themeColor="accent1" w:themeShade="BF"/>
          <w:sz w:val="32"/>
          <w:szCs w:val="32"/>
        </w:rPr>
      </w:pPr>
    </w:p>
    <w:p w:rsidR="00DD7EDA" w:rsidRPr="00F90314" w:rsidRDefault="00DD7EDA" w:rsidP="00DD7EDA">
      <w:pPr>
        <w:pStyle w:val="Heading1"/>
        <w:rPr>
          <w:rFonts w:ascii="Arial" w:hAnsi="Arial" w:cs="Arial"/>
        </w:rPr>
      </w:pPr>
      <w:bookmarkStart w:id="2" w:name="_Toc168345472"/>
      <w:r w:rsidRPr="00F90314">
        <w:rPr>
          <w:rFonts w:ascii="Arial" w:hAnsi="Arial" w:cs="Arial"/>
        </w:rPr>
        <w:t>Implementing flexible working for the employee workforce - the HR perspective</w:t>
      </w:r>
      <w:bookmarkEnd w:id="2"/>
    </w:p>
    <w:p w:rsidR="00DD7EDA" w:rsidRPr="00F90314" w:rsidRDefault="00DD7EDA" w:rsidP="00DD7EDA">
      <w:pPr>
        <w:spacing w:line="360" w:lineRule="auto"/>
        <w:jc w:val="both"/>
        <w:rPr>
          <w:rFonts w:ascii="Arial" w:hAnsi="Arial" w:cs="Arial"/>
        </w:rPr>
      </w:pPr>
    </w:p>
    <w:p w:rsidR="00DD7EDA" w:rsidRPr="00F90314" w:rsidRDefault="00DD7EDA" w:rsidP="00D10213">
      <w:pPr>
        <w:spacing w:line="360" w:lineRule="auto"/>
        <w:jc w:val="both"/>
        <w:rPr>
          <w:rFonts w:ascii="Arial" w:hAnsi="Arial" w:cs="Arial"/>
        </w:rPr>
      </w:pPr>
      <w:r w:rsidRPr="00F90314">
        <w:rPr>
          <w:rFonts w:ascii="Arial" w:hAnsi="Arial" w:cs="Arial"/>
        </w:rPr>
        <w:t>While the benefits of flexible working practices are well-documented, their implementation requires careful consideration and planning from the HR department. The first step is to conduct a thorough assessment of the organisation's workforce, identifying roles and responsibilities that are suitable for remote or hybrid work arrangements. This assessment should consider factors such as job functions, communication requirements, and the nature of tasks involved (Truss et al., 2012).</w:t>
      </w:r>
    </w:p>
    <w:p w:rsidR="00DD7EDA" w:rsidRPr="00F90314" w:rsidRDefault="00DD7EDA" w:rsidP="00D10213">
      <w:pPr>
        <w:spacing w:line="360" w:lineRule="auto"/>
        <w:jc w:val="both"/>
        <w:rPr>
          <w:rFonts w:ascii="Arial" w:hAnsi="Arial" w:cs="Arial"/>
        </w:rPr>
      </w:pPr>
      <w:r w:rsidRPr="00F90314">
        <w:rPr>
          <w:rFonts w:ascii="Arial" w:hAnsi="Arial" w:cs="Arial"/>
        </w:rPr>
        <w:t>Additionally, the HR department must develop clear policies and guidelines to ensure consistency and fairness in the implementation of flexible working practices. These policies should address issues such as eligibility criteria, performance monitoring, and guidelines for communication and collaboration (Bach and Edwards, 2013).</w:t>
      </w:r>
    </w:p>
    <w:p w:rsidR="00D546D8" w:rsidRPr="00F90314" w:rsidRDefault="00CC1523" w:rsidP="00CC1523">
      <w:pPr>
        <w:spacing w:line="360" w:lineRule="auto"/>
        <w:jc w:val="both"/>
        <w:rPr>
          <w:rFonts w:ascii="Arial" w:hAnsi="Arial" w:cs="Arial"/>
        </w:rPr>
      </w:pPr>
      <w:r w:rsidRPr="00F90314">
        <w:rPr>
          <w:rFonts w:ascii="Arial" w:hAnsi="Arial" w:cs="Arial"/>
        </w:rPr>
        <w:t xml:space="preserve">It is very important </w:t>
      </w:r>
      <w:r w:rsidR="00DD7EDA" w:rsidRPr="00F90314">
        <w:rPr>
          <w:rFonts w:ascii="Arial" w:hAnsi="Arial" w:cs="Arial"/>
        </w:rPr>
        <w:t>to provide adequate training and support for both managers and employees to facilitate a smooth transition to flexible working arrangements. This may include training on time management, virtual communic</w:t>
      </w:r>
      <w:r w:rsidRPr="00F90314">
        <w:rPr>
          <w:rFonts w:ascii="Arial" w:hAnsi="Arial" w:cs="Arial"/>
        </w:rPr>
        <w:t xml:space="preserve">ation tools, and strategies to create </w:t>
      </w:r>
      <w:r w:rsidR="00DD7EDA" w:rsidRPr="00F90314">
        <w:rPr>
          <w:rFonts w:ascii="Arial" w:hAnsi="Arial" w:cs="Arial"/>
        </w:rPr>
        <w:t>a sense of community and collaboration within a distributed workforce (Marchington and Wilkinson, 2012).</w:t>
      </w:r>
    </w:p>
    <w:p w:rsidR="00CC1523" w:rsidRPr="00F90314" w:rsidRDefault="00CC1523" w:rsidP="00CC1523">
      <w:pPr>
        <w:spacing w:line="360" w:lineRule="auto"/>
        <w:jc w:val="both"/>
        <w:rPr>
          <w:rFonts w:ascii="Arial" w:hAnsi="Arial" w:cs="Arial"/>
        </w:rPr>
      </w:pPr>
    </w:p>
    <w:p w:rsidR="00CC1523" w:rsidRPr="00F90314" w:rsidRDefault="00CC1523" w:rsidP="00CC1523">
      <w:pPr>
        <w:spacing w:line="360" w:lineRule="auto"/>
        <w:jc w:val="both"/>
        <w:rPr>
          <w:rFonts w:ascii="Arial" w:hAnsi="Arial" w:cs="Arial"/>
        </w:rPr>
      </w:pPr>
    </w:p>
    <w:p w:rsidR="00CC1523" w:rsidRPr="00F90314" w:rsidRDefault="00CC1523" w:rsidP="00CC1523">
      <w:pPr>
        <w:spacing w:line="360" w:lineRule="auto"/>
        <w:jc w:val="both"/>
        <w:rPr>
          <w:rFonts w:ascii="Arial" w:hAnsi="Arial" w:cs="Arial"/>
        </w:rPr>
      </w:pPr>
    </w:p>
    <w:p w:rsidR="00CC1523" w:rsidRPr="00F90314" w:rsidRDefault="00CC1523" w:rsidP="00CC1523">
      <w:pPr>
        <w:spacing w:line="360" w:lineRule="auto"/>
        <w:jc w:val="both"/>
        <w:rPr>
          <w:rFonts w:ascii="Arial" w:hAnsi="Arial" w:cs="Arial"/>
        </w:rPr>
      </w:pPr>
    </w:p>
    <w:p w:rsidR="00CC1523" w:rsidRPr="00F90314" w:rsidRDefault="00CC1523" w:rsidP="00CC1523">
      <w:pPr>
        <w:spacing w:line="360" w:lineRule="auto"/>
        <w:jc w:val="both"/>
        <w:rPr>
          <w:rFonts w:ascii="Arial" w:eastAsiaTheme="majorEastAsia" w:hAnsi="Arial" w:cs="Arial"/>
          <w:color w:val="2F5496" w:themeColor="accent1" w:themeShade="BF"/>
          <w:sz w:val="32"/>
          <w:szCs w:val="32"/>
        </w:rPr>
      </w:pPr>
    </w:p>
    <w:p w:rsidR="00DD7EDA" w:rsidRPr="00F90314" w:rsidRDefault="00DD7EDA" w:rsidP="00DD7EDA">
      <w:pPr>
        <w:pStyle w:val="Heading1"/>
        <w:rPr>
          <w:rFonts w:ascii="Arial" w:hAnsi="Arial" w:cs="Arial"/>
        </w:rPr>
      </w:pPr>
      <w:bookmarkStart w:id="3" w:name="_Toc168345473"/>
      <w:r w:rsidRPr="00F90314">
        <w:rPr>
          <w:rFonts w:ascii="Arial" w:hAnsi="Arial" w:cs="Arial"/>
        </w:rPr>
        <w:lastRenderedPageBreak/>
        <w:t>Implementing flexible working for the employee workforce - the company perspective</w:t>
      </w:r>
      <w:bookmarkEnd w:id="3"/>
    </w:p>
    <w:p w:rsidR="00DD7EDA" w:rsidRPr="00F90314" w:rsidRDefault="00DD7EDA" w:rsidP="00DD7EDA">
      <w:pPr>
        <w:spacing w:line="360" w:lineRule="auto"/>
        <w:jc w:val="both"/>
        <w:rPr>
          <w:rFonts w:ascii="Arial" w:hAnsi="Arial" w:cs="Arial"/>
        </w:rPr>
      </w:pPr>
    </w:p>
    <w:p w:rsidR="00DD7EDA" w:rsidRPr="00F90314" w:rsidRDefault="00DD7EDA" w:rsidP="00D10213">
      <w:pPr>
        <w:spacing w:line="360" w:lineRule="auto"/>
        <w:jc w:val="both"/>
        <w:rPr>
          <w:rFonts w:ascii="Arial" w:hAnsi="Arial" w:cs="Arial"/>
        </w:rPr>
      </w:pPr>
      <w:r w:rsidRPr="00F90314">
        <w:rPr>
          <w:rFonts w:ascii="Arial" w:hAnsi="Arial" w:cs="Arial"/>
        </w:rPr>
        <w:t xml:space="preserve">From the company's perspective, the implementation of flexible working strategies requires a </w:t>
      </w:r>
      <w:r w:rsidR="00CC1523" w:rsidRPr="00F90314">
        <w:rPr>
          <w:rFonts w:ascii="Arial" w:hAnsi="Arial" w:cs="Arial"/>
        </w:rPr>
        <w:t>universal</w:t>
      </w:r>
      <w:r w:rsidRPr="00F90314">
        <w:rPr>
          <w:rFonts w:ascii="Arial" w:hAnsi="Arial" w:cs="Arial"/>
        </w:rPr>
        <w:t xml:space="preserve"> approach that considers the unique needs and operational requirements of different sites and teams. For instance, the customer-facing staff at VialTech's test facilities may require different arrangements compared to the administrative or laboratory teams.</w:t>
      </w:r>
    </w:p>
    <w:p w:rsidR="00DD7EDA" w:rsidRPr="00F90314" w:rsidRDefault="00DD7EDA" w:rsidP="00D10213">
      <w:pPr>
        <w:spacing w:line="360" w:lineRule="auto"/>
        <w:jc w:val="both"/>
        <w:rPr>
          <w:rFonts w:ascii="Arial" w:hAnsi="Arial" w:cs="Arial"/>
        </w:rPr>
      </w:pPr>
      <w:r w:rsidRPr="00F90314">
        <w:rPr>
          <w:rFonts w:ascii="Arial" w:hAnsi="Arial" w:cs="Arial"/>
        </w:rPr>
        <w:t xml:space="preserve">To ensure effective implementation, it is essential to involve key stakeholders from various departments and locations in the decision-making process. This collaborative approach will not only </w:t>
      </w:r>
      <w:r w:rsidR="00CC1523" w:rsidRPr="00F90314">
        <w:rPr>
          <w:rFonts w:ascii="Arial" w:hAnsi="Arial" w:cs="Arial"/>
        </w:rPr>
        <w:t>raise</w:t>
      </w:r>
      <w:r w:rsidRPr="00F90314">
        <w:rPr>
          <w:rFonts w:ascii="Arial" w:hAnsi="Arial" w:cs="Arial"/>
        </w:rPr>
        <w:t xml:space="preserve"> buy-in and commitment but also enable the organisation to identify potential challenges and develop solutions for different teams and sites (Legge, 2005).</w:t>
      </w:r>
    </w:p>
    <w:p w:rsidR="00D546D8" w:rsidRPr="00F90314" w:rsidRDefault="00DD7EDA" w:rsidP="00CC1523">
      <w:pPr>
        <w:spacing w:line="360" w:lineRule="auto"/>
        <w:jc w:val="both"/>
        <w:rPr>
          <w:rFonts w:ascii="Arial" w:hAnsi="Arial" w:cs="Arial"/>
        </w:rPr>
      </w:pPr>
      <w:r w:rsidRPr="00F90314">
        <w:rPr>
          <w:rFonts w:ascii="Arial" w:hAnsi="Arial" w:cs="Arial"/>
        </w:rPr>
        <w:t>Additionally, the company should invest in the necessary technological infrastructure and tools to support remote and hybrid work arrangements. This may include secure virtual private networks (VPNs), video conferencing platforms, and cloud-based collaboration tools to facilitate seamless communication and data sharing (Torrington et al., 2017).</w:t>
      </w:r>
    </w:p>
    <w:p w:rsidR="00CC1523" w:rsidRPr="00F90314" w:rsidRDefault="00CC1523" w:rsidP="00CC1523">
      <w:pPr>
        <w:spacing w:line="360" w:lineRule="auto"/>
        <w:jc w:val="both"/>
        <w:rPr>
          <w:rFonts w:ascii="Arial" w:eastAsiaTheme="majorEastAsia" w:hAnsi="Arial" w:cs="Arial"/>
          <w:color w:val="2F5496" w:themeColor="accent1" w:themeShade="BF"/>
          <w:sz w:val="32"/>
          <w:szCs w:val="32"/>
        </w:rPr>
      </w:pPr>
    </w:p>
    <w:p w:rsidR="00DD7EDA" w:rsidRPr="00F90314" w:rsidRDefault="00DD7EDA" w:rsidP="00D546D8">
      <w:pPr>
        <w:pStyle w:val="Heading1"/>
        <w:rPr>
          <w:rFonts w:ascii="Arial" w:hAnsi="Arial" w:cs="Arial"/>
        </w:rPr>
      </w:pPr>
      <w:bookmarkStart w:id="4" w:name="_Toc168345474"/>
      <w:r w:rsidRPr="00F90314">
        <w:rPr>
          <w:rFonts w:ascii="Arial" w:hAnsi="Arial" w:cs="Arial"/>
        </w:rPr>
        <w:t>Pay structure reconfiguration</w:t>
      </w:r>
      <w:bookmarkEnd w:id="4"/>
    </w:p>
    <w:p w:rsidR="00D546D8" w:rsidRPr="00F90314" w:rsidRDefault="00D546D8" w:rsidP="00D546D8">
      <w:pPr>
        <w:rPr>
          <w:rFonts w:ascii="Arial" w:hAnsi="Arial" w:cs="Arial"/>
        </w:rPr>
      </w:pP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The implementation of flexible working practices carries with it a profound implication for the conventional pay structure within an organization. As companies embrace the shift towards remote and hybrid work models, the traditional notion of compensation based solely on fixed working hours becomes increasingly obsolete. This paradigm shift necessitates a re-evaluation of existing pay structures to ensure fairness, equity, and alignment with the evolving nature of work.</w:t>
      </w:r>
    </w:p>
    <w:p w:rsidR="00CC152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 xml:space="preserve">In their seminal work, "Reward Management: A Handbook of Remuneration Strategy and Practice," Michael Armstrong and Helen Murlis (2007) emphasize the importance of aligning reward systems with the strategic objectives of the organization. They assert, "Reward strategy must be an integral part of the organization's business strategy – not something distinct or separate from it." </w:t>
      </w:r>
    </w:p>
    <w:p w:rsidR="00CC1523" w:rsidRPr="00F90314" w:rsidRDefault="00CC1523" w:rsidP="00D10213">
      <w:pPr>
        <w:pStyle w:val="whitespace-pre-wrap"/>
        <w:spacing w:line="360" w:lineRule="auto"/>
        <w:jc w:val="both"/>
        <w:rPr>
          <w:rFonts w:ascii="Arial" w:hAnsi="Arial" w:cs="Arial"/>
          <w:sz w:val="22"/>
          <w:szCs w:val="22"/>
        </w:rPr>
      </w:pP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lastRenderedPageBreak/>
        <w:t>This principle resonates strongly with the need for VialTech to reconfigure its pay structure to accommodate the demands of flexible working arrangements.</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 xml:space="preserve">One approach that has gained traction in recent years is the adoption of a performance-based pay system. As articulated by Milkovich and Newman (2008) in their influential text, "Compensation," this model ties compensation to measurable outcomes and deliverables, rather than fixed working hours. By rewarding employees based on their contributions and achievements, rather than the time spent at a physical location, organizations can </w:t>
      </w:r>
      <w:r w:rsidR="007B112B" w:rsidRPr="00F90314">
        <w:rPr>
          <w:rFonts w:ascii="Arial" w:hAnsi="Arial" w:cs="Arial"/>
          <w:sz w:val="22"/>
          <w:szCs w:val="22"/>
        </w:rPr>
        <w:t>create</w:t>
      </w:r>
      <w:r w:rsidRPr="00F90314">
        <w:rPr>
          <w:rFonts w:ascii="Arial" w:hAnsi="Arial" w:cs="Arial"/>
          <w:sz w:val="22"/>
          <w:szCs w:val="22"/>
        </w:rPr>
        <w:t xml:space="preserve"> a culture of accountability and productivity, regardless of work arrangements.</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Alternatively, VialTech could consider implementing a job evaluation system, as proposed by renowned experts in the field, such as David Lewin and Peter Boxall. In their seminal work, "Autonomous Work Groups and the Transformation of the Industrial Relations/Human Resources Function" (1992), they advocate for a pay structure that assigns grades based on the complexity and responsibilities of each role, rather than solely on the number of hours worked. This approach ensures that employees in similar roles receive comparable compensation, irrespective of their work arrangements, promoting a sense of fairness and equity within the organization.</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However, the reconfiguration of pay structures is not without its challenges. As cautioned by Boxall and Purcell in their influential book, "Strategy and Human Resource Management" (2011), any changes to compensation systems must be communicated transparently and implemented in a fair and consistent manner, in accordance with relevant employment laws and regulations. Failure to do so could lead to employee dissatisfaction, legal disputes, and potential reputational damage for the organization.</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To navigate these complexities, VialTech may benefit from the guidance of renowned human resource management experts, such as Michael Armstrong and Stephen Taylor. In their authoritative work, "Armstrong's Handbook of Human Resource Management Practice" (2020), they emphasize the importance of conducting thorough job evaluations and developing clear and transparent pay policies that align with the organization's values and objectives.</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 xml:space="preserve">Furthermore, VialTech could draw inspiration from industry best practices and case studies of organizations that have successfully implemented flexible working arrangements and reconfigured their pay structures accordingly. For instance, the multinational technology company, Cisco Systems, has adopted a "pay for performance" model that rewards employees based on their contributions and impact, rather than traditional measures such as </w:t>
      </w:r>
      <w:r w:rsidRPr="00F90314">
        <w:rPr>
          <w:rFonts w:ascii="Arial" w:hAnsi="Arial" w:cs="Arial"/>
          <w:sz w:val="22"/>
          <w:szCs w:val="22"/>
        </w:rPr>
        <w:lastRenderedPageBreak/>
        <w:t xml:space="preserve">hours worked or tenure (Cisco, 2021). This approach has enabled Cisco to attract and retain top talent while </w:t>
      </w:r>
      <w:r w:rsidR="007B112B" w:rsidRPr="00F90314">
        <w:rPr>
          <w:rFonts w:ascii="Arial" w:hAnsi="Arial" w:cs="Arial"/>
          <w:sz w:val="22"/>
          <w:szCs w:val="22"/>
        </w:rPr>
        <w:t>creating</w:t>
      </w:r>
      <w:r w:rsidRPr="00F90314">
        <w:rPr>
          <w:rFonts w:ascii="Arial" w:hAnsi="Arial" w:cs="Arial"/>
          <w:sz w:val="22"/>
          <w:szCs w:val="22"/>
        </w:rPr>
        <w:t xml:space="preserve"> a culture of innovation and agility, qualities that are essential in today's rapidly evolving business landscape.</w:t>
      </w:r>
    </w:p>
    <w:p w:rsidR="00D10213" w:rsidRPr="00F90314" w:rsidRDefault="00D10213" w:rsidP="00D10213">
      <w:pPr>
        <w:pStyle w:val="whitespace-pre-wrap"/>
        <w:spacing w:line="360" w:lineRule="auto"/>
        <w:jc w:val="both"/>
        <w:rPr>
          <w:rFonts w:ascii="Arial" w:hAnsi="Arial" w:cs="Arial"/>
          <w:sz w:val="22"/>
          <w:szCs w:val="22"/>
        </w:rPr>
      </w:pPr>
      <w:r w:rsidRPr="00F90314">
        <w:rPr>
          <w:rFonts w:ascii="Arial" w:hAnsi="Arial" w:cs="Arial"/>
          <w:sz w:val="22"/>
          <w:szCs w:val="22"/>
        </w:rPr>
        <w:t>As VialTech embarks on this journey of pay structure reconfiguration, it is crucial to engage in open dialogue with employees and stakeholders. As emphasized by David Guest in his influential work, "Human Resource Management and Employee Well-Being" (2017), effective communication and employee involvement can mitigate resistance to change and foster a sense of ownership and commitment to the new pay structure.</w:t>
      </w:r>
    </w:p>
    <w:p w:rsidR="00D546D8" w:rsidRPr="00F90314" w:rsidRDefault="00D10213" w:rsidP="00CC1523">
      <w:pPr>
        <w:pStyle w:val="whitespace-pre-wrap"/>
        <w:spacing w:line="360" w:lineRule="auto"/>
        <w:jc w:val="both"/>
        <w:rPr>
          <w:rFonts w:ascii="Arial" w:hAnsi="Arial" w:cs="Arial"/>
          <w:sz w:val="22"/>
          <w:szCs w:val="22"/>
        </w:rPr>
      </w:pPr>
      <w:r w:rsidRPr="00F90314">
        <w:rPr>
          <w:rFonts w:ascii="Arial" w:hAnsi="Arial" w:cs="Arial"/>
          <w:sz w:val="22"/>
          <w:szCs w:val="22"/>
        </w:rPr>
        <w:t>Ultimately, the reconfiguration of pay structures in the context of flexible working arrangements is not merely a matter of compliance or cost-cutting; it is an opportunity for VialTech to align its compensation practices with the evolving needs of its workforce and the broader shifts in the world of work. By embracing innovative approaches to compensation and leveraging the insights of industry leaders and academic experts, VialTech can position itself as a forward-thinking organization that values fairness, equity, and employee well-being, while simultaneously driving productivity and business success.</w:t>
      </w:r>
    </w:p>
    <w:p w:rsidR="00CC1523" w:rsidRPr="00F90314" w:rsidRDefault="00CC1523" w:rsidP="00CC1523">
      <w:pPr>
        <w:pStyle w:val="whitespace-pre-wrap"/>
        <w:spacing w:line="360" w:lineRule="auto"/>
        <w:jc w:val="both"/>
        <w:rPr>
          <w:rFonts w:ascii="Arial" w:eastAsiaTheme="majorEastAsia" w:hAnsi="Arial" w:cs="Arial"/>
          <w:color w:val="2F5496" w:themeColor="accent1" w:themeShade="BF"/>
          <w:sz w:val="32"/>
          <w:szCs w:val="32"/>
        </w:rPr>
      </w:pPr>
    </w:p>
    <w:p w:rsidR="00DD7EDA" w:rsidRPr="00F90314" w:rsidRDefault="00DD7EDA" w:rsidP="00D546D8">
      <w:pPr>
        <w:pStyle w:val="Heading1"/>
        <w:rPr>
          <w:rFonts w:ascii="Arial" w:hAnsi="Arial" w:cs="Arial"/>
        </w:rPr>
      </w:pPr>
      <w:bookmarkStart w:id="5" w:name="_Toc168345475"/>
      <w:r w:rsidRPr="00F90314">
        <w:rPr>
          <w:rFonts w:ascii="Arial" w:hAnsi="Arial" w:cs="Arial"/>
        </w:rPr>
        <w:t>Strategies to promote employee engagement whiles implementing flexible working</w:t>
      </w:r>
      <w:bookmarkEnd w:id="5"/>
    </w:p>
    <w:p w:rsidR="00D546D8" w:rsidRPr="00F90314" w:rsidRDefault="00D546D8" w:rsidP="00D546D8">
      <w:pPr>
        <w:rPr>
          <w:rFonts w:ascii="Arial" w:hAnsi="Arial" w:cs="Arial"/>
        </w:rPr>
      </w:pPr>
    </w:p>
    <w:p w:rsidR="00DD7EDA" w:rsidRPr="00F90314" w:rsidRDefault="00DD7EDA" w:rsidP="00D10213">
      <w:pPr>
        <w:spacing w:line="360" w:lineRule="auto"/>
        <w:jc w:val="both"/>
        <w:rPr>
          <w:rFonts w:ascii="Arial" w:hAnsi="Arial" w:cs="Arial"/>
        </w:rPr>
      </w:pPr>
      <w:r w:rsidRPr="00F90314">
        <w:rPr>
          <w:rFonts w:ascii="Arial" w:hAnsi="Arial" w:cs="Arial"/>
        </w:rPr>
        <w:t>Maintaining high levels of employee engagement is crucial during the transition to flexible working arrangements. One effective strategy is to foster a culture of trust and accountability within the organisation. This can be achieved by setting clear performance goals and providing employees with the autonomy and flexibility to manage their work schedules and deliverables (Purcell, 2014).</w:t>
      </w:r>
    </w:p>
    <w:p w:rsidR="00DD7EDA" w:rsidRPr="00F90314" w:rsidRDefault="00DD7EDA" w:rsidP="00D10213">
      <w:pPr>
        <w:spacing w:line="360" w:lineRule="auto"/>
        <w:jc w:val="both"/>
        <w:rPr>
          <w:rFonts w:ascii="Arial" w:hAnsi="Arial" w:cs="Arial"/>
        </w:rPr>
      </w:pPr>
      <w:r w:rsidRPr="00F90314">
        <w:rPr>
          <w:rFonts w:ascii="Arial" w:hAnsi="Arial" w:cs="Arial"/>
        </w:rPr>
        <w:t>Regular communication and feedback loops are also essential for keeping employees engaged and connected. This could involve virtual team meetings, one-on-one check-ins with managers, and the implementation of collaborative platforms for sharing updates and ideas (Marchington and Wilkinson, 2012).</w:t>
      </w:r>
    </w:p>
    <w:p w:rsidR="00D546D8" w:rsidRPr="00F90314" w:rsidRDefault="00DD7EDA" w:rsidP="00CC1523">
      <w:pPr>
        <w:spacing w:line="360" w:lineRule="auto"/>
        <w:jc w:val="both"/>
        <w:rPr>
          <w:rFonts w:ascii="Arial" w:eastAsiaTheme="majorEastAsia" w:hAnsi="Arial" w:cs="Arial"/>
          <w:color w:val="2F5496" w:themeColor="accent1" w:themeShade="BF"/>
          <w:sz w:val="32"/>
          <w:szCs w:val="32"/>
        </w:rPr>
      </w:pPr>
      <w:r w:rsidRPr="00F90314">
        <w:rPr>
          <w:rFonts w:ascii="Arial" w:hAnsi="Arial" w:cs="Arial"/>
        </w:rPr>
        <w:t>Additionally, organisations should consider implementing training programs and resources to support the mental and physical well-being of their remote workforce. This may include providing access to online wellness programs, ergonomic workstation assessments, and resources for managing stress and work-life balance (Truss et al., 2012).</w:t>
      </w:r>
      <w:r w:rsidR="00D546D8" w:rsidRPr="00F90314">
        <w:rPr>
          <w:rFonts w:ascii="Arial" w:hAnsi="Arial" w:cs="Arial"/>
        </w:rPr>
        <w:br w:type="page"/>
      </w:r>
    </w:p>
    <w:p w:rsidR="00DD7EDA" w:rsidRPr="00F90314" w:rsidRDefault="00DD7EDA" w:rsidP="00D546D8">
      <w:pPr>
        <w:pStyle w:val="Heading1"/>
        <w:rPr>
          <w:rFonts w:ascii="Arial" w:hAnsi="Arial" w:cs="Arial"/>
        </w:rPr>
      </w:pPr>
      <w:bookmarkStart w:id="6" w:name="_Toc168345476"/>
      <w:r w:rsidRPr="00F90314">
        <w:rPr>
          <w:rFonts w:ascii="Arial" w:hAnsi="Arial" w:cs="Arial"/>
        </w:rPr>
        <w:lastRenderedPageBreak/>
        <w:t>Bibliography</w:t>
      </w:r>
      <w:bookmarkEnd w:id="6"/>
    </w:p>
    <w:p w:rsidR="00D546D8" w:rsidRPr="00F90314" w:rsidRDefault="00D546D8" w:rsidP="00D546D8">
      <w:pPr>
        <w:rPr>
          <w:rFonts w:ascii="Arial" w:hAnsi="Arial" w:cs="Arial"/>
        </w:rPr>
      </w:pP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Armstrong, M. and Taylor, S., 2020. Armstrong's handbook of human resource management practice. Kogan Page Publishers.</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Bach, S. and Edwards, M.R., 2013. Managing human resources: Human resource management in transition. John Wiley &amp; Sons.</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Bloom, N., Liang, J., Roberts, J. and Ying, Z.J., 2015. Does working from home work? Evidence from a Chinese experiment. The Quarterly Journal of Economics, 130(1), pp.165-218.</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Boxall, P. and Purcell, J., 2011. Strategy and human resource management. Palgrave Macmillan.</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CIPD, 2021. Flexible Working. [online] Available at: &lt;https://www.cipd.co.uk/knowledge/fundamentals/relations/flexible-working&gt; [Accessed 3 June 2024].</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Felstead, A. and Henseke, G., 2017. Assessing the growth of remote working and its consequences for effort, well-being and work-life balance. New Technology, Work and Employment, 32(3), pp.195-212.</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Global Workplace Analytics, 2020. Latest Work-At-Home/Telecommuting/Mobile Work/Remote Work Statistics. [online] Available at: &lt;https://globalworkplaceanalytics.com/telecommuting-statistics&gt; [Accessed 3 June 2024].</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Legge, K., 2005. Human resource management: Rhetorics and realities. Palgrave Macmillan.</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Marchington, M. and Wilkinson, A., 2012. Human resource management at work. Kogan Page Publishers.</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Purcell, J., 2014. Sustaining the case for attending to human resource management. Human Resource Management Journal, 24(1), pp.5-11.</w:t>
      </w:r>
    </w:p>
    <w:p w:rsidR="00DD7EDA"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Torrington, D., Hall, L., Taylor, S. and Atkinson, C., 2017. Human resource management. Pearson Education.</w:t>
      </w:r>
    </w:p>
    <w:p w:rsidR="00D8319D" w:rsidRPr="00F90314" w:rsidRDefault="00DD7EDA" w:rsidP="00D10213">
      <w:pPr>
        <w:pStyle w:val="ListParagraph"/>
        <w:numPr>
          <w:ilvl w:val="0"/>
          <w:numId w:val="2"/>
        </w:numPr>
        <w:spacing w:line="360" w:lineRule="auto"/>
        <w:jc w:val="both"/>
        <w:rPr>
          <w:rFonts w:ascii="Arial" w:hAnsi="Arial" w:cs="Arial"/>
        </w:rPr>
      </w:pPr>
      <w:r w:rsidRPr="00F90314">
        <w:rPr>
          <w:rFonts w:ascii="Arial" w:hAnsi="Arial" w:cs="Arial"/>
        </w:rPr>
        <w:t>Truss, C., Mankin, D. and Kelliher, C., 2012. Strategic human resource management. Oxford University Press.</w:t>
      </w:r>
    </w:p>
    <w:sectPr w:rsidR="00D8319D" w:rsidRPr="00F9031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45E7" w:rsidRDefault="006645E7" w:rsidP="00A31637">
      <w:pPr>
        <w:spacing w:after="0" w:line="240" w:lineRule="auto"/>
      </w:pPr>
      <w:r>
        <w:separator/>
      </w:r>
    </w:p>
  </w:endnote>
  <w:endnote w:type="continuationSeparator" w:id="0">
    <w:p w:rsidR="006645E7" w:rsidRDefault="006645E7" w:rsidP="00A31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1637" w:rsidRDefault="00A3163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760B9F">
      <w:rPr>
        <w:caps/>
        <w:noProof/>
        <w:color w:val="4472C4" w:themeColor="accent1"/>
      </w:rPr>
      <w:t>1</w:t>
    </w:r>
    <w:r>
      <w:rPr>
        <w:caps/>
        <w:noProof/>
        <w:color w:val="4472C4" w:themeColor="accent1"/>
      </w:rPr>
      <w:fldChar w:fldCharType="end"/>
    </w:r>
  </w:p>
  <w:p w:rsidR="00A31637" w:rsidRDefault="00A31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45E7" w:rsidRDefault="006645E7" w:rsidP="00A31637">
      <w:pPr>
        <w:spacing w:after="0" w:line="240" w:lineRule="auto"/>
      </w:pPr>
      <w:r>
        <w:separator/>
      </w:r>
    </w:p>
  </w:footnote>
  <w:footnote w:type="continuationSeparator" w:id="0">
    <w:p w:rsidR="006645E7" w:rsidRDefault="006645E7" w:rsidP="00A316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C4A0E"/>
    <w:multiLevelType w:val="hybridMultilevel"/>
    <w:tmpl w:val="9CD64D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B2646E"/>
    <w:multiLevelType w:val="hybridMultilevel"/>
    <w:tmpl w:val="589C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96221">
    <w:abstractNumId w:val="1"/>
  </w:num>
  <w:num w:numId="2" w16cid:durableId="1843887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B89"/>
    <w:rsid w:val="00030FBC"/>
    <w:rsid w:val="000E5EE6"/>
    <w:rsid w:val="00142DE6"/>
    <w:rsid w:val="00195898"/>
    <w:rsid w:val="002743E3"/>
    <w:rsid w:val="00276408"/>
    <w:rsid w:val="0028127F"/>
    <w:rsid w:val="00323ADB"/>
    <w:rsid w:val="00372B46"/>
    <w:rsid w:val="004844A7"/>
    <w:rsid w:val="0050053C"/>
    <w:rsid w:val="00520F5C"/>
    <w:rsid w:val="005447C7"/>
    <w:rsid w:val="00553F7A"/>
    <w:rsid w:val="005A2750"/>
    <w:rsid w:val="006645E7"/>
    <w:rsid w:val="00700AFC"/>
    <w:rsid w:val="00751CA6"/>
    <w:rsid w:val="00760B9F"/>
    <w:rsid w:val="007860D9"/>
    <w:rsid w:val="00794854"/>
    <w:rsid w:val="007B112B"/>
    <w:rsid w:val="007D5789"/>
    <w:rsid w:val="00987AD3"/>
    <w:rsid w:val="009C039C"/>
    <w:rsid w:val="009D7F0D"/>
    <w:rsid w:val="00A214AC"/>
    <w:rsid w:val="00A31637"/>
    <w:rsid w:val="00A91356"/>
    <w:rsid w:val="00AB26F9"/>
    <w:rsid w:val="00B25EC7"/>
    <w:rsid w:val="00B64C9B"/>
    <w:rsid w:val="00C13B89"/>
    <w:rsid w:val="00C43E08"/>
    <w:rsid w:val="00CC1523"/>
    <w:rsid w:val="00D10213"/>
    <w:rsid w:val="00D45A32"/>
    <w:rsid w:val="00D546D8"/>
    <w:rsid w:val="00D8319D"/>
    <w:rsid w:val="00DD3245"/>
    <w:rsid w:val="00DD7EDA"/>
    <w:rsid w:val="00DF75DB"/>
    <w:rsid w:val="00E32848"/>
    <w:rsid w:val="00E50563"/>
    <w:rsid w:val="00E5328D"/>
    <w:rsid w:val="00ED3910"/>
    <w:rsid w:val="00F9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EC67E"/>
  <w15:chartTrackingRefBased/>
  <w15:docId w15:val="{487382A3-B60F-4192-A39A-6951A1D62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637"/>
  </w:style>
  <w:style w:type="paragraph" w:styleId="Heading1">
    <w:name w:val="heading 1"/>
    <w:basedOn w:val="Normal"/>
    <w:next w:val="Normal"/>
    <w:link w:val="Heading1Char"/>
    <w:uiPriority w:val="9"/>
    <w:qFormat/>
    <w:rsid w:val="00A316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rsid w:val="00A31637"/>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A316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1637"/>
    <w:pPr>
      <w:outlineLvl w:val="9"/>
    </w:pPr>
    <w:rPr>
      <w:kern w:val="0"/>
      <w:lang w:val="en-US"/>
      <w14:ligatures w14:val="none"/>
    </w:rPr>
  </w:style>
  <w:style w:type="paragraph" w:styleId="Header">
    <w:name w:val="header"/>
    <w:basedOn w:val="Normal"/>
    <w:link w:val="HeaderChar"/>
    <w:uiPriority w:val="99"/>
    <w:unhideWhenUsed/>
    <w:rsid w:val="00A31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637"/>
  </w:style>
  <w:style w:type="paragraph" w:styleId="Footer">
    <w:name w:val="footer"/>
    <w:basedOn w:val="Normal"/>
    <w:link w:val="FooterChar"/>
    <w:uiPriority w:val="99"/>
    <w:unhideWhenUsed/>
    <w:rsid w:val="00A31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637"/>
  </w:style>
  <w:style w:type="paragraph" w:styleId="ListParagraph">
    <w:name w:val="List Paragraph"/>
    <w:basedOn w:val="Normal"/>
    <w:uiPriority w:val="34"/>
    <w:qFormat/>
    <w:rsid w:val="00DD7EDA"/>
    <w:pPr>
      <w:ind w:left="720"/>
      <w:contextualSpacing/>
    </w:pPr>
  </w:style>
  <w:style w:type="paragraph" w:styleId="TOC1">
    <w:name w:val="toc 1"/>
    <w:basedOn w:val="Normal"/>
    <w:next w:val="Normal"/>
    <w:autoRedefine/>
    <w:uiPriority w:val="39"/>
    <w:unhideWhenUsed/>
    <w:rsid w:val="00751CA6"/>
    <w:pPr>
      <w:spacing w:after="100"/>
    </w:pPr>
  </w:style>
  <w:style w:type="character" w:styleId="Hyperlink">
    <w:name w:val="Hyperlink"/>
    <w:basedOn w:val="DefaultParagraphFont"/>
    <w:uiPriority w:val="99"/>
    <w:unhideWhenUsed/>
    <w:rsid w:val="00751CA6"/>
    <w:rPr>
      <w:color w:val="0563C1" w:themeColor="hyperlink"/>
      <w:u w:val="single"/>
    </w:rPr>
  </w:style>
  <w:style w:type="paragraph" w:customStyle="1" w:styleId="whitespace-pre-wrap">
    <w:name w:val="whitespace-pre-wrap"/>
    <w:basedOn w:val="Normal"/>
    <w:rsid w:val="002764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24462">
      <w:bodyDiv w:val="1"/>
      <w:marLeft w:val="0"/>
      <w:marRight w:val="0"/>
      <w:marTop w:val="0"/>
      <w:marBottom w:val="0"/>
      <w:divBdr>
        <w:top w:val="none" w:sz="0" w:space="0" w:color="auto"/>
        <w:left w:val="none" w:sz="0" w:space="0" w:color="auto"/>
        <w:bottom w:val="none" w:sz="0" w:space="0" w:color="auto"/>
        <w:right w:val="none" w:sz="0" w:space="0" w:color="auto"/>
      </w:divBdr>
    </w:div>
    <w:div w:id="90881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Pain Industries</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Aurel Apopei (2245793)</cp:lastModifiedBy>
  <cp:revision>2</cp:revision>
  <dcterms:created xsi:type="dcterms:W3CDTF">2024-07-08T09:25:00Z</dcterms:created>
  <dcterms:modified xsi:type="dcterms:W3CDTF">2024-07-08T09:25:00Z</dcterms:modified>
</cp:coreProperties>
</file>