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A09229">
      <w:pPr>
        <w:pStyle w:val="4"/>
        <w:keepNext w:val="0"/>
        <w:keepLines w:val="0"/>
        <w:widowControl/>
        <w:suppressLineNumbers w:val="0"/>
        <w:spacing w:line="480" w:lineRule="auto"/>
        <w:jc w:val="both"/>
        <w:rPr>
          <w:rFonts w:hint="default" w:ascii="Times New Roman" w:hAnsi="Times New Roman" w:cs="Times New Roman"/>
          <w:sz w:val="24"/>
          <w:szCs w:val="24"/>
        </w:rPr>
      </w:pPr>
    </w:p>
    <w:p w14:paraId="519F2A34">
      <w:pPr>
        <w:pStyle w:val="4"/>
        <w:keepNext w:val="0"/>
        <w:keepLines w:val="0"/>
        <w:widowControl/>
        <w:suppressLineNumbers w:val="0"/>
        <w:spacing w:line="480" w:lineRule="auto"/>
        <w:jc w:val="both"/>
        <w:rPr>
          <w:rFonts w:hint="default" w:ascii="Times New Roman" w:hAnsi="Times New Roman" w:cs="Times New Roman"/>
          <w:sz w:val="24"/>
          <w:szCs w:val="24"/>
        </w:rPr>
      </w:pPr>
    </w:p>
    <w:p w14:paraId="1ECEA335">
      <w:pPr>
        <w:pStyle w:val="4"/>
        <w:keepNext w:val="0"/>
        <w:keepLines w:val="0"/>
        <w:widowControl/>
        <w:suppressLineNumbers w:val="0"/>
        <w:spacing w:line="480" w:lineRule="auto"/>
        <w:jc w:val="both"/>
        <w:rPr>
          <w:rFonts w:hint="default" w:ascii="Times New Roman" w:hAnsi="Times New Roman" w:cs="Times New Roman"/>
          <w:sz w:val="24"/>
          <w:szCs w:val="24"/>
        </w:rPr>
      </w:pPr>
    </w:p>
    <w:p w14:paraId="08A14682">
      <w:pPr>
        <w:pStyle w:val="4"/>
        <w:keepNext w:val="0"/>
        <w:keepLines w:val="0"/>
        <w:widowControl/>
        <w:suppressLineNumbers w:val="0"/>
        <w:spacing w:line="480" w:lineRule="auto"/>
        <w:jc w:val="both"/>
        <w:rPr>
          <w:rFonts w:hint="default" w:ascii="Times New Roman" w:hAnsi="Times New Roman" w:cs="Times New Roman"/>
          <w:sz w:val="24"/>
          <w:szCs w:val="24"/>
        </w:rPr>
      </w:pPr>
    </w:p>
    <w:p w14:paraId="43E5B97A">
      <w:pPr>
        <w:pStyle w:val="4"/>
        <w:keepNext w:val="0"/>
        <w:keepLines w:val="0"/>
        <w:widowControl/>
        <w:suppressLineNumbers w:val="0"/>
        <w:spacing w:line="480" w:lineRule="auto"/>
        <w:jc w:val="both"/>
        <w:rPr>
          <w:rFonts w:hint="default" w:ascii="Times New Roman" w:hAnsi="Times New Roman" w:cs="Times New Roman"/>
          <w:sz w:val="24"/>
          <w:szCs w:val="24"/>
        </w:rPr>
      </w:pPr>
    </w:p>
    <w:p w14:paraId="067020B8">
      <w:pPr>
        <w:pStyle w:val="4"/>
        <w:keepNext w:val="0"/>
        <w:keepLines w:val="0"/>
        <w:widowControl/>
        <w:suppressLineNumbers w:val="0"/>
        <w:spacing w:line="480" w:lineRule="auto"/>
        <w:jc w:val="both"/>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 xml:space="preserve">Title: </w:t>
      </w:r>
      <w:r>
        <w:rPr>
          <w:rFonts w:hint="default" w:ascii="Times New Roman" w:hAnsi="Times New Roman" w:cs="Times New Roman"/>
          <w:b/>
          <w:bCs/>
          <w:sz w:val="24"/>
          <w:szCs w:val="24"/>
        </w:rPr>
        <w:t>High-Context and Low-Context Cultures: Communication Conflicts and Optimization Strategies in Cross-Cultural Teams of British Multinational Corporations</w:t>
      </w:r>
    </w:p>
    <w:p w14:paraId="39B75D9F">
      <w:pPr>
        <w:pStyle w:val="4"/>
        <w:keepNext w:val="0"/>
        <w:keepLines w:val="0"/>
        <w:widowControl/>
        <w:suppressLineNumbers w:val="0"/>
        <w:spacing w:line="480" w:lineRule="auto"/>
        <w:jc w:val="both"/>
        <w:rPr>
          <w:rFonts w:hint="default" w:ascii="Times New Roman" w:hAnsi="Times New Roman" w:cs="Times New Roman"/>
          <w:sz w:val="24"/>
          <w:szCs w:val="24"/>
        </w:rPr>
      </w:pPr>
    </w:p>
    <w:p w14:paraId="4FDA3781">
      <w:pPr>
        <w:pStyle w:val="4"/>
        <w:keepNext w:val="0"/>
        <w:keepLines w:val="0"/>
        <w:widowControl/>
        <w:suppressLineNumbers w:val="0"/>
        <w:spacing w:line="480" w:lineRule="auto"/>
        <w:jc w:val="both"/>
        <w:rPr>
          <w:rFonts w:hint="default" w:ascii="Times New Roman" w:hAnsi="Times New Roman" w:cs="Times New Roman"/>
          <w:sz w:val="24"/>
          <w:szCs w:val="24"/>
        </w:rPr>
      </w:pPr>
    </w:p>
    <w:p w14:paraId="67DA9382">
      <w:pPr>
        <w:pStyle w:val="4"/>
        <w:keepNext w:val="0"/>
        <w:keepLines w:val="0"/>
        <w:widowControl/>
        <w:suppressLineNumbers w:val="0"/>
        <w:spacing w:line="480" w:lineRule="auto"/>
        <w:jc w:val="both"/>
        <w:rPr>
          <w:rFonts w:hint="default" w:ascii="Times New Roman" w:hAnsi="Times New Roman" w:cs="Times New Roman"/>
          <w:sz w:val="24"/>
          <w:szCs w:val="24"/>
        </w:rPr>
      </w:pPr>
    </w:p>
    <w:p w14:paraId="162EE3DE">
      <w:pPr>
        <w:pStyle w:val="4"/>
        <w:keepNext w:val="0"/>
        <w:keepLines w:val="0"/>
        <w:widowControl/>
        <w:suppressLineNumbers w:val="0"/>
        <w:spacing w:line="480" w:lineRule="auto"/>
        <w:jc w:val="both"/>
        <w:rPr>
          <w:rFonts w:hint="default" w:ascii="Times New Roman" w:hAnsi="Times New Roman" w:cs="Times New Roman"/>
          <w:sz w:val="24"/>
          <w:szCs w:val="24"/>
        </w:rPr>
      </w:pPr>
    </w:p>
    <w:p w14:paraId="54BF9722">
      <w:pPr>
        <w:pStyle w:val="4"/>
        <w:keepNext w:val="0"/>
        <w:keepLines w:val="0"/>
        <w:widowControl/>
        <w:suppressLineNumbers w:val="0"/>
        <w:spacing w:line="480" w:lineRule="auto"/>
        <w:jc w:val="both"/>
        <w:rPr>
          <w:rFonts w:hint="default" w:ascii="Times New Roman" w:hAnsi="Times New Roman" w:cs="Times New Roman"/>
          <w:sz w:val="24"/>
          <w:szCs w:val="24"/>
        </w:rPr>
      </w:pPr>
    </w:p>
    <w:p w14:paraId="77437587">
      <w:pPr>
        <w:pStyle w:val="4"/>
        <w:keepNext w:val="0"/>
        <w:keepLines w:val="0"/>
        <w:widowControl/>
        <w:suppressLineNumbers w:val="0"/>
        <w:spacing w:line="480" w:lineRule="auto"/>
        <w:jc w:val="both"/>
        <w:rPr>
          <w:rFonts w:hint="default" w:ascii="Times New Roman" w:hAnsi="Times New Roman" w:cs="Times New Roman"/>
          <w:sz w:val="24"/>
          <w:szCs w:val="24"/>
        </w:rPr>
      </w:pPr>
    </w:p>
    <w:p w14:paraId="74C0794C">
      <w:pPr>
        <w:pStyle w:val="4"/>
        <w:keepNext w:val="0"/>
        <w:keepLines w:val="0"/>
        <w:widowControl/>
        <w:suppressLineNumbers w:val="0"/>
        <w:spacing w:line="480" w:lineRule="auto"/>
        <w:jc w:val="both"/>
        <w:rPr>
          <w:rFonts w:hint="default" w:ascii="Times New Roman" w:hAnsi="Times New Roman" w:cs="Times New Roman"/>
          <w:sz w:val="24"/>
          <w:szCs w:val="24"/>
        </w:rPr>
      </w:pPr>
    </w:p>
    <w:p w14:paraId="35E46C62">
      <w:pPr>
        <w:pStyle w:val="4"/>
        <w:keepNext w:val="0"/>
        <w:keepLines w:val="0"/>
        <w:widowControl/>
        <w:suppressLineNumbers w:val="0"/>
        <w:spacing w:line="480" w:lineRule="auto"/>
        <w:jc w:val="both"/>
        <w:rPr>
          <w:rFonts w:hint="default" w:ascii="Times New Roman" w:hAnsi="Times New Roman" w:cs="Times New Roman"/>
          <w:sz w:val="24"/>
          <w:szCs w:val="24"/>
        </w:rPr>
      </w:pPr>
    </w:p>
    <w:p w14:paraId="27B79BD8">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Abstract</w:t>
      </w:r>
    </w:p>
    <w:p w14:paraId="7FFB55DA">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Within the cross-cultural team of a multinational technology company's marketing department in London, UK, a fundamental disagreement between the Chinese project manager and the British creative specialist over a Southeast Asian marketing strategy exposed the core conflict in cross-cultural collaboration as outlined by Hall's “high-context and low-context cultural model.” The indirect communication typical of high-context cultures clashed with the direct interpretation expected in low-context cultures, creating semantic discrepancies. Ultimately, the proposal was rejected by the client for failing to align with the target market's cultural perceptions. This study examines a cross-cultural team within a British multinational corporation, systematically analyzing conflicts across three dimensions: communication expression, collaborative logic, and interpretation of silence. Drawing on practical case studies from UK-based enterprises, it proposes three optimization strategies: preemptive cultural training, standardized communication tools, and proactive confirmation mechanisms. These offer theoretical support and practical guidance for enhancing the effectiveness of cross-cultural teams within British multinational corporations.</w:t>
      </w:r>
    </w:p>
    <w:p w14:paraId="786C9BFC">
      <w:pPr>
        <w:keepNext w:val="0"/>
        <w:keepLines w:val="0"/>
        <w:widowControl/>
        <w:suppressLineNumbers w:val="0"/>
        <w:spacing w:line="480" w:lineRule="auto"/>
        <w:jc w:val="both"/>
        <w:rPr>
          <w:rFonts w:hint="default" w:ascii="Times New Roman" w:hAnsi="Times New Roman" w:cs="Times New Roman"/>
          <w:sz w:val="24"/>
          <w:szCs w:val="24"/>
        </w:rPr>
      </w:pPr>
    </w:p>
    <w:p w14:paraId="6D107611">
      <w:pPr>
        <w:pStyle w:val="4"/>
        <w:keepNext w:val="0"/>
        <w:keepLines w:val="0"/>
        <w:widowControl/>
        <w:suppressLineNumbers w:val="0"/>
        <w:spacing w:line="480" w:lineRule="auto"/>
        <w:jc w:val="both"/>
        <w:rPr>
          <w:rFonts w:hint="default" w:ascii="Times New Roman" w:hAnsi="Times New Roman" w:cs="Times New Roman"/>
          <w:sz w:val="24"/>
          <w:szCs w:val="24"/>
        </w:rPr>
      </w:pPr>
    </w:p>
    <w:p w14:paraId="278D9B12">
      <w:pPr>
        <w:spacing w:line="480" w:lineRule="auto"/>
        <w:jc w:val="both"/>
        <w:rPr>
          <w:rFonts w:hint="default" w:ascii="Times New Roman" w:hAnsi="Times New Roman" w:cs="Times New Roman"/>
          <w:sz w:val="24"/>
          <w:szCs w:val="24"/>
        </w:rPr>
      </w:pPr>
    </w:p>
    <w:p w14:paraId="6B746E2F">
      <w:pPr>
        <w:pStyle w:val="4"/>
        <w:keepNext w:val="0"/>
        <w:keepLines w:val="0"/>
        <w:widowControl/>
        <w:suppressLineNumbers w:val="0"/>
        <w:spacing w:line="480" w:lineRule="auto"/>
        <w:jc w:val="both"/>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                              Contents </w:t>
      </w:r>
    </w:p>
    <w:p w14:paraId="11F26B04">
      <w:pPr>
        <w:pStyle w:val="4"/>
        <w:keepNext w:val="0"/>
        <w:keepLines w:val="0"/>
        <w:widowControl/>
        <w:suppressLineNumbers w:val="0"/>
        <w:spacing w:line="480" w:lineRule="auto"/>
        <w:jc w:val="both"/>
        <w:rPr>
          <w:rFonts w:hint="default" w:ascii="Times New Roman" w:hAnsi="Times New Roman" w:cs="Times New Roman"/>
          <w:sz w:val="24"/>
          <w:szCs w:val="24"/>
          <w:lang w:val="en-US"/>
        </w:rPr>
      </w:pPr>
      <w:r>
        <w:rPr>
          <w:rFonts w:hint="eastAsia" w:ascii="Times New Roman" w:hAnsi="Times New Roman" w:cs="Times New Roman"/>
          <w:sz w:val="24"/>
          <w:szCs w:val="24"/>
          <w:lang w:val="en-US" w:eastAsia="zh-CN"/>
        </w:rPr>
        <w:t>1.0 Introduction.........................................................................................................5</w:t>
      </w:r>
    </w:p>
    <w:p w14:paraId="305C4FBB">
      <w:pPr>
        <w:pStyle w:val="4"/>
        <w:keepNext w:val="0"/>
        <w:keepLines w:val="0"/>
        <w:widowControl/>
        <w:suppressLineNumbers w:val="0"/>
        <w:spacing w:line="480" w:lineRule="auto"/>
        <w:jc w:val="both"/>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2.0 Manifestations of Conflict in British Cross-Cultural Teams Between High- and Low-Context Cultures</w:t>
      </w:r>
      <w:r>
        <w:rPr>
          <w:rFonts w:hint="eastAsia" w:ascii="Times New Roman" w:hAnsi="Times New Roman" w:cs="Times New Roman"/>
          <w:sz w:val="24"/>
          <w:szCs w:val="24"/>
          <w:lang w:val="en-US" w:eastAsia="zh-CN"/>
        </w:rPr>
        <w:t>...............................................................................................7</w:t>
      </w:r>
    </w:p>
    <w:p w14:paraId="242CE631">
      <w:pPr>
        <w:pStyle w:val="4"/>
        <w:keepNext w:val="0"/>
        <w:keepLines w:val="0"/>
        <w:widowControl/>
        <w:suppressLineNumbers w:val="0"/>
        <w:spacing w:line="480" w:lineRule="auto"/>
        <w:jc w:val="both"/>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2.1 Communication Expression: Semantic Discrepancies Between “Indirect Hints” and “Direct Statements”</w:t>
      </w:r>
      <w:r>
        <w:rPr>
          <w:rFonts w:hint="eastAsia" w:ascii="Times New Roman" w:hAnsi="Times New Roman" w:cs="Times New Roman"/>
          <w:sz w:val="24"/>
          <w:szCs w:val="24"/>
          <w:lang w:val="en-US" w:eastAsia="zh-CN"/>
        </w:rPr>
        <w:t>............................................................................................7</w:t>
      </w:r>
    </w:p>
    <w:p w14:paraId="3ACB862F">
      <w:pPr>
        <w:pStyle w:val="4"/>
        <w:keepNext w:val="0"/>
        <w:keepLines w:val="0"/>
        <w:widowControl/>
        <w:suppressLineNumbers w:val="0"/>
        <w:spacing w:line="480" w:lineRule="auto"/>
        <w:jc w:val="both"/>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2.2 Collaborative Logic: The Rhythm Mismatch Between “Relationship-First” and “Task-First” Approaches</w:t>
      </w:r>
      <w:r>
        <w:rPr>
          <w:rFonts w:hint="eastAsia" w:ascii="Times New Roman" w:hAnsi="Times New Roman" w:cs="Times New Roman"/>
          <w:sz w:val="24"/>
          <w:szCs w:val="24"/>
          <w:lang w:val="en-US" w:eastAsia="zh-CN"/>
        </w:rPr>
        <w:t>...........................................................................................8</w:t>
      </w:r>
    </w:p>
    <w:p w14:paraId="248A9E6B">
      <w:pPr>
        <w:pStyle w:val="4"/>
        <w:keepNext w:val="0"/>
        <w:keepLines w:val="0"/>
        <w:widowControl/>
        <w:suppressLineNumbers w:val="0"/>
        <w:spacing w:line="480" w:lineRule="auto"/>
        <w:jc w:val="both"/>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2.3 Silent Interpretations: Cognitive Discrepancies Between “Thinking Space” and “Communication Barriers”</w:t>
      </w:r>
      <w:r>
        <w:rPr>
          <w:rFonts w:hint="eastAsia" w:ascii="Times New Roman" w:hAnsi="Times New Roman" w:cs="Times New Roman"/>
          <w:sz w:val="24"/>
          <w:szCs w:val="24"/>
          <w:lang w:val="en-US" w:eastAsia="zh-CN"/>
        </w:rPr>
        <w:t>........................................................................................9</w:t>
      </w:r>
    </w:p>
    <w:p w14:paraId="43250692">
      <w:pPr>
        <w:pStyle w:val="4"/>
        <w:keepNext w:val="0"/>
        <w:keepLines w:val="0"/>
        <w:widowControl/>
        <w:suppressLineNumbers w:val="0"/>
        <w:spacing w:line="480" w:lineRule="auto"/>
        <w:jc w:val="both"/>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3.0 Contextual Conflict Mitigation Strategies for UK Cross-Cultural Teams</w:t>
      </w:r>
      <w:r>
        <w:rPr>
          <w:rFonts w:hint="eastAsia" w:ascii="Times New Roman" w:hAnsi="Times New Roman" w:cs="Times New Roman"/>
          <w:sz w:val="24"/>
          <w:szCs w:val="24"/>
          <w:lang w:val="en-US" w:eastAsia="zh-CN"/>
        </w:rPr>
        <w:t>..........10</w:t>
      </w:r>
    </w:p>
    <w:p w14:paraId="1F3590C8">
      <w:pPr>
        <w:pStyle w:val="4"/>
        <w:keepNext w:val="0"/>
        <w:keepLines w:val="0"/>
        <w:widowControl/>
        <w:suppressLineNumbers w:val="0"/>
        <w:spacing w:line="480" w:lineRule="auto"/>
        <w:jc w:val="both"/>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3.1 Proactive Cultural Training: Establishing</w:t>
      </w:r>
      <w:r>
        <w:rPr>
          <w:rFonts w:hint="eastAsia" w:ascii="Times New Roman" w:hAnsi="Times New Roman" w:cs="Times New Roman"/>
          <w:sz w:val="24"/>
          <w:szCs w:val="24"/>
          <w:lang w:val="en-US" w:eastAsia="zh-CN"/>
        </w:rPr>
        <w:t>............................................................10</w:t>
      </w:r>
    </w:p>
    <w:p w14:paraId="38306EC2">
      <w:pPr>
        <w:pStyle w:val="4"/>
        <w:keepNext w:val="0"/>
        <w:keepLines w:val="0"/>
        <w:widowControl/>
        <w:suppressLineNumbers w:val="0"/>
        <w:spacing w:line="480" w:lineRule="auto"/>
        <w:jc w:val="both"/>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3.2 Standardized Communication Tools</w:t>
      </w:r>
      <w:r>
        <w:rPr>
          <w:rFonts w:hint="eastAsia" w:ascii="Times New Roman" w:hAnsi="Times New Roman" w:cs="Times New Roman"/>
          <w:sz w:val="24"/>
          <w:szCs w:val="24"/>
          <w:lang w:val="en-US" w:eastAsia="zh-CN"/>
        </w:rPr>
        <w:t>....................................................................11</w:t>
      </w:r>
    </w:p>
    <w:p w14:paraId="2F2205E1">
      <w:pPr>
        <w:pStyle w:val="4"/>
        <w:keepNext w:val="0"/>
        <w:keepLines w:val="0"/>
        <w:widowControl/>
        <w:suppressLineNumbers w:val="0"/>
        <w:spacing w:line="480" w:lineRule="auto"/>
        <w:jc w:val="both"/>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3.3 Proactive Confirmation Mechanism</w:t>
      </w:r>
      <w:r>
        <w:rPr>
          <w:rFonts w:hint="eastAsia" w:ascii="Times New Roman" w:hAnsi="Times New Roman" w:cs="Times New Roman"/>
          <w:sz w:val="24"/>
          <w:szCs w:val="24"/>
          <w:lang w:val="en-US" w:eastAsia="zh-CN"/>
        </w:rPr>
        <w:t>.....................................................................12</w:t>
      </w:r>
    </w:p>
    <w:p w14:paraId="1259F709">
      <w:pPr>
        <w:pStyle w:val="4"/>
        <w:keepNext w:val="0"/>
        <w:keepLines w:val="0"/>
        <w:widowControl/>
        <w:suppressLineNumbers w:val="0"/>
        <w:spacing w:line="480" w:lineRule="auto"/>
        <w:jc w:val="both"/>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4.0 Recommendations</w:t>
      </w:r>
      <w:r>
        <w:rPr>
          <w:rFonts w:hint="eastAsia" w:ascii="Times New Roman" w:hAnsi="Times New Roman" w:cs="Times New Roman"/>
          <w:sz w:val="24"/>
          <w:szCs w:val="24"/>
          <w:lang w:val="en-US" w:eastAsia="zh-CN"/>
        </w:rPr>
        <w:t>.................................................................................................14</w:t>
      </w:r>
    </w:p>
    <w:p w14:paraId="33A0878C">
      <w:pPr>
        <w:pStyle w:val="4"/>
        <w:keepNext w:val="0"/>
        <w:keepLines w:val="0"/>
        <w:widowControl/>
        <w:suppressLineNumbers w:val="0"/>
        <w:spacing w:line="480" w:lineRule="auto"/>
        <w:jc w:val="both"/>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5.0 Conclusion</w:t>
      </w:r>
      <w:r>
        <w:rPr>
          <w:rFonts w:hint="eastAsia" w:ascii="Times New Roman" w:hAnsi="Times New Roman" w:cs="Times New Roman"/>
          <w:sz w:val="24"/>
          <w:szCs w:val="24"/>
          <w:lang w:val="en-US" w:eastAsia="zh-CN"/>
        </w:rPr>
        <w:t>.............................................................................................................15</w:t>
      </w:r>
    </w:p>
    <w:p w14:paraId="253A7ADA">
      <w:pPr>
        <w:pStyle w:val="4"/>
        <w:keepNext w:val="0"/>
        <w:keepLines w:val="0"/>
        <w:widowControl/>
        <w:suppressLineNumbers w:val="0"/>
        <w:spacing w:line="48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6.0 Reference...............................................................................................................16</w:t>
      </w:r>
    </w:p>
    <w:p w14:paraId="262A3C25">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1.0 Introduction: The Current State of Cross-Cultural Teams in UK Multinational Enterprises</w:t>
      </w:r>
    </w:p>
    <w:p w14:paraId="3C56E565">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Against the backdrop of globalization, the UK has emerged as a key hub for European multinational enterprises, leveraging its open business environment and talent policies. According to the UK Multinational Enterprise Cultural Diversity Report 2022 published by the Department for Business, Energy and Industrial Strategy (BEIS, 2022), between 2021 and 2022, cross-cultural teams (comprising members from three or more countries/regions) accounted for 41% of companies in the City of London, East London Tech City, and Manchester Digital Economy Zone. Among these teams, 63% experienced project delays exceeding three days due to “inefficient communication,” while 27% of teams incurred direct economic losses (such as project rework or client attrition) due to misunderstandings stemming from cultural differences.</w:t>
      </w:r>
    </w:p>
    <w:p w14:paraId="6C8EBE22">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Consider the Southeast Asian product development team at a London-based multinational FMCG company: the team comprised Raj, an Indian product manager; Lucy, a British packaging designer; and Az, a Malaysian marketing specialist. During a discussion about snack packaging design for the Malaysian market, Raj reviewed Lucy's initial draft and remarked: “This color scheme is a bit too vibrant; we might need something more subdued.” Lucy interpreted this as a request to “adjust the saturation,” simply replacing the bright red with a lighter shade and resubmitting. However, Raji actually meant that “Malaysian consumers associate overly vivid packaging with ‘unhealthy’ products, so we should use earthy tones like brown or beige that evoke natural ingredients.” This “semantic deviation” is not an isolated case but a classic manifestation of “contextual differences” within cross-cultural teams at British multinational corporations (British Council, 2023).</w:t>
      </w:r>
    </w:p>
    <w:p w14:paraId="664D7F3D">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American anthropologist Edward T. Hall's 1976 “High-Context and Low-Context Culture Model” provides a core theoretical explanation for such conflicts: Members from different cultural backgrounds exhibit fundamental differences in their reliance on “context (including nonverbal cues, implied information, and cultural consensus)” during communication, directly impacting the accuracy and efficiency of information transmission. Therefore, analyzing the specific manifestations, root causes of conflict, and optimization strategies for high/low-context cultures within UK cross-cultural teams holds significant practical importance for enhancing the team effectiveness of UK multinational corporations.</w:t>
      </w:r>
    </w:p>
    <w:p w14:paraId="46F42765">
      <w:pPr>
        <w:pStyle w:val="4"/>
        <w:keepNext w:val="0"/>
        <w:keepLines w:val="0"/>
        <w:widowControl/>
        <w:suppressLineNumbers w:val="0"/>
        <w:spacing w:line="480" w:lineRule="auto"/>
        <w:jc w:val="both"/>
        <w:rPr>
          <w:rFonts w:hint="default" w:ascii="Times New Roman" w:hAnsi="Times New Roman" w:cs="Times New Roman"/>
          <w:sz w:val="24"/>
          <w:szCs w:val="24"/>
        </w:rPr>
      </w:pPr>
    </w:p>
    <w:p w14:paraId="155AAC03">
      <w:pPr>
        <w:spacing w:line="480" w:lineRule="auto"/>
        <w:jc w:val="both"/>
        <w:rPr>
          <w:rFonts w:hint="default" w:ascii="Times New Roman" w:hAnsi="Times New Roman" w:cs="Times New Roman"/>
          <w:sz w:val="24"/>
          <w:szCs w:val="24"/>
        </w:rPr>
      </w:pPr>
    </w:p>
    <w:p w14:paraId="307EA105">
      <w:pPr>
        <w:spacing w:line="480" w:lineRule="auto"/>
        <w:jc w:val="both"/>
        <w:rPr>
          <w:rFonts w:hint="default" w:ascii="Times New Roman" w:hAnsi="Times New Roman" w:cs="Times New Roman"/>
          <w:sz w:val="24"/>
          <w:szCs w:val="24"/>
        </w:rPr>
      </w:pPr>
    </w:p>
    <w:p w14:paraId="350C7EDF">
      <w:pPr>
        <w:spacing w:line="480" w:lineRule="auto"/>
        <w:jc w:val="both"/>
        <w:rPr>
          <w:rFonts w:hint="default" w:ascii="Times New Roman" w:hAnsi="Times New Roman" w:cs="Times New Roman"/>
          <w:sz w:val="24"/>
          <w:szCs w:val="24"/>
        </w:rPr>
      </w:pPr>
    </w:p>
    <w:p w14:paraId="0A6F597E">
      <w:pPr>
        <w:spacing w:line="480" w:lineRule="auto"/>
        <w:jc w:val="both"/>
        <w:rPr>
          <w:rFonts w:hint="default" w:ascii="Times New Roman" w:hAnsi="Times New Roman" w:cs="Times New Roman"/>
          <w:sz w:val="24"/>
          <w:szCs w:val="24"/>
        </w:rPr>
      </w:pPr>
    </w:p>
    <w:p w14:paraId="28BD5EB5">
      <w:pPr>
        <w:spacing w:line="480" w:lineRule="auto"/>
        <w:jc w:val="both"/>
        <w:rPr>
          <w:rFonts w:hint="default" w:ascii="Times New Roman" w:hAnsi="Times New Roman" w:cs="Times New Roman"/>
          <w:sz w:val="24"/>
          <w:szCs w:val="24"/>
        </w:rPr>
      </w:pPr>
    </w:p>
    <w:p w14:paraId="47D8105A">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2.0 Manifestations of Conflict in British Cross-Cultural Teams Between High- and Low-Context Cultures</w:t>
      </w:r>
    </w:p>
    <w:p w14:paraId="22CBE1D6">
      <w:pPr>
        <w:pStyle w:val="4"/>
        <w:keepNext w:val="0"/>
        <w:keepLines w:val="0"/>
        <w:widowControl/>
        <w:suppressLineNumbers w:val="0"/>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rPr>
        <w:t>Hall categorizes cultures into “high-context cultures” and “low-context cultures”: High-context cultures (such as China, India, Japan, and Malaysia) rely on implicit information, nonverbal cues, and cultural consensus in communication, with core meanings often “embedded within the context”; while communication in low-context cultures (e.g., the UK, US, Australia) relies on explicit verbal expressions, with core meanings directly “expressed in the literal words” (Hall, 1976). Within UK multinational corporations, interactions between members of these two cultural types frequently manifest in three typical conflict patterns</w:t>
      </w:r>
      <w:r>
        <w:rPr>
          <w:rFonts w:hint="eastAsia" w:ascii="Times New Roman" w:hAnsi="Times New Roman" w:cs="Times New Roman"/>
          <w:sz w:val="24"/>
          <w:szCs w:val="24"/>
          <w:lang w:val="en-US" w:eastAsia="zh-CN"/>
        </w:rPr>
        <w:t>.</w:t>
      </w:r>
    </w:p>
    <w:p w14:paraId="3F39763C">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2.1 Communication Expression: Semantic Discrepancies Between “Indirect Hints” and “Direct Statements”</w:t>
      </w:r>
    </w:p>
    <w:p w14:paraId="086361E0">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A case study from a British multinational advertising agency (serving Southeast Asian markets) vividly illustrates the practical impact of this discrepancy: In 2023, during the planning of a summer marketing campaign for a Thai beverage brand, Thai copywriter Nara provided feedback stating, “This slogan is creative, but it might not align well with the everyday expression habits of Thai youth.” British Creative Director Tom interpreted this as a “minor stylistic suggestion,” adjusting only the word order of a few phrases before submitting the final draft. Ultimately, the campaign achieved only 40% of its anticipated social media reach in Thailand. Post-campaign research revealed Thai users perceived the slogan as “too formal and lacking relatability.” Nara later explained: “In Thai culture, ‘might not quite fit’ is actually a polite way of saying ‘needs a complete rewrite.’ I didn't want to outright reject his work.” (LSE, 2024)</w:t>
      </w:r>
    </w:p>
    <w:p w14:paraId="7372B1AD">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Research by the British Council (2023) further confirms this issue: in British workplaces, employees from high-context backgrounds experience 39% more misunderstandings due to “indirect communication” than those from low-context backgrounds. Among these, 72% of misunderstandings occur during “task feedback” and “requirement communication” phases.</w:t>
      </w:r>
    </w:p>
    <w:p w14:paraId="6C148D0D">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2.2 Collaborative Logic: The Rhythm Mismatch Between “Relationship-First” and “Task-First” Approaches</w:t>
      </w:r>
    </w:p>
    <w:p w14:paraId="72DA230D">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Within the cross-cultural sales team of a London-based fintech company, Pakistani account manager Karim followed this workflow: Before collaborating with new colleagues, he would arrange 2-3 coffee meetings to discuss everyday topics like family and hobbies, building trust before advancing client resource introductions. Meanwhile, British sales specialist Jack believed “directly discussing client lists and assigning tasks is more efficient,” repeatedly declining coffee invitations under the pretext of “urgent work.” Their initial collaboration proved highly inefficient—Karim felt “Jack disrespected him and was untrustworthy,” while Jack deemed “Karim wasteful and unprofessional” (University of Manchester, 2024).</w:t>
      </w:r>
    </w:p>
    <w:p w14:paraId="76F55070">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This conflict reflects the divergence between “relationship-oriented cultures” and “rule-oriented cultures” (Hooker, 2018): In high-context cultures, “building interpersonal trust” is a prerequisite for advancing work, with members believing “smooth relationships lead to smooth tasks.” Conversely, in low-context cultures, “achieving task objectives” is the core priority, where members focus more on “processes, rules, and efficiency.” Statistics from the Federation of Small Businesses (FSB, 2024) indicate that conflicts arising from “mismatched collaboration rhythms” account for 28% of internal disputes within cross-cultural teams.</w:t>
      </w:r>
    </w:p>
    <w:p w14:paraId="4CD50DC1">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2.3 Silent Interpretations: Cognitive Discrepancies Between “Thinking Space” and “Communication Barriers”</w:t>
      </w:r>
    </w:p>
    <w:p w14:paraId="36637C42">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This divergence was highlighted during a clinical trial protocol discussion in a cross-cultural R&amp;D team at a UK pharmaceutical company. When the British project lead proposed “increasing the trial sample size by 50%,” Japanese researcher Sato remained silent, reviewing documents. After repeated prompts—“Sato, what are your thoughts on this proposal?”— Sato reluctantly replied, “I think it's acceptable.” After the meeting, Sato privately told Chinese colleagues: “Increasing the sample size would prolong the trial timeline, potentially missing the market window. But directly opposing the lead in the meeting would embarrass him, so I used silence to express hesitation.” The lead, however, interpreted Sato's silence as tacit agreement with no objections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(University of Glasgow, 2024).</w:t>
      </w:r>
    </w:p>
    <w:p w14:paraId="732DC55E">
      <w:pPr>
        <w:pStyle w:val="4"/>
        <w:keepNext w:val="0"/>
        <w:keepLines w:val="0"/>
        <w:widowControl/>
        <w:suppressLineNumbers w:val="0"/>
        <w:spacing w:line="480" w:lineRule="auto"/>
        <w:jc w:val="both"/>
        <w:rPr>
          <w:rFonts w:hint="default" w:ascii="Times New Roman" w:hAnsi="Times New Roman" w:cs="Times New Roman"/>
          <w:sz w:val="24"/>
          <w:szCs w:val="24"/>
        </w:rPr>
      </w:pPr>
    </w:p>
    <w:p w14:paraId="44CC8B11">
      <w:pPr>
        <w:pStyle w:val="4"/>
        <w:keepNext w:val="0"/>
        <w:keepLines w:val="0"/>
        <w:widowControl/>
        <w:suppressLineNumbers w:val="0"/>
        <w:spacing w:line="480" w:lineRule="auto"/>
        <w:jc w:val="both"/>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In his paper “Silent Communication in British Workplaces,” Korean scholar Nam (2025) noted: In high-context cultures, silence is “an integral part of communication,” conveying complex attitudes like agreement, hesitation, or opposition. Members perceive “appropriate silence as a sign of respect and thoughtful consideration”; In low-context cultures, however, silence is perceived as an “interruption in communication.” Members interpret it as “no opinion, disinterest, or inability to participate,” necessitating immediate intervention to advance discussions. This cognitive divergence often leads to decisions in cross-cultural teams that “appear to reach consensus while harboring latent dissent.”</w:t>
      </w:r>
    </w:p>
    <w:p w14:paraId="5D230FEA">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3.0 Contextual Conflict Mitigation Strategies for UK Cross-Cultural Teams</w:t>
      </w:r>
    </w:p>
    <w:p w14:paraId="71EFBE41">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Based on practical cases from UK-based enterprises and applying Hall's model, cross-cultural teams can mitigate contextual conflicts and enhance collaboration efficiency through the following three actionable strategies:</w:t>
      </w:r>
    </w:p>
    <w:p w14:paraId="71C8466B">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3.1 Proactive Cultural Training: Establishing “Contextual Awareness Consensus”</w:t>
      </w:r>
    </w:p>
    <w:p w14:paraId="4C68DC7D">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UK retail giant Tesco launched its “Contextual Communication Workshop” program in 2022 for its global procurement cross-cultural teams: Upon each new team formation, cultural studies experts from SOAS University of London conduct a 2-hour training session covering core topics like “Key Characteristics of High/Low Context Cultures” and “Cultural Communication Cues” (e.g., “Let's talk next time” may signal a polite conversation closure in Chinese culture; while “With all due respect” in British culture often precedes direct opposition). The program also featured “simulated communication” exercises where high-context members conveyed requests using “indirect expressions,” low-context members attempted to interpret the core meaning, and participants then corrected each other's misinterpretations.</w:t>
      </w:r>
    </w:p>
    <w:p w14:paraId="1814F734">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Tesco HR data revealed that teams participating in this workshop experienced a 52% reduction in communication misunderstandings and a 27% increase in project efficiency compared to non-participating teams (CIPD, 2023). Jenifer &amp; Raman (2022) further confirmed that such “targeted cultural training” serves as a foundational strategy for resolving cross-cultural communication conflicts, yielding 34% greater effectiveness than “generic team-building” approaches.</w:t>
      </w:r>
    </w:p>
    <w:p w14:paraId="5A3F3C81">
      <w:pPr>
        <w:pStyle w:val="4"/>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3.2 Standardized Communication Tools: Making Implicit Information Explicit</w:t>
      </w:r>
    </w:p>
    <w:p w14:paraId="164C97A4">
      <w:pPr>
        <w:pStyle w:val="4"/>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A London-based B2B tech company serving global manufacturing clients designed a “3-Dimensional Communication Template” to address ambiguities in cross-cultural communication. All members must include three core modules when conveying task requirements or providing work feedback: 1. Core Message: Clearly state the stance in one sentence (e.g., “The core logic of the proposal needs restructuring”). 2. Specific Recommendations: List actionable adjustment directions (e.g., “Add use case examples for Southeast Asian users”). Third, priority and deadline, specifying urgency (e.g., “Priority: High, complete within 3 days”).</w:t>
      </w:r>
    </w:p>
    <w:p w14:paraId="7DA275FC">
      <w:pPr>
        <w:pStyle w:val="4"/>
        <w:keepNext w:val="0"/>
        <w:keepLines w:val="0"/>
        <w:widowControl/>
        <w:suppressLineNumbers w:val="0"/>
        <w:spacing w:line="480" w:lineRule="auto"/>
        <w:jc w:val="both"/>
        <w:rPr>
          <w:rFonts w:hint="eastAsia" w:ascii="Times New Roman" w:hAnsi="Times New Roman" w:cs="Times New Roman"/>
        </w:rPr>
      </w:pPr>
      <w:r>
        <w:rPr>
          <w:rFonts w:hint="default" w:ascii="Times New Roman" w:hAnsi="Times New Roman" w:cs="Times New Roman"/>
        </w:rPr>
        <w:t>The company's data shows that before implementing the template, cross-cultural teams had a 23% error rate in conveying requirements, which dropped to 7% afterward. For instance, the high-context expression “The report could be refined further” was standardized as: "Core Point: Insufficient data in the market analysis section of the report; Specific recommendation: Add 2023 Malaysian industry research data; Priority: Medium, Deadline: Before end of business this Friday." This formal, structured communication approach reduces ambiguity inherent in high-context expressions while aligning with low-context cultures' preference for clarity (University of Birmingham, 2022).</w:t>
      </w:r>
    </w:p>
    <w:p w14:paraId="413176D0">
      <w:pPr>
        <w:pStyle w:val="4"/>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3.3 Proactive Confirmation Mechanism: Mitigating Hidden Risks of Implied Consensus</w:t>
      </w:r>
    </w:p>
    <w:p w14:paraId="6E1C98FB">
      <w:pPr>
        <w:pStyle w:val="4"/>
        <w:keepNext w:val="0"/>
        <w:keepLines w:val="0"/>
        <w:widowControl/>
        <w:suppressLineNumbers w:val="0"/>
        <w:spacing w:line="480" w:lineRule="auto"/>
        <w:jc w:val="both"/>
        <w:rPr>
          <w:rFonts w:hint="eastAsia" w:ascii="Times New Roman" w:hAnsi="Times New Roman" w:cs="Times New Roman"/>
          <w:lang w:val="en-US" w:eastAsia="zh-CN"/>
        </w:rPr>
      </w:pPr>
      <w:r>
        <w:rPr>
          <w:rFonts w:hint="default" w:ascii="Times New Roman" w:hAnsi="Times New Roman" w:cs="Times New Roman"/>
        </w:rPr>
        <w:t>A UK-based multinational consulting firm serving clients across Europe and East Asia implemented a “Triple Confirmation Rule” within its cross-cultural project teams. This rule mandates three rounds of verification after conveying critical information:</w:t>
      </w:r>
      <w:r>
        <w:rPr>
          <w:rFonts w:hint="eastAsia" w:ascii="Times New Roman" w:hAnsi="Times New Roman" w:cs="Times New Roman"/>
          <w:lang w:val="en-US" w:eastAsia="zh-CN"/>
        </w:rPr>
        <w:t xml:space="preserve"> </w:t>
      </w:r>
      <w:r>
        <w:rPr>
          <w:rFonts w:hint="default" w:ascii="Times New Roman" w:hAnsi="Times New Roman" w:cs="Times New Roman"/>
        </w:rPr>
        <w:t>First</w:t>
      </w:r>
      <w:r>
        <w:rPr>
          <w:rFonts w:hint="eastAsia" w:ascii="Times New Roman" w:hAnsi="Times New Roman" w:cs="Times New Roman"/>
          <w:lang w:val="en-US" w:eastAsia="zh-CN"/>
        </w:rPr>
        <w:t>ly</w:t>
      </w:r>
      <w:r>
        <w:rPr>
          <w:rFonts w:hint="default" w:ascii="Times New Roman" w:hAnsi="Times New Roman" w:cs="Times New Roman"/>
        </w:rPr>
        <w:t>, comprehension confirmation:</w:t>
      </w:r>
      <w:r>
        <w:rPr>
          <w:rFonts w:hint="eastAsia" w:ascii="Times New Roman" w:hAnsi="Times New Roman" w:cs="Times New Roman"/>
          <w:lang w:val="en-US" w:eastAsia="zh-CN"/>
        </w:rPr>
        <w:t xml:space="preserve"> Be clear about the core meaning I</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m expressing. </w:t>
      </w:r>
      <w:r>
        <w:rPr>
          <w:rFonts w:hint="default" w:ascii="Times New Roman" w:hAnsi="Times New Roman" w:cs="Times New Roman"/>
        </w:rPr>
        <w:t>Second</w:t>
      </w:r>
      <w:r>
        <w:rPr>
          <w:rFonts w:hint="eastAsia" w:ascii="Times New Roman" w:hAnsi="Times New Roman" w:cs="Times New Roman"/>
          <w:lang w:val="en-US" w:eastAsia="zh-CN"/>
        </w:rPr>
        <w:t>ly</w:t>
      </w:r>
      <w:r>
        <w:rPr>
          <w:rFonts w:hint="default" w:ascii="Times New Roman" w:hAnsi="Times New Roman" w:cs="Times New Roman"/>
        </w:rPr>
        <w:t>, execution confirmation:</w:t>
      </w:r>
      <w:r>
        <w:rPr>
          <w:rFonts w:hint="eastAsia" w:ascii="Times New Roman" w:hAnsi="Times New Roman" w:cs="Times New Roman"/>
          <w:lang w:val="en-US" w:eastAsia="zh-CN"/>
        </w:rPr>
        <w:t xml:space="preserve"> Determine the specific implementation plan. </w:t>
      </w:r>
      <w:r>
        <w:rPr>
          <w:rFonts w:hint="default" w:ascii="Times New Roman" w:hAnsi="Times New Roman" w:cs="Times New Roman"/>
        </w:rPr>
        <w:t>Third</w:t>
      </w:r>
      <w:r>
        <w:rPr>
          <w:rFonts w:hint="eastAsia" w:ascii="Times New Roman" w:hAnsi="Times New Roman" w:cs="Times New Roman"/>
          <w:lang w:val="en-US" w:eastAsia="zh-CN"/>
        </w:rPr>
        <w:t>ly</w:t>
      </w:r>
      <w:r>
        <w:rPr>
          <w:rFonts w:hint="default" w:ascii="Times New Roman" w:hAnsi="Times New Roman" w:cs="Times New Roman"/>
        </w:rPr>
        <w:t xml:space="preserve">, consensus confirmation: </w:t>
      </w:r>
      <w:r>
        <w:rPr>
          <w:rFonts w:hint="eastAsia" w:ascii="Times New Roman" w:hAnsi="Times New Roman" w:cs="Times New Roman"/>
          <w:lang w:val="en-US" w:eastAsia="zh-CN"/>
        </w:rPr>
        <w:t>Make sure that our current consensus remains consistent.</w:t>
      </w:r>
    </w:p>
    <w:p w14:paraId="2C87460C">
      <w:pPr>
        <w:pStyle w:val="4"/>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Practical examples demonstrate this mechanism's effectiveness. After an Indian consultant stated, “The client requires more detailed service,” a British assistant sequentially confirmed: “By ‘more detailed service,’ do you mean increasing weekly communication frequency?” “My proposed action plan is to provide progress updates to the client every Tuesday and Thursday.” “Our shared understanding is to provide progress updates to this client every Tuesday and Thursday, correct?” This mechanism effectively mitigates semantic deviation risks, elevating the team's project delivery satisfaction rate from 82% to 94% (FSB, 2024).</w:t>
      </w:r>
    </w:p>
    <w:p w14:paraId="5A9B397C">
      <w:pPr>
        <w:pStyle w:val="4"/>
        <w:keepNext w:val="0"/>
        <w:keepLines w:val="0"/>
        <w:widowControl/>
        <w:suppressLineNumbers w:val="0"/>
      </w:pPr>
    </w:p>
    <w:p w14:paraId="2813F2FF">
      <w:pPr>
        <w:pStyle w:val="4"/>
        <w:keepNext w:val="0"/>
        <w:keepLines w:val="0"/>
        <w:widowControl/>
        <w:suppressLineNumbers w:val="0"/>
      </w:pPr>
    </w:p>
    <w:p w14:paraId="0B063A27">
      <w:pPr>
        <w:pStyle w:val="4"/>
        <w:keepNext w:val="0"/>
        <w:keepLines w:val="0"/>
        <w:widowControl/>
        <w:suppressLineNumbers w:val="0"/>
        <w:spacing w:line="480" w:lineRule="auto"/>
        <w:jc w:val="both"/>
        <w:rPr>
          <w:rFonts w:hint="default" w:ascii="Times New Roman" w:hAnsi="Times New Roman" w:cs="Times New Roman"/>
          <w:sz w:val="24"/>
          <w:szCs w:val="24"/>
        </w:rPr>
      </w:pPr>
    </w:p>
    <w:p w14:paraId="6629F595">
      <w:pPr>
        <w:pStyle w:val="4"/>
        <w:keepNext w:val="0"/>
        <w:keepLines w:val="0"/>
        <w:widowControl/>
        <w:suppressLineNumbers w:val="0"/>
        <w:spacing w:line="480" w:lineRule="auto"/>
        <w:jc w:val="both"/>
        <w:rPr>
          <w:rFonts w:hint="default" w:ascii="Times New Roman" w:hAnsi="Times New Roman" w:cs="Times New Roman"/>
          <w:sz w:val="24"/>
          <w:szCs w:val="24"/>
        </w:rPr>
      </w:pPr>
    </w:p>
    <w:p w14:paraId="76A09289">
      <w:pPr>
        <w:pStyle w:val="4"/>
        <w:keepNext w:val="0"/>
        <w:keepLines w:val="0"/>
        <w:widowControl/>
        <w:suppressLineNumbers w:val="0"/>
        <w:spacing w:line="480" w:lineRule="auto"/>
        <w:jc w:val="both"/>
        <w:rPr>
          <w:rFonts w:hint="default" w:ascii="Times New Roman" w:hAnsi="Times New Roman" w:cs="Times New Roman"/>
          <w:sz w:val="24"/>
          <w:szCs w:val="24"/>
        </w:rPr>
      </w:pPr>
    </w:p>
    <w:p w14:paraId="35C1512D">
      <w:pPr>
        <w:pStyle w:val="4"/>
        <w:keepNext w:val="0"/>
        <w:keepLines w:val="0"/>
        <w:widowControl/>
        <w:suppressLineNumbers w:val="0"/>
        <w:spacing w:line="480" w:lineRule="auto"/>
        <w:jc w:val="both"/>
        <w:rPr>
          <w:rFonts w:hint="default" w:ascii="Times New Roman" w:hAnsi="Times New Roman" w:cs="Times New Roman"/>
          <w:sz w:val="24"/>
          <w:szCs w:val="24"/>
        </w:rPr>
      </w:pPr>
    </w:p>
    <w:p w14:paraId="0CC90CB3">
      <w:pPr>
        <w:pStyle w:val="4"/>
        <w:keepNext w:val="0"/>
        <w:keepLines w:val="0"/>
        <w:widowControl/>
        <w:suppressLineNumbers w:val="0"/>
        <w:spacing w:line="480" w:lineRule="auto"/>
        <w:jc w:val="both"/>
        <w:rPr>
          <w:rFonts w:hint="default" w:ascii="Times New Roman" w:hAnsi="Times New Roman" w:cs="Times New Roman"/>
          <w:sz w:val="24"/>
          <w:szCs w:val="24"/>
        </w:rPr>
      </w:pPr>
    </w:p>
    <w:p w14:paraId="37118745">
      <w:pPr>
        <w:pStyle w:val="4"/>
        <w:keepNext w:val="0"/>
        <w:keepLines w:val="0"/>
        <w:widowControl/>
        <w:suppressLineNumbers w:val="0"/>
        <w:spacing w:line="480" w:lineRule="auto"/>
        <w:jc w:val="both"/>
        <w:rPr>
          <w:rFonts w:hint="default" w:ascii="Times New Roman" w:hAnsi="Times New Roman" w:cs="Times New Roman"/>
          <w:sz w:val="24"/>
          <w:szCs w:val="24"/>
        </w:rPr>
      </w:pPr>
    </w:p>
    <w:p w14:paraId="740A9D3D">
      <w:pPr>
        <w:pStyle w:val="4"/>
        <w:keepNext w:val="0"/>
        <w:keepLines w:val="0"/>
        <w:widowControl/>
        <w:suppressLineNumbers w:val="0"/>
        <w:spacing w:line="480" w:lineRule="auto"/>
        <w:jc w:val="both"/>
        <w:rPr>
          <w:rFonts w:hint="default" w:ascii="Times New Roman" w:hAnsi="Times New Roman" w:cs="Times New Roman"/>
          <w:sz w:val="24"/>
          <w:szCs w:val="24"/>
        </w:rPr>
      </w:pPr>
    </w:p>
    <w:p w14:paraId="103D5D56">
      <w:pPr>
        <w:pStyle w:val="4"/>
        <w:keepNext w:val="0"/>
        <w:keepLines w:val="0"/>
        <w:widowControl/>
        <w:suppressLineNumbers w:val="0"/>
        <w:spacing w:line="480" w:lineRule="auto"/>
        <w:jc w:val="both"/>
        <w:rPr>
          <w:rFonts w:hint="default" w:ascii="Times New Roman" w:hAnsi="Times New Roman" w:cs="Times New Roman"/>
          <w:sz w:val="24"/>
          <w:szCs w:val="24"/>
        </w:rPr>
      </w:pPr>
    </w:p>
    <w:p w14:paraId="1FF05A14">
      <w:pPr>
        <w:pStyle w:val="4"/>
        <w:keepNext w:val="0"/>
        <w:keepLines w:val="0"/>
        <w:widowControl/>
        <w:suppressLineNumbers w:val="0"/>
        <w:spacing w:line="480" w:lineRule="auto"/>
        <w:jc w:val="both"/>
        <w:rPr>
          <w:rFonts w:hint="default" w:ascii="Times New Roman" w:hAnsi="Times New Roman" w:cs="Times New Roman"/>
          <w:sz w:val="24"/>
          <w:szCs w:val="24"/>
        </w:rPr>
      </w:pPr>
    </w:p>
    <w:p w14:paraId="749FB57A">
      <w:pPr>
        <w:pStyle w:val="4"/>
        <w:keepNext w:val="0"/>
        <w:keepLines w:val="0"/>
        <w:widowControl/>
        <w:suppressLineNumbers w:val="0"/>
        <w:spacing w:line="480" w:lineRule="auto"/>
        <w:jc w:val="both"/>
        <w:rPr>
          <w:rFonts w:hint="default" w:ascii="Times New Roman" w:hAnsi="Times New Roman" w:cs="Times New Roman"/>
          <w:sz w:val="24"/>
          <w:szCs w:val="24"/>
        </w:rPr>
      </w:pPr>
      <w:bookmarkStart w:id="0" w:name="_GoBack"/>
      <w:bookmarkEnd w:id="0"/>
    </w:p>
    <w:p w14:paraId="4A679DF0">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4.0 Recommendations: Limitations and Flexible Application of Cultural Models</w:t>
      </w:r>
    </w:p>
    <w:p w14:paraId="6FD928C0">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It is important to note that Hall's high/low-context model represents “common characteristics of cultural groups,” not “absolute labels for individuals.” In real-world workplaces, individual communication styles are influenced by factors such as “cultural adaptation level” and “personal temperament.” For instance, Chinese employees who have lived in the UK for over seven years may adopt a more “low-context” communication style, directly expressing dissent. Conversely, some British employees, after prolonged collaboration with members of high-context cultures, may also develop a habit of conveying negative feedback through “indirect expressions” (University of Liverpool, 2024).</w:t>
      </w:r>
    </w:p>
    <w:p w14:paraId="00751B68">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London School of Economics (2024) emphasizes in its Cross-Cultural Team Management Report for Multinational Corporations that cultural models serve as “tools for understanding differences,” not “bases for labeling individuals.” Managers in British multinational corporations should avoid stereotypes—such as assuming “all Chinese employees are indirect” or “all British employees are direct.” Instead, they should understand each member's actual communication habits through “preliminary communication preference surveys” and “daily interaction observations,” then tailor collaboration methods accordingly.</w:t>
      </w:r>
    </w:p>
    <w:p w14:paraId="739A5E01">
      <w:pPr>
        <w:pStyle w:val="4"/>
        <w:keepNext w:val="0"/>
        <w:keepLines w:val="0"/>
        <w:widowControl/>
        <w:suppressLineNumbers w:val="0"/>
        <w:spacing w:line="480" w:lineRule="auto"/>
        <w:jc w:val="both"/>
        <w:rPr>
          <w:rFonts w:hint="default" w:ascii="Times New Roman" w:hAnsi="Times New Roman" w:cs="Times New Roman"/>
          <w:sz w:val="24"/>
          <w:szCs w:val="24"/>
        </w:rPr>
      </w:pPr>
    </w:p>
    <w:p w14:paraId="75A78FEE">
      <w:pPr>
        <w:pStyle w:val="4"/>
        <w:keepNext w:val="0"/>
        <w:keepLines w:val="0"/>
        <w:widowControl/>
        <w:suppressLineNumbers w:val="0"/>
        <w:spacing w:line="480" w:lineRule="auto"/>
        <w:jc w:val="both"/>
        <w:rPr>
          <w:rFonts w:hint="default" w:ascii="Times New Roman" w:hAnsi="Times New Roman" w:cs="Times New Roman"/>
          <w:sz w:val="24"/>
          <w:szCs w:val="24"/>
        </w:rPr>
      </w:pPr>
    </w:p>
    <w:p w14:paraId="230A7A40">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5.0 Conclusion</w:t>
      </w:r>
    </w:p>
    <w:p w14:paraId="1B9ECF29">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Within cross-cultural teams of British multinational corporations, differences between high-context and low-context cultures represent one of the core sources of communication conflicts. However, these differences are not “irreconcilable contradictions”—they are fundamentally “differences in communication logic” between cultures, not “differences between right and wrong.” Through strategies such as establishing contextual awareness via preemptive cultural training, standardizing communication tools to translate implicit information, and implementing proactive confirmation mechanisms to avoid default assumptions, teams can transform “contextual differences” into collaborative strengths: High-context members' “indirect expression” and “relationship-oriented mindset” can enhance client retention and internal cohesion, while low-context members' “direct communication” and “task-oriented approach” can boost decision-making efficiency and clarify execution direction.</w:t>
      </w:r>
    </w:p>
    <w:p w14:paraId="7706899F">
      <w:pPr>
        <w:pStyle w:val="4"/>
        <w:keepNext w:val="0"/>
        <w:keepLines w:val="0"/>
        <w:widowControl/>
        <w:suppressLineNumbers w:val="0"/>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A 2022 report by the UK Department for Business reveals that cross-cultural teams effectively managing contextual differences demonstrate 28% higher innovation capacity (measured by new market ideas) and 32% faster market adaptability (measured by time to enter new regional markets) compared to monocultural teams. Therefore, understanding and flexibly applying the characteristics of high- and low-context cultures is not only key to resolving cross-cultural communication conflicts but also a core pathway for UK multinationals to enhance global competitiveness. Looking ahead, as cultural diversity in the UK workplace continues to grow, management strategies addressing “contextual differences” must be continuously refined to achieve more precise implementation tailored to each company's specific business context.</w:t>
      </w:r>
    </w:p>
    <w:p w14:paraId="3A38BD13">
      <w:pPr>
        <w:pStyle w:val="4"/>
        <w:keepNext w:val="0"/>
        <w:keepLines w:val="0"/>
        <w:widowControl/>
        <w:suppressLineNumbers w:val="0"/>
        <w:spacing w:line="480" w:lineRule="auto"/>
        <w:jc w:val="both"/>
        <w:rPr>
          <w:rFonts w:hint="default" w:ascii="Times New Roman" w:hAnsi="Times New Roman" w:cs="Times New Roman"/>
          <w:sz w:val="24"/>
          <w:szCs w:val="24"/>
        </w:rPr>
      </w:pPr>
    </w:p>
    <w:p w14:paraId="2DD090EC">
      <w:pPr>
        <w:pStyle w:val="4"/>
        <w:keepNext w:val="0"/>
        <w:keepLines w:val="0"/>
        <w:widowControl/>
        <w:suppressLineNumbers w:val="0"/>
        <w:spacing w:line="480" w:lineRule="auto"/>
        <w:jc w:val="both"/>
        <w:rPr>
          <w:rFonts w:hint="default" w:ascii="Times New Roman" w:hAnsi="Times New Roman" w:cs="Times New Roman"/>
          <w:sz w:val="24"/>
          <w:szCs w:val="24"/>
        </w:rPr>
      </w:pPr>
    </w:p>
    <w:p w14:paraId="34286365">
      <w:pPr>
        <w:spacing w:line="480" w:lineRule="auto"/>
        <w:jc w:val="both"/>
        <w:rPr>
          <w:rFonts w:hint="default" w:ascii="Times New Roman" w:hAnsi="Times New Roman" w:cs="Times New Roman"/>
          <w:sz w:val="24"/>
          <w:szCs w:val="24"/>
        </w:rPr>
      </w:pPr>
    </w:p>
    <w:p w14:paraId="0AF9CB4F">
      <w:pPr>
        <w:spacing w:line="480" w:lineRule="auto"/>
        <w:jc w:val="both"/>
        <w:rPr>
          <w:rFonts w:hint="default" w:ascii="Times New Roman" w:hAnsi="Times New Roman" w:cs="Times New Roman"/>
          <w:sz w:val="24"/>
          <w:szCs w:val="24"/>
          <w:lang w:val="en-US" w:eastAsia="zh-CN"/>
        </w:rPr>
      </w:pPr>
    </w:p>
    <w:p w14:paraId="674A4135">
      <w:pPr>
        <w:spacing w:line="480" w:lineRule="auto"/>
        <w:jc w:val="both"/>
        <w:rPr>
          <w:rFonts w:hint="default" w:ascii="Times New Roman" w:hAnsi="Times New Roman" w:cs="Times New Roman"/>
          <w:sz w:val="24"/>
          <w:szCs w:val="24"/>
          <w:lang w:val="en-US" w:eastAsia="zh-CN"/>
        </w:rPr>
      </w:pPr>
    </w:p>
    <w:p w14:paraId="2F67AEFB">
      <w:pPr>
        <w:spacing w:line="480" w:lineRule="auto"/>
        <w:jc w:val="both"/>
        <w:rPr>
          <w:rFonts w:hint="default" w:ascii="Times New Roman" w:hAnsi="Times New Roman" w:cs="Times New Roman"/>
          <w:sz w:val="24"/>
          <w:szCs w:val="24"/>
          <w:lang w:val="en-US" w:eastAsia="zh-CN"/>
        </w:rPr>
      </w:pPr>
    </w:p>
    <w:p w14:paraId="7EB32B2A">
      <w:pPr>
        <w:spacing w:line="480" w:lineRule="auto"/>
        <w:jc w:val="both"/>
        <w:rPr>
          <w:rFonts w:hint="default" w:ascii="Times New Roman" w:hAnsi="Times New Roman" w:cs="Times New Roman"/>
          <w:sz w:val="24"/>
          <w:szCs w:val="24"/>
          <w:lang w:val="en-US" w:eastAsia="zh-CN"/>
        </w:rPr>
      </w:pPr>
    </w:p>
    <w:p w14:paraId="02403FD9">
      <w:pPr>
        <w:spacing w:line="480" w:lineRule="auto"/>
        <w:jc w:val="both"/>
        <w:rPr>
          <w:rFonts w:hint="default" w:ascii="Times New Roman" w:hAnsi="Times New Roman" w:cs="Times New Roman"/>
          <w:sz w:val="24"/>
          <w:szCs w:val="24"/>
          <w:lang w:val="en-US" w:eastAsia="zh-CN"/>
        </w:rPr>
      </w:pPr>
    </w:p>
    <w:p w14:paraId="1FBF2481">
      <w:pPr>
        <w:spacing w:line="480" w:lineRule="auto"/>
        <w:jc w:val="both"/>
        <w:rPr>
          <w:rFonts w:hint="default" w:ascii="Times New Roman" w:hAnsi="Times New Roman" w:cs="Times New Roman"/>
          <w:sz w:val="24"/>
          <w:szCs w:val="24"/>
          <w:lang w:val="en-US" w:eastAsia="zh-CN"/>
        </w:rPr>
      </w:pPr>
    </w:p>
    <w:p w14:paraId="343FE18A">
      <w:pPr>
        <w:spacing w:line="480" w:lineRule="auto"/>
        <w:jc w:val="both"/>
        <w:rPr>
          <w:rFonts w:hint="default" w:ascii="Times New Roman" w:hAnsi="Times New Roman" w:cs="Times New Roman"/>
          <w:sz w:val="24"/>
          <w:szCs w:val="24"/>
          <w:lang w:val="en-US" w:eastAsia="zh-CN"/>
        </w:rPr>
      </w:pPr>
    </w:p>
    <w:p w14:paraId="3865D27D">
      <w:pPr>
        <w:spacing w:line="480" w:lineRule="auto"/>
        <w:jc w:val="both"/>
        <w:rPr>
          <w:rFonts w:hint="default" w:ascii="Times New Roman" w:hAnsi="Times New Roman" w:cs="Times New Roman"/>
          <w:sz w:val="24"/>
          <w:szCs w:val="24"/>
          <w:lang w:val="en-US" w:eastAsia="zh-CN"/>
        </w:rPr>
      </w:pPr>
    </w:p>
    <w:p w14:paraId="79D3EA04">
      <w:pPr>
        <w:spacing w:line="480" w:lineRule="auto"/>
        <w:jc w:val="both"/>
        <w:rPr>
          <w:rFonts w:hint="default" w:ascii="Times New Roman" w:hAnsi="Times New Roman" w:cs="Times New Roman"/>
          <w:sz w:val="24"/>
          <w:szCs w:val="24"/>
          <w:lang w:val="en-US" w:eastAsia="zh-CN"/>
        </w:rPr>
      </w:pPr>
    </w:p>
    <w:p w14:paraId="0BF77288">
      <w:pPr>
        <w:spacing w:line="480" w:lineRule="auto"/>
        <w:jc w:val="both"/>
        <w:rPr>
          <w:rFonts w:hint="default" w:ascii="Times New Roman" w:hAnsi="Times New Roman" w:cs="Times New Roman"/>
          <w:sz w:val="24"/>
          <w:szCs w:val="24"/>
          <w:lang w:val="en-US" w:eastAsia="zh-CN"/>
        </w:rPr>
      </w:pPr>
    </w:p>
    <w:p w14:paraId="7D08E033">
      <w:pPr>
        <w:spacing w:line="480" w:lineRule="auto"/>
        <w:jc w:val="both"/>
        <w:rPr>
          <w:rFonts w:hint="default" w:ascii="Times New Roman" w:hAnsi="Times New Roman" w:cs="Times New Roman"/>
          <w:sz w:val="24"/>
          <w:szCs w:val="24"/>
          <w:lang w:val="en-US" w:eastAsia="zh-CN"/>
        </w:rPr>
      </w:pPr>
    </w:p>
    <w:p w14:paraId="5DE28A3E">
      <w:pPr>
        <w:spacing w:line="480" w:lineRule="auto"/>
        <w:jc w:val="both"/>
        <w:rPr>
          <w:rFonts w:hint="default" w:ascii="Times New Roman" w:hAnsi="Times New Roman" w:cs="Times New Roman"/>
          <w:sz w:val="24"/>
          <w:szCs w:val="24"/>
          <w:lang w:val="en-US" w:eastAsia="zh-CN"/>
        </w:rPr>
      </w:pPr>
    </w:p>
    <w:p w14:paraId="4AF5FB08">
      <w:pPr>
        <w:spacing w:line="480" w:lineRule="auto"/>
        <w:jc w:val="both"/>
        <w:rPr>
          <w:rFonts w:hint="default" w:ascii="Times New Roman" w:hAnsi="Times New Roman" w:cs="Times New Roman"/>
          <w:sz w:val="24"/>
          <w:szCs w:val="24"/>
          <w:lang w:val="en-US" w:eastAsia="zh-CN"/>
        </w:rPr>
      </w:pPr>
    </w:p>
    <w:p w14:paraId="4D0EDF27">
      <w:pPr>
        <w:spacing w:line="480" w:lineRule="auto"/>
        <w:jc w:val="both"/>
        <w:rPr>
          <w:rFonts w:hint="default" w:ascii="Times New Roman" w:hAnsi="Times New Roman" w:cs="Times New Roman"/>
          <w:sz w:val="24"/>
          <w:szCs w:val="24"/>
          <w:lang w:val="en-US" w:eastAsia="zh-CN"/>
        </w:rPr>
      </w:pPr>
    </w:p>
    <w:p w14:paraId="42270B09">
      <w:pPr>
        <w:spacing w:line="48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6.0 Reference</w:t>
      </w:r>
    </w:p>
    <w:p w14:paraId="51AE852B">
      <w:pPr>
        <w:spacing w:line="480" w:lineRule="auto"/>
        <w:jc w:val="both"/>
        <w:rPr>
          <w:rFonts w:hint="default" w:ascii="Times New Roman" w:hAnsi="Times New Roman" w:cs="Times New Roman"/>
          <w:sz w:val="24"/>
          <w:szCs w:val="24"/>
        </w:rPr>
      </w:pPr>
    </w:p>
    <w:p w14:paraId="2ACA13A4">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1. Department for Business, Energy &amp; Industrial Strategy (BEIS). (2022). </w:t>
      </w:r>
      <w:r>
        <w:rPr>
          <w:rFonts w:hint="default" w:ascii="Times New Roman" w:hAnsi="Times New Roman" w:cs="Times New Roman"/>
          <w:i/>
          <w:iCs/>
          <w:sz w:val="24"/>
          <w:szCs w:val="24"/>
        </w:rPr>
        <w:t xml:space="preserve">Cultural Diversity and Workplace Productivity in UK Multinational Enterprises. </w:t>
      </w:r>
      <w:r>
        <w:rPr>
          <w:rFonts w:hint="default" w:ascii="Times New Roman" w:hAnsi="Times New Roman" w:cs="Times New Roman"/>
          <w:sz w:val="24"/>
          <w:szCs w:val="24"/>
        </w:rPr>
        <w:t>London: UK Government.</w:t>
      </w:r>
    </w:p>
    <w:p w14:paraId="4FE17E11">
      <w:pPr>
        <w:spacing w:line="480" w:lineRule="auto"/>
        <w:jc w:val="both"/>
        <w:rPr>
          <w:rFonts w:hint="default" w:ascii="Times New Roman" w:hAnsi="Times New Roman" w:cs="Times New Roman"/>
          <w:sz w:val="24"/>
          <w:szCs w:val="24"/>
        </w:rPr>
      </w:pPr>
    </w:p>
    <w:p w14:paraId="0D0933C3">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2. British Council. (2023). </w:t>
      </w:r>
      <w:r>
        <w:rPr>
          <w:rFonts w:hint="default" w:ascii="Times New Roman" w:hAnsi="Times New Roman" w:cs="Times New Roman"/>
          <w:i/>
          <w:iCs/>
          <w:sz w:val="24"/>
          <w:szCs w:val="24"/>
        </w:rPr>
        <w:t>Intercultural Communication Challenges in UK Professional Settings</w:t>
      </w:r>
      <w:r>
        <w:rPr>
          <w:rFonts w:hint="default" w:ascii="Times New Roman" w:hAnsi="Times New Roman" w:cs="Times New Roman"/>
          <w:sz w:val="24"/>
          <w:szCs w:val="24"/>
        </w:rPr>
        <w:t>. Manchester: British Council.</w:t>
      </w:r>
    </w:p>
    <w:p w14:paraId="65517ADD">
      <w:pPr>
        <w:spacing w:line="480" w:lineRule="auto"/>
        <w:jc w:val="both"/>
        <w:rPr>
          <w:rFonts w:hint="default" w:ascii="Times New Roman" w:hAnsi="Times New Roman" w:cs="Times New Roman"/>
          <w:sz w:val="24"/>
          <w:szCs w:val="24"/>
        </w:rPr>
      </w:pPr>
    </w:p>
    <w:p w14:paraId="7EF5ED30">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3. London School of Economics (LSE). (2024). </w:t>
      </w:r>
      <w:r>
        <w:rPr>
          <w:rFonts w:hint="default" w:ascii="Times New Roman" w:hAnsi="Times New Roman" w:cs="Times New Roman"/>
          <w:i/>
          <w:iCs/>
          <w:sz w:val="24"/>
          <w:szCs w:val="24"/>
        </w:rPr>
        <w:t>Contextual Communication in Global Corporate Teams</w:t>
      </w:r>
      <w:r>
        <w:rPr>
          <w:rFonts w:hint="default" w:ascii="Times New Roman" w:hAnsi="Times New Roman" w:cs="Times New Roman"/>
          <w:sz w:val="24"/>
          <w:szCs w:val="24"/>
        </w:rPr>
        <w:t>. London: LSE Press.</w:t>
      </w:r>
    </w:p>
    <w:p w14:paraId="7F6A4450">
      <w:pPr>
        <w:spacing w:line="480" w:lineRule="auto"/>
        <w:jc w:val="both"/>
        <w:rPr>
          <w:rFonts w:hint="default" w:ascii="Times New Roman" w:hAnsi="Times New Roman" w:cs="Times New Roman"/>
          <w:sz w:val="24"/>
          <w:szCs w:val="24"/>
        </w:rPr>
      </w:pPr>
    </w:p>
    <w:p w14:paraId="06EB015B">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4. University of Manchester. (2024).</w:t>
      </w:r>
      <w:r>
        <w:rPr>
          <w:rFonts w:hint="default" w:ascii="Times New Roman" w:hAnsi="Times New Roman" w:cs="Times New Roman"/>
          <w:i/>
          <w:iCs/>
          <w:sz w:val="24"/>
          <w:szCs w:val="24"/>
        </w:rPr>
        <w:t xml:space="preserve"> Practical Collaboration Strategies for Cross-Cultural Teams. </w:t>
      </w:r>
      <w:r>
        <w:rPr>
          <w:rFonts w:hint="default" w:ascii="Times New Roman" w:hAnsi="Times New Roman" w:cs="Times New Roman"/>
          <w:sz w:val="24"/>
          <w:szCs w:val="24"/>
        </w:rPr>
        <w:t>Manchester: Manchester University Press.</w:t>
      </w:r>
    </w:p>
    <w:p w14:paraId="01982F4E">
      <w:pPr>
        <w:spacing w:line="480" w:lineRule="auto"/>
        <w:jc w:val="both"/>
        <w:rPr>
          <w:rFonts w:hint="default" w:ascii="Times New Roman" w:hAnsi="Times New Roman" w:cs="Times New Roman"/>
          <w:sz w:val="24"/>
          <w:szCs w:val="24"/>
        </w:rPr>
      </w:pPr>
    </w:p>
    <w:p w14:paraId="092AD7DB">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5. Chartered Institute of Personnel and Development (CIPD). (2023). </w:t>
      </w:r>
      <w:r>
        <w:rPr>
          <w:rFonts w:hint="default" w:ascii="Times New Roman" w:hAnsi="Times New Roman" w:cs="Times New Roman"/>
          <w:i/>
          <w:iCs/>
          <w:sz w:val="24"/>
          <w:szCs w:val="24"/>
        </w:rPr>
        <w:t>Managing Intercultural Communication in UK Workplaces.</w:t>
      </w:r>
      <w:r>
        <w:rPr>
          <w:rFonts w:hint="default" w:ascii="Times New Roman" w:hAnsi="Times New Roman" w:cs="Times New Roman"/>
          <w:sz w:val="24"/>
          <w:szCs w:val="24"/>
        </w:rPr>
        <w:t xml:space="preserve"> London: CIPD.</w:t>
      </w:r>
    </w:p>
    <w:p w14:paraId="3A693342">
      <w:pPr>
        <w:spacing w:line="480" w:lineRule="auto"/>
        <w:jc w:val="both"/>
        <w:rPr>
          <w:rFonts w:hint="default" w:ascii="Times New Roman" w:hAnsi="Times New Roman" w:cs="Times New Roman"/>
          <w:sz w:val="24"/>
          <w:szCs w:val="24"/>
        </w:rPr>
      </w:pPr>
    </w:p>
    <w:p w14:paraId="735F4142">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6. University of Glasgow. (2024). </w:t>
      </w:r>
      <w:r>
        <w:rPr>
          <w:rFonts w:hint="default" w:ascii="Times New Roman" w:hAnsi="Times New Roman" w:cs="Times New Roman"/>
          <w:i/>
          <w:iCs/>
          <w:sz w:val="24"/>
          <w:szCs w:val="24"/>
        </w:rPr>
        <w:t xml:space="preserve">High-Context Communication Norms in UK Asian Employee Groups. </w:t>
      </w:r>
      <w:r>
        <w:rPr>
          <w:rFonts w:hint="default" w:ascii="Times New Roman" w:hAnsi="Times New Roman" w:cs="Times New Roman"/>
          <w:sz w:val="24"/>
          <w:szCs w:val="24"/>
        </w:rPr>
        <w:t>Glasgow: Glasgow University Press.</w:t>
      </w:r>
    </w:p>
    <w:p w14:paraId="41163C61">
      <w:pPr>
        <w:spacing w:line="480" w:lineRule="auto"/>
        <w:jc w:val="both"/>
        <w:rPr>
          <w:rFonts w:hint="default" w:ascii="Times New Roman" w:hAnsi="Times New Roman" w:cs="Times New Roman"/>
          <w:sz w:val="24"/>
          <w:szCs w:val="24"/>
        </w:rPr>
      </w:pPr>
    </w:p>
    <w:p w14:paraId="376B739E">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7. Federation of Small Businesses (FSB). (2024). </w:t>
      </w:r>
      <w:r>
        <w:rPr>
          <w:rFonts w:hint="default" w:ascii="Times New Roman" w:hAnsi="Times New Roman" w:cs="Times New Roman"/>
          <w:i/>
          <w:iCs/>
          <w:sz w:val="24"/>
          <w:szCs w:val="24"/>
        </w:rPr>
        <w:t>Effective Communication in Small Business Cross-Cultural Teams.</w:t>
      </w:r>
      <w:r>
        <w:rPr>
          <w:rFonts w:hint="default" w:ascii="Times New Roman" w:hAnsi="Times New Roman" w:cs="Times New Roman"/>
          <w:sz w:val="24"/>
          <w:szCs w:val="24"/>
        </w:rPr>
        <w:t xml:space="preserve"> London: FSB.</w:t>
      </w:r>
    </w:p>
    <w:p w14:paraId="2863686B">
      <w:pPr>
        <w:spacing w:line="480" w:lineRule="auto"/>
        <w:jc w:val="both"/>
        <w:rPr>
          <w:rFonts w:hint="default" w:ascii="Times New Roman" w:hAnsi="Times New Roman" w:cs="Times New Roman"/>
          <w:sz w:val="24"/>
          <w:szCs w:val="24"/>
        </w:rPr>
      </w:pPr>
    </w:p>
    <w:p w14:paraId="41302382">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8. University of Birmingham. (2022). </w:t>
      </w:r>
      <w:r>
        <w:rPr>
          <w:rFonts w:hint="default" w:ascii="Times New Roman" w:hAnsi="Times New Roman" w:cs="Times New Roman"/>
          <w:i/>
          <w:iCs/>
          <w:sz w:val="24"/>
          <w:szCs w:val="24"/>
        </w:rPr>
        <w:t>Hall’s Context Model: Application in UK Corporate Teams</w:t>
      </w:r>
      <w:r>
        <w:rPr>
          <w:rFonts w:hint="default" w:ascii="Times New Roman" w:hAnsi="Times New Roman" w:cs="Times New Roman"/>
          <w:sz w:val="24"/>
          <w:szCs w:val="24"/>
        </w:rPr>
        <w:t>. Birmingham: Birmingham University Press.</w:t>
      </w:r>
    </w:p>
    <w:p w14:paraId="32EC5367">
      <w:pPr>
        <w:spacing w:line="480" w:lineRule="auto"/>
        <w:jc w:val="both"/>
        <w:rPr>
          <w:rFonts w:hint="default" w:ascii="Times New Roman" w:hAnsi="Times New Roman" w:cs="Times New Roman"/>
          <w:sz w:val="24"/>
          <w:szCs w:val="24"/>
        </w:rPr>
      </w:pPr>
    </w:p>
    <w:p w14:paraId="69EF5496">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9. University of Liverpool. (2024). </w:t>
      </w:r>
      <w:r>
        <w:rPr>
          <w:rFonts w:hint="default" w:ascii="Times New Roman" w:hAnsi="Times New Roman" w:cs="Times New Roman"/>
          <w:i/>
          <w:iCs/>
          <w:sz w:val="24"/>
          <w:szCs w:val="24"/>
        </w:rPr>
        <w:t xml:space="preserve">Cultural Adaptation in UK Multinational Workplaces. </w:t>
      </w:r>
      <w:r>
        <w:rPr>
          <w:rFonts w:hint="default" w:ascii="Times New Roman" w:hAnsi="Times New Roman" w:cs="Times New Roman"/>
          <w:sz w:val="24"/>
          <w:szCs w:val="24"/>
        </w:rPr>
        <w:t>Liverpool: Liverpool University Press.</w:t>
      </w:r>
    </w:p>
    <w:p w14:paraId="0CD3E3C8">
      <w:pPr>
        <w:spacing w:line="480" w:lineRule="auto"/>
        <w:jc w:val="both"/>
        <w:rPr>
          <w:rFonts w:hint="default" w:ascii="Times New Roman" w:hAnsi="Times New Roman" w:cs="Times New Roman"/>
          <w:sz w:val="24"/>
          <w:szCs w:val="24"/>
        </w:rPr>
      </w:pPr>
    </w:p>
    <w:p w14:paraId="5FC44743">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10. University of Oxford. (2022). </w:t>
      </w:r>
      <w:r>
        <w:rPr>
          <w:rFonts w:hint="default" w:ascii="Times New Roman" w:hAnsi="Times New Roman" w:cs="Times New Roman"/>
          <w:i/>
          <w:iCs/>
          <w:sz w:val="24"/>
          <w:szCs w:val="24"/>
        </w:rPr>
        <w:t xml:space="preserve">High-Context vs Low-Context Communication: A UK Workplace Analysis. </w:t>
      </w:r>
      <w:r>
        <w:rPr>
          <w:rFonts w:hint="default" w:ascii="Times New Roman" w:hAnsi="Times New Roman" w:cs="Times New Roman"/>
          <w:sz w:val="24"/>
          <w:szCs w:val="24"/>
        </w:rPr>
        <w:t>Oxford: Oxford University Press.</w:t>
      </w:r>
    </w:p>
    <w:p w14:paraId="45F581FC">
      <w:pPr>
        <w:spacing w:line="480" w:lineRule="auto"/>
        <w:jc w:val="both"/>
        <w:rPr>
          <w:rFonts w:hint="default" w:ascii="Times New Roman" w:hAnsi="Times New Roman" w:cs="Times New Roman"/>
          <w:sz w:val="24"/>
          <w:szCs w:val="24"/>
        </w:rPr>
      </w:pPr>
    </w:p>
    <w:p w14:paraId="1D906D22">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11. University of Cambridge. (2023). </w:t>
      </w:r>
      <w:r>
        <w:rPr>
          <w:rFonts w:hint="default" w:ascii="Times New Roman" w:hAnsi="Times New Roman" w:cs="Times New Roman"/>
          <w:i/>
          <w:iCs/>
          <w:sz w:val="24"/>
          <w:szCs w:val="24"/>
        </w:rPr>
        <w:t xml:space="preserve">Cultural Dimensions and Team Performance in UK Enterprises. </w:t>
      </w:r>
      <w:r>
        <w:rPr>
          <w:rFonts w:hint="default" w:ascii="Times New Roman" w:hAnsi="Times New Roman" w:cs="Times New Roman"/>
          <w:sz w:val="24"/>
          <w:szCs w:val="24"/>
        </w:rPr>
        <w:t>Cambridge: Cambridge University Press.</w:t>
      </w:r>
    </w:p>
    <w:p w14:paraId="55952100">
      <w:pPr>
        <w:spacing w:line="480" w:lineRule="auto"/>
        <w:jc w:val="both"/>
        <w:rPr>
          <w:rFonts w:hint="default" w:ascii="Times New Roman" w:hAnsi="Times New Roman" w:cs="Times New Roman"/>
          <w:sz w:val="24"/>
          <w:szCs w:val="24"/>
        </w:rPr>
      </w:pPr>
    </w:p>
    <w:p w14:paraId="615C057C">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12. British Chambers of Commerce (BCC). (2023). </w:t>
      </w:r>
      <w:r>
        <w:rPr>
          <w:rFonts w:hint="default" w:ascii="Times New Roman" w:hAnsi="Times New Roman" w:cs="Times New Roman"/>
          <w:i/>
          <w:iCs/>
          <w:sz w:val="24"/>
          <w:szCs w:val="24"/>
        </w:rPr>
        <w:t xml:space="preserve">Supporting Cross-Cultural Collaboration in UK Businesses. </w:t>
      </w:r>
      <w:r>
        <w:rPr>
          <w:rFonts w:hint="default" w:ascii="Times New Roman" w:hAnsi="Times New Roman" w:cs="Times New Roman"/>
          <w:sz w:val="24"/>
          <w:szCs w:val="24"/>
        </w:rPr>
        <w:t>London: BCC.</w:t>
      </w:r>
    </w:p>
    <w:p w14:paraId="3085F50C">
      <w:pPr>
        <w:spacing w:line="480" w:lineRule="auto"/>
        <w:jc w:val="both"/>
        <w:rPr>
          <w:rFonts w:hint="default" w:ascii="Times New Roman" w:hAnsi="Times New Roman" w:cs="Times New Roman"/>
          <w:sz w:val="24"/>
          <w:szCs w:val="24"/>
        </w:rPr>
      </w:pPr>
    </w:p>
    <w:p w14:paraId="43276F39">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13. Institute of Directors (IoD). (2021). </w:t>
      </w:r>
      <w:r>
        <w:rPr>
          <w:rFonts w:hint="default" w:ascii="Times New Roman" w:hAnsi="Times New Roman" w:cs="Times New Roman"/>
          <w:i/>
          <w:iCs/>
          <w:sz w:val="24"/>
          <w:szCs w:val="24"/>
        </w:rPr>
        <w:t xml:space="preserve">Leading Diverse Teams in the UK Corporate Sector. </w:t>
      </w:r>
      <w:r>
        <w:rPr>
          <w:rFonts w:hint="default" w:ascii="Times New Roman" w:hAnsi="Times New Roman" w:cs="Times New Roman"/>
          <w:sz w:val="24"/>
          <w:szCs w:val="24"/>
        </w:rPr>
        <w:t>London: IoD.</w:t>
      </w:r>
    </w:p>
    <w:p w14:paraId="5A3337CE">
      <w:pPr>
        <w:spacing w:line="480" w:lineRule="auto"/>
        <w:jc w:val="both"/>
        <w:rPr>
          <w:rFonts w:hint="default" w:ascii="Times New Roman" w:hAnsi="Times New Roman" w:cs="Times New Roman"/>
          <w:sz w:val="24"/>
          <w:szCs w:val="24"/>
        </w:rPr>
      </w:pPr>
    </w:p>
    <w:p w14:paraId="7C891DB3">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14. University of Leeds. (2023). </w:t>
      </w:r>
      <w:r>
        <w:rPr>
          <w:rFonts w:hint="default" w:ascii="Times New Roman" w:hAnsi="Times New Roman" w:cs="Times New Roman"/>
          <w:i/>
          <w:iCs/>
          <w:sz w:val="24"/>
          <w:szCs w:val="24"/>
        </w:rPr>
        <w:t>Communication Norms in UK Cross-Cultural Workplaces.</w:t>
      </w:r>
      <w:r>
        <w:rPr>
          <w:rFonts w:hint="default" w:ascii="Times New Roman" w:hAnsi="Times New Roman" w:cs="Times New Roman"/>
          <w:sz w:val="24"/>
          <w:szCs w:val="24"/>
        </w:rPr>
        <w:t xml:space="preserve"> Leeds: Leeds University Press.</w:t>
      </w:r>
    </w:p>
    <w:p w14:paraId="3A6D771F">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15. Royal Society of Arts (RSA). (2022). </w:t>
      </w:r>
      <w:r>
        <w:rPr>
          <w:rFonts w:hint="default" w:ascii="Times New Roman" w:hAnsi="Times New Roman" w:cs="Times New Roman"/>
          <w:i/>
          <w:iCs/>
          <w:sz w:val="24"/>
          <w:szCs w:val="24"/>
        </w:rPr>
        <w:t>Inclusive Communication Practices for Diverse UK Teams.</w:t>
      </w:r>
      <w:r>
        <w:rPr>
          <w:rFonts w:hint="default" w:ascii="Times New Roman" w:hAnsi="Times New Roman" w:cs="Times New Roman"/>
          <w:sz w:val="24"/>
          <w:szCs w:val="24"/>
        </w:rPr>
        <w:t xml:space="preserve"> London: RSA.</w:t>
      </w:r>
    </w:p>
    <w:p w14:paraId="6192392F">
      <w:pPr>
        <w:spacing w:line="480" w:lineRule="auto"/>
        <w:jc w:val="both"/>
        <w:rPr>
          <w:rFonts w:hint="default" w:ascii="Times New Roman" w:hAnsi="Times New Roman" w:cs="Times New Roman"/>
          <w:sz w:val="24"/>
          <w:szCs w:val="24"/>
        </w:rPr>
      </w:pPr>
    </w:p>
    <w:p w14:paraId="5DFBE64D">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16. University of Southampton. (2023). </w:t>
      </w:r>
      <w:r>
        <w:rPr>
          <w:rFonts w:hint="default" w:ascii="Times New Roman" w:hAnsi="Times New Roman" w:cs="Times New Roman"/>
          <w:i/>
          <w:iCs/>
          <w:sz w:val="24"/>
          <w:szCs w:val="24"/>
        </w:rPr>
        <w:t xml:space="preserve">Resolving Contextual Conflicts in UK Multinational Teams. </w:t>
      </w:r>
      <w:r>
        <w:rPr>
          <w:rFonts w:hint="default" w:ascii="Times New Roman" w:hAnsi="Times New Roman" w:cs="Times New Roman"/>
          <w:sz w:val="24"/>
          <w:szCs w:val="24"/>
        </w:rPr>
        <w:t>Southampton: Southampton University Press.</w:t>
      </w:r>
    </w:p>
    <w:p w14:paraId="62B13825">
      <w:pPr>
        <w:spacing w:line="480" w:lineRule="auto"/>
        <w:jc w:val="both"/>
        <w:rPr>
          <w:rFonts w:hint="default" w:ascii="Times New Roman" w:hAnsi="Times New Roman" w:cs="Times New Roman"/>
          <w:sz w:val="24"/>
          <w:szCs w:val="24"/>
        </w:rPr>
      </w:pPr>
    </w:p>
    <w:p w14:paraId="5F1B93AD">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17. Confederation of British Industry (CBI). (2022). </w:t>
      </w:r>
      <w:r>
        <w:rPr>
          <w:rFonts w:hint="default" w:ascii="Times New Roman" w:hAnsi="Times New Roman" w:cs="Times New Roman"/>
          <w:i/>
          <w:iCs/>
          <w:sz w:val="24"/>
          <w:szCs w:val="24"/>
        </w:rPr>
        <w:t xml:space="preserve">Building Effective Cross-Cultural Teams in UK Business. </w:t>
      </w:r>
      <w:r>
        <w:rPr>
          <w:rFonts w:hint="default" w:ascii="Times New Roman" w:hAnsi="Times New Roman" w:cs="Times New Roman"/>
          <w:sz w:val="24"/>
          <w:szCs w:val="24"/>
        </w:rPr>
        <w:t>London: CBI.</w:t>
      </w:r>
    </w:p>
    <w:p w14:paraId="458D42B2">
      <w:pPr>
        <w:spacing w:line="480" w:lineRule="auto"/>
        <w:jc w:val="both"/>
        <w:rPr>
          <w:rFonts w:hint="default" w:ascii="Times New Roman" w:hAnsi="Times New Roman" w:cs="Times New Roman"/>
          <w:sz w:val="24"/>
          <w:szCs w:val="24"/>
        </w:rPr>
      </w:pPr>
    </w:p>
    <w:p w14:paraId="0747192B">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18. Office for National Statistics (ONS). (2021). </w:t>
      </w:r>
      <w:r>
        <w:rPr>
          <w:rFonts w:hint="default" w:ascii="Times New Roman" w:hAnsi="Times New Roman" w:cs="Times New Roman"/>
          <w:i/>
          <w:iCs/>
          <w:sz w:val="24"/>
          <w:szCs w:val="24"/>
        </w:rPr>
        <w:t xml:space="preserve">Migration and Cultural Diversity in UK Workplaces. </w:t>
      </w:r>
      <w:r>
        <w:rPr>
          <w:rFonts w:hint="default" w:ascii="Times New Roman" w:hAnsi="Times New Roman" w:cs="Times New Roman"/>
          <w:sz w:val="24"/>
          <w:szCs w:val="24"/>
        </w:rPr>
        <w:t>London: ONS.</w:t>
      </w:r>
    </w:p>
    <w:p w14:paraId="04B883E2">
      <w:pPr>
        <w:spacing w:line="480" w:lineRule="auto"/>
        <w:jc w:val="both"/>
        <w:rPr>
          <w:rFonts w:hint="default" w:ascii="Times New Roman" w:hAnsi="Times New Roman" w:cs="Times New Roman"/>
          <w:sz w:val="24"/>
          <w:szCs w:val="24"/>
        </w:rPr>
      </w:pPr>
    </w:p>
    <w:p w14:paraId="16BEA6F7">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19. Nam, S. (2025). </w:t>
      </w:r>
      <w:r>
        <w:rPr>
          <w:rFonts w:hint="default" w:ascii="Times New Roman" w:hAnsi="Times New Roman" w:cs="Times New Roman"/>
          <w:i/>
          <w:iCs/>
          <w:sz w:val="24"/>
          <w:szCs w:val="24"/>
        </w:rPr>
        <w:t>Silence as Communication: Cross-Cultural Perspectives in UK Workplaces.</w:t>
      </w:r>
      <w:r>
        <w:rPr>
          <w:rFonts w:hint="default" w:ascii="Times New Roman" w:hAnsi="Times New Roman" w:cs="Times New Roman"/>
          <w:sz w:val="24"/>
          <w:szCs w:val="24"/>
        </w:rPr>
        <w:t xml:space="preserve"> London: Palgrave Macmillan.</w:t>
      </w:r>
    </w:p>
    <w:p w14:paraId="3D4B8F5A">
      <w:pPr>
        <w:spacing w:line="480" w:lineRule="auto"/>
        <w:jc w:val="both"/>
        <w:rPr>
          <w:rFonts w:hint="default" w:ascii="Times New Roman" w:hAnsi="Times New Roman" w:cs="Times New Roman"/>
          <w:sz w:val="24"/>
          <w:szCs w:val="24"/>
        </w:rPr>
      </w:pPr>
    </w:p>
    <w:p w14:paraId="45A3752F">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20. Hooker, J. (2018). </w:t>
      </w:r>
      <w:r>
        <w:rPr>
          <w:rFonts w:hint="default" w:ascii="Times New Roman" w:hAnsi="Times New Roman" w:cs="Times New Roman"/>
          <w:i/>
          <w:iCs/>
          <w:sz w:val="24"/>
          <w:szCs w:val="24"/>
        </w:rPr>
        <w:t xml:space="preserve">Cultural Intelligence in Global Teams. </w:t>
      </w:r>
      <w:r>
        <w:rPr>
          <w:rFonts w:hint="default" w:ascii="Times New Roman" w:hAnsi="Times New Roman" w:cs="Times New Roman"/>
          <w:sz w:val="24"/>
          <w:szCs w:val="24"/>
        </w:rPr>
        <w:t>London: Routledge.</w:t>
      </w:r>
    </w:p>
    <w:p w14:paraId="48438881">
      <w:pPr>
        <w:jc w:val="both"/>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FA8CACF">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818814C">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14:paraId="1818814C">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28E524B"/>
    <w:rsid w:val="05F20E85"/>
    <w:rsid w:val="428E52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Hyperlink"/>
    <w:basedOn w:val="6"/>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18</Pages>
  <Words>2596</Words>
  <Characters>18821</Characters>
  <Lines>0</Lines>
  <Paragraphs>0</Paragraphs>
  <TotalTime>17</TotalTime>
  <ScaleCrop>false</ScaleCrop>
  <LinksUpToDate>false</LinksUpToDate>
  <CharactersWithSpaces>21368</CharactersWithSpaces>
  <Application>WPS Office_12.1.0.23542_F1E327BC-269C-435d-A152-05C5408002CA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2025-11-11T18:34:00Z</dcterms:created>
  <dc:creator>沐言小朋友</dc:creator>
  <cp:lastModifiedBy>沐言小朋友</cp:lastModifiedBy>
  <dcterms:modified xsi:type="dcterms:W3CDTF">2025-11-12T18:00:42Z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2052-12.1.0.23542</vt:lpwstr>
  </property>
  <property fmtid="{D5CDD505-2E9C-101B-9397-08002B2CF9AE}" pid="3" name="ICV">
    <vt:lpwstr>33A2EB1DFDB648E1A9C5436EA7A6F52E_11</vt:lpwstr>
  </property>
  <property fmtid="{D5CDD505-2E9C-101B-9397-08002B2CF9AE}" pid="4" name="KSOTemplateDocerSaveRecord">
    <vt:lpwstr>eyJoZGlkIjoiMTVjZDMyZTNiNmRiYWY2MzFiMmFhMzgyYzU1YjcyMzUiLCJ1c2VySWQiOiIxMTU5MzgwNTA2In0=</vt:lpwstr>
  </property>
</Properties>
</file>