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901AAA1" w14:textId="4C5A8835" w:rsidR="00A87B70" w:rsidRDefault="00A87B70">
      <w:pPr>
        <w:rPr>
          <w:rFonts w:ascii="Arial" w:hAnsi="Arial" w:cs="Arial"/>
          <w:sz w:val="24"/>
          <w:szCs w:val="24"/>
        </w:rPr>
      </w:pPr>
      <w:r w:rsidRPr="00A87B70">
        <w:rPr>
          <w:rFonts w:ascii="Arial" w:hAnsi="Arial" w:cs="Arial"/>
          <w:sz w:val="24"/>
          <w:szCs w:val="24"/>
        </w:rPr>
        <w:t>HPAN6001</w:t>
      </w:r>
      <w:r>
        <w:rPr>
          <w:rFonts w:ascii="Arial" w:hAnsi="Arial" w:cs="Arial"/>
          <w:sz w:val="24"/>
          <w:szCs w:val="24"/>
        </w:rPr>
        <w:t>-country-position-1602399</w:t>
      </w:r>
    </w:p>
    <w:p w14:paraId="08AD80F2" w14:textId="5CD49D9E" w:rsidR="00ED40FC" w:rsidRDefault="00ED40FC">
      <w:pPr>
        <w:rPr>
          <w:rFonts w:ascii="Arial" w:hAnsi="Arial" w:cs="Arial"/>
          <w:sz w:val="24"/>
          <w:szCs w:val="24"/>
        </w:rPr>
      </w:pPr>
    </w:p>
    <w:p w14:paraId="196F0F6E" w14:textId="29B114E3" w:rsidR="006253BD" w:rsidRDefault="007E0609" w:rsidP="00331FE8">
      <w:pPr>
        <w:spacing w:line="480" w:lineRule="auto"/>
        <w:rPr>
          <w:rFonts w:ascii="Arial" w:hAnsi="Arial" w:cs="Arial"/>
          <w:sz w:val="24"/>
          <w:szCs w:val="24"/>
        </w:rPr>
      </w:pPr>
      <w:r>
        <w:rPr>
          <w:rFonts w:ascii="Arial" w:hAnsi="Arial" w:cs="Arial"/>
          <w:sz w:val="24"/>
          <w:szCs w:val="24"/>
        </w:rPr>
        <w:t xml:space="preserve">The United States is the </w:t>
      </w:r>
      <w:r w:rsidR="00927815">
        <w:rPr>
          <w:rFonts w:ascii="Arial" w:hAnsi="Arial" w:cs="Arial"/>
          <w:sz w:val="24"/>
          <w:szCs w:val="24"/>
        </w:rPr>
        <w:t>fourth</w:t>
      </w:r>
      <w:r>
        <w:rPr>
          <w:rFonts w:ascii="Arial" w:hAnsi="Arial" w:cs="Arial"/>
          <w:sz w:val="24"/>
          <w:szCs w:val="24"/>
        </w:rPr>
        <w:t xml:space="preserve"> largest nation in the world with a growing population of 326.6 billion, (2017 estimation, CIA, 2018). The capital is Washington DC and the </w:t>
      </w:r>
      <w:r w:rsidR="00B21A3F">
        <w:rPr>
          <w:rFonts w:ascii="Arial" w:hAnsi="Arial" w:cs="Arial"/>
          <w:sz w:val="24"/>
          <w:szCs w:val="24"/>
        </w:rPr>
        <w:t xml:space="preserve">chief of state and head of government is president Donald J. Trump. </w:t>
      </w:r>
      <w:r w:rsidR="00B914BD">
        <w:rPr>
          <w:rFonts w:ascii="Arial" w:hAnsi="Arial" w:cs="Arial"/>
          <w:sz w:val="24"/>
          <w:szCs w:val="24"/>
        </w:rPr>
        <w:t xml:space="preserve">The US economy is energy-intensive and continues to grow, albeit a little sluggishly. The oil industry is very influential and a main driver with regards to the country’s economy </w:t>
      </w:r>
      <w:r w:rsidR="00AF2836">
        <w:rPr>
          <w:rFonts w:ascii="Arial" w:hAnsi="Arial" w:cs="Arial"/>
          <w:sz w:val="24"/>
          <w:szCs w:val="24"/>
        </w:rPr>
        <w:t xml:space="preserve">and security </w:t>
      </w:r>
      <w:r w:rsidR="00B914BD">
        <w:rPr>
          <w:rFonts w:ascii="Arial" w:hAnsi="Arial" w:cs="Arial"/>
          <w:sz w:val="24"/>
          <w:szCs w:val="24"/>
        </w:rPr>
        <w:t>(CIA, 2018). For over a hundred years, the US economy was ranked number one in the world, but since 2014 it has slipped behind China and is now ranked second.</w:t>
      </w:r>
      <w:r w:rsidR="001F4F0D">
        <w:rPr>
          <w:rFonts w:ascii="Arial" w:hAnsi="Arial" w:cs="Arial"/>
          <w:sz w:val="24"/>
          <w:szCs w:val="24"/>
        </w:rPr>
        <w:t xml:space="preserve"> </w:t>
      </w:r>
      <w:r w:rsidR="00AF2836">
        <w:rPr>
          <w:rFonts w:ascii="Arial" w:hAnsi="Arial" w:cs="Arial"/>
          <w:sz w:val="24"/>
          <w:szCs w:val="24"/>
        </w:rPr>
        <w:t xml:space="preserve">The need to reclaim that spot is reflected in projections that the </w:t>
      </w:r>
      <w:r w:rsidR="007024C1">
        <w:rPr>
          <w:rFonts w:ascii="Arial" w:hAnsi="Arial" w:cs="Arial"/>
          <w:sz w:val="24"/>
          <w:szCs w:val="24"/>
        </w:rPr>
        <w:t>US will regain the number one position in the near future.</w:t>
      </w:r>
      <w:r w:rsidR="00AF2836">
        <w:rPr>
          <w:rFonts w:ascii="Arial" w:hAnsi="Arial" w:cs="Arial"/>
          <w:sz w:val="24"/>
          <w:szCs w:val="24"/>
        </w:rPr>
        <w:t xml:space="preserve"> </w:t>
      </w:r>
      <w:r w:rsidR="001F4F0D">
        <w:rPr>
          <w:rFonts w:ascii="Arial" w:hAnsi="Arial" w:cs="Arial"/>
          <w:sz w:val="24"/>
          <w:szCs w:val="24"/>
        </w:rPr>
        <w:t xml:space="preserve">Crude imports as estimated in 2017 stood at </w:t>
      </w:r>
      <w:r w:rsidR="00205CD1">
        <w:rPr>
          <w:rFonts w:ascii="Arial" w:hAnsi="Arial" w:cs="Arial"/>
          <w:sz w:val="24"/>
          <w:szCs w:val="24"/>
        </w:rPr>
        <w:t>7.</w:t>
      </w:r>
      <w:r w:rsidR="006A6CD0">
        <w:rPr>
          <w:rFonts w:ascii="Arial" w:hAnsi="Arial" w:cs="Arial"/>
          <w:sz w:val="24"/>
          <w:szCs w:val="24"/>
        </w:rPr>
        <w:t xml:space="preserve">969 million barrels per day, ranking number one in the world, with crude exports at 1.158 million billion barrels per day, placing the US twelfth in the world. </w:t>
      </w:r>
      <w:r w:rsidR="00EB40C5">
        <w:rPr>
          <w:rFonts w:ascii="Arial" w:hAnsi="Arial" w:cs="Arial"/>
          <w:sz w:val="24"/>
          <w:szCs w:val="24"/>
        </w:rPr>
        <w:t>Crude oil production gives the US a country comparison of third in the world with</w:t>
      </w:r>
      <w:r w:rsidR="007024C1">
        <w:rPr>
          <w:rFonts w:ascii="Arial" w:hAnsi="Arial" w:cs="Arial"/>
          <w:sz w:val="24"/>
          <w:szCs w:val="24"/>
        </w:rPr>
        <w:t xml:space="preserve"> an increase in</w:t>
      </w:r>
      <w:r w:rsidR="00EB40C5">
        <w:rPr>
          <w:rFonts w:ascii="Arial" w:hAnsi="Arial" w:cs="Arial"/>
          <w:sz w:val="24"/>
          <w:szCs w:val="24"/>
        </w:rPr>
        <w:t xml:space="preserve"> consumption </w:t>
      </w:r>
      <w:r w:rsidR="007024C1">
        <w:rPr>
          <w:rFonts w:ascii="Arial" w:hAnsi="Arial" w:cs="Arial"/>
          <w:sz w:val="24"/>
          <w:szCs w:val="24"/>
        </w:rPr>
        <w:t xml:space="preserve">(CIA, 2018). </w:t>
      </w:r>
    </w:p>
    <w:p w14:paraId="7829ABA6" w14:textId="13F9FB48" w:rsidR="00664430" w:rsidRDefault="007024C1" w:rsidP="00331FE8">
      <w:pPr>
        <w:spacing w:line="480" w:lineRule="auto"/>
        <w:rPr>
          <w:rFonts w:ascii="Arial" w:hAnsi="Arial" w:cs="Arial"/>
          <w:sz w:val="24"/>
          <w:szCs w:val="24"/>
        </w:rPr>
      </w:pPr>
      <w:r>
        <w:rPr>
          <w:rFonts w:ascii="Arial" w:hAnsi="Arial" w:cs="Arial"/>
          <w:sz w:val="24"/>
          <w:szCs w:val="24"/>
        </w:rPr>
        <w:t xml:space="preserve">The oil embargo of 1973 set upon the US by </w:t>
      </w:r>
      <w:r w:rsidR="006F1F86">
        <w:rPr>
          <w:rFonts w:ascii="Arial" w:hAnsi="Arial" w:cs="Arial"/>
          <w:sz w:val="24"/>
          <w:szCs w:val="24"/>
        </w:rPr>
        <w:t xml:space="preserve">the Organisation of Arab Petroleum Exporting Countries (OAPEC) halted oil supplies to the US and resulted in fuel shortages and production cuts caused oil prices to rise as well as impinging on the US’s capacity to increase supplies. Inflation became erratic and the nation became fearful of spending. </w:t>
      </w:r>
      <w:r w:rsidR="0000646A">
        <w:rPr>
          <w:rFonts w:ascii="Arial" w:hAnsi="Arial" w:cs="Arial"/>
          <w:sz w:val="24"/>
          <w:szCs w:val="24"/>
        </w:rPr>
        <w:t>Even after the embargo was lifted, the economy was slow to recover (</w:t>
      </w:r>
      <w:r w:rsidR="00C209E7">
        <w:rPr>
          <w:rFonts w:ascii="Arial" w:hAnsi="Arial" w:cs="Arial"/>
          <w:sz w:val="24"/>
          <w:szCs w:val="24"/>
        </w:rPr>
        <w:t>Corbett</w:t>
      </w:r>
      <w:r w:rsidR="0000646A">
        <w:rPr>
          <w:rFonts w:ascii="Arial" w:hAnsi="Arial" w:cs="Arial"/>
          <w:sz w:val="24"/>
          <w:szCs w:val="24"/>
        </w:rPr>
        <w:t>, 2013).</w:t>
      </w:r>
      <w:r w:rsidR="009D449E">
        <w:rPr>
          <w:rFonts w:ascii="Arial" w:hAnsi="Arial" w:cs="Arial"/>
          <w:sz w:val="24"/>
          <w:szCs w:val="24"/>
        </w:rPr>
        <w:t xml:space="preserve"> As a direct result of the embargo the Strategic Petroleum Reserve (SPR) was born. This stockpile of oil is held by the US Department of Energy</w:t>
      </w:r>
      <w:r w:rsidR="00E74D5E">
        <w:rPr>
          <w:rFonts w:ascii="Arial" w:hAnsi="Arial" w:cs="Arial"/>
          <w:sz w:val="24"/>
          <w:szCs w:val="24"/>
        </w:rPr>
        <w:t xml:space="preserve"> to be used in times of crisis and is situated in the Gulf of Mexico with the capacity to hold 727 million barrels and release of which can be accessed in times of </w:t>
      </w:r>
      <w:r w:rsidR="00E74D5E">
        <w:rPr>
          <w:rFonts w:ascii="Arial" w:hAnsi="Arial" w:cs="Arial"/>
          <w:sz w:val="24"/>
          <w:szCs w:val="24"/>
        </w:rPr>
        <w:lastRenderedPageBreak/>
        <w:t xml:space="preserve">crisis whether that be manmade or a natural crisis, such as adverse weather conditions </w:t>
      </w:r>
      <w:r w:rsidR="00FD5000">
        <w:rPr>
          <w:rFonts w:ascii="Arial" w:hAnsi="Arial" w:cs="Arial"/>
          <w:sz w:val="24"/>
          <w:szCs w:val="24"/>
        </w:rPr>
        <w:t>(Amadeo, 2018).</w:t>
      </w:r>
      <w:bookmarkStart w:id="0" w:name="_GoBack"/>
      <w:bookmarkEnd w:id="0"/>
    </w:p>
    <w:p w14:paraId="6017139C" w14:textId="6931D9F1" w:rsidR="00664430" w:rsidRDefault="00664430" w:rsidP="00331FE8">
      <w:pPr>
        <w:spacing w:line="480" w:lineRule="auto"/>
        <w:rPr>
          <w:rFonts w:ascii="Arial" w:hAnsi="Arial" w:cs="Arial"/>
          <w:sz w:val="24"/>
          <w:szCs w:val="24"/>
        </w:rPr>
      </w:pPr>
      <w:r>
        <w:rPr>
          <w:rFonts w:ascii="Arial" w:hAnsi="Arial" w:cs="Arial"/>
          <w:sz w:val="24"/>
          <w:szCs w:val="24"/>
        </w:rPr>
        <w:t>O</w:t>
      </w:r>
      <w:r w:rsidR="00DD0BD6">
        <w:rPr>
          <w:rFonts w:ascii="Arial" w:hAnsi="Arial" w:cs="Arial"/>
          <w:sz w:val="24"/>
          <w:szCs w:val="24"/>
        </w:rPr>
        <w:t>il-based e</w:t>
      </w:r>
      <w:r w:rsidR="008444E1">
        <w:rPr>
          <w:rFonts w:ascii="Arial" w:hAnsi="Arial" w:cs="Arial"/>
          <w:sz w:val="24"/>
          <w:szCs w:val="24"/>
        </w:rPr>
        <w:t>nergy production has grown</w:t>
      </w:r>
      <w:r w:rsidR="00DD0BD6">
        <w:rPr>
          <w:rFonts w:ascii="Arial" w:hAnsi="Arial" w:cs="Arial"/>
          <w:sz w:val="24"/>
          <w:szCs w:val="24"/>
        </w:rPr>
        <w:t>,</w:t>
      </w:r>
      <w:r w:rsidR="008444E1">
        <w:rPr>
          <w:rFonts w:ascii="Arial" w:hAnsi="Arial" w:cs="Arial"/>
          <w:sz w:val="24"/>
          <w:szCs w:val="24"/>
        </w:rPr>
        <w:t xml:space="preserve"> </w:t>
      </w:r>
      <w:r w:rsidR="0055778D">
        <w:rPr>
          <w:rFonts w:ascii="Arial" w:hAnsi="Arial" w:cs="Arial"/>
          <w:sz w:val="24"/>
          <w:szCs w:val="24"/>
        </w:rPr>
        <w:t>mainly due to improvements in technologies regarding drilling. Fo</w:t>
      </w:r>
      <w:r w:rsidR="00DD0BD6">
        <w:rPr>
          <w:rFonts w:ascii="Arial" w:hAnsi="Arial" w:cs="Arial"/>
          <w:sz w:val="24"/>
          <w:szCs w:val="24"/>
        </w:rPr>
        <w:t>ssil fuels still dominate the U</w:t>
      </w:r>
      <w:r w:rsidR="0055778D">
        <w:rPr>
          <w:rFonts w:ascii="Arial" w:hAnsi="Arial" w:cs="Arial"/>
          <w:sz w:val="24"/>
          <w:szCs w:val="24"/>
        </w:rPr>
        <w:t>S energy sector</w:t>
      </w:r>
      <w:r w:rsidR="00DD0BD6">
        <w:rPr>
          <w:rFonts w:ascii="Arial" w:hAnsi="Arial" w:cs="Arial"/>
          <w:sz w:val="24"/>
          <w:szCs w:val="24"/>
        </w:rPr>
        <w:t>,</w:t>
      </w:r>
      <w:r w:rsidR="0055778D">
        <w:rPr>
          <w:rFonts w:ascii="Arial" w:hAnsi="Arial" w:cs="Arial"/>
          <w:sz w:val="24"/>
          <w:szCs w:val="24"/>
        </w:rPr>
        <w:t xml:space="preserve"> with coal, gas and oil accounting for 77.6% of primary energy production (EIA</w:t>
      </w:r>
      <w:r w:rsidR="00315AEA">
        <w:rPr>
          <w:rFonts w:ascii="Arial" w:hAnsi="Arial" w:cs="Arial"/>
          <w:sz w:val="24"/>
          <w:szCs w:val="24"/>
        </w:rPr>
        <w:t>, 2018).</w:t>
      </w:r>
    </w:p>
    <w:p w14:paraId="049E9AEB" w14:textId="12FF7A4E" w:rsidR="002077D9" w:rsidRDefault="002077D9" w:rsidP="00331FE8">
      <w:pPr>
        <w:spacing w:line="480" w:lineRule="auto"/>
        <w:rPr>
          <w:rFonts w:ascii="Arial" w:hAnsi="Arial" w:cs="Arial"/>
          <w:sz w:val="24"/>
          <w:szCs w:val="24"/>
        </w:rPr>
      </w:pPr>
      <w:r>
        <w:rPr>
          <w:rFonts w:ascii="Arial" w:hAnsi="Arial" w:cs="Arial"/>
          <w:sz w:val="24"/>
          <w:szCs w:val="24"/>
        </w:rPr>
        <w:t>Oil and gas</w:t>
      </w:r>
      <w:r w:rsidR="003D52C8">
        <w:rPr>
          <w:rFonts w:ascii="Arial" w:hAnsi="Arial" w:cs="Arial"/>
          <w:sz w:val="24"/>
          <w:szCs w:val="24"/>
        </w:rPr>
        <w:t xml:space="preserve"> production growth has occurred due to the increase in development in Wolfcamp play.</w:t>
      </w:r>
    </w:p>
    <w:p w14:paraId="75207C60" w14:textId="3882F2D4" w:rsidR="005772EC" w:rsidRDefault="00744F65" w:rsidP="00331FE8">
      <w:pPr>
        <w:spacing w:line="480" w:lineRule="auto"/>
        <w:rPr>
          <w:rFonts w:ascii="Arial" w:hAnsi="Arial" w:cs="Arial"/>
          <w:sz w:val="24"/>
          <w:szCs w:val="24"/>
        </w:rPr>
      </w:pPr>
      <w:r>
        <w:rPr>
          <w:rFonts w:ascii="Arial" w:hAnsi="Arial" w:cs="Arial"/>
          <w:sz w:val="24"/>
          <w:szCs w:val="24"/>
        </w:rPr>
        <w:t>In 2015 crude oil export restrictions were lifted and The Houston-Galveston port in Texas</w:t>
      </w:r>
      <w:r w:rsidR="00927815">
        <w:rPr>
          <w:rFonts w:ascii="Arial" w:hAnsi="Arial" w:cs="Arial"/>
          <w:sz w:val="24"/>
          <w:szCs w:val="24"/>
        </w:rPr>
        <w:t>,</w:t>
      </w:r>
      <w:r>
        <w:rPr>
          <w:rFonts w:ascii="Arial" w:hAnsi="Arial" w:cs="Arial"/>
          <w:sz w:val="24"/>
          <w:szCs w:val="24"/>
        </w:rPr>
        <w:t xml:space="preserve"> now exports more crude oil for the first time in recorded history.</w:t>
      </w:r>
    </w:p>
    <w:p w14:paraId="6E03C911" w14:textId="5CA04DE1" w:rsidR="00744F65" w:rsidRDefault="005772EC" w:rsidP="00331FE8">
      <w:pPr>
        <w:spacing w:line="480" w:lineRule="auto"/>
        <w:rPr>
          <w:rFonts w:ascii="Arial" w:hAnsi="Arial" w:cs="Arial"/>
          <w:sz w:val="24"/>
          <w:szCs w:val="24"/>
        </w:rPr>
      </w:pPr>
      <w:r w:rsidRPr="005772EC">
        <w:rPr>
          <w:rFonts w:ascii="Arial" w:hAnsi="Arial" w:cs="Arial"/>
          <w:sz w:val="24"/>
          <w:szCs w:val="24"/>
        </w:rPr>
        <w:t>Energy security can be defined as the continuity of energy supplies relative to demand.</w:t>
      </w:r>
    </w:p>
    <w:p w14:paraId="0CD88FAD" w14:textId="1FB1505E" w:rsidR="00A974E9" w:rsidRPr="005772EC" w:rsidRDefault="00A974E9" w:rsidP="00331FE8">
      <w:pPr>
        <w:spacing w:line="480" w:lineRule="auto"/>
        <w:rPr>
          <w:rFonts w:ascii="Arial" w:hAnsi="Arial" w:cs="Arial"/>
          <w:sz w:val="24"/>
          <w:szCs w:val="24"/>
        </w:rPr>
      </w:pPr>
      <w:r>
        <w:rPr>
          <w:rFonts w:ascii="Arial" w:hAnsi="Arial" w:cs="Arial"/>
          <w:sz w:val="24"/>
          <w:szCs w:val="24"/>
        </w:rPr>
        <w:t>Country reports from the HIS Markit</w:t>
      </w:r>
    </w:p>
    <w:p w14:paraId="4B7664D6" w14:textId="1360B554" w:rsidR="001D37AA" w:rsidRDefault="00927815" w:rsidP="00331FE8">
      <w:pPr>
        <w:spacing w:line="480" w:lineRule="auto"/>
        <w:rPr>
          <w:rFonts w:ascii="Arial" w:hAnsi="Arial" w:cs="Arial"/>
          <w:sz w:val="24"/>
          <w:szCs w:val="24"/>
        </w:rPr>
      </w:pPr>
      <w:r>
        <w:rPr>
          <w:rFonts w:ascii="Arial" w:hAnsi="Arial" w:cs="Arial"/>
          <w:sz w:val="24"/>
          <w:szCs w:val="24"/>
        </w:rPr>
        <w:t>Choke points and trade routes</w:t>
      </w:r>
    </w:p>
    <w:p w14:paraId="71C6603F" w14:textId="77777777" w:rsidR="00331FE8" w:rsidRDefault="00664430" w:rsidP="00331FE8">
      <w:pPr>
        <w:spacing w:line="480" w:lineRule="auto"/>
        <w:rPr>
          <w:rFonts w:ascii="Arial" w:hAnsi="Arial" w:cs="Arial"/>
          <w:sz w:val="24"/>
          <w:szCs w:val="24"/>
        </w:rPr>
      </w:pPr>
      <w:r w:rsidRPr="00927815">
        <w:rPr>
          <w:rFonts w:ascii="Arial" w:hAnsi="Arial" w:cs="Arial"/>
          <w:sz w:val="24"/>
          <w:szCs w:val="24"/>
        </w:rPr>
        <w:t>Energy challenges</w:t>
      </w:r>
      <w:r w:rsidRPr="00664430">
        <w:rPr>
          <w:rFonts w:ascii="Arial" w:hAnsi="Arial" w:cs="Arial"/>
          <w:sz w:val="24"/>
          <w:szCs w:val="24"/>
        </w:rPr>
        <w:t xml:space="preserve"> – increases in production, consumption and carbon emissions are a concern and reducing these must be achieved in order to meet standards set by The Paris Climate goals and The Climate Action plan.</w:t>
      </w:r>
    </w:p>
    <w:p w14:paraId="5B5A7B8F" w14:textId="28DAED17" w:rsidR="00230932" w:rsidRDefault="00FD1FCF" w:rsidP="00331FE8">
      <w:pPr>
        <w:spacing w:line="480" w:lineRule="auto"/>
        <w:rPr>
          <w:rFonts w:ascii="Arial" w:hAnsi="Arial" w:cs="Arial"/>
          <w:sz w:val="24"/>
          <w:szCs w:val="24"/>
        </w:rPr>
      </w:pPr>
      <w:r>
        <w:rPr>
          <w:rFonts w:ascii="Arial" w:hAnsi="Arial" w:cs="Arial"/>
          <w:sz w:val="24"/>
          <w:szCs w:val="24"/>
        </w:rPr>
        <w:t>The US still rank</w:t>
      </w:r>
      <w:r w:rsidR="00DD0BD6">
        <w:rPr>
          <w:rFonts w:ascii="Arial" w:hAnsi="Arial" w:cs="Arial"/>
          <w:sz w:val="24"/>
          <w:szCs w:val="24"/>
        </w:rPr>
        <w:t>s</w:t>
      </w:r>
      <w:r>
        <w:rPr>
          <w:rFonts w:ascii="Arial" w:hAnsi="Arial" w:cs="Arial"/>
          <w:sz w:val="24"/>
          <w:szCs w:val="24"/>
        </w:rPr>
        <w:t xml:space="preserve"> highly in </w:t>
      </w:r>
      <w:r w:rsidR="00DD0BD6">
        <w:rPr>
          <w:rFonts w:ascii="Arial" w:hAnsi="Arial" w:cs="Arial"/>
          <w:sz w:val="24"/>
          <w:szCs w:val="24"/>
        </w:rPr>
        <w:t xml:space="preserve">innovation and development of </w:t>
      </w:r>
      <w:r>
        <w:rPr>
          <w:rFonts w:ascii="Arial" w:hAnsi="Arial" w:cs="Arial"/>
          <w:sz w:val="24"/>
          <w:szCs w:val="24"/>
        </w:rPr>
        <w:t xml:space="preserve">technology, aerospace, </w:t>
      </w:r>
      <w:r w:rsidR="009F193A">
        <w:rPr>
          <w:rFonts w:ascii="Arial" w:hAnsi="Arial" w:cs="Arial"/>
          <w:sz w:val="24"/>
          <w:szCs w:val="24"/>
        </w:rPr>
        <w:t xml:space="preserve">motor vehicles, </w:t>
      </w:r>
      <w:r>
        <w:rPr>
          <w:rFonts w:ascii="Arial" w:hAnsi="Arial" w:cs="Arial"/>
          <w:sz w:val="24"/>
          <w:szCs w:val="24"/>
        </w:rPr>
        <w:t>pharmaceuticals, military equipment</w:t>
      </w:r>
      <w:r w:rsidR="00DD0BD6">
        <w:rPr>
          <w:rFonts w:ascii="Arial" w:hAnsi="Arial" w:cs="Arial"/>
          <w:sz w:val="24"/>
          <w:szCs w:val="24"/>
        </w:rPr>
        <w:t>,</w:t>
      </w:r>
      <w:r>
        <w:rPr>
          <w:rFonts w:ascii="Arial" w:hAnsi="Arial" w:cs="Arial"/>
          <w:sz w:val="24"/>
          <w:szCs w:val="24"/>
        </w:rPr>
        <w:t xml:space="preserve"> and medical</w:t>
      </w:r>
      <w:r w:rsidR="00DD0BD6">
        <w:rPr>
          <w:rFonts w:ascii="Arial" w:hAnsi="Arial" w:cs="Arial"/>
          <w:sz w:val="24"/>
          <w:szCs w:val="24"/>
        </w:rPr>
        <w:t xml:space="preserve"> issues</w:t>
      </w:r>
      <w:r w:rsidR="001D37AA">
        <w:rPr>
          <w:rFonts w:ascii="Arial" w:hAnsi="Arial" w:cs="Arial"/>
          <w:sz w:val="24"/>
          <w:szCs w:val="24"/>
        </w:rPr>
        <w:t xml:space="preserve">. This is also reflected in </w:t>
      </w:r>
      <w:r w:rsidR="009F193A">
        <w:rPr>
          <w:rFonts w:ascii="Arial" w:hAnsi="Arial" w:cs="Arial"/>
          <w:sz w:val="24"/>
          <w:szCs w:val="24"/>
        </w:rPr>
        <w:t>agricultural practices in grains, fish, beef, dairy, pork, poultry, fruit and vegetables</w:t>
      </w:r>
      <w:r w:rsidR="00CA6BD2">
        <w:rPr>
          <w:rFonts w:ascii="Arial" w:hAnsi="Arial" w:cs="Arial"/>
          <w:sz w:val="24"/>
          <w:szCs w:val="24"/>
        </w:rPr>
        <w:t xml:space="preserve"> and </w:t>
      </w:r>
      <w:r w:rsidR="009F193A">
        <w:rPr>
          <w:rFonts w:ascii="Arial" w:hAnsi="Arial" w:cs="Arial"/>
          <w:sz w:val="24"/>
          <w:szCs w:val="24"/>
        </w:rPr>
        <w:t>cotton</w:t>
      </w:r>
      <w:r w:rsidR="001D37AA">
        <w:rPr>
          <w:rFonts w:ascii="Arial" w:hAnsi="Arial" w:cs="Arial"/>
          <w:sz w:val="24"/>
          <w:szCs w:val="24"/>
        </w:rPr>
        <w:t xml:space="preserve"> and other fields such as l</w:t>
      </w:r>
      <w:r w:rsidR="00CA6BD2">
        <w:rPr>
          <w:rFonts w:ascii="Arial" w:hAnsi="Arial" w:cs="Arial"/>
          <w:sz w:val="24"/>
          <w:szCs w:val="24"/>
        </w:rPr>
        <w:t>umbe</w:t>
      </w:r>
      <w:r w:rsidR="001D37AA">
        <w:rPr>
          <w:rFonts w:ascii="Arial" w:hAnsi="Arial" w:cs="Arial"/>
          <w:sz w:val="24"/>
          <w:szCs w:val="24"/>
        </w:rPr>
        <w:t>r and mining industries continuing</w:t>
      </w:r>
      <w:r w:rsidR="00CA6BD2">
        <w:rPr>
          <w:rFonts w:ascii="Arial" w:hAnsi="Arial" w:cs="Arial"/>
          <w:sz w:val="24"/>
          <w:szCs w:val="24"/>
        </w:rPr>
        <w:t xml:space="preserve"> to grow</w:t>
      </w:r>
      <w:r w:rsidR="001D37AA">
        <w:rPr>
          <w:rFonts w:ascii="Arial" w:hAnsi="Arial" w:cs="Arial"/>
          <w:sz w:val="24"/>
          <w:szCs w:val="24"/>
        </w:rPr>
        <w:t>,</w:t>
      </w:r>
      <w:r w:rsidR="00CA6BD2">
        <w:rPr>
          <w:rFonts w:ascii="Arial" w:hAnsi="Arial" w:cs="Arial"/>
          <w:sz w:val="24"/>
          <w:szCs w:val="24"/>
        </w:rPr>
        <w:t xml:space="preserve"> as well as </w:t>
      </w:r>
      <w:r w:rsidR="001D37AA">
        <w:rPr>
          <w:rFonts w:ascii="Arial" w:hAnsi="Arial" w:cs="Arial"/>
          <w:sz w:val="24"/>
          <w:szCs w:val="24"/>
        </w:rPr>
        <w:t xml:space="preserve">can be seen in the </w:t>
      </w:r>
      <w:r w:rsidR="00CA6BD2">
        <w:rPr>
          <w:rFonts w:ascii="Arial" w:hAnsi="Arial" w:cs="Arial"/>
          <w:sz w:val="24"/>
          <w:szCs w:val="24"/>
        </w:rPr>
        <w:t>chemical and processed food</w:t>
      </w:r>
      <w:r w:rsidR="001D37AA">
        <w:rPr>
          <w:rFonts w:ascii="Arial" w:hAnsi="Arial" w:cs="Arial"/>
          <w:sz w:val="24"/>
          <w:szCs w:val="24"/>
        </w:rPr>
        <w:t xml:space="preserve"> industries</w:t>
      </w:r>
      <w:r w:rsidR="00CA6BD2">
        <w:rPr>
          <w:rFonts w:ascii="Arial" w:hAnsi="Arial" w:cs="Arial"/>
          <w:sz w:val="24"/>
          <w:szCs w:val="24"/>
        </w:rPr>
        <w:t xml:space="preserve"> (CIA, 2018).</w:t>
      </w:r>
    </w:p>
    <w:p w14:paraId="27C9B368" w14:textId="7A8B8765" w:rsidR="00DA60D6" w:rsidRDefault="00BD20F1" w:rsidP="00331FE8">
      <w:pPr>
        <w:spacing w:line="480" w:lineRule="auto"/>
        <w:rPr>
          <w:rFonts w:ascii="Arial" w:hAnsi="Arial" w:cs="Arial"/>
          <w:sz w:val="24"/>
          <w:szCs w:val="24"/>
        </w:rPr>
      </w:pPr>
      <w:r w:rsidRPr="00927815">
        <w:rPr>
          <w:rFonts w:ascii="Arial" w:hAnsi="Arial" w:cs="Arial"/>
          <w:sz w:val="24"/>
          <w:szCs w:val="24"/>
        </w:rPr>
        <w:t>Politics</w:t>
      </w:r>
      <w:r w:rsidR="00F42ABE" w:rsidRPr="00927815">
        <w:rPr>
          <w:rFonts w:ascii="Arial" w:hAnsi="Arial" w:cs="Arial"/>
          <w:sz w:val="24"/>
          <w:szCs w:val="24"/>
        </w:rPr>
        <w:t xml:space="preserve">  </w:t>
      </w:r>
      <w:r w:rsidR="00F42ABE" w:rsidRPr="00F42ABE">
        <w:rPr>
          <w:rFonts w:ascii="Arial" w:hAnsi="Arial" w:cs="Arial"/>
          <w:sz w:val="24"/>
          <w:szCs w:val="24"/>
        </w:rPr>
        <w:t xml:space="preserve"> republican</w:t>
      </w:r>
    </w:p>
    <w:p w14:paraId="0D0E1DD5" w14:textId="60A26F8C" w:rsidR="00BD20F1" w:rsidRDefault="007B3861" w:rsidP="00331FE8">
      <w:pPr>
        <w:spacing w:line="480" w:lineRule="auto"/>
        <w:rPr>
          <w:rFonts w:ascii="Arial" w:hAnsi="Arial" w:cs="Arial"/>
          <w:sz w:val="24"/>
          <w:szCs w:val="24"/>
        </w:rPr>
      </w:pPr>
      <w:r>
        <w:rPr>
          <w:rFonts w:ascii="Arial" w:hAnsi="Arial" w:cs="Arial"/>
          <w:sz w:val="24"/>
          <w:szCs w:val="24"/>
        </w:rPr>
        <w:lastRenderedPageBreak/>
        <w:t>Crude oil reserves as of 2017 have surpassed previous years and are up to 39.2 billion barrels, an increase of 19.5%, Gas reserves are also up at 36.1%</w:t>
      </w:r>
      <w:r w:rsidRPr="007B3861">
        <w:rPr>
          <w:rFonts w:ascii="Arial" w:hAnsi="Arial" w:cs="Arial"/>
          <w:sz w:val="24"/>
          <w:szCs w:val="24"/>
        </w:rPr>
        <w:t xml:space="preserve">  </w:t>
      </w:r>
    </w:p>
    <w:p w14:paraId="7B334D3F" w14:textId="55C58F28" w:rsidR="00927815" w:rsidRDefault="00927815" w:rsidP="00331FE8">
      <w:pPr>
        <w:spacing w:line="480" w:lineRule="auto"/>
        <w:rPr>
          <w:rFonts w:ascii="Arial" w:hAnsi="Arial" w:cs="Arial"/>
          <w:sz w:val="24"/>
          <w:szCs w:val="24"/>
        </w:rPr>
      </w:pPr>
      <w:r w:rsidRPr="00927815">
        <w:rPr>
          <w:rFonts w:ascii="Arial" w:hAnsi="Arial" w:cs="Arial"/>
          <w:sz w:val="24"/>
          <w:szCs w:val="24"/>
        </w:rPr>
        <w:t>Nyman discusses how climate change is inextricably bound up in energy security, emphasising the importance of recognising that without tackling climate change, the whole planet threatens our security if not our very existence.</w:t>
      </w:r>
      <w:r>
        <w:rPr>
          <w:rFonts w:ascii="Arial" w:hAnsi="Arial" w:cs="Arial"/>
          <w:sz w:val="24"/>
          <w:szCs w:val="24"/>
        </w:rPr>
        <w:t xml:space="preserve"> </w:t>
      </w:r>
    </w:p>
    <w:p w14:paraId="5BC6C518" w14:textId="45153C5F" w:rsidR="00664430" w:rsidRDefault="00664430" w:rsidP="00331FE8">
      <w:pPr>
        <w:spacing w:line="480" w:lineRule="auto"/>
        <w:rPr>
          <w:rFonts w:ascii="Arial" w:hAnsi="Arial" w:cs="Arial"/>
          <w:sz w:val="24"/>
          <w:szCs w:val="24"/>
        </w:rPr>
      </w:pPr>
    </w:p>
    <w:p w14:paraId="762225DC" w14:textId="17136E13" w:rsidR="00A531D0" w:rsidRDefault="00A531D0" w:rsidP="00BD20F1">
      <w:pPr>
        <w:rPr>
          <w:rFonts w:ascii="Arial" w:hAnsi="Arial" w:cs="Arial"/>
          <w:sz w:val="24"/>
          <w:szCs w:val="24"/>
        </w:rPr>
      </w:pPr>
    </w:p>
    <w:p w14:paraId="0EC62BCA" w14:textId="01EF8048" w:rsidR="00A531D0" w:rsidRDefault="00A531D0" w:rsidP="00BD20F1">
      <w:pPr>
        <w:rPr>
          <w:rFonts w:ascii="Arial" w:hAnsi="Arial" w:cs="Arial"/>
          <w:b/>
          <w:sz w:val="24"/>
          <w:szCs w:val="24"/>
        </w:rPr>
      </w:pPr>
      <w:r w:rsidRPr="00A531D0">
        <w:rPr>
          <w:rFonts w:ascii="Arial" w:hAnsi="Arial" w:cs="Arial"/>
          <w:b/>
          <w:sz w:val="24"/>
          <w:szCs w:val="24"/>
        </w:rPr>
        <w:t>References:</w:t>
      </w:r>
      <w:r>
        <w:rPr>
          <w:rFonts w:ascii="Arial" w:hAnsi="Arial" w:cs="Arial"/>
          <w:b/>
          <w:sz w:val="24"/>
          <w:szCs w:val="24"/>
        </w:rPr>
        <w:t xml:space="preserve"> </w:t>
      </w:r>
    </w:p>
    <w:p w14:paraId="218F8E77" w14:textId="5243B8AB" w:rsidR="00002F77" w:rsidRDefault="00FD5000" w:rsidP="00BD20F1">
      <w:pPr>
        <w:rPr>
          <w:rFonts w:ascii="Arial" w:hAnsi="Arial" w:cs="Arial"/>
          <w:sz w:val="24"/>
          <w:szCs w:val="24"/>
        </w:rPr>
      </w:pPr>
      <w:r>
        <w:rPr>
          <w:rFonts w:ascii="Arial" w:hAnsi="Arial" w:cs="Arial"/>
          <w:sz w:val="24"/>
          <w:szCs w:val="24"/>
        </w:rPr>
        <w:t xml:space="preserve">Amadeo, K. (2018). The Balance: Strategic Petroleum Reserve. [online:   </w:t>
      </w:r>
      <w:hyperlink r:id="rId5" w:history="1">
        <w:r w:rsidRPr="00C343B8">
          <w:rPr>
            <w:rStyle w:val="Hyperlink"/>
            <w:rFonts w:ascii="Arial" w:hAnsi="Arial" w:cs="Arial"/>
            <w:sz w:val="24"/>
            <w:szCs w:val="24"/>
          </w:rPr>
          <w:t>https://www.thebalance.com/strategic-petroleum-reserve-3306208</w:t>
        </w:r>
      </w:hyperlink>
      <w:r>
        <w:rPr>
          <w:rFonts w:ascii="Arial" w:hAnsi="Arial" w:cs="Arial"/>
          <w:sz w:val="24"/>
          <w:szCs w:val="24"/>
        </w:rPr>
        <w:t>] [Accessed: 07</w:t>
      </w:r>
      <w:r w:rsidRPr="00FD5000">
        <w:rPr>
          <w:rFonts w:ascii="Arial" w:hAnsi="Arial" w:cs="Arial"/>
          <w:sz w:val="24"/>
          <w:szCs w:val="24"/>
          <w:vertAlign w:val="superscript"/>
        </w:rPr>
        <w:t>th</w:t>
      </w:r>
      <w:r>
        <w:rPr>
          <w:rFonts w:ascii="Arial" w:hAnsi="Arial" w:cs="Arial"/>
          <w:sz w:val="24"/>
          <w:szCs w:val="24"/>
        </w:rPr>
        <w:t xml:space="preserve"> December 2018].</w:t>
      </w:r>
    </w:p>
    <w:p w14:paraId="1E2C1452" w14:textId="64FAAB8B" w:rsidR="00315AEA" w:rsidRDefault="00012B70" w:rsidP="00BD20F1">
      <w:pPr>
        <w:rPr>
          <w:rFonts w:ascii="Arial" w:hAnsi="Arial" w:cs="Arial"/>
          <w:sz w:val="24"/>
          <w:szCs w:val="24"/>
        </w:rPr>
      </w:pPr>
      <w:r>
        <w:rPr>
          <w:rFonts w:ascii="Arial" w:hAnsi="Arial" w:cs="Arial"/>
          <w:sz w:val="24"/>
          <w:szCs w:val="24"/>
        </w:rPr>
        <w:t xml:space="preserve"> </w:t>
      </w:r>
    </w:p>
    <w:p w14:paraId="44546652" w14:textId="0B10673E" w:rsidR="00131395" w:rsidRDefault="00315AEA" w:rsidP="00131395">
      <w:pPr>
        <w:rPr>
          <w:rFonts w:ascii="Arial" w:hAnsi="Arial" w:cs="Arial"/>
          <w:sz w:val="24"/>
          <w:szCs w:val="24"/>
        </w:rPr>
      </w:pPr>
      <w:r>
        <w:rPr>
          <w:rFonts w:ascii="Arial" w:hAnsi="Arial" w:cs="Arial"/>
          <w:sz w:val="24"/>
          <w:szCs w:val="24"/>
        </w:rPr>
        <w:t>C</w:t>
      </w:r>
      <w:r w:rsidR="00230932">
        <w:rPr>
          <w:rFonts w:ascii="Arial" w:hAnsi="Arial" w:cs="Arial"/>
          <w:sz w:val="24"/>
          <w:szCs w:val="24"/>
        </w:rPr>
        <w:t xml:space="preserve">entral </w:t>
      </w:r>
      <w:r>
        <w:rPr>
          <w:rFonts w:ascii="Arial" w:hAnsi="Arial" w:cs="Arial"/>
          <w:sz w:val="24"/>
          <w:szCs w:val="24"/>
        </w:rPr>
        <w:t>I</w:t>
      </w:r>
      <w:r w:rsidR="00230932">
        <w:rPr>
          <w:rFonts w:ascii="Arial" w:hAnsi="Arial" w:cs="Arial"/>
          <w:sz w:val="24"/>
          <w:szCs w:val="24"/>
        </w:rPr>
        <w:t xml:space="preserve">ntelligence </w:t>
      </w:r>
      <w:r>
        <w:rPr>
          <w:rFonts w:ascii="Arial" w:hAnsi="Arial" w:cs="Arial"/>
          <w:sz w:val="24"/>
          <w:szCs w:val="24"/>
        </w:rPr>
        <w:t>A</w:t>
      </w:r>
      <w:r w:rsidR="00230932">
        <w:rPr>
          <w:rFonts w:ascii="Arial" w:hAnsi="Arial" w:cs="Arial"/>
          <w:sz w:val="24"/>
          <w:szCs w:val="24"/>
        </w:rPr>
        <w:t>gency</w:t>
      </w:r>
      <w:r>
        <w:rPr>
          <w:rFonts w:ascii="Arial" w:hAnsi="Arial" w:cs="Arial"/>
          <w:sz w:val="24"/>
          <w:szCs w:val="24"/>
        </w:rPr>
        <w:t xml:space="preserve"> [US]</w:t>
      </w:r>
      <w:r w:rsidR="00131395">
        <w:rPr>
          <w:rFonts w:ascii="Arial" w:hAnsi="Arial" w:cs="Arial"/>
          <w:sz w:val="24"/>
          <w:szCs w:val="24"/>
        </w:rPr>
        <w:t xml:space="preserve"> (2018). The World Factbook: United States</w:t>
      </w:r>
      <w:r w:rsidR="00E564AD">
        <w:rPr>
          <w:rFonts w:ascii="Arial" w:hAnsi="Arial" w:cs="Arial"/>
          <w:sz w:val="24"/>
          <w:szCs w:val="24"/>
        </w:rPr>
        <w:t xml:space="preserve">, </w:t>
      </w:r>
      <w:r w:rsidR="00E564AD" w:rsidRPr="00E564AD">
        <w:rPr>
          <w:rFonts w:ascii="Arial" w:hAnsi="Arial" w:cs="Arial"/>
          <w:i/>
          <w:sz w:val="24"/>
          <w:szCs w:val="24"/>
        </w:rPr>
        <w:t>CIA</w:t>
      </w:r>
      <w:r w:rsidR="00131395" w:rsidRPr="00E564AD">
        <w:rPr>
          <w:rFonts w:ascii="Arial" w:hAnsi="Arial" w:cs="Arial"/>
          <w:i/>
          <w:sz w:val="24"/>
          <w:szCs w:val="24"/>
        </w:rPr>
        <w:t>.</w:t>
      </w:r>
      <w:r w:rsidR="00131395">
        <w:rPr>
          <w:rFonts w:ascii="Arial" w:hAnsi="Arial" w:cs="Arial"/>
          <w:sz w:val="24"/>
          <w:szCs w:val="24"/>
        </w:rPr>
        <w:t xml:space="preserve"> [Online: </w:t>
      </w:r>
      <w:r w:rsidR="00230932">
        <w:rPr>
          <w:rFonts w:ascii="Arial" w:hAnsi="Arial" w:cs="Arial"/>
          <w:sz w:val="24"/>
          <w:szCs w:val="24"/>
        </w:rPr>
        <w:t xml:space="preserve"> </w:t>
      </w:r>
      <w:hyperlink r:id="rId6" w:history="1">
        <w:r w:rsidR="00230932" w:rsidRPr="001F1D1D">
          <w:rPr>
            <w:rStyle w:val="Hyperlink"/>
            <w:rFonts w:ascii="Arial" w:hAnsi="Arial" w:cs="Arial"/>
            <w:sz w:val="24"/>
            <w:szCs w:val="24"/>
          </w:rPr>
          <w:t>https://www.cia.gov/library/publications/the-world-factbook/geos/us.html</w:t>
        </w:r>
      </w:hyperlink>
      <w:r w:rsidR="00131395">
        <w:rPr>
          <w:rFonts w:ascii="Arial" w:hAnsi="Arial" w:cs="Arial"/>
          <w:sz w:val="24"/>
          <w:szCs w:val="24"/>
        </w:rPr>
        <w:t>] [</w:t>
      </w:r>
      <w:r w:rsidR="00131395" w:rsidRPr="00131395">
        <w:rPr>
          <w:rFonts w:ascii="Arial" w:hAnsi="Arial" w:cs="Arial"/>
          <w:sz w:val="24"/>
          <w:szCs w:val="24"/>
        </w:rPr>
        <w:t>Accessed: 3</w:t>
      </w:r>
      <w:r w:rsidR="00131395">
        <w:rPr>
          <w:rFonts w:ascii="Arial" w:hAnsi="Arial" w:cs="Arial"/>
          <w:sz w:val="24"/>
          <w:szCs w:val="24"/>
        </w:rPr>
        <w:t>0th Nov</w:t>
      </w:r>
      <w:r w:rsidR="00131395" w:rsidRPr="00131395">
        <w:rPr>
          <w:rFonts w:ascii="Arial" w:hAnsi="Arial" w:cs="Arial"/>
          <w:sz w:val="24"/>
          <w:szCs w:val="24"/>
        </w:rPr>
        <w:t>ember 2018]</w:t>
      </w:r>
      <w:r w:rsidR="00FD5000">
        <w:rPr>
          <w:rFonts w:ascii="Arial" w:hAnsi="Arial" w:cs="Arial"/>
          <w:sz w:val="24"/>
          <w:szCs w:val="24"/>
        </w:rPr>
        <w:t>.</w:t>
      </w:r>
    </w:p>
    <w:p w14:paraId="462FBD46" w14:textId="307D02F8" w:rsidR="0000646A" w:rsidRDefault="0000646A" w:rsidP="00131395">
      <w:pPr>
        <w:rPr>
          <w:rFonts w:ascii="Arial" w:hAnsi="Arial" w:cs="Arial"/>
          <w:sz w:val="24"/>
          <w:szCs w:val="24"/>
        </w:rPr>
      </w:pPr>
    </w:p>
    <w:p w14:paraId="46E7A415" w14:textId="5CCEFDF8" w:rsidR="0000646A" w:rsidRDefault="00C209E7" w:rsidP="00131395">
      <w:pPr>
        <w:rPr>
          <w:rFonts w:ascii="Arial" w:hAnsi="Arial" w:cs="Arial"/>
          <w:sz w:val="24"/>
          <w:szCs w:val="24"/>
        </w:rPr>
      </w:pPr>
      <w:r>
        <w:rPr>
          <w:rFonts w:ascii="Arial" w:hAnsi="Arial" w:cs="Arial"/>
          <w:sz w:val="24"/>
          <w:szCs w:val="24"/>
        </w:rPr>
        <w:t>Corbett, M. (2013). ‘Oil shock of 1973-74’</w:t>
      </w:r>
      <w:r w:rsidR="00FD5000">
        <w:rPr>
          <w:rFonts w:ascii="Arial" w:hAnsi="Arial" w:cs="Arial"/>
          <w:sz w:val="24"/>
          <w:szCs w:val="24"/>
        </w:rPr>
        <w:t>.</w:t>
      </w:r>
      <w:r>
        <w:rPr>
          <w:rFonts w:ascii="Arial" w:hAnsi="Arial" w:cs="Arial"/>
          <w:sz w:val="24"/>
          <w:szCs w:val="24"/>
        </w:rPr>
        <w:t xml:space="preserve"> </w:t>
      </w:r>
      <w:r w:rsidR="0000646A">
        <w:rPr>
          <w:rFonts w:ascii="Arial" w:hAnsi="Arial" w:cs="Arial"/>
          <w:sz w:val="24"/>
          <w:szCs w:val="24"/>
        </w:rPr>
        <w:t>Federal Reserve History</w:t>
      </w:r>
      <w:r>
        <w:rPr>
          <w:rFonts w:ascii="Arial" w:hAnsi="Arial" w:cs="Arial"/>
          <w:sz w:val="24"/>
          <w:szCs w:val="24"/>
        </w:rPr>
        <w:t xml:space="preserve">. [online: </w:t>
      </w:r>
      <w:hyperlink r:id="rId7" w:history="1">
        <w:r w:rsidRPr="00C343B8">
          <w:rPr>
            <w:rStyle w:val="Hyperlink"/>
            <w:rFonts w:ascii="Arial" w:hAnsi="Arial" w:cs="Arial"/>
            <w:sz w:val="24"/>
            <w:szCs w:val="24"/>
          </w:rPr>
          <w:t>https://www.federalreservehistory.org/essays/oil_shock_of_1973_74</w:t>
        </w:r>
      </w:hyperlink>
      <w:r>
        <w:rPr>
          <w:rFonts w:ascii="Arial" w:hAnsi="Arial" w:cs="Arial"/>
          <w:sz w:val="24"/>
          <w:szCs w:val="24"/>
        </w:rPr>
        <w:t xml:space="preserve"> ] [Accessed: 07</w:t>
      </w:r>
      <w:r w:rsidRPr="00C209E7">
        <w:rPr>
          <w:rFonts w:ascii="Arial" w:hAnsi="Arial" w:cs="Arial"/>
          <w:sz w:val="24"/>
          <w:szCs w:val="24"/>
          <w:vertAlign w:val="superscript"/>
        </w:rPr>
        <w:t>th</w:t>
      </w:r>
      <w:r>
        <w:rPr>
          <w:rFonts w:ascii="Arial" w:hAnsi="Arial" w:cs="Arial"/>
          <w:sz w:val="24"/>
          <w:szCs w:val="24"/>
        </w:rPr>
        <w:t xml:space="preserve"> December 2018]</w:t>
      </w:r>
      <w:r w:rsidR="00FD5000">
        <w:rPr>
          <w:rFonts w:ascii="Arial" w:hAnsi="Arial" w:cs="Arial"/>
          <w:sz w:val="24"/>
          <w:szCs w:val="24"/>
        </w:rPr>
        <w:t>.</w:t>
      </w:r>
    </w:p>
    <w:p w14:paraId="21D2A910" w14:textId="56286958" w:rsidR="00315AEA" w:rsidRDefault="00315AEA" w:rsidP="00BD20F1">
      <w:pPr>
        <w:rPr>
          <w:rFonts w:ascii="Arial" w:hAnsi="Arial" w:cs="Arial"/>
          <w:sz w:val="24"/>
          <w:szCs w:val="24"/>
        </w:rPr>
      </w:pPr>
    </w:p>
    <w:p w14:paraId="44B9BA66" w14:textId="0F557750" w:rsidR="00002F77" w:rsidRDefault="00002F77" w:rsidP="00BD20F1">
      <w:pPr>
        <w:rPr>
          <w:rFonts w:ascii="Arial" w:hAnsi="Arial" w:cs="Arial"/>
          <w:sz w:val="24"/>
          <w:szCs w:val="24"/>
        </w:rPr>
      </w:pPr>
      <w:r w:rsidRPr="00002F77">
        <w:rPr>
          <w:rFonts w:ascii="Arial" w:hAnsi="Arial" w:cs="Arial"/>
          <w:sz w:val="24"/>
          <w:szCs w:val="24"/>
        </w:rPr>
        <w:t xml:space="preserve">Nyman, J. (2018) 'Rethinking energy, climate and security: a critical analysis of energy security in the United States', </w:t>
      </w:r>
      <w:r w:rsidRPr="001D37AA">
        <w:rPr>
          <w:rFonts w:ascii="Arial" w:hAnsi="Arial" w:cs="Arial"/>
          <w:i/>
          <w:sz w:val="24"/>
          <w:szCs w:val="24"/>
        </w:rPr>
        <w:t>Journal of International Relations and Development,</w:t>
      </w:r>
      <w:r w:rsidRPr="00002F77">
        <w:rPr>
          <w:rFonts w:ascii="Arial" w:hAnsi="Arial" w:cs="Arial"/>
          <w:sz w:val="24"/>
          <w:szCs w:val="24"/>
        </w:rPr>
        <w:t xml:space="preserve"> 21(1)</w:t>
      </w:r>
      <w:r w:rsidR="001D37AA">
        <w:rPr>
          <w:rFonts w:ascii="Arial" w:hAnsi="Arial" w:cs="Arial"/>
          <w:sz w:val="24"/>
          <w:szCs w:val="24"/>
        </w:rPr>
        <w:t>, pp.</w:t>
      </w:r>
      <w:r w:rsidRPr="00002F77">
        <w:rPr>
          <w:rFonts w:ascii="Arial" w:hAnsi="Arial" w:cs="Arial"/>
          <w:sz w:val="24"/>
          <w:szCs w:val="24"/>
        </w:rPr>
        <w:t xml:space="preserve"> </w:t>
      </w:r>
      <w:r w:rsidR="001D37AA">
        <w:rPr>
          <w:rFonts w:ascii="Arial" w:hAnsi="Arial" w:cs="Arial"/>
          <w:sz w:val="24"/>
          <w:szCs w:val="24"/>
        </w:rPr>
        <w:t xml:space="preserve">2-44 </w:t>
      </w:r>
      <w:r w:rsidR="00131395">
        <w:rPr>
          <w:rFonts w:ascii="Arial" w:hAnsi="Arial" w:cs="Arial"/>
          <w:sz w:val="24"/>
          <w:szCs w:val="24"/>
        </w:rPr>
        <w:t xml:space="preserve">[online: </w:t>
      </w:r>
      <w:hyperlink r:id="rId8" w:history="1">
        <w:r w:rsidR="00131395" w:rsidRPr="004E63A8">
          <w:rPr>
            <w:rStyle w:val="Hyperlink"/>
            <w:rFonts w:ascii="Arial" w:hAnsi="Arial" w:cs="Arial"/>
            <w:sz w:val="24"/>
            <w:szCs w:val="24"/>
          </w:rPr>
          <w:t>https://www.academia.edu/10915653/Nyman_J._2018_Rethinking_energy_climate_and_security_a_critical_analysis_of_energy_security_in_the_United_States_Journal_of_International_Relations_and_Development_21_1]</w:t>
        </w:r>
      </w:hyperlink>
      <w:r w:rsidR="00A531D0">
        <w:rPr>
          <w:rFonts w:ascii="Arial" w:hAnsi="Arial" w:cs="Arial"/>
          <w:sz w:val="24"/>
          <w:szCs w:val="24"/>
        </w:rPr>
        <w:t xml:space="preserve"> </w:t>
      </w:r>
      <w:r w:rsidR="00131395" w:rsidRPr="00131395">
        <w:rPr>
          <w:rFonts w:ascii="Arial" w:hAnsi="Arial" w:cs="Arial"/>
          <w:sz w:val="24"/>
          <w:szCs w:val="24"/>
        </w:rPr>
        <w:t>[Accessed: 3</w:t>
      </w:r>
      <w:r w:rsidR="00131395">
        <w:rPr>
          <w:rFonts w:ascii="Arial" w:hAnsi="Arial" w:cs="Arial"/>
          <w:sz w:val="24"/>
          <w:szCs w:val="24"/>
        </w:rPr>
        <w:t>0th Nov</w:t>
      </w:r>
      <w:r w:rsidR="00131395" w:rsidRPr="00131395">
        <w:rPr>
          <w:rFonts w:ascii="Arial" w:hAnsi="Arial" w:cs="Arial"/>
          <w:sz w:val="24"/>
          <w:szCs w:val="24"/>
        </w:rPr>
        <w:t>ember 2018]</w:t>
      </w:r>
      <w:r w:rsidR="00FD5000">
        <w:rPr>
          <w:rFonts w:ascii="Arial" w:hAnsi="Arial" w:cs="Arial"/>
          <w:sz w:val="24"/>
          <w:szCs w:val="24"/>
        </w:rPr>
        <w:t>.</w:t>
      </w:r>
    </w:p>
    <w:p w14:paraId="2135A909" w14:textId="22A27CFD" w:rsidR="00315AEA" w:rsidRDefault="00315AEA" w:rsidP="00BD20F1">
      <w:pPr>
        <w:rPr>
          <w:rFonts w:ascii="Arial" w:hAnsi="Arial" w:cs="Arial"/>
          <w:sz w:val="24"/>
          <w:szCs w:val="24"/>
        </w:rPr>
      </w:pPr>
    </w:p>
    <w:p w14:paraId="2B1CEA71" w14:textId="0BF1FEFE" w:rsidR="00315AEA" w:rsidRDefault="00315AEA" w:rsidP="00315AEA">
      <w:pPr>
        <w:rPr>
          <w:rFonts w:ascii="Arial" w:hAnsi="Arial" w:cs="Arial"/>
          <w:sz w:val="24"/>
          <w:szCs w:val="24"/>
        </w:rPr>
      </w:pPr>
      <w:r>
        <w:rPr>
          <w:rFonts w:ascii="Arial" w:hAnsi="Arial" w:cs="Arial"/>
          <w:sz w:val="24"/>
          <w:szCs w:val="24"/>
        </w:rPr>
        <w:t>U.S. Energy Infor</w:t>
      </w:r>
      <w:r w:rsidR="00131395">
        <w:rPr>
          <w:rFonts w:ascii="Arial" w:hAnsi="Arial" w:cs="Arial"/>
          <w:sz w:val="24"/>
          <w:szCs w:val="24"/>
        </w:rPr>
        <w:t xml:space="preserve">mation Administration, (May 2018), Energy explained, </w:t>
      </w:r>
      <w:r w:rsidR="00131395" w:rsidRPr="00131395">
        <w:rPr>
          <w:rFonts w:ascii="Arial" w:hAnsi="Arial" w:cs="Arial"/>
          <w:i/>
          <w:sz w:val="24"/>
          <w:szCs w:val="24"/>
        </w:rPr>
        <w:t>EIA</w:t>
      </w:r>
      <w:r w:rsidR="00131395">
        <w:rPr>
          <w:rFonts w:ascii="Arial" w:hAnsi="Arial" w:cs="Arial"/>
          <w:sz w:val="24"/>
          <w:szCs w:val="24"/>
        </w:rPr>
        <w:t xml:space="preserve">. </w:t>
      </w:r>
      <w:r w:rsidR="00131395" w:rsidRPr="00131395">
        <w:rPr>
          <w:rFonts w:ascii="Arial" w:hAnsi="Arial" w:cs="Arial"/>
          <w:sz w:val="24"/>
          <w:szCs w:val="24"/>
        </w:rPr>
        <w:t xml:space="preserve">[Online: </w:t>
      </w:r>
      <w:hyperlink r:id="rId9" w:anchor="tab1" w:history="1">
        <w:r w:rsidRPr="001F1D1D">
          <w:rPr>
            <w:rStyle w:val="Hyperlink"/>
            <w:rFonts w:ascii="Arial" w:hAnsi="Arial" w:cs="Arial"/>
            <w:sz w:val="24"/>
            <w:szCs w:val="24"/>
          </w:rPr>
          <w:t>https://www.eia.gov/energyexplained/?page=us_energy_home#tab1</w:t>
        </w:r>
      </w:hyperlink>
      <w:r w:rsidR="00131395" w:rsidRPr="00131395">
        <w:rPr>
          <w:rFonts w:ascii="Arial" w:hAnsi="Arial" w:cs="Arial"/>
          <w:sz w:val="24"/>
          <w:szCs w:val="24"/>
        </w:rPr>
        <w:t xml:space="preserve">] [Accessed: </w:t>
      </w:r>
      <w:r w:rsidR="00131395">
        <w:rPr>
          <w:rFonts w:ascii="Arial" w:hAnsi="Arial" w:cs="Arial"/>
          <w:sz w:val="24"/>
          <w:szCs w:val="24"/>
        </w:rPr>
        <w:t>3</w:t>
      </w:r>
      <w:r w:rsidR="00131395" w:rsidRPr="00131395">
        <w:rPr>
          <w:rFonts w:ascii="Arial" w:hAnsi="Arial" w:cs="Arial"/>
          <w:sz w:val="24"/>
          <w:szCs w:val="24"/>
          <w:vertAlign w:val="superscript"/>
        </w:rPr>
        <w:t>rd</w:t>
      </w:r>
      <w:r w:rsidR="00131395" w:rsidRPr="00131395">
        <w:rPr>
          <w:rFonts w:ascii="Arial" w:hAnsi="Arial" w:cs="Arial"/>
          <w:sz w:val="24"/>
          <w:szCs w:val="24"/>
        </w:rPr>
        <w:t xml:space="preserve"> </w:t>
      </w:r>
      <w:r w:rsidR="00131395">
        <w:rPr>
          <w:rFonts w:ascii="Arial" w:hAnsi="Arial" w:cs="Arial"/>
          <w:sz w:val="24"/>
          <w:szCs w:val="24"/>
        </w:rPr>
        <w:t>December 2018</w:t>
      </w:r>
      <w:r w:rsidR="00131395" w:rsidRPr="00131395">
        <w:rPr>
          <w:rFonts w:ascii="Arial" w:hAnsi="Arial" w:cs="Arial"/>
          <w:sz w:val="24"/>
          <w:szCs w:val="24"/>
        </w:rPr>
        <w:t>]</w:t>
      </w:r>
      <w:r w:rsidR="00FD5000">
        <w:rPr>
          <w:rFonts w:ascii="Arial" w:hAnsi="Arial" w:cs="Arial"/>
          <w:sz w:val="24"/>
          <w:szCs w:val="24"/>
        </w:rPr>
        <w:t>.</w:t>
      </w:r>
    </w:p>
    <w:p w14:paraId="28F47515" w14:textId="77777777" w:rsidR="002C6526" w:rsidRDefault="002C6526" w:rsidP="00315AEA">
      <w:pPr>
        <w:rPr>
          <w:rFonts w:ascii="Arial" w:hAnsi="Arial" w:cs="Arial"/>
          <w:sz w:val="24"/>
          <w:szCs w:val="24"/>
        </w:rPr>
      </w:pPr>
    </w:p>
    <w:p w14:paraId="3F06B86C" w14:textId="77777777" w:rsidR="002C6526" w:rsidRDefault="002C6526" w:rsidP="00315AEA">
      <w:pPr>
        <w:rPr>
          <w:rFonts w:ascii="Arial" w:hAnsi="Arial" w:cs="Arial"/>
          <w:sz w:val="24"/>
          <w:szCs w:val="24"/>
          <w:highlight w:val="yellow"/>
        </w:rPr>
      </w:pPr>
    </w:p>
    <w:p w14:paraId="4EA1AAA9" w14:textId="77777777" w:rsidR="00315AEA" w:rsidRDefault="00315AEA" w:rsidP="00BD20F1">
      <w:pPr>
        <w:rPr>
          <w:rFonts w:ascii="Arial" w:hAnsi="Arial" w:cs="Arial"/>
          <w:sz w:val="24"/>
          <w:szCs w:val="24"/>
        </w:rPr>
      </w:pPr>
    </w:p>
    <w:p w14:paraId="787EB848" w14:textId="77777777" w:rsidR="00BD20F1" w:rsidRPr="00BD20F1" w:rsidRDefault="00BD20F1" w:rsidP="00BD20F1">
      <w:pPr>
        <w:rPr>
          <w:rFonts w:ascii="Arial" w:hAnsi="Arial" w:cs="Arial"/>
          <w:sz w:val="24"/>
          <w:szCs w:val="24"/>
        </w:rPr>
      </w:pPr>
    </w:p>
    <w:p w14:paraId="353C7963" w14:textId="77777777" w:rsidR="00BD20F1" w:rsidRPr="00BD20F1" w:rsidRDefault="00BD20F1" w:rsidP="00BD20F1">
      <w:pPr>
        <w:pStyle w:val="ListParagraph"/>
        <w:rPr>
          <w:rFonts w:ascii="Arial" w:hAnsi="Arial" w:cs="Arial"/>
          <w:sz w:val="24"/>
          <w:szCs w:val="24"/>
        </w:rPr>
      </w:pPr>
    </w:p>
    <w:sectPr w:rsidR="00BD20F1" w:rsidRPr="00BD20F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0000000000000000000"/>
    <w:charset w:val="86"/>
    <w:family w:val="roman"/>
    <w:notTrueType/>
    <w:pitch w:val="default"/>
  </w:font>
  <w:font w:name="Calibri Light">
    <w:panose1 w:val="020F0302020204030204"/>
    <w:charset w:val="00"/>
    <w:family w:val="swiss"/>
    <w:pitch w:val="variable"/>
    <w:sig w:usb0="E0002AFF" w:usb1="C000247B" w:usb2="00000009" w:usb3="00000000" w:csb0="000001FF" w:csb1="00000000"/>
  </w:font>
  <w:font w:name="DengXian">
    <w:altName w:val="等线"/>
    <w:panose1 w:val="02010600030101010101"/>
    <w:charset w:val="86"/>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C95BF6"/>
    <w:multiLevelType w:val="hybridMultilevel"/>
    <w:tmpl w:val="542690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87B70"/>
    <w:rsid w:val="00002F77"/>
    <w:rsid w:val="0000646A"/>
    <w:rsid w:val="00012B70"/>
    <w:rsid w:val="00067DF2"/>
    <w:rsid w:val="000E1E44"/>
    <w:rsid w:val="000F7FA2"/>
    <w:rsid w:val="0012010E"/>
    <w:rsid w:val="00131395"/>
    <w:rsid w:val="00195B52"/>
    <w:rsid w:val="001D37AA"/>
    <w:rsid w:val="001D40FF"/>
    <w:rsid w:val="001F4F0D"/>
    <w:rsid w:val="00205CD1"/>
    <w:rsid w:val="002077D9"/>
    <w:rsid w:val="002204AC"/>
    <w:rsid w:val="00220DFE"/>
    <w:rsid w:val="00230932"/>
    <w:rsid w:val="002A01E2"/>
    <w:rsid w:val="002C6526"/>
    <w:rsid w:val="00315AEA"/>
    <w:rsid w:val="00331FE8"/>
    <w:rsid w:val="0036364D"/>
    <w:rsid w:val="003C64FE"/>
    <w:rsid w:val="003D52C8"/>
    <w:rsid w:val="0042535F"/>
    <w:rsid w:val="00453BFA"/>
    <w:rsid w:val="0046778A"/>
    <w:rsid w:val="004A0112"/>
    <w:rsid w:val="00511375"/>
    <w:rsid w:val="00531CA7"/>
    <w:rsid w:val="0055778D"/>
    <w:rsid w:val="005772EC"/>
    <w:rsid w:val="006253BD"/>
    <w:rsid w:val="00625FD9"/>
    <w:rsid w:val="00652531"/>
    <w:rsid w:val="00655912"/>
    <w:rsid w:val="00657795"/>
    <w:rsid w:val="00664430"/>
    <w:rsid w:val="00694F90"/>
    <w:rsid w:val="006A6CD0"/>
    <w:rsid w:val="006F1F86"/>
    <w:rsid w:val="007024C1"/>
    <w:rsid w:val="00744F65"/>
    <w:rsid w:val="007B3861"/>
    <w:rsid w:val="007E0609"/>
    <w:rsid w:val="008026AA"/>
    <w:rsid w:val="008444E1"/>
    <w:rsid w:val="00865A9C"/>
    <w:rsid w:val="008668C9"/>
    <w:rsid w:val="008D17EF"/>
    <w:rsid w:val="008D3792"/>
    <w:rsid w:val="009144C0"/>
    <w:rsid w:val="00927815"/>
    <w:rsid w:val="009645D8"/>
    <w:rsid w:val="009D449E"/>
    <w:rsid w:val="009F193A"/>
    <w:rsid w:val="00A531D0"/>
    <w:rsid w:val="00A53593"/>
    <w:rsid w:val="00A81CCE"/>
    <w:rsid w:val="00A87B70"/>
    <w:rsid w:val="00A974E9"/>
    <w:rsid w:val="00AF2836"/>
    <w:rsid w:val="00B21A3F"/>
    <w:rsid w:val="00B914BD"/>
    <w:rsid w:val="00BD20F1"/>
    <w:rsid w:val="00C209E7"/>
    <w:rsid w:val="00C33401"/>
    <w:rsid w:val="00C57194"/>
    <w:rsid w:val="00CA6BD2"/>
    <w:rsid w:val="00DA60D6"/>
    <w:rsid w:val="00DD0BD6"/>
    <w:rsid w:val="00E540A4"/>
    <w:rsid w:val="00E564AD"/>
    <w:rsid w:val="00E74D5E"/>
    <w:rsid w:val="00E869FB"/>
    <w:rsid w:val="00EB40C5"/>
    <w:rsid w:val="00ED40FC"/>
    <w:rsid w:val="00EE73EF"/>
    <w:rsid w:val="00EF065B"/>
    <w:rsid w:val="00F42ABE"/>
    <w:rsid w:val="00F47809"/>
    <w:rsid w:val="00FD1FCF"/>
    <w:rsid w:val="00FD5000"/>
    <w:rsid w:val="00FD524B"/>
    <w:rsid w:val="00FF4F1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2B2AF3"/>
  <w15:docId w15:val="{7381E8F5-47CD-44DA-B474-AAE7B2A99B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D20F1"/>
    <w:pPr>
      <w:ind w:left="720"/>
      <w:contextualSpacing/>
    </w:pPr>
  </w:style>
  <w:style w:type="character" w:styleId="Hyperlink">
    <w:name w:val="Hyperlink"/>
    <w:basedOn w:val="DefaultParagraphFont"/>
    <w:uiPriority w:val="99"/>
    <w:unhideWhenUsed/>
    <w:rsid w:val="00A531D0"/>
    <w:rPr>
      <w:color w:val="0563C1" w:themeColor="hyperlink"/>
      <w:u w:val="single"/>
    </w:rPr>
  </w:style>
  <w:style w:type="character" w:customStyle="1" w:styleId="UnresolvedMention1">
    <w:name w:val="Unresolved Mention1"/>
    <w:basedOn w:val="DefaultParagraphFont"/>
    <w:uiPriority w:val="99"/>
    <w:semiHidden/>
    <w:unhideWhenUsed/>
    <w:rsid w:val="00A531D0"/>
    <w:rPr>
      <w:color w:val="605E5C"/>
      <w:shd w:val="clear" w:color="auto" w:fill="E1DFDD"/>
    </w:rPr>
  </w:style>
  <w:style w:type="character" w:styleId="FollowedHyperlink">
    <w:name w:val="FollowedHyperlink"/>
    <w:basedOn w:val="DefaultParagraphFont"/>
    <w:uiPriority w:val="99"/>
    <w:semiHidden/>
    <w:unhideWhenUsed/>
    <w:rsid w:val="001D37AA"/>
    <w:rPr>
      <w:color w:val="954F72" w:themeColor="followedHyperlink"/>
      <w:u w:val="single"/>
    </w:rPr>
  </w:style>
  <w:style w:type="character" w:styleId="UnresolvedMention">
    <w:name w:val="Unresolved Mention"/>
    <w:basedOn w:val="DefaultParagraphFont"/>
    <w:uiPriority w:val="99"/>
    <w:semiHidden/>
    <w:unhideWhenUsed/>
    <w:rsid w:val="00C209E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cademia.edu/10915653/Nyman_J._2018_Rethinking_energy_climate_and_security_a_critical_analysis_of_energy_security_in_the_United_States_Journal_of_International_Relations_and_Development_21_1%5d" TargetMode="External"/><Relationship Id="rId3" Type="http://schemas.openxmlformats.org/officeDocument/2006/relationships/settings" Target="settings.xml"/><Relationship Id="rId7" Type="http://schemas.openxmlformats.org/officeDocument/2006/relationships/hyperlink" Target="https://www.federalreservehistory.org/essays/oil_shock_of_1973_74"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cia.gov/library/publications/the-world-factbook/geos/us.html" TargetMode="External"/><Relationship Id="rId11" Type="http://schemas.openxmlformats.org/officeDocument/2006/relationships/theme" Target="theme/theme1.xml"/><Relationship Id="rId5" Type="http://schemas.openxmlformats.org/officeDocument/2006/relationships/hyperlink" Target="https://www.thebalance.com/strategic-petroleum-reserve-3306208"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eia.gov/energyexplained/?page=us_energy_hom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1263</TotalTime>
  <Pages>4</Pages>
  <Words>799</Words>
  <Characters>4556</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Tracey McGillvray</dc:creator>
  <cp:keywords/>
  <dc:description/>
  <cp:lastModifiedBy>Tracey McGillvray</cp:lastModifiedBy>
  <cp:revision>30</cp:revision>
  <cp:lastPrinted>2018-12-07T08:29:00Z</cp:lastPrinted>
  <dcterms:created xsi:type="dcterms:W3CDTF">2018-12-02T09:01:00Z</dcterms:created>
  <dcterms:modified xsi:type="dcterms:W3CDTF">2018-12-10T06:04:00Z</dcterms:modified>
</cp:coreProperties>
</file>